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71507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80645</wp:posOffset>
            </wp:positionV>
            <wp:extent cx="71507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1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60" w:type="dxa"/>
            <w:vAlign w:val="bottom"/>
            <w:gridSpan w:val="3"/>
          </w:tcPr>
          <w:p>
            <w:pPr>
              <w:jc w:val="center"/>
              <w:ind w:right="2020"/>
              <w:spacing w:after="0"/>
              <w:rPr>
                <w:sz w:val="20"/>
                <w:szCs w:val="20"/>
                <w:color w:val="auto"/>
              </w:rPr>
            </w:pPr>
            <w:r>
              <w:rPr>
                <w:rFonts w:ascii="Times New Roman" w:cs="Times New Roman" w:eastAsia="Times New Roman" w:hAnsi="Times New Roman"/>
                <w:sz w:val="19"/>
                <w:szCs w:val="19"/>
                <w:b w:val="1"/>
                <w:bCs w:val="1"/>
                <w:color w:val="auto"/>
                <w:w w:val="96"/>
              </w:rPr>
              <w:t>UNITED STATES</w:t>
            </w:r>
          </w:p>
        </w:tc>
        <w:tc>
          <w:tcPr>
            <w:tcW w:w="0" w:type="dxa"/>
            <w:vAlign w:val="bottom"/>
          </w:tcPr>
          <w:p>
            <w:pPr>
              <w:spacing w:after="0"/>
              <w:rPr>
                <w:sz w:val="1"/>
                <w:szCs w:val="1"/>
                <w:color w:val="auto"/>
              </w:rPr>
            </w:pPr>
          </w:p>
        </w:tc>
      </w:tr>
      <w:tr>
        <w:trPr>
          <w:trHeight w:val="218"/>
        </w:trPr>
        <w:tc>
          <w:tcPr>
            <w:tcW w:w="1400" w:type="dxa"/>
            <w:vAlign w:val="bottom"/>
          </w:tcPr>
          <w:p>
            <w:pPr>
              <w:spacing w:after="0"/>
              <w:rPr>
                <w:sz w:val="18"/>
                <w:szCs w:val="18"/>
                <w:color w:val="auto"/>
              </w:rPr>
            </w:pPr>
          </w:p>
        </w:tc>
        <w:tc>
          <w:tcPr>
            <w:tcW w:w="7620" w:type="dxa"/>
            <w:vAlign w:val="bottom"/>
            <w:gridSpan w:val="5"/>
          </w:tcPr>
          <w:p>
            <w:pPr>
              <w:jc w:val="center"/>
              <w:ind w:left="767"/>
              <w:spacing w:after="0"/>
              <w:rPr>
                <w:sz w:val="20"/>
                <w:szCs w:val="20"/>
                <w:color w:val="auto"/>
              </w:rPr>
            </w:pPr>
            <w:r>
              <w:rPr>
                <w:rFonts w:ascii="Times New Roman" w:cs="Times New Roman" w:eastAsia="Times New Roman" w:hAnsi="Times New Roman"/>
                <w:sz w:val="19"/>
                <w:szCs w:val="19"/>
                <w:b w:val="1"/>
                <w:bCs w:val="1"/>
                <w:color w:val="auto"/>
                <w:w w:val="98"/>
              </w:rPr>
              <w:t>SECURITIES AND EXCHANGE COMMISSION</w:t>
            </w:r>
          </w:p>
        </w:tc>
        <w:tc>
          <w:tcPr>
            <w:tcW w:w="0" w:type="dxa"/>
            <w:vAlign w:val="bottom"/>
          </w:tcPr>
          <w:p>
            <w:pPr>
              <w:spacing w:after="0"/>
              <w:rPr>
                <w:sz w:val="1"/>
                <w:szCs w:val="1"/>
                <w:color w:val="auto"/>
              </w:rPr>
            </w:pPr>
          </w:p>
        </w:tc>
      </w:tr>
      <w:tr>
        <w:trPr>
          <w:trHeight w:val="205"/>
        </w:trPr>
        <w:tc>
          <w:tcPr>
            <w:tcW w:w="14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60" w:type="dxa"/>
            <w:vAlign w:val="bottom"/>
            <w:gridSpan w:val="3"/>
          </w:tcPr>
          <w:p>
            <w:pPr>
              <w:jc w:val="center"/>
              <w:ind w:right="2040"/>
              <w:spacing w:after="0"/>
              <w:rPr>
                <w:sz w:val="20"/>
                <w:szCs w:val="20"/>
                <w:color w:val="auto"/>
              </w:rPr>
            </w:pPr>
            <w:r>
              <w:rPr>
                <w:rFonts w:ascii="Times New Roman" w:cs="Times New Roman" w:eastAsia="Times New Roman" w:hAnsi="Times New Roman"/>
                <w:sz w:val="16"/>
                <w:szCs w:val="16"/>
                <w:b w:val="1"/>
                <w:bCs w:val="1"/>
                <w:color w:val="auto"/>
                <w:w w:val="96"/>
              </w:rPr>
              <w:t>Washington, D.C. 20549</w:t>
            </w:r>
          </w:p>
        </w:tc>
        <w:tc>
          <w:tcPr>
            <w:tcW w:w="0" w:type="dxa"/>
            <w:vAlign w:val="bottom"/>
          </w:tcPr>
          <w:p>
            <w:pPr>
              <w:spacing w:after="0"/>
              <w:rPr>
                <w:sz w:val="1"/>
                <w:szCs w:val="1"/>
                <w:color w:val="auto"/>
              </w:rPr>
            </w:pPr>
          </w:p>
        </w:tc>
      </w:tr>
      <w:tr>
        <w:trPr>
          <w:trHeight w:val="82"/>
        </w:trPr>
        <w:tc>
          <w:tcPr>
            <w:tcW w:w="1400" w:type="dxa"/>
            <w:vAlign w:val="bottom"/>
          </w:tcPr>
          <w:p>
            <w:pPr>
              <w:spacing w:after="0"/>
              <w:rPr>
                <w:sz w:val="7"/>
                <w:szCs w:val="7"/>
                <w:color w:val="auto"/>
              </w:rPr>
            </w:pPr>
          </w:p>
        </w:tc>
        <w:tc>
          <w:tcPr>
            <w:tcW w:w="2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400" w:type="dxa"/>
            <w:vAlign w:val="bottom"/>
            <w:vMerge w:val="restart"/>
          </w:tcPr>
          <w:p>
            <w:pPr>
              <w:spacing w:after="0" w:line="121" w:lineRule="exact"/>
              <w:rPr>
                <w:sz w:val="20"/>
                <w:szCs w:val="20"/>
                <w:color w:val="auto"/>
              </w:rPr>
            </w:pPr>
            <w:r>
              <w:rPr>
                <w:rFonts w:ascii="MS PGothic" w:cs="MS PGothic" w:eastAsia="MS PGothic" w:hAnsi="MS PGothic"/>
                <w:sz w:val="12"/>
                <w:szCs w:val="12"/>
                <w:color w:val="auto"/>
                <w:highlight w:val="black"/>
              </w:rPr>
              <w:t>☒</w:t>
            </w:r>
          </w:p>
        </w:tc>
        <w:tc>
          <w:tcPr>
            <w:tcW w:w="2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760" w:type="dxa"/>
            <w:vAlign w:val="bottom"/>
            <w:gridSpan w:val="3"/>
          </w:tcPr>
          <w:p>
            <w:pPr>
              <w:jc w:val="center"/>
              <w:ind w:right="2040"/>
              <w:spacing w:after="0"/>
              <w:rPr>
                <w:sz w:val="20"/>
                <w:szCs w:val="20"/>
                <w:color w:val="auto"/>
              </w:rPr>
            </w:pPr>
            <w:r>
              <w:rPr>
                <w:rFonts w:ascii="Times New Roman" w:cs="Times New Roman" w:eastAsia="Times New Roman" w:hAnsi="Times New Roman"/>
                <w:sz w:val="19"/>
                <w:szCs w:val="19"/>
                <w:b w:val="1"/>
                <w:bCs w:val="1"/>
                <w:color w:val="auto"/>
                <w:w w:val="97"/>
              </w:rPr>
              <w:t>FORM 10-K</w:t>
            </w:r>
          </w:p>
        </w:tc>
        <w:tc>
          <w:tcPr>
            <w:tcW w:w="0" w:type="dxa"/>
            <w:vAlign w:val="bottom"/>
          </w:tcPr>
          <w:p>
            <w:pPr>
              <w:spacing w:after="0"/>
              <w:rPr>
                <w:sz w:val="1"/>
                <w:szCs w:val="1"/>
                <w:color w:val="auto"/>
              </w:rPr>
            </w:pPr>
          </w:p>
        </w:tc>
      </w:tr>
      <w:tr>
        <w:trPr>
          <w:trHeight w:val="175"/>
        </w:trPr>
        <w:tc>
          <w:tcPr>
            <w:tcW w:w="1400" w:type="dxa"/>
            <w:vAlign w:val="bottom"/>
            <w:vMerge w:val="continue"/>
          </w:tcPr>
          <w:p>
            <w:pPr>
              <w:spacing w:after="0"/>
              <w:rPr>
                <w:sz w:val="15"/>
                <w:szCs w:val="15"/>
                <w:color w:val="auto"/>
              </w:rPr>
            </w:pPr>
          </w:p>
        </w:tc>
        <w:tc>
          <w:tcPr>
            <w:tcW w:w="7620" w:type="dxa"/>
            <w:vAlign w:val="bottom"/>
            <w:gridSpan w:val="5"/>
          </w:tcPr>
          <w:p>
            <w:pPr>
              <w:jc w:val="center"/>
              <w:ind w:left="1207"/>
              <w:spacing w:after="0"/>
              <w:rPr>
                <w:sz w:val="20"/>
                <w:szCs w:val="20"/>
                <w:color w:val="auto"/>
              </w:rPr>
            </w:pPr>
            <w:r>
              <w:rPr>
                <w:rFonts w:ascii="Times New Roman" w:cs="Times New Roman" w:eastAsia="Times New Roman" w:hAnsi="Times New Roman"/>
                <w:sz w:val="12"/>
                <w:szCs w:val="12"/>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192"/>
        </w:trPr>
        <w:tc>
          <w:tcPr>
            <w:tcW w:w="1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760" w:type="dxa"/>
            <w:vAlign w:val="bottom"/>
            <w:gridSpan w:val="3"/>
          </w:tcPr>
          <w:p>
            <w:pPr>
              <w:jc w:val="center"/>
              <w:ind w:right="2020"/>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31, 2023</w:t>
            </w:r>
          </w:p>
        </w:tc>
        <w:tc>
          <w:tcPr>
            <w:tcW w:w="0" w:type="dxa"/>
            <w:vAlign w:val="bottom"/>
          </w:tcPr>
          <w:p>
            <w:pPr>
              <w:spacing w:after="0"/>
              <w:rPr>
                <w:sz w:val="1"/>
                <w:szCs w:val="1"/>
                <w:color w:val="auto"/>
              </w:rPr>
            </w:pPr>
          </w:p>
        </w:tc>
      </w:tr>
      <w:tr>
        <w:trPr>
          <w:trHeight w:val="187"/>
        </w:trPr>
        <w:tc>
          <w:tcPr>
            <w:tcW w:w="1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760" w:type="dxa"/>
            <w:vAlign w:val="bottom"/>
            <w:gridSpan w:val="3"/>
          </w:tcPr>
          <w:p>
            <w:pPr>
              <w:jc w:val="center"/>
              <w:ind w:right="2020"/>
              <w:spacing w:after="0"/>
              <w:rPr>
                <w:sz w:val="20"/>
                <w:szCs w:val="20"/>
                <w:color w:val="auto"/>
              </w:rPr>
            </w:pPr>
            <w:r>
              <w:rPr>
                <w:rFonts w:ascii="Times New Roman" w:cs="Times New Roman" w:eastAsia="Times New Roman" w:hAnsi="Times New Roman"/>
                <w:sz w:val="12"/>
                <w:szCs w:val="12"/>
                <w:b w:val="1"/>
                <w:bCs w:val="1"/>
                <w:color w:val="auto"/>
                <w:w w:val="99"/>
              </w:rPr>
              <w:t>OR</w:t>
            </w:r>
          </w:p>
        </w:tc>
        <w:tc>
          <w:tcPr>
            <w:tcW w:w="0" w:type="dxa"/>
            <w:vAlign w:val="bottom"/>
          </w:tcPr>
          <w:p>
            <w:pPr>
              <w:spacing w:after="0"/>
              <w:rPr>
                <w:sz w:val="1"/>
                <w:szCs w:val="1"/>
                <w:color w:val="auto"/>
              </w:rPr>
            </w:pPr>
          </w:p>
        </w:tc>
      </w:tr>
      <w:tr>
        <w:trPr>
          <w:trHeight w:val="228"/>
        </w:trPr>
        <w:tc>
          <w:tcPr>
            <w:tcW w:w="1400" w:type="dxa"/>
            <w:vAlign w:val="bottom"/>
          </w:tcPr>
          <w:p>
            <w:pPr>
              <w:spacing w:after="0" w:line="121" w:lineRule="exact"/>
              <w:rPr>
                <w:sz w:val="20"/>
                <w:szCs w:val="20"/>
                <w:color w:val="auto"/>
              </w:rPr>
            </w:pPr>
            <w:r>
              <w:rPr>
                <w:rFonts w:ascii="MS PGothic" w:cs="MS PGothic" w:eastAsia="MS PGothic" w:hAnsi="MS PGothic"/>
                <w:sz w:val="12"/>
                <w:szCs w:val="12"/>
                <w:color w:val="auto"/>
                <w:highlight w:val="black"/>
              </w:rPr>
              <w:t>☐</w:t>
            </w:r>
          </w:p>
        </w:tc>
        <w:tc>
          <w:tcPr>
            <w:tcW w:w="7620" w:type="dxa"/>
            <w:vAlign w:val="bottom"/>
            <w:gridSpan w:val="5"/>
          </w:tcPr>
          <w:p>
            <w:pPr>
              <w:jc w:val="center"/>
              <w:ind w:left="1207"/>
              <w:spacing w:after="0"/>
              <w:rPr>
                <w:sz w:val="20"/>
                <w:szCs w:val="20"/>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940" w:type="dxa"/>
            <w:vAlign w:val="bottom"/>
            <w:gridSpan w:val="4"/>
          </w:tcPr>
          <w:p>
            <w:pPr>
              <w:jc w:val="center"/>
              <w:ind w:right="1860"/>
              <w:spacing w:after="0"/>
              <w:rPr>
                <w:sz w:val="20"/>
                <w:szCs w:val="20"/>
                <w:color w:val="auto"/>
              </w:rPr>
            </w:pPr>
            <w:r>
              <w:rPr>
                <w:rFonts w:ascii="Times New Roman" w:cs="Times New Roman" w:eastAsia="Times New Roman" w:hAnsi="Times New Roman"/>
                <w:sz w:val="12"/>
                <w:szCs w:val="12"/>
                <w:b w:val="1"/>
                <w:bCs w:val="1"/>
                <w:color w:val="auto"/>
              </w:rPr>
              <w:t>For the transition period from ________ to ________</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760" w:type="dxa"/>
            <w:vAlign w:val="bottom"/>
            <w:gridSpan w:val="3"/>
          </w:tcPr>
          <w:p>
            <w:pPr>
              <w:jc w:val="center"/>
              <w:ind w:right="2020"/>
              <w:spacing w:after="0"/>
              <w:rPr>
                <w:sz w:val="20"/>
                <w:szCs w:val="20"/>
                <w:color w:val="auto"/>
              </w:rPr>
            </w:pPr>
            <w:r>
              <w:rPr>
                <w:rFonts w:ascii="Times New Roman" w:cs="Times New Roman" w:eastAsia="Times New Roman" w:hAnsi="Times New Roman"/>
                <w:sz w:val="16"/>
                <w:szCs w:val="16"/>
                <w:b w:val="1"/>
                <w:bCs w:val="1"/>
                <w:color w:val="auto"/>
                <w:w w:val="99"/>
              </w:rPr>
              <w:t>Commission File Number 001-37635</w:t>
            </w:r>
          </w:p>
        </w:tc>
        <w:tc>
          <w:tcPr>
            <w:tcW w:w="0" w:type="dxa"/>
            <w:vAlign w:val="bottom"/>
          </w:tcPr>
          <w:p>
            <w:pPr>
              <w:spacing w:after="0"/>
              <w:rPr>
                <w:sz w:val="1"/>
                <w:szCs w:val="1"/>
                <w:color w:val="auto"/>
              </w:rPr>
            </w:pPr>
          </w:p>
        </w:tc>
      </w:tr>
      <w:tr>
        <w:trPr>
          <w:trHeight w:val="71"/>
        </w:trPr>
        <w:tc>
          <w:tcPr>
            <w:tcW w:w="140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920" w:type="dxa"/>
            <w:vAlign w:val="bottom"/>
            <w:tcBorders>
              <w:bottom w:val="single" w:sz="8" w:color="auto"/>
            </w:tcBorders>
            <w:gridSpan w:val="2"/>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1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60" w:type="dxa"/>
            <w:vAlign w:val="bottom"/>
            <w:gridSpan w:val="3"/>
          </w:tcPr>
          <w:p>
            <w:pPr>
              <w:jc w:val="center"/>
              <w:ind w:right="2040"/>
              <w:spacing w:after="0"/>
              <w:rPr>
                <w:sz w:val="20"/>
                <w:szCs w:val="20"/>
                <w:color w:val="auto"/>
              </w:rPr>
            </w:pPr>
            <w:r>
              <w:rPr>
                <w:rFonts w:ascii="Times New Roman" w:cs="Times New Roman" w:eastAsia="Times New Roman" w:hAnsi="Times New Roman"/>
                <w:sz w:val="16"/>
                <w:szCs w:val="16"/>
                <w:b w:val="1"/>
                <w:bCs w:val="1"/>
                <w:color w:val="auto"/>
                <w:w w:val="97"/>
              </w:rPr>
              <w:t>AXSOME THERAPEUTICS, INC.</w:t>
            </w:r>
          </w:p>
        </w:tc>
        <w:tc>
          <w:tcPr>
            <w:tcW w:w="0" w:type="dxa"/>
            <w:vAlign w:val="bottom"/>
          </w:tcPr>
          <w:p>
            <w:pPr>
              <w:spacing w:after="0"/>
              <w:rPr>
                <w:sz w:val="1"/>
                <w:szCs w:val="1"/>
                <w:color w:val="auto"/>
              </w:rPr>
            </w:pPr>
          </w:p>
        </w:tc>
      </w:tr>
      <w:tr>
        <w:trPr>
          <w:trHeight w:val="179"/>
        </w:trPr>
        <w:tc>
          <w:tcPr>
            <w:tcW w:w="14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940" w:type="dxa"/>
            <w:vAlign w:val="bottom"/>
            <w:gridSpan w:val="4"/>
          </w:tcPr>
          <w:p>
            <w:pPr>
              <w:jc w:val="center"/>
              <w:ind w:right="184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tc>
        <w:tc>
          <w:tcPr>
            <w:tcW w:w="0" w:type="dxa"/>
            <w:vAlign w:val="bottom"/>
          </w:tcPr>
          <w:p>
            <w:pPr>
              <w:spacing w:after="0"/>
              <w:rPr>
                <w:sz w:val="1"/>
                <w:szCs w:val="1"/>
                <w:color w:val="auto"/>
              </w:rPr>
            </w:pPr>
          </w:p>
        </w:tc>
      </w:tr>
    </w:tbl>
    <w:p>
      <w:pPr>
        <w:spacing w:after="0" w:line="83" w:lineRule="exact"/>
        <w:rPr>
          <w:sz w:val="24"/>
          <w:szCs w:val="24"/>
          <w:color w:val="auto"/>
        </w:rPr>
      </w:pPr>
    </w:p>
    <w:tbl>
      <w:tblPr>
        <w:tblLayout w:type="fixed"/>
        <w:tblInd w:w="740" w:type="dxa"/>
        <w:tblCellMar>
          <w:top w:w="0" w:type="dxa"/>
          <w:left w:w="0" w:type="dxa"/>
          <w:bottom w:w="0" w:type="dxa"/>
          <w:right w:w="0" w:type="dxa"/>
        </w:tblCellMar>
      </w:tblPr>
      <w:tr>
        <w:trPr>
          <w:trHeight w:val="185"/>
        </w:trPr>
        <w:tc>
          <w:tcPr>
            <w:tcW w:w="2940" w:type="dxa"/>
            <w:vAlign w:val="bottom"/>
          </w:tcPr>
          <w:p>
            <w:pPr>
              <w:jc w:val="center"/>
              <w:ind w:left="1131"/>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4240" w:type="dxa"/>
            <w:vAlign w:val="bottom"/>
          </w:tcPr>
          <w:p>
            <w:pPr>
              <w:spacing w:after="0"/>
              <w:rPr>
                <w:sz w:val="16"/>
                <w:szCs w:val="16"/>
                <w:color w:val="auto"/>
              </w:rPr>
            </w:pPr>
          </w:p>
        </w:tc>
        <w:tc>
          <w:tcPr>
            <w:tcW w:w="2620" w:type="dxa"/>
            <w:vAlign w:val="bottom"/>
          </w:tcPr>
          <w:p>
            <w:pPr>
              <w:jc w:val="right"/>
              <w:ind w:right="1653"/>
              <w:spacing w:after="0"/>
              <w:rPr>
                <w:sz w:val="20"/>
                <w:szCs w:val="20"/>
                <w:color w:val="auto"/>
              </w:rPr>
            </w:pPr>
            <w:r>
              <w:rPr>
                <w:rFonts w:ascii="Times New Roman" w:cs="Times New Roman" w:eastAsia="Times New Roman" w:hAnsi="Times New Roman"/>
                <w:sz w:val="16"/>
                <w:szCs w:val="16"/>
                <w:b w:val="1"/>
                <w:bCs w:val="1"/>
                <w:color w:val="auto"/>
              </w:rPr>
              <w:t>45-4241907</w:t>
            </w:r>
          </w:p>
        </w:tc>
      </w:tr>
      <w:tr>
        <w:trPr>
          <w:trHeight w:val="128"/>
        </w:trPr>
        <w:tc>
          <w:tcPr>
            <w:tcW w:w="2940" w:type="dxa"/>
            <w:vAlign w:val="bottom"/>
          </w:tcPr>
          <w:p>
            <w:pPr>
              <w:jc w:val="center"/>
              <w:ind w:left="1131"/>
              <w:spacing w:after="0" w:line="129" w:lineRule="exact"/>
              <w:rPr>
                <w:sz w:val="20"/>
                <w:szCs w:val="20"/>
                <w:color w:val="auto"/>
              </w:rPr>
            </w:pPr>
            <w:r>
              <w:rPr>
                <w:rFonts w:ascii="Times New Roman" w:cs="Times New Roman" w:eastAsia="Times New Roman" w:hAnsi="Times New Roman"/>
                <w:sz w:val="12"/>
                <w:szCs w:val="12"/>
                <w:color w:val="auto"/>
              </w:rPr>
              <w:t>(State or other jurisdiction of</w:t>
            </w:r>
          </w:p>
        </w:tc>
        <w:tc>
          <w:tcPr>
            <w:tcW w:w="4240" w:type="dxa"/>
            <w:vAlign w:val="bottom"/>
          </w:tcPr>
          <w:p>
            <w:pPr>
              <w:spacing w:after="0"/>
              <w:rPr>
                <w:sz w:val="11"/>
                <w:szCs w:val="11"/>
                <w:color w:val="auto"/>
              </w:rPr>
            </w:pPr>
          </w:p>
        </w:tc>
        <w:tc>
          <w:tcPr>
            <w:tcW w:w="2620" w:type="dxa"/>
            <w:vAlign w:val="bottom"/>
          </w:tcPr>
          <w:p>
            <w:pPr>
              <w:jc w:val="center"/>
              <w:ind w:right="1513"/>
              <w:spacing w:after="0" w:line="129" w:lineRule="exact"/>
              <w:rPr>
                <w:sz w:val="20"/>
                <w:szCs w:val="20"/>
                <w:color w:val="auto"/>
              </w:rPr>
            </w:pPr>
            <w:r>
              <w:rPr>
                <w:rFonts w:ascii="Times New Roman" w:cs="Times New Roman" w:eastAsia="Times New Roman" w:hAnsi="Times New Roman"/>
                <w:sz w:val="12"/>
                <w:szCs w:val="12"/>
                <w:color w:val="auto"/>
              </w:rPr>
              <w:t>(I.R.S. Employer</w:t>
            </w:r>
          </w:p>
        </w:tc>
      </w:tr>
      <w:tr>
        <w:trPr>
          <w:trHeight w:val="163"/>
        </w:trPr>
        <w:tc>
          <w:tcPr>
            <w:tcW w:w="2940" w:type="dxa"/>
            <w:vAlign w:val="bottom"/>
          </w:tcPr>
          <w:p>
            <w:pPr>
              <w:jc w:val="center"/>
              <w:ind w:left="1131"/>
              <w:spacing w:after="0"/>
              <w:rPr>
                <w:sz w:val="20"/>
                <w:szCs w:val="20"/>
                <w:color w:val="auto"/>
              </w:rPr>
            </w:pPr>
            <w:r>
              <w:rPr>
                <w:rFonts w:ascii="Times New Roman" w:cs="Times New Roman" w:eastAsia="Times New Roman" w:hAnsi="Times New Roman"/>
                <w:sz w:val="12"/>
                <w:szCs w:val="12"/>
                <w:color w:val="auto"/>
              </w:rPr>
              <w:t>incorporation or organization)</w:t>
            </w:r>
          </w:p>
        </w:tc>
        <w:tc>
          <w:tcPr>
            <w:tcW w:w="4240" w:type="dxa"/>
            <w:vAlign w:val="bottom"/>
          </w:tcPr>
          <w:p>
            <w:pPr>
              <w:spacing w:after="0"/>
              <w:rPr>
                <w:sz w:val="14"/>
                <w:szCs w:val="14"/>
                <w:color w:val="auto"/>
              </w:rPr>
            </w:pPr>
          </w:p>
        </w:tc>
        <w:tc>
          <w:tcPr>
            <w:tcW w:w="2620" w:type="dxa"/>
            <w:vAlign w:val="bottom"/>
          </w:tcPr>
          <w:p>
            <w:pPr>
              <w:jc w:val="center"/>
              <w:ind w:right="1513"/>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35"/>
        </w:trPr>
        <w:tc>
          <w:tcPr>
            <w:tcW w:w="2940" w:type="dxa"/>
            <w:vAlign w:val="bottom"/>
          </w:tcPr>
          <w:p>
            <w:pPr>
              <w:jc w:val="center"/>
              <w:ind w:left="1131"/>
              <w:spacing w:after="0"/>
              <w:rPr>
                <w:sz w:val="20"/>
                <w:szCs w:val="20"/>
                <w:color w:val="auto"/>
              </w:rPr>
            </w:pPr>
            <w:r>
              <w:rPr>
                <w:rFonts w:ascii="Times New Roman" w:cs="Times New Roman" w:eastAsia="Times New Roman" w:hAnsi="Times New Roman"/>
                <w:sz w:val="16"/>
                <w:szCs w:val="16"/>
                <w:b w:val="1"/>
                <w:bCs w:val="1"/>
                <w:color w:val="auto"/>
                <w:w w:val="95"/>
              </w:rPr>
              <w:t>One World Trade Center</w:t>
            </w:r>
          </w:p>
        </w:tc>
        <w:tc>
          <w:tcPr>
            <w:tcW w:w="424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185"/>
        </w:trPr>
        <w:tc>
          <w:tcPr>
            <w:tcW w:w="2940" w:type="dxa"/>
            <w:vAlign w:val="bottom"/>
          </w:tcPr>
          <w:p>
            <w:pPr>
              <w:jc w:val="center"/>
              <w:ind w:left="1131"/>
              <w:spacing w:after="0"/>
              <w:rPr>
                <w:sz w:val="20"/>
                <w:szCs w:val="20"/>
                <w:color w:val="auto"/>
              </w:rPr>
            </w:pPr>
            <w:r>
              <w:rPr>
                <w:rFonts w:ascii="Times New Roman" w:cs="Times New Roman" w:eastAsia="Times New Roman" w:hAnsi="Times New Roman"/>
                <w:sz w:val="16"/>
                <w:szCs w:val="16"/>
                <w:b w:val="1"/>
                <w:bCs w:val="1"/>
                <w:color w:val="auto"/>
                <w:w w:val="98"/>
              </w:rPr>
              <w:t>22nd Floor</w:t>
            </w:r>
          </w:p>
        </w:tc>
        <w:tc>
          <w:tcPr>
            <w:tcW w:w="4240" w:type="dxa"/>
            <w:vAlign w:val="bottom"/>
          </w:tcPr>
          <w:p>
            <w:pPr>
              <w:spacing w:after="0"/>
              <w:rPr>
                <w:sz w:val="16"/>
                <w:szCs w:val="16"/>
                <w:color w:val="auto"/>
              </w:rPr>
            </w:pPr>
          </w:p>
        </w:tc>
        <w:tc>
          <w:tcPr>
            <w:tcW w:w="2620" w:type="dxa"/>
            <w:vAlign w:val="bottom"/>
          </w:tcPr>
          <w:p>
            <w:pPr>
              <w:jc w:val="right"/>
              <w:ind w:right="1833"/>
              <w:spacing w:after="0"/>
              <w:rPr>
                <w:sz w:val="20"/>
                <w:szCs w:val="20"/>
                <w:color w:val="auto"/>
              </w:rPr>
            </w:pPr>
            <w:r>
              <w:rPr>
                <w:rFonts w:ascii="Times New Roman" w:cs="Times New Roman" w:eastAsia="Times New Roman" w:hAnsi="Times New Roman"/>
                <w:sz w:val="16"/>
                <w:szCs w:val="16"/>
                <w:b w:val="1"/>
                <w:bCs w:val="1"/>
                <w:color w:val="auto"/>
              </w:rPr>
              <w:t>10007</w:t>
            </w:r>
          </w:p>
        </w:tc>
      </w:tr>
      <w:tr>
        <w:trPr>
          <w:trHeight w:val="187"/>
        </w:trPr>
        <w:tc>
          <w:tcPr>
            <w:tcW w:w="2940" w:type="dxa"/>
            <w:vAlign w:val="bottom"/>
          </w:tcPr>
          <w:p>
            <w:pPr>
              <w:jc w:val="center"/>
              <w:ind w:left="1151"/>
              <w:spacing w:after="0"/>
              <w:rPr>
                <w:sz w:val="20"/>
                <w:szCs w:val="20"/>
                <w:color w:val="auto"/>
              </w:rPr>
            </w:pPr>
            <w:r>
              <w:rPr>
                <w:rFonts w:ascii="Times New Roman" w:cs="Times New Roman" w:eastAsia="Times New Roman" w:hAnsi="Times New Roman"/>
                <w:sz w:val="16"/>
                <w:szCs w:val="16"/>
                <w:b w:val="1"/>
                <w:bCs w:val="1"/>
                <w:color w:val="auto"/>
                <w:w w:val="94"/>
              </w:rPr>
              <w:t>New York, New York</w:t>
            </w:r>
          </w:p>
        </w:tc>
        <w:tc>
          <w:tcPr>
            <w:tcW w:w="4240" w:type="dxa"/>
            <w:vAlign w:val="bottom"/>
          </w:tcPr>
          <w:p>
            <w:pPr>
              <w:spacing w:after="0"/>
              <w:rPr>
                <w:sz w:val="16"/>
                <w:szCs w:val="16"/>
                <w:color w:val="auto"/>
              </w:rPr>
            </w:pPr>
          </w:p>
        </w:tc>
        <w:tc>
          <w:tcPr>
            <w:tcW w:w="2620" w:type="dxa"/>
            <w:vAlign w:val="bottom"/>
          </w:tcPr>
          <w:p>
            <w:pPr>
              <w:jc w:val="center"/>
              <w:ind w:right="1513"/>
              <w:spacing w:after="0"/>
              <w:rPr>
                <w:sz w:val="20"/>
                <w:szCs w:val="20"/>
                <w:color w:val="auto"/>
              </w:rPr>
            </w:pPr>
            <w:r>
              <w:rPr>
                <w:rFonts w:ascii="Times New Roman" w:cs="Times New Roman" w:eastAsia="Times New Roman" w:hAnsi="Times New Roman"/>
                <w:sz w:val="12"/>
                <w:szCs w:val="12"/>
                <w:color w:val="auto"/>
              </w:rPr>
              <w:t>(Zip Code)</w:t>
            </w:r>
          </w:p>
        </w:tc>
      </w:tr>
      <w:tr>
        <w:trPr>
          <w:trHeight w:val="163"/>
        </w:trPr>
        <w:tc>
          <w:tcPr>
            <w:tcW w:w="7180" w:type="dxa"/>
            <w:vAlign w:val="bottom"/>
            <w:gridSpan w:val="2"/>
          </w:tcPr>
          <w:p>
            <w:pPr>
              <w:jc w:val="center"/>
              <w:ind w:right="2973"/>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2620" w:type="dxa"/>
            <w:vAlign w:val="bottom"/>
          </w:tcPr>
          <w:p>
            <w:pPr>
              <w:spacing w:after="0"/>
              <w:rPr>
                <w:sz w:val="14"/>
                <w:szCs w:val="14"/>
                <w:color w:val="auto"/>
              </w:rPr>
            </w:pPr>
          </w:p>
        </w:tc>
      </w:tr>
      <w:tr>
        <w:trPr>
          <w:trHeight w:val="241"/>
        </w:trPr>
        <w:tc>
          <w:tcPr>
            <w:tcW w:w="7180" w:type="dxa"/>
            <w:vAlign w:val="bottom"/>
            <w:gridSpan w:val="2"/>
          </w:tcPr>
          <w:p>
            <w:pPr>
              <w:jc w:val="center"/>
              <w:ind w:left="2511"/>
              <w:spacing w:after="0"/>
              <w:rPr>
                <w:sz w:val="20"/>
                <w:szCs w:val="20"/>
                <w:color w:val="auto"/>
              </w:rPr>
            </w:pPr>
            <w:r>
              <w:rPr>
                <w:rFonts w:ascii="Times New Roman" w:cs="Times New Roman" w:eastAsia="Times New Roman" w:hAnsi="Times New Roman"/>
                <w:sz w:val="16"/>
                <w:szCs w:val="16"/>
                <w:b w:val="1"/>
                <w:bCs w:val="1"/>
                <w:color w:val="auto"/>
                <w:w w:val="97"/>
              </w:rPr>
              <w:t>Registrant’s telephone number, including area code: (212) 332-3241</w:t>
            </w:r>
          </w:p>
        </w:tc>
        <w:tc>
          <w:tcPr>
            <w:tcW w:w="2620" w:type="dxa"/>
            <w:vAlign w:val="bottom"/>
          </w:tcPr>
          <w:p>
            <w:pPr>
              <w:spacing w:after="0"/>
              <w:rPr>
                <w:sz w:val="20"/>
                <w:szCs w:val="20"/>
                <w:color w:val="auto"/>
              </w:rPr>
            </w:pPr>
          </w:p>
        </w:tc>
      </w:tr>
      <w:tr>
        <w:trPr>
          <w:trHeight w:val="245"/>
        </w:trPr>
        <w:tc>
          <w:tcPr>
            <w:tcW w:w="2940" w:type="dxa"/>
            <w:vAlign w:val="bottom"/>
          </w:tcPr>
          <w:p>
            <w:pPr>
              <w:spacing w:after="0"/>
              <w:rPr>
                <w:sz w:val="21"/>
                <w:szCs w:val="21"/>
                <w:color w:val="auto"/>
              </w:rPr>
            </w:pPr>
          </w:p>
        </w:tc>
        <w:tc>
          <w:tcPr>
            <w:tcW w:w="4240" w:type="dxa"/>
            <w:vAlign w:val="bottom"/>
          </w:tcPr>
          <w:p>
            <w:pPr>
              <w:jc w:val="center"/>
              <w:ind w:right="293"/>
              <w:spacing w:after="0"/>
              <w:rPr>
                <w:sz w:val="20"/>
                <w:szCs w:val="20"/>
                <w:color w:val="auto"/>
              </w:rPr>
            </w:pPr>
            <w:r>
              <w:rPr>
                <w:rFonts w:ascii="Times New Roman" w:cs="Times New Roman" w:eastAsia="Times New Roman" w:hAnsi="Times New Roman"/>
                <w:sz w:val="16"/>
                <w:szCs w:val="16"/>
                <w:b w:val="1"/>
                <w:bCs w:val="1"/>
                <w:color w:val="auto"/>
                <w:w w:val="96"/>
              </w:rPr>
              <w:t>Securities registered pursuant to Section 12(b) of the Act:</w:t>
            </w:r>
          </w:p>
        </w:tc>
        <w:tc>
          <w:tcPr>
            <w:tcW w:w="2620" w:type="dxa"/>
            <w:vAlign w:val="bottom"/>
          </w:tcPr>
          <w:p>
            <w:pPr>
              <w:spacing w:after="0"/>
              <w:rPr>
                <w:sz w:val="21"/>
                <w:szCs w:val="21"/>
                <w:color w:val="auto"/>
              </w:rPr>
            </w:pPr>
          </w:p>
        </w:tc>
      </w:tr>
      <w:tr>
        <w:trPr>
          <w:trHeight w:val="260"/>
        </w:trPr>
        <w:tc>
          <w:tcPr>
            <w:tcW w:w="2940" w:type="dxa"/>
            <w:vAlign w:val="bottom"/>
          </w:tcPr>
          <w:p>
            <w:pPr>
              <w:jc w:val="center"/>
              <w:ind w:right="611"/>
              <w:spacing w:after="0"/>
              <w:rPr>
                <w:sz w:val="20"/>
                <w:szCs w:val="20"/>
                <w:color w:val="auto"/>
              </w:rPr>
            </w:pPr>
            <w:r>
              <w:rPr>
                <w:rFonts w:ascii="Times New Roman" w:cs="Times New Roman" w:eastAsia="Times New Roman" w:hAnsi="Times New Roman"/>
                <w:sz w:val="12"/>
                <w:szCs w:val="12"/>
                <w:color w:val="auto"/>
              </w:rPr>
              <w:t>Title of each class:</w:t>
            </w:r>
          </w:p>
        </w:tc>
        <w:tc>
          <w:tcPr>
            <w:tcW w:w="4240" w:type="dxa"/>
            <w:vAlign w:val="bottom"/>
          </w:tcPr>
          <w:p>
            <w:pPr>
              <w:jc w:val="center"/>
              <w:ind w:right="273"/>
              <w:spacing w:after="0"/>
              <w:rPr>
                <w:sz w:val="20"/>
                <w:szCs w:val="20"/>
                <w:color w:val="auto"/>
              </w:rPr>
            </w:pPr>
            <w:r>
              <w:rPr>
                <w:rFonts w:ascii="Times New Roman" w:cs="Times New Roman" w:eastAsia="Times New Roman" w:hAnsi="Times New Roman"/>
                <w:sz w:val="12"/>
                <w:szCs w:val="12"/>
                <w:color w:val="auto"/>
              </w:rPr>
              <w:t>Trading Symbol(s)</w:t>
            </w:r>
          </w:p>
        </w:tc>
        <w:tc>
          <w:tcPr>
            <w:tcW w:w="2620" w:type="dxa"/>
            <w:vAlign w:val="bottom"/>
          </w:tcPr>
          <w:p>
            <w:pPr>
              <w:jc w:val="center"/>
              <w:ind w:left="233"/>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222"/>
        </w:trPr>
        <w:tc>
          <w:tcPr>
            <w:tcW w:w="2940" w:type="dxa"/>
            <w:vAlign w:val="bottom"/>
          </w:tcPr>
          <w:p>
            <w:pPr>
              <w:jc w:val="center"/>
              <w:ind w:right="611"/>
              <w:spacing w:after="0"/>
              <w:rPr>
                <w:sz w:val="20"/>
                <w:szCs w:val="20"/>
                <w:color w:val="auto"/>
              </w:rPr>
            </w:pPr>
            <w:r>
              <w:rPr>
                <w:rFonts w:ascii="Times New Roman" w:cs="Times New Roman" w:eastAsia="Times New Roman" w:hAnsi="Times New Roman"/>
                <w:sz w:val="12"/>
                <w:szCs w:val="12"/>
                <w:color w:val="auto"/>
              </w:rPr>
              <w:t>Common Stock, Par Value $0.0001 Per Share</w:t>
            </w:r>
          </w:p>
        </w:tc>
        <w:tc>
          <w:tcPr>
            <w:tcW w:w="4240" w:type="dxa"/>
            <w:vAlign w:val="bottom"/>
          </w:tcPr>
          <w:p>
            <w:pPr>
              <w:jc w:val="center"/>
              <w:ind w:right="273"/>
              <w:spacing w:after="0"/>
              <w:rPr>
                <w:sz w:val="20"/>
                <w:szCs w:val="20"/>
                <w:color w:val="auto"/>
              </w:rPr>
            </w:pPr>
            <w:r>
              <w:rPr>
                <w:rFonts w:ascii="Times New Roman" w:cs="Times New Roman" w:eastAsia="Times New Roman" w:hAnsi="Times New Roman"/>
                <w:sz w:val="12"/>
                <w:szCs w:val="12"/>
                <w:color w:val="auto"/>
                <w:w w:val="97"/>
              </w:rPr>
              <w:t>AXSM</w:t>
            </w:r>
          </w:p>
        </w:tc>
        <w:tc>
          <w:tcPr>
            <w:tcW w:w="2620" w:type="dxa"/>
            <w:vAlign w:val="bottom"/>
          </w:tcPr>
          <w:p>
            <w:pPr>
              <w:jc w:val="center"/>
              <w:ind w:left="233"/>
              <w:spacing w:after="0"/>
              <w:rPr>
                <w:sz w:val="20"/>
                <w:szCs w:val="20"/>
                <w:color w:val="auto"/>
              </w:rPr>
            </w:pPr>
            <w:r>
              <w:rPr>
                <w:rFonts w:ascii="Times New Roman" w:cs="Times New Roman" w:eastAsia="Times New Roman" w:hAnsi="Times New Roman"/>
                <w:sz w:val="12"/>
                <w:szCs w:val="12"/>
                <w:color w:val="auto"/>
              </w:rPr>
              <w:t>The Nasdaq Global Market</w:t>
            </w:r>
          </w:p>
        </w:tc>
      </w:tr>
      <w:tr>
        <w:trPr>
          <w:trHeight w:val="163"/>
        </w:trPr>
        <w:tc>
          <w:tcPr>
            <w:tcW w:w="2940" w:type="dxa"/>
            <w:vAlign w:val="bottom"/>
          </w:tcPr>
          <w:p>
            <w:pPr>
              <w:jc w:val="center"/>
              <w:ind w:right="611"/>
              <w:spacing w:after="0"/>
              <w:rPr>
                <w:sz w:val="20"/>
                <w:szCs w:val="20"/>
                <w:color w:val="auto"/>
              </w:rPr>
            </w:pPr>
            <w:r>
              <w:rPr>
                <w:rFonts w:ascii="Times New Roman" w:cs="Times New Roman" w:eastAsia="Times New Roman" w:hAnsi="Times New Roman"/>
                <w:sz w:val="12"/>
                <w:szCs w:val="12"/>
                <w:color w:val="auto"/>
              </w:rPr>
              <w:t>(Title of Class)</w:t>
            </w:r>
          </w:p>
        </w:tc>
        <w:tc>
          <w:tcPr>
            <w:tcW w:w="4240" w:type="dxa"/>
            <w:vAlign w:val="bottom"/>
          </w:tcPr>
          <w:p>
            <w:pPr>
              <w:spacing w:after="0"/>
              <w:rPr>
                <w:sz w:val="14"/>
                <w:szCs w:val="14"/>
                <w:color w:val="auto"/>
              </w:rPr>
            </w:pPr>
          </w:p>
        </w:tc>
        <w:tc>
          <w:tcPr>
            <w:tcW w:w="2620" w:type="dxa"/>
            <w:vAlign w:val="bottom"/>
          </w:tcPr>
          <w:p>
            <w:pPr>
              <w:spacing w:after="0"/>
              <w:rPr>
                <w:sz w:val="14"/>
                <w:szCs w:val="14"/>
                <w:color w:val="auto"/>
              </w:rPr>
            </w:pPr>
          </w:p>
        </w:tc>
      </w:tr>
    </w:tbl>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None</w:t>
      </w:r>
    </w:p>
    <w:p>
      <w:pPr>
        <w:spacing w:after="0" w:line="23"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2"/>
          <w:szCs w:val="12"/>
          <w:color w:val="auto"/>
        </w:rPr>
        <w:t>Indicate by check mark if the registrant is a well-known seasoned issuer, as defined in Rule 405 of the Securities Act.</w:t>
      </w:r>
    </w:p>
    <w:p>
      <w:pPr>
        <w:spacing w:after="0" w:line="12" w:lineRule="exact"/>
        <w:rPr>
          <w:sz w:val="24"/>
          <w:szCs w:val="24"/>
          <w:color w:val="auto"/>
        </w:rPr>
      </w:pPr>
    </w:p>
    <w:p>
      <w:pPr>
        <w:ind w:left="740"/>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39"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2"/>
          <w:szCs w:val="12"/>
          <w:color w:val="auto"/>
        </w:rPr>
        <w:t>Indicate by check mark if the registrant is not required to file reports pursuant to Section 13 or Section 15(d) of the Act.</w:t>
      </w:r>
    </w:p>
    <w:p>
      <w:pPr>
        <w:ind w:left="740"/>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43" w:lineRule="exact"/>
        <w:rPr>
          <w:sz w:val="24"/>
          <w:szCs w:val="24"/>
          <w:color w:val="auto"/>
        </w:rPr>
      </w:pPr>
    </w:p>
    <w:p>
      <w:pPr>
        <w:ind w:right="220" w:firstLine="751"/>
        <w:spacing w:after="0" w:line="144"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 w:lineRule="exact"/>
        <w:rPr>
          <w:sz w:val="24"/>
          <w:szCs w:val="24"/>
          <w:color w:val="auto"/>
        </w:rPr>
      </w:pPr>
    </w:p>
    <w:p>
      <w:pPr>
        <w:ind w:right="260" w:firstLine="751"/>
        <w:spacing w:after="0" w:line="14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ind w:right="60" w:firstLine="751"/>
        <w:spacing w:after="0" w:line="238"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filed,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4" w:lineRule="exact"/>
        <w:rPr>
          <w:sz w:val="24"/>
          <w:szCs w:val="24"/>
          <w:color w:val="auto"/>
        </w:rPr>
      </w:pPr>
    </w:p>
    <w:tbl>
      <w:tblPr>
        <w:tblLayout w:type="fixed"/>
        <w:tblInd w:w="800" w:type="dxa"/>
        <w:tblCellMar>
          <w:top w:w="0" w:type="dxa"/>
          <w:left w:w="0" w:type="dxa"/>
          <w:bottom w:w="0" w:type="dxa"/>
          <w:right w:w="0" w:type="dxa"/>
        </w:tblCellMar>
      </w:tblPr>
      <w:tr>
        <w:trPr>
          <w:trHeight w:val="152"/>
        </w:trPr>
        <w:tc>
          <w:tcPr>
            <w:tcW w:w="252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660" w:type="dxa"/>
            <w:vAlign w:val="bottom"/>
          </w:tcPr>
          <w:p>
            <w:pPr>
              <w:ind w:left="1460"/>
              <w:spacing w:after="0" w:line="121" w:lineRule="exact"/>
              <w:rPr>
                <w:sz w:val="20"/>
                <w:szCs w:val="20"/>
                <w:color w:val="auto"/>
              </w:rPr>
            </w:pPr>
            <w:r>
              <w:rPr>
                <w:rFonts w:ascii="MS PGothic" w:cs="MS PGothic" w:eastAsia="MS PGothic" w:hAnsi="MS PGothic"/>
                <w:sz w:val="12"/>
                <w:szCs w:val="12"/>
                <w:color w:val="auto"/>
              </w:rPr>
              <w:t>☒</w:t>
            </w:r>
          </w:p>
        </w:tc>
        <w:tc>
          <w:tcPr>
            <w:tcW w:w="374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Accelerated Filer</w:t>
            </w:r>
          </w:p>
        </w:tc>
        <w:tc>
          <w:tcPr>
            <w:tcW w:w="1460" w:type="dxa"/>
            <w:vAlign w:val="bottom"/>
          </w:tcPr>
          <w:p>
            <w:pPr>
              <w:ind w:left="13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52"/>
        </w:trPr>
        <w:tc>
          <w:tcPr>
            <w:tcW w:w="252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660" w:type="dxa"/>
            <w:vAlign w:val="bottom"/>
          </w:tcPr>
          <w:p>
            <w:pPr>
              <w:ind w:left="1460"/>
              <w:spacing w:after="0" w:line="121" w:lineRule="exact"/>
              <w:rPr>
                <w:sz w:val="20"/>
                <w:szCs w:val="20"/>
                <w:color w:val="auto"/>
              </w:rPr>
            </w:pPr>
            <w:r>
              <w:rPr>
                <w:rFonts w:ascii="MS PGothic" w:cs="MS PGothic" w:eastAsia="MS PGothic" w:hAnsi="MS PGothic"/>
                <w:sz w:val="12"/>
                <w:szCs w:val="12"/>
                <w:color w:val="auto"/>
              </w:rPr>
              <w:t>☐</w:t>
            </w:r>
          </w:p>
        </w:tc>
        <w:tc>
          <w:tcPr>
            <w:tcW w:w="374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1460" w:type="dxa"/>
            <w:vAlign w:val="bottom"/>
          </w:tcPr>
          <w:p>
            <w:pPr>
              <w:ind w:left="13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94"/>
        </w:trPr>
        <w:tc>
          <w:tcPr>
            <w:tcW w:w="25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74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Emerging growth company</w:t>
            </w:r>
          </w:p>
        </w:tc>
        <w:tc>
          <w:tcPr>
            <w:tcW w:w="1460" w:type="dxa"/>
            <w:vAlign w:val="bottom"/>
          </w:tcPr>
          <w:p>
            <w:pPr>
              <w:ind w:left="1340"/>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30" w:lineRule="exact"/>
        <w:rPr>
          <w:sz w:val="24"/>
          <w:szCs w:val="24"/>
          <w:color w:val="auto"/>
        </w:rPr>
      </w:pPr>
    </w:p>
    <w:p>
      <w:pPr>
        <w:ind w:firstLine="751"/>
        <w:spacing w:after="0" w:line="148"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 w:lineRule="exact"/>
        <w:rPr>
          <w:sz w:val="24"/>
          <w:szCs w:val="24"/>
          <w:color w:val="auto"/>
        </w:rPr>
      </w:pPr>
    </w:p>
    <w:p>
      <w:pPr>
        <w:ind w:right="20" w:firstLine="751"/>
        <w:spacing w:after="0" w:line="144"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(15 U.S.C. 7262(b)) by the registered public accounting firm that prepared or issued its audit report. </w:t>
      </w:r>
      <w:r>
        <w:rPr>
          <w:rFonts w:ascii="MS PGothic" w:cs="MS PGothic" w:eastAsia="MS PGothic" w:hAnsi="MS PGothic"/>
          <w:sz w:val="12"/>
          <w:szCs w:val="12"/>
          <w:color w:val="auto"/>
        </w:rPr>
        <w:t>☒</w:t>
      </w:r>
    </w:p>
    <w:p>
      <w:pPr>
        <w:ind w:left="740"/>
        <w:spacing w:after="0" w:line="237" w:lineRule="auto"/>
        <w:rPr>
          <w:sz w:val="20"/>
          <w:szCs w:val="20"/>
          <w:color w:val="auto"/>
        </w:rPr>
      </w:pPr>
      <w:r>
        <w:rPr>
          <w:rFonts w:ascii="Times New Roman" w:cs="Times New Roman" w:eastAsia="Times New Roman" w:hAnsi="Times New Roman"/>
          <w:sz w:val="11"/>
          <w:szCs w:val="11"/>
          <w:color w:val="auto"/>
        </w:rPr>
        <w:t>If securities are registered pursuant to Section 12(b) of the Act, indicate by check mark whether the financial statements of the registrant included in the filing reflect the correction of an error to previously issued financial</w:t>
      </w:r>
    </w:p>
    <w:p>
      <w:pPr>
        <w:spacing w:after="0" w:line="138" w:lineRule="exact"/>
        <w:rPr>
          <w:sz w:val="20"/>
          <w:szCs w:val="20"/>
          <w:color w:val="auto"/>
        </w:rPr>
      </w:pPr>
      <w:r>
        <w:rPr>
          <w:rFonts w:ascii="Times New Roman" w:cs="Times New Roman" w:eastAsia="Times New Roman" w:hAnsi="Times New Roman"/>
          <w:sz w:val="12"/>
          <w:szCs w:val="12"/>
          <w:color w:val="auto"/>
        </w:rPr>
        <w:t xml:space="preserve">statements. </w:t>
      </w:r>
      <w:r>
        <w:rPr>
          <w:rFonts w:ascii="MS PGothic" w:cs="MS PGothic" w:eastAsia="MS PGothic" w:hAnsi="MS PGothic"/>
          <w:sz w:val="12"/>
          <w:szCs w:val="12"/>
          <w:color w:val="auto"/>
        </w:rPr>
        <w:t>☐</w:t>
      </w:r>
    </w:p>
    <w:p>
      <w:pPr>
        <w:spacing w:after="0" w:line="22" w:lineRule="exact"/>
        <w:rPr>
          <w:sz w:val="24"/>
          <w:szCs w:val="24"/>
          <w:color w:val="auto"/>
        </w:rPr>
      </w:pPr>
    </w:p>
    <w:p>
      <w:pPr>
        <w:ind w:right="320" w:firstLine="751"/>
        <w:spacing w:after="0" w:line="146"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1" w:lineRule="exact"/>
        <w:rPr>
          <w:sz w:val="24"/>
          <w:szCs w:val="24"/>
          <w:color w:val="auto"/>
        </w:rPr>
      </w:pPr>
    </w:p>
    <w:p>
      <w:pPr>
        <w:ind w:left="740"/>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21" w:lineRule="exact"/>
        <w:rPr>
          <w:sz w:val="24"/>
          <w:szCs w:val="24"/>
          <w:color w:val="auto"/>
        </w:rPr>
      </w:pPr>
    </w:p>
    <w:p>
      <w:pPr>
        <w:ind w:right="500" w:firstLine="751"/>
        <w:spacing w:after="0" w:line="231" w:lineRule="auto"/>
        <w:rPr>
          <w:sz w:val="20"/>
          <w:szCs w:val="20"/>
          <w:color w:val="auto"/>
        </w:rPr>
      </w:pPr>
      <w:r>
        <w:rPr>
          <w:rFonts w:ascii="Times New Roman" w:cs="Times New Roman" w:eastAsia="Times New Roman" w:hAnsi="Times New Roman"/>
          <w:sz w:val="12"/>
          <w:szCs w:val="12"/>
          <w:color w:val="auto"/>
        </w:rPr>
        <w:t>The aggregate market value of voting common stock held by non-affiliates of the registrant (assuming for purposes of this calculation, without conceding, that all executive officers and directors are “affiliates”) was approximately $2.8 billion as of June 30, 2023, based on the closing sale price of such stock as reported on The Nasdaq Global Market.</w:t>
      </w:r>
    </w:p>
    <w:p>
      <w:pPr>
        <w:spacing w:after="0" w:line="14"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2"/>
          <w:szCs w:val="12"/>
          <w:color w:val="auto"/>
        </w:rPr>
        <w:t>There were 47,374,375 shares of the registrant’s common stock outstanding as of February 13, 2024.</w:t>
      </w:r>
    </w:p>
    <w:p>
      <w:pPr>
        <w:spacing w:after="0" w:line="1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27" w:lineRule="exact"/>
        <w:rPr>
          <w:sz w:val="24"/>
          <w:szCs w:val="24"/>
          <w:color w:val="auto"/>
        </w:rPr>
      </w:pPr>
    </w:p>
    <w:p>
      <w:pPr>
        <w:ind w:right="20" w:firstLine="751"/>
        <w:spacing w:after="0" w:line="233" w:lineRule="auto"/>
        <w:rPr>
          <w:sz w:val="20"/>
          <w:szCs w:val="20"/>
          <w:color w:val="auto"/>
        </w:rPr>
      </w:pPr>
      <w:r>
        <w:rPr>
          <w:rFonts w:ascii="Times New Roman" w:cs="Times New Roman" w:eastAsia="Times New Roman" w:hAnsi="Times New Roman"/>
          <w:sz w:val="12"/>
          <w:szCs w:val="12"/>
          <w:color w:val="auto"/>
        </w:rPr>
        <w:t>Portions of the registrant's definitive proxy statement for its 2024 Annual Meeting of Stockholders (the "Proxy Statement"), to be filed within 120 days of the registrant's fiscal year ended December 31, 2023, are incorporated by reference in Part III of this Annual Report on Form 10-K. Except with respect to information specifically</w:t>
      </w:r>
    </w:p>
    <w:p>
      <w:pPr>
        <w:spacing w:after="0" w:line="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2"/>
          <w:szCs w:val="12"/>
          <w:color w:val="auto"/>
        </w:rPr>
        <w:t>incorporated by reference in this Annual Report on Form 10-K, the Proxy Statement is not deemed to be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632460</wp:posOffset>
            </wp:positionV>
            <wp:extent cx="717613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ANNUAL REPORT ON FORM 10-K</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2023</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1"/>
              </w:rPr>
              <w:t>Page</w:t>
            </w:r>
          </w:p>
        </w:tc>
        <w:tc>
          <w:tcPr>
            <w:tcW w:w="160" w:type="dxa"/>
            <w:vAlign w:val="bottom"/>
          </w:tcPr>
          <w:p>
            <w:pPr>
              <w:spacing w:after="0"/>
              <w:rPr>
                <w:sz w:val="16"/>
                <w:szCs w:val="16"/>
                <w:color w:val="auto"/>
              </w:rPr>
            </w:pPr>
          </w:p>
        </w:tc>
      </w:tr>
      <w:tr>
        <w:trPr>
          <w:trHeight w:val="318"/>
        </w:trPr>
        <w:tc>
          <w:tcPr>
            <w:tcW w:w="1078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SPECIAL CAUTIONARY NOTICE REGARDING FORWARD-LOOKING STATEMENTS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1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bottom w:val="single" w:sz="8" w:color="0000EE"/>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PART I</w:t>
            </w:r>
          </w:p>
        </w:tc>
        <w:tc>
          <w:tcPr>
            <w:tcW w:w="4900" w:type="dxa"/>
            <w:vAlign w:val="bottom"/>
            <w:gridSpan w:val="8"/>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5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auto"/>
                <w:w w:val="94"/>
              </w:rPr>
              <w:t>Business</w:t>
            </w:r>
          </w:p>
        </w:tc>
        <w:tc>
          <w:tcPr>
            <w:tcW w:w="9080" w:type="dxa"/>
            <w:vAlign w:val="bottom"/>
            <w:gridSpan w:val="27"/>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7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auto"/>
                <w:w w:val="94"/>
              </w:rPr>
              <w:t>Risk Factors</w:t>
            </w:r>
          </w:p>
        </w:tc>
        <w:tc>
          <w:tcPr>
            <w:tcW w:w="8860" w:type="dxa"/>
            <w:vAlign w:val="bottom"/>
            <w:gridSpan w:val="24"/>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w:t>
            </w:r>
          </w:p>
        </w:tc>
      </w:t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1B</w:t>
            </w:r>
          </w:p>
        </w:tc>
        <w:tc>
          <w:tcPr>
            <w:tcW w:w="9640" w:type="dxa"/>
            <w:vAlign w:val="bottom"/>
            <w:gridSpan w:val="28"/>
          </w:tcPr>
          <w:p>
            <w:pPr>
              <w:spacing w:after="0"/>
              <w:rPr>
                <w:sz w:val="20"/>
                <w:szCs w:val="20"/>
                <w:color w:val="auto"/>
              </w:rPr>
            </w:pPr>
            <w:r>
              <w:rPr>
                <w:rFonts w:ascii="Times New Roman" w:cs="Times New Roman" w:eastAsia="Times New Roman" w:hAnsi="Times New Roman"/>
                <w:sz w:val="16"/>
                <w:szCs w:val="16"/>
                <w:color w:val="auto"/>
              </w:rPr>
              <w:t>Unresolved Staff Comments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1C</w:t>
            </w:r>
          </w:p>
        </w:tc>
        <w:tc>
          <w:tcPr>
            <w:tcW w:w="176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6"/>
                <w:szCs w:val="16"/>
                <w:color w:val="auto"/>
              </w:rPr>
              <w:t>Cybersecurity</w:t>
            </w:r>
          </w:p>
        </w:tc>
        <w:tc>
          <w:tcPr>
            <w:tcW w:w="7880" w:type="dxa"/>
            <w:vAlign w:val="bottom"/>
            <w:gridSpan w:val="17"/>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8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auto"/>
              </w:rPr>
              <w:t>Properties</w:t>
            </w:r>
          </w:p>
        </w:tc>
        <w:tc>
          <w:tcPr>
            <w:tcW w:w="8780" w:type="dxa"/>
            <w:vAlign w:val="bottom"/>
            <w:gridSpan w:val="23"/>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101</w:t>
            </w:r>
          </w:p>
        </w:tc>
      </w:tr>
      <w:tr>
        <w:trPr>
          <w:trHeight w:val="20"/>
        </w:trPr>
        <w:tc>
          <w:tcPr>
            <w:tcW w:w="11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11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auto"/>
                <w:w w:val="96"/>
              </w:rPr>
              <w:t>Legal Proceedings</w:t>
            </w:r>
          </w:p>
        </w:tc>
        <w:tc>
          <w:tcPr>
            <w:tcW w:w="8480" w:type="dxa"/>
            <w:vAlign w:val="bottom"/>
            <w:gridSpan w:val="21"/>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101</w:t>
            </w:r>
          </w:p>
        </w:tc>
      </w:t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9640" w:type="dxa"/>
            <w:vAlign w:val="bottom"/>
            <w:gridSpan w:val="28"/>
          </w:tcPr>
          <w:p>
            <w:pPr>
              <w:spacing w:after="0"/>
              <w:rPr>
                <w:sz w:val="20"/>
                <w:szCs w:val="20"/>
                <w:color w:val="auto"/>
              </w:rPr>
            </w:pPr>
            <w:r>
              <w:rPr>
                <w:rFonts w:ascii="Times New Roman" w:cs="Times New Roman" w:eastAsia="Times New Roman" w:hAnsi="Times New Roman"/>
                <w:sz w:val="16"/>
                <w:szCs w:val="16"/>
                <w:color w:val="auto"/>
              </w:rPr>
              <w:t>Mine Safety Disclosures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103</w:t>
            </w:r>
          </w:p>
        </w:tc>
      </w:tr>
      <w:tr>
        <w:trPr>
          <w:trHeight w:val="318"/>
        </w:trPr>
        <w:tc>
          <w:tcPr>
            <w:tcW w:w="114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0" w:type="dxa"/>
            <w:vAlign w:val="bottom"/>
            <w:gridSpan w:val="10"/>
          </w:tcPr>
          <w:p>
            <w:pPr>
              <w:jc w:val="center"/>
              <w:ind w:right="4880"/>
              <w:spacing w:after="0"/>
              <w:rPr>
                <w:sz w:val="20"/>
                <w:szCs w:val="20"/>
                <w:color w:val="auto"/>
              </w:rPr>
            </w:pPr>
            <w:r>
              <w:rPr>
                <w:rFonts w:ascii="Times New Roman" w:cs="Times New Roman" w:eastAsia="Times New Roman" w:hAnsi="Times New Roman"/>
                <w:sz w:val="16"/>
                <w:szCs w:val="16"/>
                <w:b w:val="1"/>
                <w:bCs w:val="1"/>
                <w:color w:val="auto"/>
                <w:w w:val="86"/>
              </w:rPr>
              <w:t>PART II</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698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6"/>
                <w:szCs w:val="16"/>
                <w:color w:val="auto"/>
                <w:w w:val="96"/>
              </w:rPr>
              <w:t>Market for Registrant’s Common Equity, Related Stockholder Matters and Issuer Purchases of Equity Securities</w:t>
            </w:r>
          </w:p>
        </w:tc>
        <w:tc>
          <w:tcPr>
            <w:tcW w:w="266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104</w:t>
            </w:r>
          </w:p>
        </w:tc>
      </w:t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7</w:t>
            </w:r>
          </w:p>
        </w:tc>
        <w:tc>
          <w:tcPr>
            <w:tcW w:w="558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6"/>
                <w:szCs w:val="16"/>
                <w:color w:val="auto"/>
                <w:w w:val="96"/>
              </w:rPr>
              <w:t>Management’s Discussion and Analysis of Financial Condition and Results of Operations</w:t>
            </w:r>
          </w:p>
        </w:tc>
        <w:tc>
          <w:tcPr>
            <w:tcW w:w="4060" w:type="dxa"/>
            <w:vAlign w:val="bottom"/>
            <w:gridSpan w:val="4"/>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106</w:t>
            </w:r>
          </w:p>
        </w:tc>
      </w:t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7A</w:t>
            </w:r>
          </w:p>
        </w:tc>
        <w:tc>
          <w:tcPr>
            <w:tcW w:w="9640" w:type="dxa"/>
            <w:vAlign w:val="bottom"/>
            <w:gridSpan w:val="28"/>
          </w:tcPr>
          <w:p>
            <w:pPr>
              <w:spacing w:after="0"/>
              <w:rPr>
                <w:sz w:val="20"/>
                <w:szCs w:val="20"/>
                <w:color w:val="auto"/>
              </w:rPr>
            </w:pPr>
            <w:r>
              <w:rPr>
                <w:rFonts w:ascii="Times New Roman" w:cs="Times New Roman" w:eastAsia="Times New Roman" w:hAnsi="Times New Roman"/>
                <w:sz w:val="16"/>
                <w:szCs w:val="16"/>
                <w:color w:val="auto"/>
              </w:rPr>
              <w:t>Quantitative and Qualitative Disclosure About Market Risk</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121</w:t>
            </w:r>
          </w:p>
        </w:tc>
      </w:t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8</w:t>
            </w:r>
          </w:p>
        </w:tc>
        <w:tc>
          <w:tcPr>
            <w:tcW w:w="288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6"/>
                <w:szCs w:val="16"/>
                <w:color w:val="auto"/>
                <w:w w:val="96"/>
              </w:rPr>
              <w:t>Financial Statements and Supplementary Data</w:t>
            </w:r>
          </w:p>
        </w:tc>
        <w:tc>
          <w:tcPr>
            <w:tcW w:w="820" w:type="dxa"/>
            <w:vAlign w:val="bottom"/>
            <w:tcBorders>
              <w:top w:val="single" w:sz="8" w:color="0000EE"/>
            </w:tcBorders>
            <w:gridSpan w:val="2"/>
          </w:tcPr>
          <w:p>
            <w:pPr>
              <w:spacing w:after="0"/>
              <w:rPr>
                <w:sz w:val="16"/>
                <w:szCs w:val="16"/>
                <w:color w:val="auto"/>
              </w:rPr>
            </w:pPr>
          </w:p>
        </w:tc>
        <w:tc>
          <w:tcPr>
            <w:tcW w:w="5940" w:type="dxa"/>
            <w:vAlign w:val="bottom"/>
            <w:gridSpan w:val="12"/>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121</w:t>
            </w:r>
          </w:p>
        </w:tc>
      </w:t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9</w:t>
            </w:r>
          </w:p>
        </w:tc>
        <w:tc>
          <w:tcPr>
            <w:tcW w:w="560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6"/>
                <w:szCs w:val="16"/>
                <w:color w:val="auto"/>
                <w:w w:val="96"/>
              </w:rPr>
              <w:t>Changes in and Disagreements with Accountants on Accounting and Financial Disclosure</w:t>
            </w:r>
          </w:p>
        </w:tc>
        <w:tc>
          <w:tcPr>
            <w:tcW w:w="4040" w:type="dxa"/>
            <w:vAlign w:val="bottom"/>
            <w:gridSpan w:val="3"/>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122</w:t>
            </w:r>
          </w:p>
        </w:tc>
      </w:t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9A</w:t>
            </w:r>
          </w:p>
        </w:tc>
        <w:tc>
          <w:tcPr>
            <w:tcW w:w="9640" w:type="dxa"/>
            <w:vAlign w:val="bottom"/>
            <w:gridSpan w:val="28"/>
          </w:tcPr>
          <w:p>
            <w:pPr>
              <w:spacing w:after="0"/>
              <w:rPr>
                <w:sz w:val="20"/>
                <w:szCs w:val="20"/>
                <w:color w:val="auto"/>
              </w:rPr>
            </w:pPr>
            <w:r>
              <w:rPr>
                <w:rFonts w:ascii="Times New Roman" w:cs="Times New Roman" w:eastAsia="Times New Roman" w:hAnsi="Times New Roman"/>
                <w:sz w:val="16"/>
                <w:szCs w:val="16"/>
                <w:color w:val="auto"/>
              </w:rPr>
              <w:t>Controls and Procedures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122</w:t>
            </w:r>
          </w:p>
        </w:tc>
      </w:t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9B</w:t>
            </w:r>
          </w:p>
        </w:tc>
        <w:tc>
          <w:tcPr>
            <w:tcW w:w="11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auto"/>
                <w:w w:val="95"/>
              </w:rPr>
              <w:t>Other Information</w:t>
            </w:r>
          </w:p>
        </w:tc>
        <w:tc>
          <w:tcPr>
            <w:tcW w:w="380" w:type="dxa"/>
            <w:vAlign w:val="bottom"/>
            <w:tcBorders>
              <w:top w:val="single" w:sz="8" w:color="0000EE"/>
            </w:tcBorders>
            <w:gridSpan w:val="3"/>
          </w:tcPr>
          <w:p>
            <w:pPr>
              <w:spacing w:after="0"/>
              <w:rPr>
                <w:sz w:val="16"/>
                <w:szCs w:val="16"/>
                <w:color w:val="auto"/>
              </w:rPr>
            </w:pPr>
          </w:p>
        </w:tc>
        <w:tc>
          <w:tcPr>
            <w:tcW w:w="8120" w:type="dxa"/>
            <w:vAlign w:val="bottom"/>
            <w:gridSpan w:val="19"/>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123</w:t>
            </w:r>
          </w:p>
        </w:tc>
      </w:t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9C</w:t>
            </w:r>
          </w:p>
        </w:tc>
        <w:tc>
          <w:tcPr>
            <w:tcW w:w="42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6"/>
                <w:szCs w:val="16"/>
                <w:color w:val="auto"/>
                <w:w w:val="96"/>
              </w:rPr>
              <w:t>Disclosure Regarding Foreign Jurisdictions that Prevent Inspections</w:t>
            </w:r>
          </w:p>
        </w:tc>
        <w:tc>
          <w:tcPr>
            <w:tcW w:w="5400" w:type="dxa"/>
            <w:vAlign w:val="bottom"/>
            <w:gridSpan w:val="10"/>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123</w:t>
            </w:r>
          </w:p>
        </w:tc>
      </w:tr>
      <w:tr>
        <w:trPr>
          <w:trHeight w:val="318"/>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Borders>
              <w:bottom w:val="single" w:sz="8" w:color="0000EE"/>
            </w:tcBorders>
            <w:gridSpan w:val="6"/>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3"/>
              </w:rPr>
              <w:t>PART III</w:t>
            </w:r>
          </w:p>
        </w:tc>
        <w:tc>
          <w:tcPr>
            <w:tcW w:w="4820" w:type="dxa"/>
            <w:vAlign w:val="bottom"/>
            <w:gridSpan w:val="5"/>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10</w:t>
            </w:r>
          </w:p>
        </w:tc>
        <w:tc>
          <w:tcPr>
            <w:tcW w:w="35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6"/>
                <w:szCs w:val="16"/>
                <w:color w:val="auto"/>
                <w:w w:val="96"/>
              </w:rPr>
              <w:t>Directors, Executive Officers and Corporate Governance</w:t>
            </w:r>
          </w:p>
        </w:tc>
        <w:tc>
          <w:tcPr>
            <w:tcW w:w="6100" w:type="dxa"/>
            <w:vAlign w:val="bottom"/>
            <w:gridSpan w:val="13"/>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124</w:t>
            </w:r>
          </w:p>
        </w:tc>
      </w:t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11</w:t>
            </w:r>
          </w:p>
        </w:tc>
        <w:tc>
          <w:tcPr>
            <w:tcW w:w="15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6"/>
                <w:szCs w:val="16"/>
                <w:color w:val="auto"/>
                <w:w w:val="95"/>
              </w:rPr>
              <w:t>Executive Compensation</w:t>
            </w:r>
          </w:p>
        </w:tc>
        <w:tc>
          <w:tcPr>
            <w:tcW w:w="8080" w:type="dxa"/>
            <w:vAlign w:val="bottom"/>
            <w:gridSpan w:val="18"/>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124</w:t>
            </w:r>
          </w:p>
        </w:tc>
      </w:t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12</w:t>
            </w:r>
          </w:p>
        </w:tc>
        <w:tc>
          <w:tcPr>
            <w:tcW w:w="630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6"/>
                <w:szCs w:val="16"/>
                <w:color w:val="auto"/>
                <w:w w:val="96"/>
              </w:rPr>
              <w:t>Security Ownership of Certain Beneficial Owners and Management and Related Stockholder Matters</w:t>
            </w:r>
          </w:p>
        </w:tc>
        <w:tc>
          <w:tcPr>
            <w:tcW w:w="3340" w:type="dxa"/>
            <w:vAlign w:val="bottom"/>
            <w:gridSpan w:val="2"/>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124</w:t>
            </w:r>
          </w:p>
        </w:tc>
      </w:t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13</w:t>
            </w:r>
          </w:p>
        </w:tc>
        <w:tc>
          <w:tcPr>
            <w:tcW w:w="9640" w:type="dxa"/>
            <w:vAlign w:val="bottom"/>
            <w:gridSpan w:val="28"/>
          </w:tcPr>
          <w:p>
            <w:pPr>
              <w:spacing w:after="0"/>
              <w:rPr>
                <w:sz w:val="20"/>
                <w:szCs w:val="20"/>
                <w:color w:val="auto"/>
              </w:rPr>
            </w:pPr>
            <w:r>
              <w:rPr>
                <w:rFonts w:ascii="Times New Roman" w:cs="Times New Roman" w:eastAsia="Times New Roman" w:hAnsi="Times New Roman"/>
                <w:sz w:val="16"/>
                <w:szCs w:val="16"/>
                <w:color w:val="auto"/>
              </w:rPr>
              <w:t>Certain Relationships and Related Transactions and Director Independence</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124</w:t>
            </w:r>
          </w:p>
        </w:tc>
      </w:t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14</w:t>
            </w:r>
          </w:p>
        </w:tc>
        <w:tc>
          <w:tcPr>
            <w:tcW w:w="468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6"/>
                <w:szCs w:val="16"/>
                <w:color w:val="auto"/>
              </w:rPr>
              <w:t>Principal Accountant Fees and Services</w:t>
            </w:r>
          </w:p>
        </w:tc>
        <w:tc>
          <w:tcPr>
            <w:tcW w:w="4960" w:type="dxa"/>
            <w:vAlign w:val="bottom"/>
            <w:gridSpan w:val="9"/>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124</w:t>
            </w:r>
          </w:p>
        </w:tc>
      </w:tr>
      <w:tr>
        <w:trPr>
          <w:trHeight w:val="318"/>
        </w:trPr>
        <w:tc>
          <w:tcPr>
            <w:tcW w:w="114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85"/>
              </w:rPr>
              <w:t>PART IV</w:t>
            </w:r>
          </w:p>
        </w:tc>
        <w:tc>
          <w:tcPr>
            <w:tcW w:w="4840" w:type="dxa"/>
            <w:vAlign w:val="bottom"/>
            <w:gridSpan w:val="6"/>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15</w:t>
            </w:r>
          </w:p>
        </w:tc>
        <w:tc>
          <w:tcPr>
            <w:tcW w:w="9640" w:type="dxa"/>
            <w:vAlign w:val="bottom"/>
            <w:gridSpan w:val="28"/>
          </w:tcPr>
          <w:p>
            <w:pPr>
              <w:spacing w:after="0"/>
              <w:rPr>
                <w:sz w:val="20"/>
                <w:szCs w:val="20"/>
                <w:color w:val="auto"/>
              </w:rPr>
            </w:pPr>
            <w:r>
              <w:rPr>
                <w:rFonts w:ascii="Times New Roman" w:cs="Times New Roman" w:eastAsia="Times New Roman" w:hAnsi="Times New Roman"/>
                <w:sz w:val="16"/>
                <w:szCs w:val="16"/>
                <w:color w:val="auto"/>
              </w:rPr>
              <w:t>Exhibits and Financial Statement Schedules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125</w:t>
            </w:r>
          </w:p>
        </w:tc>
      </w:t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16</w:t>
            </w:r>
          </w:p>
        </w:tc>
        <w:tc>
          <w:tcPr>
            <w:tcW w:w="134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auto"/>
                <w:w w:val="95"/>
              </w:rPr>
              <w:t>Form 10-K Summary</w:t>
            </w:r>
          </w:p>
        </w:tc>
        <w:tc>
          <w:tcPr>
            <w:tcW w:w="1380" w:type="dxa"/>
            <w:vAlign w:val="bottom"/>
            <w:tcBorders>
              <w:top w:val="single" w:sz="8" w:color="0000EE"/>
            </w:tcBorders>
            <w:gridSpan w:val="5"/>
          </w:tcPr>
          <w:p>
            <w:pPr>
              <w:spacing w:after="0"/>
              <w:rPr>
                <w:sz w:val="16"/>
                <w:szCs w:val="16"/>
                <w:color w:val="auto"/>
              </w:rPr>
            </w:pPr>
          </w:p>
        </w:tc>
        <w:tc>
          <w:tcPr>
            <w:tcW w:w="6920" w:type="dxa"/>
            <w:vAlign w:val="bottom"/>
            <w:gridSpan w:val="15"/>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131</w:t>
            </w:r>
          </w:p>
        </w:tc>
      </w:tr>
      <w:tr>
        <w:trPr>
          <w:trHeight w:val="190"/>
        </w:trPr>
        <w:tc>
          <w:tcPr>
            <w:tcW w:w="1140" w:type="dxa"/>
            <w:vAlign w:val="bottom"/>
          </w:tcPr>
          <w:p>
            <w:pPr>
              <w:spacing w:after="0"/>
              <w:rPr>
                <w:sz w:val="16"/>
                <w:szCs w:val="16"/>
                <w:color w:val="auto"/>
              </w:rPr>
            </w:pPr>
          </w:p>
        </w:tc>
        <w:tc>
          <w:tcPr>
            <w:tcW w:w="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auto"/>
                <w:w w:val="94"/>
              </w:rPr>
              <w:t>Signatures</w:t>
            </w:r>
          </w:p>
        </w:tc>
        <w:tc>
          <w:tcPr>
            <w:tcW w:w="8980" w:type="dxa"/>
            <w:vAlign w:val="bottom"/>
            <w:gridSpan w:val="25"/>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132</w:t>
            </w:r>
          </w:p>
        </w:tc>
      </w:tr>
      <w:tr>
        <w:trPr>
          <w:trHeight w:val="656"/>
        </w:trPr>
        <w:tc>
          <w:tcPr>
            <w:tcW w:w="1140" w:type="dxa"/>
            <w:vAlign w:val="bottom"/>
          </w:tcPr>
          <w:p>
            <w:pPr>
              <w:spacing w:after="0"/>
              <w:rPr>
                <w:sz w:val="24"/>
                <w:szCs w:val="24"/>
                <w:color w:val="auto"/>
              </w:rPr>
            </w:pPr>
          </w:p>
        </w:tc>
        <w:tc>
          <w:tcPr>
            <w:tcW w:w="4680" w:type="dxa"/>
            <w:vAlign w:val="bottom"/>
            <w:gridSpan w:val="19"/>
          </w:tcPr>
          <w:p>
            <w:pPr>
              <w:jc w:val="center"/>
              <w:ind w:left="4202"/>
              <w:spacing w:after="0"/>
              <w:rPr>
                <w:sz w:val="20"/>
                <w:szCs w:val="20"/>
                <w:color w:val="auto"/>
              </w:rPr>
            </w:pPr>
            <w:r>
              <w:rPr>
                <w:rFonts w:ascii="Times New Roman" w:cs="Times New Roman" w:eastAsia="Times New Roman" w:hAnsi="Times New Roman"/>
                <w:sz w:val="16"/>
                <w:szCs w:val="16"/>
                <w:color w:val="auto"/>
                <w:w w:val="99"/>
              </w:rPr>
              <w:t>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58"/>
        </w:trPr>
        <w:tc>
          <w:tcPr>
            <w:tcW w:w="1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325" w:lineRule="exact"/>
        <w:rPr>
          <w:sz w:val="20"/>
          <w:szCs w:val="20"/>
          <w:color w:val="auto"/>
        </w:rPr>
      </w:pPr>
    </w:p>
    <w:p>
      <w:pPr>
        <w:jc w:val="center"/>
        <w:ind w:right="-19"/>
        <w:spacing w:after="0" w:line="184" w:lineRule="exact"/>
        <w:rPr>
          <w:sz w:val="20"/>
          <w:szCs w:val="20"/>
          <w:color w:val="auto"/>
        </w:rPr>
      </w:pPr>
      <w:r>
        <w:rPr>
          <w:rFonts w:ascii="Times New Roman" w:cs="Times New Roman" w:eastAsia="Times New Roman" w:hAnsi="Times New Roman"/>
          <w:sz w:val="16"/>
          <w:szCs w:val="16"/>
          <w:b w:val="1"/>
          <w:bCs w:val="1"/>
          <w:color w:val="auto"/>
        </w:rPr>
        <w:t>CAUTIONARY NOTE REGARDING FORWARD</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LOOKING STATEMENTS</w:t>
      </w:r>
    </w:p>
    <w:p>
      <w:pPr>
        <w:spacing w:after="0" w:line="223" w:lineRule="exact"/>
        <w:rPr>
          <w:sz w:val="20"/>
          <w:szCs w:val="20"/>
          <w:color w:val="auto"/>
        </w:rPr>
      </w:pPr>
    </w:p>
    <w:p>
      <w:pPr>
        <w:ind w:firstLine="751"/>
        <w:spacing w:after="0" w:line="286" w:lineRule="auto"/>
        <w:rPr>
          <w:sz w:val="20"/>
          <w:szCs w:val="20"/>
          <w:color w:val="auto"/>
        </w:rPr>
      </w:pPr>
      <w:r>
        <w:rPr>
          <w:rFonts w:ascii="Times New Roman" w:cs="Times New Roman" w:eastAsia="Times New Roman" w:hAnsi="Times New Roman"/>
          <w:sz w:val="14"/>
          <w:szCs w:val="14"/>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U.S.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47" w:lineRule="exact"/>
        <w:rPr>
          <w:sz w:val="20"/>
          <w:szCs w:val="20"/>
          <w:color w:val="auto"/>
        </w:rPr>
      </w:pPr>
    </w:p>
    <w:p>
      <w:pPr>
        <w:ind w:left="740" w:hanging="371"/>
        <w:spacing w:after="0"/>
        <w:tabs>
          <w:tab w:leader="none" w:pos="7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for increases or decreases in expenses;</w:t>
      </w:r>
    </w:p>
    <w:p>
      <w:pPr>
        <w:spacing w:after="0" w:line="96" w:lineRule="exact"/>
        <w:rPr>
          <w:rFonts w:ascii="Times New Roman" w:cs="Times New Roman" w:eastAsia="Times New Roman" w:hAnsi="Times New Roman"/>
          <w:sz w:val="16"/>
          <w:szCs w:val="16"/>
          <w:color w:val="auto"/>
        </w:rPr>
      </w:pPr>
    </w:p>
    <w:p>
      <w:pPr>
        <w:ind w:left="740" w:right="660" w:hanging="371"/>
        <w:spacing w:after="0" w:line="267" w:lineRule="auto"/>
        <w:tabs>
          <w:tab w:leader="none" w:pos="7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for the clinical and preclinical development, manufacturing and regulatory approval of our product candidates, and commercialization of our pharmaceutical products or any other products that we may acquire or in-license;</w:t>
      </w:r>
    </w:p>
    <w:p>
      <w:pPr>
        <w:spacing w:after="0" w:line="57" w:lineRule="exact"/>
        <w:rPr>
          <w:rFonts w:ascii="Times New Roman" w:cs="Times New Roman" w:eastAsia="Times New Roman" w:hAnsi="Times New Roman"/>
          <w:sz w:val="16"/>
          <w:szCs w:val="16"/>
          <w:color w:val="auto"/>
        </w:rPr>
      </w:pPr>
    </w:p>
    <w:p>
      <w:pPr>
        <w:ind w:left="740" w:hanging="371"/>
        <w:spacing w:after="0"/>
        <w:tabs>
          <w:tab w:leader="none" w:pos="7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estimates of the sufficiency of our existing capital resources combined with future anticipated cash flows to finance our operating requirements;</w:t>
      </w:r>
    </w:p>
    <w:p>
      <w:pPr>
        <w:spacing w:after="0" w:line="96" w:lineRule="exact"/>
        <w:rPr>
          <w:rFonts w:ascii="Times New Roman" w:cs="Times New Roman" w:eastAsia="Times New Roman" w:hAnsi="Times New Roman"/>
          <w:sz w:val="16"/>
          <w:szCs w:val="16"/>
          <w:color w:val="auto"/>
        </w:rPr>
      </w:pPr>
    </w:p>
    <w:p>
      <w:pPr>
        <w:ind w:left="740" w:hanging="371"/>
        <w:spacing w:after="0"/>
        <w:tabs>
          <w:tab w:leader="none" w:pos="7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for incurring capital expenditures to expand our research and development and manufacturing capabilities;</w:t>
      </w:r>
    </w:p>
    <w:p>
      <w:pPr>
        <w:spacing w:after="0" w:line="96" w:lineRule="exact"/>
        <w:rPr>
          <w:rFonts w:ascii="Times New Roman" w:cs="Times New Roman" w:eastAsia="Times New Roman" w:hAnsi="Times New Roman"/>
          <w:sz w:val="16"/>
          <w:szCs w:val="16"/>
          <w:color w:val="auto"/>
        </w:rPr>
      </w:pPr>
    </w:p>
    <w:p>
      <w:pPr>
        <w:ind w:left="740" w:hanging="371"/>
        <w:spacing w:after="0"/>
        <w:tabs>
          <w:tab w:leader="none" w:pos="7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unforeseen circumstances or other disruptions to normal business operations arising from or related to geopolitical conflicts or pandemics;</w:t>
      </w:r>
    </w:p>
    <w:p>
      <w:pPr>
        <w:spacing w:after="0" w:line="96" w:lineRule="exact"/>
        <w:rPr>
          <w:rFonts w:ascii="Times New Roman" w:cs="Times New Roman" w:eastAsia="Times New Roman" w:hAnsi="Times New Roman"/>
          <w:sz w:val="16"/>
          <w:szCs w:val="16"/>
          <w:color w:val="auto"/>
        </w:rPr>
      </w:pPr>
    </w:p>
    <w:p>
      <w:pPr>
        <w:ind w:left="740" w:hanging="371"/>
        <w:spacing w:after="0"/>
        <w:tabs>
          <w:tab w:leader="none" w:pos="7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revenue projections, sales forecasts, and potential peak market data;</w:t>
      </w:r>
    </w:p>
    <w:p>
      <w:pPr>
        <w:spacing w:after="0" w:line="96" w:lineRule="exact"/>
        <w:rPr>
          <w:rFonts w:ascii="Times New Roman" w:cs="Times New Roman" w:eastAsia="Times New Roman" w:hAnsi="Times New Roman"/>
          <w:sz w:val="16"/>
          <w:szCs w:val="16"/>
          <w:color w:val="auto"/>
        </w:rPr>
      </w:pPr>
    </w:p>
    <w:p>
      <w:pPr>
        <w:ind w:left="740" w:hanging="371"/>
        <w:spacing w:after="0"/>
        <w:tabs>
          <w:tab w:leader="none" w:pos="7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for generating revenue or becoming profitable on a sustained basis;</w:t>
      </w:r>
    </w:p>
    <w:p>
      <w:pPr>
        <w:spacing w:after="0" w:line="96" w:lineRule="exact"/>
        <w:rPr>
          <w:rFonts w:ascii="Times New Roman" w:cs="Times New Roman" w:eastAsia="Times New Roman" w:hAnsi="Times New Roman"/>
          <w:sz w:val="16"/>
          <w:szCs w:val="16"/>
          <w:color w:val="auto"/>
        </w:rPr>
      </w:pPr>
    </w:p>
    <w:p>
      <w:pPr>
        <w:ind w:left="740" w:hanging="371"/>
        <w:spacing w:after="0"/>
        <w:tabs>
          <w:tab w:leader="none" w:pos="7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or ability to enter into marketing and other partnership agreements;</w:t>
      </w:r>
    </w:p>
    <w:p>
      <w:pPr>
        <w:spacing w:after="0" w:line="96" w:lineRule="exact"/>
        <w:rPr>
          <w:rFonts w:ascii="Times New Roman" w:cs="Times New Roman" w:eastAsia="Times New Roman" w:hAnsi="Times New Roman"/>
          <w:sz w:val="16"/>
          <w:szCs w:val="16"/>
          <w:color w:val="auto"/>
        </w:rPr>
      </w:pPr>
    </w:p>
    <w:p>
      <w:pPr>
        <w:ind w:left="740" w:hanging="371"/>
        <w:spacing w:after="0"/>
        <w:tabs>
          <w:tab w:leader="none" w:pos="7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or ability to enter into product acquisitions and in-licensing transactions;</w:t>
      </w:r>
    </w:p>
    <w:p>
      <w:pPr>
        <w:spacing w:after="0" w:line="96" w:lineRule="exact"/>
        <w:rPr>
          <w:rFonts w:ascii="Times New Roman" w:cs="Times New Roman" w:eastAsia="Times New Roman" w:hAnsi="Times New Roman"/>
          <w:sz w:val="16"/>
          <w:szCs w:val="16"/>
          <w:color w:val="auto"/>
        </w:rPr>
      </w:pPr>
    </w:p>
    <w:p>
      <w:pPr>
        <w:ind w:left="740" w:hanging="371"/>
        <w:spacing w:after="0"/>
        <w:tabs>
          <w:tab w:leader="none" w:pos="7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or ability to build our own commercial infrastructure to manufacture, market and sell our products;</w:t>
      </w:r>
    </w:p>
    <w:p>
      <w:pPr>
        <w:spacing w:after="0" w:line="96" w:lineRule="exact"/>
        <w:rPr>
          <w:rFonts w:ascii="Times New Roman" w:cs="Times New Roman" w:eastAsia="Times New Roman" w:hAnsi="Times New Roman"/>
          <w:sz w:val="16"/>
          <w:szCs w:val="16"/>
          <w:color w:val="auto"/>
        </w:rPr>
      </w:pPr>
    </w:p>
    <w:p>
      <w:pPr>
        <w:ind w:left="740" w:hanging="371"/>
        <w:spacing w:after="0"/>
        <w:tabs>
          <w:tab w:leader="none" w:pos="7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expected losses;</w:t>
      </w:r>
    </w:p>
    <w:p>
      <w:pPr>
        <w:spacing w:after="0" w:line="96" w:lineRule="exact"/>
        <w:rPr>
          <w:rFonts w:ascii="Times New Roman" w:cs="Times New Roman" w:eastAsia="Times New Roman" w:hAnsi="Times New Roman"/>
          <w:sz w:val="16"/>
          <w:szCs w:val="16"/>
          <w:color w:val="auto"/>
        </w:rPr>
      </w:pPr>
    </w:p>
    <w:p>
      <w:pPr>
        <w:ind w:left="740" w:hanging="371"/>
        <w:spacing w:after="0"/>
        <w:tabs>
          <w:tab w:leader="none" w:pos="7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and maintain intellectual property protection for our products;</w:t>
      </w:r>
    </w:p>
    <w:p>
      <w:pPr>
        <w:spacing w:after="0" w:line="96" w:lineRule="exact"/>
        <w:rPr>
          <w:rFonts w:ascii="Times New Roman" w:cs="Times New Roman" w:eastAsia="Times New Roman" w:hAnsi="Times New Roman"/>
          <w:sz w:val="16"/>
          <w:szCs w:val="16"/>
          <w:color w:val="auto"/>
        </w:rPr>
      </w:pPr>
    </w:p>
    <w:p>
      <w:pPr>
        <w:ind w:left="740" w:hanging="371"/>
        <w:spacing w:after="0"/>
        <w:tabs>
          <w:tab w:leader="none" w:pos="7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acceptance of our products by doctors, patients, or payors;</w:t>
      </w:r>
    </w:p>
    <w:p>
      <w:pPr>
        <w:spacing w:after="0" w:line="96" w:lineRule="exact"/>
        <w:rPr>
          <w:rFonts w:ascii="Times New Roman" w:cs="Times New Roman" w:eastAsia="Times New Roman" w:hAnsi="Times New Roman"/>
          <w:sz w:val="16"/>
          <w:szCs w:val="16"/>
          <w:color w:val="auto"/>
        </w:rPr>
      </w:pPr>
    </w:p>
    <w:p>
      <w:pPr>
        <w:ind w:left="740" w:hanging="371"/>
        <w:spacing w:after="0"/>
        <w:tabs>
          <w:tab w:leader="none" w:pos="7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stock price and its volatility;</w:t>
      </w:r>
    </w:p>
    <w:p>
      <w:pPr>
        <w:spacing w:after="0" w:line="96" w:lineRule="exact"/>
        <w:rPr>
          <w:rFonts w:ascii="Times New Roman" w:cs="Times New Roman" w:eastAsia="Times New Roman" w:hAnsi="Times New Roman"/>
          <w:sz w:val="16"/>
          <w:szCs w:val="16"/>
          <w:color w:val="auto"/>
        </w:rPr>
      </w:pPr>
    </w:p>
    <w:p>
      <w:pPr>
        <w:ind w:left="740" w:hanging="371"/>
        <w:spacing w:after="0"/>
        <w:tabs>
          <w:tab w:leader="none" w:pos="7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key personnel;</w:t>
      </w:r>
    </w:p>
    <w:p>
      <w:pPr>
        <w:spacing w:after="0" w:line="96" w:lineRule="exact"/>
        <w:rPr>
          <w:rFonts w:ascii="Times New Roman" w:cs="Times New Roman" w:eastAsia="Times New Roman" w:hAnsi="Times New Roman"/>
          <w:sz w:val="16"/>
          <w:szCs w:val="16"/>
          <w:color w:val="auto"/>
        </w:rPr>
      </w:pPr>
    </w:p>
    <w:p>
      <w:pPr>
        <w:ind w:left="740" w:hanging="371"/>
        <w:spacing w:after="0"/>
        <w:tabs>
          <w:tab w:leader="none" w:pos="7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of third-party manufacturers;</w:t>
      </w:r>
    </w:p>
    <w:p>
      <w:pPr>
        <w:spacing w:after="0" w:line="96" w:lineRule="exact"/>
        <w:rPr>
          <w:rFonts w:ascii="Times New Roman" w:cs="Times New Roman" w:eastAsia="Times New Roman" w:hAnsi="Times New Roman"/>
          <w:sz w:val="16"/>
          <w:szCs w:val="16"/>
          <w:color w:val="auto"/>
        </w:rPr>
      </w:pPr>
    </w:p>
    <w:p>
      <w:pPr>
        <w:ind w:left="740" w:hanging="371"/>
        <w:spacing w:after="0"/>
        <w:tabs>
          <w:tab w:leader="none" w:pos="7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for future capital requirements; and</w:t>
      </w:r>
    </w:p>
    <w:p>
      <w:pPr>
        <w:spacing w:after="0" w:line="96" w:lineRule="exact"/>
        <w:rPr>
          <w:rFonts w:ascii="Times New Roman" w:cs="Times New Roman" w:eastAsia="Times New Roman" w:hAnsi="Times New Roman"/>
          <w:sz w:val="16"/>
          <w:szCs w:val="16"/>
          <w:color w:val="auto"/>
        </w:rPr>
      </w:pPr>
    </w:p>
    <w:p>
      <w:pPr>
        <w:ind w:left="740" w:hanging="371"/>
        <w:spacing w:after="0"/>
        <w:tabs>
          <w:tab w:leader="none" w:pos="7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implement our strategy.</w:t>
      </w:r>
    </w:p>
    <w:p>
      <w:pPr>
        <w:spacing w:after="0" w:line="189" w:lineRule="exact"/>
        <w:rPr>
          <w:sz w:val="20"/>
          <w:szCs w:val="20"/>
          <w:color w:val="auto"/>
        </w:rPr>
      </w:pPr>
    </w:p>
    <w:p>
      <w:pPr>
        <w:ind w:right="200" w:firstLine="751"/>
        <w:spacing w:after="0" w:line="267" w:lineRule="auto"/>
        <w:rPr>
          <w:sz w:val="20"/>
          <w:szCs w:val="20"/>
          <w:color w:val="auto"/>
        </w:rPr>
      </w:pPr>
      <w:r>
        <w:rPr>
          <w:rFonts w:ascii="Times New Roman" w:cs="Times New Roman" w:eastAsia="Times New Roman" w:hAnsi="Times New Roman"/>
          <w:sz w:val="16"/>
          <w:szCs w:val="16"/>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51" w:lineRule="exact"/>
        <w:rPr>
          <w:sz w:val="20"/>
          <w:szCs w:val="20"/>
          <w:color w:val="auto"/>
        </w:rPr>
      </w:pPr>
    </w:p>
    <w:p>
      <w:pPr>
        <w:ind w:right="500" w:firstLine="751"/>
        <w:spacing w:after="0" w:line="267" w:lineRule="auto"/>
        <w:rPr>
          <w:sz w:val="20"/>
          <w:szCs w:val="20"/>
          <w:color w:val="auto"/>
        </w:rPr>
      </w:pPr>
      <w:r>
        <w:rPr>
          <w:rFonts w:ascii="Times New Roman" w:cs="Times New Roman" w:eastAsia="Times New Roman" w:hAnsi="Times New Roman"/>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89" w:lineRule="exact"/>
        <w:rPr>
          <w:sz w:val="20"/>
          <w:szCs w:val="20"/>
          <w:color w:val="auto"/>
        </w:rPr>
      </w:pPr>
    </w:p>
    <w:p>
      <w:pPr>
        <w:ind w:right="820" w:firstLine="751"/>
        <w:spacing w:after="0" w:line="270" w:lineRule="auto"/>
        <w:rPr>
          <w:sz w:val="20"/>
          <w:szCs w:val="20"/>
          <w:color w:val="auto"/>
        </w:rPr>
      </w:pPr>
      <w:r>
        <w:rPr>
          <w:rFonts w:ascii="Times New Roman" w:cs="Times New Roman" w:eastAsia="Times New Roman" w:hAnsi="Times New Roman"/>
          <w:sz w:val="16"/>
          <w:szCs w:val="16"/>
          <w:i w:val="1"/>
          <w:iCs w:val="1"/>
          <w:color w:val="auto"/>
        </w:rPr>
        <w:t>Unless the context requires otherwise, references in this report to “Axsome,” “Company,” “we,” “us” and “our” and similar designations refer to Axsome Therapeutics, Inc. and our subsidiaries.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91" w:lineRule="exact"/>
        <w:rPr>
          <w:sz w:val="20"/>
          <w:szCs w:val="20"/>
          <w:color w:val="auto"/>
        </w:rPr>
      </w:pPr>
    </w:p>
    <w:p>
      <w:pPr>
        <w:ind w:right="120" w:firstLine="751"/>
        <w:spacing w:after="0" w:line="255" w:lineRule="auto"/>
        <w:rPr>
          <w:sz w:val="20"/>
          <w:szCs w:val="20"/>
          <w:color w:val="auto"/>
        </w:rPr>
      </w:pPr>
      <w:r>
        <w:rPr>
          <w:rFonts w:ascii="Times New Roman" w:cs="Times New Roman" w:eastAsia="Times New Roman" w:hAnsi="Times New Roman"/>
          <w:sz w:val="16"/>
          <w:szCs w:val="16"/>
          <w:color w:val="auto"/>
        </w:rPr>
        <w:t>We are a commercial-stage biopharmaceutical company developing and delivering novel therapies for central nervous system, or CNS, conditions that have limited treatment options. By focusing on this therapeutic area, we are addressing significant and growing markets where current treatment options are limited or inadequate. Our portfolio primarily consists of two commercial products and the development programs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Commercial Products</w:t>
      </w:r>
    </w:p>
    <w:p>
      <w:pPr>
        <w:spacing w:after="0" w:line="189" w:lineRule="exact"/>
        <w:rPr>
          <w:sz w:val="20"/>
          <w:szCs w:val="20"/>
          <w:color w:val="auto"/>
        </w:rPr>
      </w:pPr>
    </w:p>
    <w:p>
      <w:pPr>
        <w:jc w:val="both"/>
        <w:ind w:left="880" w:right="20" w:hanging="432"/>
        <w:spacing w:after="0" w:line="257" w:lineRule="auto"/>
        <w:tabs>
          <w:tab w:leader="none" w:pos="8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color w:val="auto"/>
        </w:rPr>
        <w:t xml:space="preserve">Auvelity®. </w:t>
      </w:r>
      <w:r>
        <w:rPr>
          <w:rFonts w:ascii="Times New Roman" w:cs="Times New Roman" w:eastAsia="Times New Roman" w:hAnsi="Times New Roman"/>
          <w:sz w:val="16"/>
          <w:szCs w:val="16"/>
          <w:color w:val="auto"/>
        </w:rPr>
        <w:t>Auvelity (dextromethorphan-bupropion) is a novel, oral, N-methyl-D-aspartate (NMDA) receptor antagonist with multimodal activity indicated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treatment of major depressive disorder, also known as MDD. Auvelity was developed by the Company and approved by the U.S. Food and Drug Administration, or the FDA, for the treatment of MDD in August 2022. We commenced the commercial sale of Auvelity in the United States in October 2022.</w:t>
      </w:r>
    </w:p>
    <w:p>
      <w:pPr>
        <w:spacing w:after="0" w:line="167" w:lineRule="exact"/>
        <w:rPr>
          <w:rFonts w:ascii="Times New Roman" w:cs="Times New Roman" w:eastAsia="Times New Roman" w:hAnsi="Times New Roman"/>
          <w:sz w:val="14"/>
          <w:szCs w:val="14"/>
          <w:color w:val="auto"/>
        </w:rPr>
      </w:pPr>
    </w:p>
    <w:p>
      <w:pPr>
        <w:jc w:val="both"/>
        <w:ind w:left="880" w:right="20" w:hanging="432"/>
        <w:spacing w:after="0" w:line="291" w:lineRule="auto"/>
        <w:tabs>
          <w:tab w:leader="none" w:pos="8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b w:val="1"/>
          <w:bCs w:val="1"/>
          <w:color w:val="auto"/>
        </w:rPr>
        <w:t xml:space="preserve">Sunosi®. </w:t>
      </w:r>
      <w:r>
        <w:rPr>
          <w:rFonts w:ascii="Times New Roman" w:cs="Times New Roman" w:eastAsia="Times New Roman" w:hAnsi="Times New Roman"/>
          <w:sz w:val="14"/>
          <w:szCs w:val="14"/>
          <w:color w:val="auto"/>
        </w:rPr>
        <w:t>Sunosi (solriamfetol) is a novel, oral medication indicated to the treatment of excessive daytime sleepiness, also known as EDS, in patients with narcolepsy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obstructive sleep apnea. Sunosi was approved for the treatment of EDS in the United States in 2019 and by the European Commission in 2022. We acquired the U.S. rights to Sunosi from Jazz Pharmaceuticals plc, or Jazz, in May 2022 and worldwide ex-U.S. rights (excluding certain Asian markets) from Jazz in November 2022. We have been commercializing Sunosi since we completed these acquisitions. SK Biopharmaceuticals Co. Ltd., or SK, is the originator of Sunosi and retains rights in 12 Asian markets, including China, Korea, and Japan. We refer to the acquisition of Sunosi herein as the Acquisition. In February 2023, we announced a licensing transaction with Atnahs Pharma UK Limited (Pharmanovia) to market Sunosi in in Europe and certain countries in the Middle East / North Africa.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Development Programs</w:t>
      </w:r>
    </w:p>
    <w:p>
      <w:pPr>
        <w:spacing w:after="0" w:line="191" w:lineRule="exact"/>
        <w:rPr>
          <w:sz w:val="20"/>
          <w:szCs w:val="20"/>
          <w:color w:val="auto"/>
        </w:rPr>
      </w:pPr>
    </w:p>
    <w:p>
      <w:pPr>
        <w:ind w:firstLine="751"/>
        <w:spacing w:after="0" w:line="288" w:lineRule="auto"/>
        <w:rPr>
          <w:sz w:val="20"/>
          <w:szCs w:val="20"/>
          <w:color w:val="auto"/>
        </w:rPr>
      </w:pPr>
      <w:r>
        <w:rPr>
          <w:rFonts w:ascii="Times New Roman" w:cs="Times New Roman" w:eastAsia="Times New Roman" w:hAnsi="Times New Roman"/>
          <w:sz w:val="14"/>
          <w:szCs w:val="14"/>
          <w:color w:val="auto"/>
        </w:rPr>
        <w:t>When used in programs for further development, we refer to the proprietary dextromethorphan-bupropion formulation contained in Auvelity as “AXS-05.” AXS-05 is a novel, oral, investigational NMDA receptor antagonist with multimodal activity under development for the treatment of Alzheimer’s disease agitation (“AD agitation”) and smoking cessation. AXS-05 utilizes a proprietary formulation and dose of dextromethorphan and bupropion, and Axsome’s metabolic inhibition technology, to modulate the delivery of the components. We have completed a Phase 2/3 trial of AXS-05 in AD agitation, which we refer to as the ADVANCE-1 trial. AXS-05 achieved the primary endpoint in the ADVANCE-1 trial. We have also completed the ACCORD trial, a Phase 3, double blind, placebo-controlled, randomized withdrawal trial in patients with AD agitation, and we are conducting an open-label long-term safety study in AD agitation. We are currently conducting the ADVANCE-2 trial, another Phase 3, double blind, placebo-controlled, trial in patients with AD agitation. A positive Phase 2 trial for the use of AXS-05 in smoking cessation has been completed under a research collaboration with Duke University.</w:t>
      </w:r>
    </w:p>
    <w:p>
      <w:pPr>
        <w:spacing w:after="0" w:line="141" w:lineRule="exact"/>
        <w:rPr>
          <w:sz w:val="20"/>
          <w:szCs w:val="20"/>
          <w:color w:val="auto"/>
        </w:rPr>
      </w:pPr>
    </w:p>
    <w:p>
      <w:pPr>
        <w:ind w:right="20" w:firstLine="790"/>
        <w:spacing w:after="0" w:line="247" w:lineRule="auto"/>
        <w:rPr>
          <w:sz w:val="20"/>
          <w:szCs w:val="20"/>
          <w:color w:val="auto"/>
        </w:rPr>
      </w:pPr>
      <w:r>
        <w:rPr>
          <w:rFonts w:ascii="Times New Roman" w:cs="Times New Roman" w:eastAsia="Times New Roman" w:hAnsi="Times New Roman"/>
          <w:sz w:val="16"/>
          <w:szCs w:val="16"/>
          <w:color w:val="auto"/>
        </w:rPr>
        <w:t>AXS-07 is a novel, oral, rapidly absorbed, multi-mechanistic, investigational medicine under development for the acute treatment of migraine. AXS-07 consists of MoSEIC™, or Molecular Solubility Enhanced Inclusion Complex, meloxicam and rizatriptan. We have completed two Phase 3 trials of AXS-07 for the acute treatment of migraine, which we refer to as the MOMENTUM and INTERCEPT trials. AXS-07 achieved the co-primary endpoints in both the MOMENTUM and INTERCEPT trials. We have also completed an open-label, long-term, safety study of AXS-07 in patients with migraine known as the MOVEMENT trial. In the MOVEMENT trial, administration of AXS-07 resulted in rapid, and substantial relief of migraine pain and associated symptoms and was well tolerated with long term dosing. We submitted a new drug application, or NDA, for AXS-07 in 2021, which was accepted, and received a complete response letter, or CRL, from the FDA in April 2022. The principal reasons given in the CRL relate to chemistry, manufacturing, and controls, or CMC considerations.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right="40" w:firstLine="751"/>
        <w:spacing w:after="0" w:line="251" w:lineRule="auto"/>
        <w:rPr>
          <w:sz w:val="20"/>
          <w:szCs w:val="20"/>
          <w:color w:val="auto"/>
        </w:rPr>
      </w:pPr>
      <w:r>
        <w:rPr>
          <w:rFonts w:ascii="Times New Roman" w:cs="Times New Roman" w:eastAsia="Times New Roman" w:hAnsi="Times New Roman"/>
          <w:sz w:val="16"/>
          <w:szCs w:val="16"/>
          <w:color w:val="auto"/>
        </w:rPr>
        <w:t>AXS-12, reboxetine, is a novel, oral, investigational medicine in development for the treatment of narcolepsy. AXS-12 is a highly selective and potent norepinephrine reuptake inhibitor. AXS-12 has been granted FDA Orphan Drug Designation for the treatment of narcolepsy. We have completed a Phase 2 trial with AXS-12, which we refer to as the CONCERT study. We are currently conducting a randomized, placebo-controlled Phase 3 trial with AXS-12 in narcolepsy, which we refer to as the SYMPHONY study, and one open-label long-term safety extension study.</w:t>
      </w:r>
    </w:p>
    <w:p>
      <w:pPr>
        <w:spacing w:after="0" w:line="164" w:lineRule="exact"/>
        <w:rPr>
          <w:sz w:val="20"/>
          <w:szCs w:val="20"/>
          <w:color w:val="auto"/>
        </w:rPr>
      </w:pPr>
    </w:p>
    <w:p>
      <w:pPr>
        <w:ind w:right="160" w:firstLine="751"/>
        <w:spacing w:after="0" w:line="255" w:lineRule="auto"/>
        <w:rPr>
          <w:sz w:val="20"/>
          <w:szCs w:val="20"/>
          <w:color w:val="auto"/>
        </w:rPr>
      </w:pPr>
      <w:r>
        <w:rPr>
          <w:rFonts w:ascii="Times New Roman" w:cs="Times New Roman" w:eastAsia="Times New Roman" w:hAnsi="Times New Roman"/>
          <w:sz w:val="16"/>
          <w:szCs w:val="16"/>
          <w:color w:val="auto"/>
        </w:rPr>
        <w:t>AXS-14, esreboxetine, is a novel, oral, investigational medicine in development for the treatment of fibromyalgia. AXS-14 is a highly selective and potent norepinephrine reuptake inhibitor. Esreboxetine, the SS-enantiomer of reboxetine, is more potent and selective than racemic reboxetine. We have in-licensed data from Pfizer Inc., or Pfizer, which includes a completed Phase 2 trial and Phase 3 trial in fibromyalgia, both of which were positive.</w:t>
      </w:r>
    </w:p>
    <w:p>
      <w:pPr>
        <w:spacing w:after="0" w:line="160" w:lineRule="exact"/>
        <w:rPr>
          <w:sz w:val="20"/>
          <w:szCs w:val="20"/>
          <w:color w:val="auto"/>
        </w:rPr>
      </w:pPr>
    </w:p>
    <w:p>
      <w:pPr>
        <w:jc w:val="both"/>
        <w:ind w:right="220" w:firstLine="751"/>
        <w:spacing w:after="0" w:line="251" w:lineRule="auto"/>
        <w:rPr>
          <w:sz w:val="20"/>
          <w:szCs w:val="20"/>
          <w:color w:val="auto"/>
        </w:rPr>
      </w:pPr>
      <w:r>
        <w:rPr>
          <w:rFonts w:ascii="Times New Roman" w:cs="Times New Roman" w:eastAsia="Times New Roman" w:hAnsi="Times New Roman"/>
          <w:sz w:val="16"/>
          <w:szCs w:val="16"/>
          <w:color w:val="auto"/>
        </w:rPr>
        <w:t>Solriamfetol is the active ingredient in Sunosi. It is an oral, dual-acting dopamine and norepinephrine reuptake inhibitor and TAAR1 agonist. We recently announced our intent to conduct three additional Phase 3 trials of solriamfetol: one in major depressive disorder, another in binge eating disorder, and the third in shift-work disorder. We are also currently conducting a Phase 3, double blind, placebo-controlled, randomized multicenter trial in adults with attention-deficit/hyperactivity disorder, which we refer to as the FOCUS study.</w:t>
      </w:r>
    </w:p>
    <w:p>
      <w:pPr>
        <w:spacing w:after="0" w:line="164" w:lineRule="exact"/>
        <w:rPr>
          <w:sz w:val="20"/>
          <w:szCs w:val="20"/>
          <w:color w:val="auto"/>
        </w:rPr>
      </w:pPr>
    </w:p>
    <w:p>
      <w:pPr>
        <w:ind w:right="220" w:firstLine="751"/>
        <w:spacing w:after="0" w:line="251" w:lineRule="auto"/>
        <w:rPr>
          <w:sz w:val="20"/>
          <w:szCs w:val="20"/>
          <w:color w:val="auto"/>
        </w:rPr>
      </w:pPr>
      <w:r>
        <w:rPr>
          <w:rFonts w:ascii="Times New Roman" w:cs="Times New Roman" w:eastAsia="Times New Roman" w:hAnsi="Times New Roman"/>
          <w:sz w:val="16"/>
          <w:szCs w:val="16"/>
          <w:color w:val="auto"/>
        </w:rPr>
        <w:t>Our product candidates are protected through a combination of patents, trade secrets, and proprietary know-how. If approved, they may also be eligible for periods of regulatory exclusivity. Our intellectual property portfolio includes issued U.S. and foreign patents with claims extending to 2034, 2040, 2041, and 2043 for AXS-05, to 2038 for AXS-07, and to 2040 for AXS-12, as well as U.S. and foreign patent applications for AXS-05, AXS-07, AXS-12, and AXS-14. As with respect to Sunosi, Orange Book listed patents in the United States extend out to 2042. We also have patents in various other countries pertaining to Sunosi.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Strategy</w:t>
      </w:r>
    </w:p>
    <w:p>
      <w:pPr>
        <w:spacing w:after="0" w:line="191" w:lineRule="exact"/>
        <w:rPr>
          <w:sz w:val="20"/>
          <w:szCs w:val="20"/>
          <w:color w:val="auto"/>
        </w:rPr>
      </w:pPr>
    </w:p>
    <w:p>
      <w:pPr>
        <w:ind w:right="400" w:firstLine="751"/>
        <w:spacing w:after="0" w:line="267" w:lineRule="auto"/>
        <w:rPr>
          <w:sz w:val="20"/>
          <w:szCs w:val="20"/>
          <w:color w:val="auto"/>
        </w:rPr>
      </w:pPr>
      <w:r>
        <w:rPr>
          <w:rFonts w:ascii="Times New Roman" w:cs="Times New Roman" w:eastAsia="Times New Roman" w:hAnsi="Times New Roman"/>
          <w:sz w:val="16"/>
          <w:szCs w:val="16"/>
          <w:color w:val="auto"/>
        </w:rPr>
        <w:t>Our goal is to efficiently develop and commercialize novel, differentiated therapies for the management of CNS disorders. The primary elements of our strategy to achieve this goal are the following:</w:t>
      </w:r>
    </w:p>
    <w:p>
      <w:pPr>
        <w:spacing w:after="0" w:line="149" w:lineRule="exact"/>
        <w:rPr>
          <w:sz w:val="20"/>
          <w:szCs w:val="20"/>
          <w:color w:val="auto"/>
        </w:rPr>
      </w:pPr>
    </w:p>
    <w:p>
      <w:pPr>
        <w:ind w:left="1120" w:hanging="376"/>
        <w:spacing w:after="0" w:line="190" w:lineRule="exact"/>
        <w:tabs>
          <w:tab w:leader="none" w:pos="11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Pursue novel CNS indications with high unmet medical need. </w:t>
      </w:r>
      <w:r>
        <w:rPr>
          <w:rFonts w:ascii="Times New Roman" w:cs="Times New Roman" w:eastAsia="Times New Roman" w:hAnsi="Times New Roman"/>
          <w:sz w:val="16"/>
          <w:szCs w:val="16"/>
          <w:color w:val="auto"/>
        </w:rPr>
        <w:t>We believe that CNS disorders are significantly underserved therapeutic segments with currently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limited treatment options. We are developing our product candidates for CNS indications where there exist significant unmet medical needs, or that have no or few FDA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approved pharmacological treatments. CNS disorders are often disabling, difficult to treat, and associated with significant comorbidities. By focusing on areas of unmet medical need, we aim to develop products that have the potential to change current medical practice, and that are highly relevant to patients, physicians, and regulatory bodies. Many of these indications have significant patient populations which, when combined with the limitations of current treatments, should provide us with attractive commercial opportunities.</w:t>
      </w:r>
    </w:p>
    <w:p>
      <w:pPr>
        <w:spacing w:after="0" w:line="170" w:lineRule="exact"/>
        <w:rPr>
          <w:rFonts w:ascii="Times New Roman" w:cs="Times New Roman" w:eastAsia="Times New Roman" w:hAnsi="Times New Roman"/>
          <w:sz w:val="16"/>
          <w:szCs w:val="16"/>
          <w:color w:val="auto"/>
        </w:rPr>
      </w:pPr>
    </w:p>
    <w:p>
      <w:pPr>
        <w:ind w:left="1120" w:right="60" w:hanging="376"/>
        <w:spacing w:after="0" w:line="250" w:lineRule="auto"/>
        <w:tabs>
          <w:tab w:leader="none" w:pos="11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Develop products with our proprietary medicinal chemistry and formulation technologies. </w:t>
      </w:r>
      <w:r>
        <w:rPr>
          <w:rFonts w:ascii="Times New Roman" w:cs="Times New Roman" w:eastAsia="Times New Roman" w:hAnsi="Times New Roman"/>
          <w:sz w:val="16"/>
          <w:szCs w:val="16"/>
          <w:color w:val="auto"/>
        </w:rPr>
        <w:t>Our proprietary medicinal chemistry and formulation technologies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allow us to continue to design new and innovative medicines to treat CNS conditions. These technologies and capabilities include: (1) chiral chemistry and formulation to identify, isolate and stabilize chirally pure enantiomers, (2) metabolic inhibition as a novel drug delivery method to increase the bioavailability and prolong the half-life of target drug molecules, (3) the MoSEIC™ technology which is designed to substantially increase the solubility and speed the absorption of target drug molecules, and (4) proprietary chemical synthesis and analysis to produce target drug molecules.</w:t>
      </w:r>
    </w:p>
    <w:p>
      <w:pPr>
        <w:spacing w:after="0" w:line="162" w:lineRule="exact"/>
        <w:rPr>
          <w:rFonts w:ascii="Times New Roman" w:cs="Times New Roman" w:eastAsia="Times New Roman" w:hAnsi="Times New Roman"/>
          <w:sz w:val="16"/>
          <w:szCs w:val="16"/>
          <w:color w:val="auto"/>
        </w:rPr>
      </w:pPr>
    </w:p>
    <w:p>
      <w:pPr>
        <w:ind w:left="1120" w:hanging="376"/>
        <w:spacing w:after="0" w:line="242" w:lineRule="auto"/>
        <w:tabs>
          <w:tab w:leader="none" w:pos="11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Develop products with differentiated profiles. </w:t>
      </w:r>
      <w:r>
        <w:rPr>
          <w:rFonts w:ascii="Times New Roman" w:cs="Times New Roman" w:eastAsia="Times New Roman" w:hAnsi="Times New Roman"/>
          <w:sz w:val="16"/>
          <w:szCs w:val="16"/>
          <w:color w:val="auto"/>
        </w:rPr>
        <w:t>We aim to develop products with novel mechanisms of action for the intended indications that may yield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differentiated product profiles. For example, AXS-05 combines several mechanisms of action resulting in a unique pharmacological profile that may be relevant to the treatment of numerous CNS disorders. The MoSEIC</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6"/>
          <w:szCs w:val="16"/>
          <w:color w:val="auto"/>
        </w:rPr>
        <w:t xml:space="preserve"> technology is designed to improve the absorption of drug molecules after oral administration and is utilized in our AXS-07 product candidate. We believe that products with clearly differentiated features will be attractive to patients and their physicians and will provide us with a competitive commercial advantage.</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120" w:hanging="376"/>
        <w:spacing w:after="0" w:line="247" w:lineRule="auto"/>
        <w:tabs>
          <w:tab w:leader="none" w:pos="11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Reduce clinical and regulatory risk, limit development costs, and accelerate time to market. </w:t>
      </w:r>
      <w:r>
        <w:rPr>
          <w:rFonts w:ascii="Times New Roman" w:cs="Times New Roman" w:eastAsia="Times New Roman" w:hAnsi="Times New Roman"/>
          <w:sz w:val="16"/>
          <w:szCs w:val="16"/>
          <w:color w:val="auto"/>
        </w:rPr>
        <w:t>Some of our product candidates incorporate chemical entities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long histories of clinical use and well characterized safety profiles. Use of well characterized molecules has allowed us to rapidly complete early clinical development of our product candidates and may reduce the risk of late-stage clinical failures due to unexpected toxicities. This strategy may allow us to seek FDA approval for some of our product candidates using the 505(b)(2) regulatory pathway. Section 505(b)(2) of the Federal Food, Drug, and Cosmetic Act, or FDCA, permits an applicant to file an NDA that relies, in part, on the FDA’s prior findings of safety and efficacy in the approval of a similar drug, or on published literature. It therefore allows us to leverage previous preclinical and clinical experience with the active molecules in some of our product candidates and potentially forego conducting certain lengthy and costly preclinical studies, reduce clinical and regulatory risk, limit development costs, and accelerate our time to commercialization.</w:t>
      </w:r>
    </w:p>
    <w:p>
      <w:pPr>
        <w:spacing w:after="0" w:line="165" w:lineRule="exact"/>
        <w:rPr>
          <w:rFonts w:ascii="Times New Roman" w:cs="Times New Roman" w:eastAsia="Times New Roman" w:hAnsi="Times New Roman"/>
          <w:sz w:val="16"/>
          <w:szCs w:val="16"/>
          <w:color w:val="auto"/>
        </w:rPr>
      </w:pPr>
    </w:p>
    <w:p>
      <w:pPr>
        <w:ind w:left="1120" w:right="20" w:hanging="376"/>
        <w:spacing w:after="0" w:line="191" w:lineRule="exact"/>
        <w:tabs>
          <w:tab w:leader="none" w:pos="11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Retain commercial rights in the United States, where appropriate, and selectively partner outside of the United States to maximize the value of our product candidates. </w:t>
      </w:r>
      <w:r>
        <w:rPr>
          <w:rFonts w:ascii="Times New Roman" w:cs="Times New Roman" w:eastAsia="Times New Roman" w:hAnsi="Times New Roman"/>
          <w:sz w:val="16"/>
          <w:szCs w:val="16"/>
          <w:color w:val="auto"/>
        </w:rPr>
        <w:t>We intend to commercialize our product candidates, if approved, in the United States through the establishment of our own focused, cost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effective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sales and marketing organization. We intend to selectively partner commercial rights outside of the United States with third parties to maximize the value of our product candidates without the substantial investment required to develop independent sales forces in those geographies. We continue to evaluate strategic options for the commercialization of our other product candidates.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Our current CNS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205345" cy="4053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5345" cy="4053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680"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CNS Product Candidates</w:t>
      </w:r>
    </w:p>
    <w:p>
      <w:pPr>
        <w:spacing w:after="0" w:line="158"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b w:val="1"/>
          <w:bCs w:val="1"/>
          <w:color w:val="auto"/>
        </w:rPr>
        <w:t>AXS</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05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191" w:lineRule="exact"/>
        <w:rPr>
          <w:sz w:val="20"/>
          <w:szCs w:val="20"/>
          <w:color w:val="auto"/>
        </w:rPr>
      </w:pPr>
    </w:p>
    <w:p>
      <w:pPr>
        <w:ind w:firstLine="751"/>
        <w:spacing w:after="0" w:line="293" w:lineRule="auto"/>
        <w:rPr>
          <w:sz w:val="20"/>
          <w:szCs w:val="20"/>
          <w:color w:val="auto"/>
        </w:rPr>
      </w:pPr>
      <w:r>
        <w:rPr>
          <w:rFonts w:ascii="Times New Roman" w:cs="Times New Roman" w:eastAsia="Times New Roman" w:hAnsi="Times New Roman"/>
          <w:sz w:val="14"/>
          <w:szCs w:val="14"/>
          <w:color w:val="auto"/>
        </w:rPr>
        <w:t>AXS-05 is a novel, oral, investigational NMDA receptor antagonist with multimodal activity under development for the treatment of CNS disorders. AXS-05 consists of a proprietary formulation and dose of dextromethorphan and bupropion and utilizes Axsome’s metabolic inhibition technology. The dextromethorphan component of AXS-05 is an uncompetitive antagonist of the N-methyl-D-aspartate, or NMDA, receptor, an ionotropic glutamate receptor and a sigma-1 receptor agonist. Dextromethorphan is quickly eliminated from the body following administration due to extensive first pass metabolism, which results in low blood levels even at high doses. The bupropion component of AXS-05 serves to increase the bioavailability of dextromethorphan by inhibiting its metabolism and is also a norepinephrine and dopamine reuptake inhibitor.</w:t>
      </w:r>
    </w:p>
    <w:p>
      <w:pPr>
        <w:spacing w:after="0" w:line="138" w:lineRule="exact"/>
        <w:rPr>
          <w:sz w:val="20"/>
          <w:szCs w:val="20"/>
          <w:color w:val="auto"/>
        </w:rPr>
      </w:pPr>
    </w:p>
    <w:p>
      <w:pPr>
        <w:ind w:right="80" w:firstLine="751"/>
        <w:spacing w:after="0" w:line="267" w:lineRule="auto"/>
        <w:rPr>
          <w:sz w:val="20"/>
          <w:szCs w:val="20"/>
          <w:color w:val="auto"/>
        </w:rPr>
      </w:pPr>
      <w:r>
        <w:rPr>
          <w:rFonts w:ascii="Times New Roman" w:cs="Times New Roman" w:eastAsia="Times New Roman" w:hAnsi="Times New Roman"/>
          <w:sz w:val="16"/>
          <w:szCs w:val="16"/>
          <w:color w:val="auto"/>
        </w:rPr>
        <w:t>AXS-05 is potentially applicable to the treatment of a variety of CNS disorders, based on its mechanisms of action. We are developing AXS-05 for Alzheimer’s disease agitation, or AD agitation, and as an aid to smoking cessation.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Alzheimer’s Disease (AD) Agitation</w:t>
      </w:r>
    </w:p>
    <w:p>
      <w:pPr>
        <w:spacing w:after="0" w:line="191" w:lineRule="exact"/>
        <w:rPr>
          <w:sz w:val="20"/>
          <w:szCs w:val="20"/>
          <w:color w:val="auto"/>
        </w:rPr>
      </w:pPr>
    </w:p>
    <w:p>
      <w:pPr>
        <w:ind w:right="320" w:firstLine="751"/>
        <w:spacing w:after="0" w:line="267" w:lineRule="auto"/>
        <w:rPr>
          <w:sz w:val="20"/>
          <w:szCs w:val="20"/>
          <w:color w:val="auto"/>
        </w:rPr>
      </w:pPr>
      <w:r>
        <w:rPr>
          <w:rFonts w:ascii="Times New Roman" w:cs="Times New Roman" w:eastAsia="Times New Roman" w:hAnsi="Times New Roman"/>
          <w:sz w:val="16"/>
          <w:szCs w:val="16"/>
          <w:color w:val="auto"/>
        </w:rPr>
        <w:t>We are developing AXS-05 for the treatment of Alzheimer’s disease agitation, or AD agitation. There is only one FDA-approved pharmacological treatment for the indication of AD agitation.</w:t>
      </w:r>
    </w:p>
    <w:p>
      <w:pPr>
        <w:spacing w:after="0" w:line="151" w:lineRule="exact"/>
        <w:rPr>
          <w:sz w:val="20"/>
          <w:szCs w:val="20"/>
          <w:color w:val="auto"/>
        </w:rPr>
      </w:pPr>
    </w:p>
    <w:p>
      <w:pPr>
        <w:ind w:firstLine="751"/>
        <w:spacing w:after="0" w:line="293" w:lineRule="auto"/>
        <w:rPr>
          <w:sz w:val="20"/>
          <w:szCs w:val="20"/>
          <w:color w:val="auto"/>
        </w:rPr>
      </w:pPr>
      <w:r>
        <w:rPr>
          <w:rFonts w:ascii="Times New Roman" w:cs="Times New Roman" w:eastAsia="Times New Roman" w:hAnsi="Times New Roman"/>
          <w:sz w:val="14"/>
          <w:szCs w:val="14"/>
          <w:color w:val="auto"/>
        </w:rPr>
        <w:t>AD is a progressive neurodegenerative disorder that manifests initially as forgetfulness advancing to severe cognitive impairment and memory loss. It is a common form of dementia and afflicts more than 5 million individuals in the United States, a number that is anticipated to increase to approximately 14 million by 2050. In addition to cognitive decline, individuals diagnosed with AD typically experience behavioral and psychological symptoms including agitation and aggression. These symptoms are seen in a high percentage of AD sufferers, with agitation being reported in up to 70% of patients. Agitation is characterized by emotional distress, aggressive behaviors, disruptive irritability, and disinhibition. Agitation associated with AD has been associated with increased caregiver burden, decreased functioning, earlier nursing home placement, and death.</w:t>
      </w:r>
    </w:p>
    <w:p>
      <w:pPr>
        <w:spacing w:after="0" w:line="138" w:lineRule="exact"/>
        <w:rPr>
          <w:sz w:val="20"/>
          <w:szCs w:val="20"/>
          <w:color w:val="auto"/>
        </w:rPr>
      </w:pPr>
    </w:p>
    <w:p>
      <w:pPr>
        <w:ind w:right="180" w:firstLine="751"/>
        <w:spacing w:after="0" w:line="255" w:lineRule="auto"/>
        <w:rPr>
          <w:sz w:val="20"/>
          <w:szCs w:val="20"/>
          <w:color w:val="auto"/>
        </w:rPr>
      </w:pPr>
      <w:r>
        <w:rPr>
          <w:rFonts w:ascii="Times New Roman" w:cs="Times New Roman" w:eastAsia="Times New Roman" w:hAnsi="Times New Roman"/>
          <w:sz w:val="16"/>
          <w:szCs w:val="16"/>
          <w:color w:val="auto"/>
        </w:rPr>
        <w:t>Patients with AD are currently treated with various agents including antipsychotics, which have been considered the mainstay of treatment. These treatments however are limited by safety concerns. Typical antipsychotics prescribed for agitation, aggression, or insomnia are associated with functional decline in patients with AD, while studies indicate that atypical antipsychotics may be associated with increased rates of cerebrovascular events and death in patients with dementia.</w:t>
      </w:r>
    </w:p>
    <w:p>
      <w:pPr>
        <w:spacing w:after="0" w:line="160" w:lineRule="exact"/>
        <w:rPr>
          <w:sz w:val="20"/>
          <w:szCs w:val="20"/>
          <w:color w:val="auto"/>
        </w:rPr>
      </w:pPr>
    </w:p>
    <w:p>
      <w:pPr>
        <w:ind w:right="560" w:firstLine="751"/>
        <w:spacing w:after="0" w:line="340" w:lineRule="auto"/>
        <w:rPr>
          <w:sz w:val="20"/>
          <w:szCs w:val="20"/>
          <w:color w:val="auto"/>
        </w:rPr>
      </w:pPr>
      <w:r>
        <w:rPr>
          <w:rFonts w:ascii="Times New Roman" w:cs="Times New Roman" w:eastAsia="Times New Roman" w:hAnsi="Times New Roman"/>
          <w:sz w:val="14"/>
          <w:szCs w:val="14"/>
          <w:color w:val="auto"/>
        </w:rPr>
        <w:t>In June 2020, we announced that AXS-05 had received FDA Breakthrough Therapy designation for the AD agitation indication. In August 2020, we announced confirmation of the pivotal development status and plan for AXS-05 in the treatment of AD agitation following a Breakthrough Therapy meeting with the FDA.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ADVANCE-1 Study</w:t>
      </w:r>
    </w:p>
    <w:p>
      <w:pPr>
        <w:spacing w:after="0" w:line="191" w:lineRule="exact"/>
        <w:rPr>
          <w:sz w:val="20"/>
          <w:szCs w:val="20"/>
          <w:color w:val="auto"/>
        </w:rPr>
      </w:pPr>
    </w:p>
    <w:p>
      <w:pPr>
        <w:ind w:right="40" w:firstLine="751"/>
        <w:spacing w:after="0" w:line="251" w:lineRule="auto"/>
        <w:rPr>
          <w:sz w:val="20"/>
          <w:szCs w:val="20"/>
          <w:color w:val="auto"/>
        </w:rPr>
      </w:pPr>
      <w:r>
        <w:rPr>
          <w:rFonts w:ascii="Times New Roman" w:cs="Times New Roman" w:eastAsia="Times New Roman" w:hAnsi="Times New Roman"/>
          <w:sz w:val="16"/>
          <w:szCs w:val="16"/>
          <w:color w:val="auto"/>
        </w:rPr>
        <w:t>In July 2017, we initiated the ADVANCE-1 study, a Phase 2/3, randomized, double-blind, controlled, U.S. trial to evaluate the efficacy and safety of AXS-05 in patients with AD agitation. In April 2020, we announced that AXS-05 had achieved its primary endpoint and rapidly and substantially improved agitation in patients with AD in the ADVANCE study. In this trial, 366 Alzheimer’s disease patients were randomized to treatment with AXS-05 (dextromethorphan-bupropion tablet, dose escalated to 45 mg-105 mg twice daily), bupropion (dose escalated to 105 mg twice daily), or matching placebo, for 5 weeks.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20" w:firstLine="751"/>
        <w:spacing w:after="0" w:line="309" w:lineRule="auto"/>
        <w:rPr>
          <w:sz w:val="20"/>
          <w:szCs w:val="20"/>
          <w:color w:val="auto"/>
        </w:rPr>
      </w:pPr>
      <w:r>
        <w:rPr>
          <w:rFonts w:ascii="Times New Roman" w:cs="Times New Roman" w:eastAsia="Times New Roman" w:hAnsi="Times New Roman"/>
          <w:sz w:val="14"/>
          <w:szCs w:val="14"/>
          <w:color w:val="auto"/>
        </w:rPr>
        <w:t>AXS-05 met the primary endpoint by demonstrating a statistically significant mean reduction in the Cohen Mansfield Agitation Inventory (CMAI) total score compared to placebo at Week 5, with mean reductions from baseline of 15.4 points for AXS-05 and 11.5 points for placebo (p=0.010). These results represent a mean percentage reduction from baseline of 48% for AXS-05 versus 38% for placebo. AXS-05 was also superior to bupropion on the CMAI total score (p&lt;0.001), establishing component contribution.</w:t>
      </w:r>
    </w:p>
    <w:p>
      <w:pPr>
        <w:spacing w:after="0" w:line="125" w:lineRule="exact"/>
        <w:rPr>
          <w:sz w:val="20"/>
          <w:szCs w:val="20"/>
          <w:color w:val="auto"/>
        </w:rPr>
      </w:pPr>
    </w:p>
    <w:p>
      <w:pPr>
        <w:ind w:right="120" w:firstLine="751"/>
        <w:spacing w:after="0" w:line="267" w:lineRule="auto"/>
        <w:rPr>
          <w:sz w:val="20"/>
          <w:szCs w:val="20"/>
          <w:color w:val="auto"/>
        </w:rPr>
      </w:pPr>
      <w:r>
        <w:rPr>
          <w:rFonts w:ascii="Times New Roman" w:cs="Times New Roman" w:eastAsia="Times New Roman" w:hAnsi="Times New Roman"/>
          <w:sz w:val="16"/>
          <w:szCs w:val="16"/>
          <w:color w:val="auto"/>
        </w:rPr>
        <w:t>AXS-05 rapidly improved agitation symptoms. Improvement on the CMAI total score with AXS-05 was numerically superior to placebo starting at Week 2, achieving statistical significance at Week 3 (p=0.007) only one week after full dosing with AXS-05.</w:t>
      </w:r>
    </w:p>
    <w:p>
      <w:pPr>
        <w:spacing w:after="0" w:line="151" w:lineRule="exact"/>
        <w:rPr>
          <w:sz w:val="20"/>
          <w:szCs w:val="20"/>
          <w:color w:val="auto"/>
        </w:rPr>
      </w:pPr>
    </w:p>
    <w:p>
      <w:pPr>
        <w:ind w:right="20" w:firstLine="751"/>
        <w:spacing w:after="0" w:line="248" w:lineRule="auto"/>
        <w:rPr>
          <w:sz w:val="20"/>
          <w:szCs w:val="20"/>
          <w:color w:val="auto"/>
        </w:rPr>
      </w:pPr>
      <w:r>
        <w:rPr>
          <w:rFonts w:ascii="Times New Roman" w:cs="Times New Roman" w:eastAsia="Times New Roman" w:hAnsi="Times New Roman"/>
          <w:sz w:val="16"/>
          <w:szCs w:val="16"/>
          <w:color w:val="auto"/>
        </w:rPr>
        <w:t>A statistically significantly greater proportion of patients achieved a clinical response on the CMAI, defined as a 30% or greater improvement from baseline, with AXS-05 as compared to placebo (73% versus 57%, p=0.005). These results were consistent with clinicians’ global assessments of change measured using the modified Alzheimer’s Disease Cooperative Study-Clinical Global Impression of Change for Agitation (mADCS-CGIC). AXS-05 demonstrated statistically significantly greater improvement in agitation as compared to placebo on this measure (p=0.036).</w:t>
      </w:r>
    </w:p>
    <w:p>
      <w:pPr>
        <w:spacing w:after="0" w:line="2"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AXS-05 was well tolerated in the trial. The most commonly reported adverse events in the AXS-05 arm were somnolence (8.2% for AXS-05 versus 4.1% for bupropion and 3.2% for placebo), dizziness (6.3%, 10.2%, 3.2%, respectively), and diarrhea (4.4%, 6.1%, 4.4%,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ACCORD Study</w:t>
      </w:r>
    </w:p>
    <w:p>
      <w:pPr>
        <w:spacing w:after="0" w:line="191" w:lineRule="exact"/>
        <w:rPr>
          <w:sz w:val="20"/>
          <w:szCs w:val="20"/>
          <w:color w:val="auto"/>
        </w:rPr>
      </w:pPr>
    </w:p>
    <w:p>
      <w:pPr>
        <w:ind w:firstLine="751"/>
        <w:spacing w:after="0" w:line="248" w:lineRule="auto"/>
        <w:rPr>
          <w:sz w:val="20"/>
          <w:szCs w:val="20"/>
          <w:color w:val="auto"/>
        </w:rPr>
      </w:pPr>
      <w:r>
        <w:rPr>
          <w:rFonts w:ascii="Times New Roman" w:cs="Times New Roman" w:eastAsia="Times New Roman" w:hAnsi="Times New Roman"/>
          <w:sz w:val="16"/>
          <w:szCs w:val="16"/>
          <w:color w:val="auto"/>
        </w:rPr>
        <w:t>In December 2020, we announced initiation of the Phase 3 ACCORD (Assessing Clinical Outcomes in Alzheimer’s Disease Agitation) trial. ACCORD was a randomized, double-blind, multicenter, placebo-controlled, trial to evaluate the efficacy and safety of AXS-05 in patients with AD agitation. Enrolled patients first entered a 9-week, open-label stabilization period, during which they were treated with AXS-05 and monitored for a treatment response based on the CMAI. Patients who experienced a treatment response during the stabilization period were then randomized into the double-blind treatment period, in a 1:1 ratio, to continue treatment with AXS-05 or to switch to placebo, for up to 26 weeks or until a relapse of agitation occurs. The primary endpoint was time from randomization to relapse. Assessments included the CMAI, clinician- and caregiver-rated scales, and safety parameters.</w:t>
      </w:r>
    </w:p>
    <w:p>
      <w:pPr>
        <w:spacing w:after="0" w:line="166" w:lineRule="exact"/>
        <w:rPr>
          <w:sz w:val="20"/>
          <w:szCs w:val="20"/>
          <w:color w:val="auto"/>
        </w:rPr>
      </w:pPr>
    </w:p>
    <w:p>
      <w:pPr>
        <w:ind w:right="80" w:firstLine="751"/>
        <w:spacing w:after="0" w:line="290" w:lineRule="auto"/>
        <w:rPr>
          <w:sz w:val="20"/>
          <w:szCs w:val="20"/>
          <w:color w:val="auto"/>
        </w:rPr>
      </w:pPr>
      <w:r>
        <w:rPr>
          <w:rFonts w:ascii="Times New Roman" w:cs="Times New Roman" w:eastAsia="Times New Roman" w:hAnsi="Times New Roman"/>
          <w:sz w:val="14"/>
          <w:szCs w:val="14"/>
          <w:color w:val="auto"/>
        </w:rPr>
        <w:t>In November 2022, we announced that AXS-05 achieved the primary endpoint in the ACCORD Phase 3 trial, and statistically significantly delayed time to relapse of Alzheimer’s disease agitation versus placebo (p=0.014). It was also reported that AXS-05 hit key secondary endpoints including statistically significantly prevented relapse of Alzheimer’s disease agitation versus placebo (p=0.018). In addition, AXS-05 demonstrated a statistically significant improvement in Alzheimer’s disease agitation, as measured by the CMAI total score, starting at Week 1 with open-label AXS-05 (p&lt;0.001 vs baseline, all timepoints), improvement in Alzheimer’s disease agitation, assessed by the modified Alzheimer’s Disease Cooperative Study-CGIC scale, achieved by 66% of patients at 2 weeks and 86% at 5 weeks, and improvement in Alzheimer’s disease agitation, assessed by the PGI-C scale, achieved by 68% of patients at 2 weeks and 89% at 5 weeks. AXS-05 was well tolerated in the trial.</w:t>
      </w:r>
    </w:p>
    <w:p>
      <w:pPr>
        <w:spacing w:after="0" w:line="140" w:lineRule="exact"/>
        <w:rPr>
          <w:sz w:val="20"/>
          <w:szCs w:val="20"/>
          <w:color w:val="auto"/>
        </w:rPr>
      </w:pPr>
    </w:p>
    <w:p>
      <w:pPr>
        <w:ind w:right="20" w:firstLine="751"/>
        <w:spacing w:after="0" w:line="247" w:lineRule="auto"/>
        <w:rPr>
          <w:sz w:val="20"/>
          <w:szCs w:val="20"/>
          <w:color w:val="auto"/>
        </w:rPr>
      </w:pPr>
      <w:r>
        <w:rPr>
          <w:rFonts w:ascii="Times New Roman" w:cs="Times New Roman" w:eastAsia="Times New Roman" w:hAnsi="Times New Roman"/>
          <w:sz w:val="16"/>
          <w:szCs w:val="16"/>
          <w:color w:val="auto"/>
        </w:rPr>
        <w:t>The rates of adverse events observed in the double-blind period were 28.3% in the AXS-05 group and 22.2% in the placebo group. Discontinuations in the double-blind period due to adverse events were low (0% for AXS-05 and 1.9% for placebo). One serious adverse event was reported in the AXS-05 group (faecaloma), which was determined by the investigator to be not related to study medication, and 2 serious adverse events were reported in the placebo group (cardiac arrest, femur fracture). Falls were reported in 4 patients in the AXS-05 group, none of which were associated with serious adverse events and all of which were determined by the investigators to be not related to study medication, and in 2 patients in the placebo group, one of which was associated with a femur fracture. One death was reported in the placebo group. There was no evidence of cognitive decline for patients treated with AXS-05 as shown by the Mini-Mental State Examination (MMSE), a widely utilized measure of general cognitive function. Treatment with AXS-05 was not associated with sedation.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ADVANCE-2 Study</w:t>
      </w:r>
    </w:p>
    <w:p>
      <w:pPr>
        <w:spacing w:after="0" w:line="191" w:lineRule="exact"/>
        <w:rPr>
          <w:sz w:val="20"/>
          <w:szCs w:val="20"/>
          <w:color w:val="auto"/>
        </w:rPr>
      </w:pPr>
    </w:p>
    <w:p>
      <w:pPr>
        <w:ind w:right="120" w:firstLine="751"/>
        <w:spacing w:after="0" w:line="255" w:lineRule="auto"/>
        <w:rPr>
          <w:sz w:val="20"/>
          <w:szCs w:val="20"/>
          <w:color w:val="auto"/>
        </w:rPr>
      </w:pPr>
      <w:r>
        <w:rPr>
          <w:rFonts w:ascii="Times New Roman" w:cs="Times New Roman" w:eastAsia="Times New Roman" w:hAnsi="Times New Roman"/>
          <w:sz w:val="16"/>
          <w:szCs w:val="16"/>
          <w:color w:val="auto"/>
        </w:rPr>
        <w:t>In September 2022, we initiated the ADVANCE-2 study, a Phase 3, randomized, double-blind, placebo-controlled, multicenter, trial to assess the efficacy and safety of AXS-05 for the treatment of agitation associated with AD. Approximately 350 patients will be randomized in a 1:1 ratio to receive AXS-05 or placebo for 5 weeks. The primary efficacy measure is the Cohen-Mansfield Agitation Inventory (CMAI).</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Smoking Cessation</w:t>
      </w:r>
    </w:p>
    <w:p>
      <w:pPr>
        <w:spacing w:after="0" w:line="191" w:lineRule="exact"/>
        <w:rPr>
          <w:sz w:val="20"/>
          <w:szCs w:val="20"/>
          <w:color w:val="auto"/>
        </w:rPr>
      </w:pPr>
    </w:p>
    <w:p>
      <w:pPr>
        <w:ind w:right="20" w:firstLine="751"/>
        <w:spacing w:after="0" w:line="249" w:lineRule="auto"/>
        <w:rPr>
          <w:sz w:val="20"/>
          <w:szCs w:val="20"/>
          <w:color w:val="auto"/>
        </w:rPr>
      </w:pPr>
      <w:r>
        <w:rPr>
          <w:rFonts w:ascii="Times New Roman" w:cs="Times New Roman" w:eastAsia="Times New Roman" w:hAnsi="Times New Roman"/>
          <w:sz w:val="16"/>
          <w:szCs w:val="16"/>
          <w:color w:val="auto"/>
        </w:rPr>
        <w:t>We are developing AXS-05 as an aid to smoking cessation treatment. Nearly 40 million American adults smoke and around 70% report that they want to quit. Tobacco use results in approximately 500,000 premature deaths each year in the U.S., according to the Centers for Disease Control and Prevention. Smoking is the single largest cause of premature deaths worldwide accounting for an estimated 20% of all deaths in developed countries. Direct health care and lost productivity costs as a result of smoking total nearly $300 billion a year in the U.S. alone. It is estimated that only 3% to 5% of cigarette smokers who attempt to quit without assistance are successful for 6 to 12 months, and even with the currently available treatment options, relapse rates remain above 80%.</w:t>
      </w:r>
    </w:p>
    <w:p>
      <w:pPr>
        <w:spacing w:after="0" w:line="132" w:lineRule="exact"/>
        <w:rPr>
          <w:sz w:val="20"/>
          <w:szCs w:val="20"/>
          <w:color w:val="auto"/>
        </w:rPr>
      </w:pPr>
    </w:p>
    <w:p>
      <w:pPr>
        <w:ind w:right="60" w:firstLine="751"/>
        <w:spacing w:after="0" w:line="195" w:lineRule="exact"/>
        <w:rPr>
          <w:sz w:val="20"/>
          <w:szCs w:val="20"/>
          <w:color w:val="auto"/>
        </w:rPr>
      </w:pPr>
      <w:r>
        <w:rPr>
          <w:rFonts w:ascii="Times New Roman" w:cs="Times New Roman" w:eastAsia="Times New Roman" w:hAnsi="Times New Roman"/>
          <w:sz w:val="16"/>
          <w:szCs w:val="16"/>
          <w:color w:val="auto"/>
        </w:rPr>
        <w:t>In December 2017, we entered into a research collaboration agreement with Duke University to evaluate AXS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05 in a Phase 2 clinical trial in smoking cessation under an Investigator Sponsored IND. In April 2018, we announced the enrollment of the first patient into a Phase 2 clinical trial of AXS-05 for smoking cessation treatment, which was being conducted under the research collaboration agreement between us and Duke University. In April 2019, we announced that AXS-05 met the prespecified primary endpoint in Phase 2 trial in smoking cessation. In November 2021, we announced we had received from the FDA positive Pre-Investigational New Drug Application, or Pre-IND, meeting written guidance on a proposed clinical developmental plan for dextromethorphan-bupropion as an aid to smoking cessation. Based on this feedback, Axsome plans to proceed to a pivotal Phase 2/3 trial in this indication.</w:t>
      </w:r>
    </w:p>
    <w:p>
      <w:pPr>
        <w:spacing w:after="0" w:line="174"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b w:val="1"/>
          <w:bCs w:val="1"/>
          <w:color w:val="auto"/>
        </w:rPr>
        <w:t>AXS</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07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158" w:lineRule="exact"/>
        <w:rPr>
          <w:sz w:val="20"/>
          <w:szCs w:val="20"/>
          <w:color w:val="auto"/>
        </w:rPr>
      </w:pPr>
    </w:p>
    <w:p>
      <w:pPr>
        <w:ind w:firstLine="751"/>
        <w:spacing w:after="0" w:line="197" w:lineRule="exact"/>
        <w:rPr>
          <w:sz w:val="20"/>
          <w:szCs w:val="20"/>
          <w:color w:val="auto"/>
        </w:rPr>
      </w:pPr>
      <w:r>
        <w:rPr>
          <w:rFonts w:ascii="Times New Roman" w:cs="Times New Roman" w:eastAsia="Times New Roman" w:hAnsi="Times New Roman"/>
          <w:sz w:val="16"/>
          <w:szCs w:val="16"/>
          <w:color w:val="auto"/>
        </w:rPr>
        <w:t>AXS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07 is novel, oral, rapidly absorbed, multi-mechanistic, investigational medicine. AXS-07 consists of MoSEIC™ meloxicam and rizatriptan. We are developing AXS-07 for the acute treatment of migraine. Meloxicam is a new molecular entity for migraine enabled by Axsome’s MoSEIC technology, which results in rapid absorption of meloxicam while maintaining a long plasma half-life. Rizatriptan is FDA approved for the acute treatment of migraine as a single agent. The distinct mechanism of action and rapid absorption of MoSEIC™ meloxicam, combined with the known efficacy of rizatriptan, is designed to provide potentially rapid, superior and consistent relief of migraine pain, with lower symptom recurrence, as compared to currently available therapies.</w:t>
      </w:r>
    </w:p>
    <w:p>
      <w:pPr>
        <w:spacing w:after="0" w:line="173" w:lineRule="exact"/>
        <w:rPr>
          <w:sz w:val="20"/>
          <w:szCs w:val="20"/>
          <w:color w:val="auto"/>
        </w:rPr>
      </w:pPr>
    </w:p>
    <w:p>
      <w:pPr>
        <w:ind w:right="80" w:firstLine="751"/>
        <w:spacing w:after="0" w:line="247" w:lineRule="auto"/>
        <w:rPr>
          <w:sz w:val="20"/>
          <w:szCs w:val="20"/>
          <w:color w:val="auto"/>
        </w:rPr>
      </w:pPr>
      <w:r>
        <w:rPr>
          <w:rFonts w:ascii="Times New Roman" w:cs="Times New Roman" w:eastAsia="Times New Roman" w:hAnsi="Times New Roman"/>
          <w:sz w:val="16"/>
          <w:szCs w:val="16"/>
          <w:color w:val="auto"/>
        </w:rPr>
        <w:t>In February 2019, we reached agreement with the FDA under a Special Protocol Assessment (SPA) for the design, endpoints, and statistical approach of the planned MOMENTUM (Maximizing Outcomes in Treating Acute Migraine) Phase 3 trial of AXS-07 in the acute treatment of migraine. The SPA provides agreement that the overall MOMENTUM trial design (e.g., entry criteria, dose selection, endpoints) and planned analysis adequately address objectives that, if met, will support filing of an NDA of AXS-07 for the indication of acute treatment of migraine in adults with or without aura. We submitted an NDA for AXS-07 in September 2021 and received a CRL from the FDA in April 2022. The CRL did not identify or raise any concerns about the clinical efficacy or safety data in the NDA, and the FDA did not request any new clinical trials to support the approval of AXS-07. The principal reasons given in the CRL relate to CMC considerations. We believe that the issues raised in the CRL are addressable and plan to resubmit our NDA for AXS-07 for the acute treatment of migraine.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Migraine</w:t>
      </w:r>
    </w:p>
    <w:p>
      <w:pPr>
        <w:spacing w:after="0" w:line="191" w:lineRule="exact"/>
        <w:rPr>
          <w:sz w:val="20"/>
          <w:szCs w:val="20"/>
          <w:color w:val="auto"/>
        </w:rPr>
      </w:pPr>
    </w:p>
    <w:p>
      <w:pPr>
        <w:ind w:right="280" w:firstLine="751"/>
        <w:spacing w:after="0" w:line="255" w:lineRule="auto"/>
        <w:rPr>
          <w:sz w:val="20"/>
          <w:szCs w:val="20"/>
          <w:color w:val="auto"/>
        </w:rPr>
      </w:pPr>
      <w:r>
        <w:rPr>
          <w:rFonts w:ascii="Times New Roman" w:cs="Times New Roman" w:eastAsia="Times New Roman" w:hAnsi="Times New Roman"/>
          <w:sz w:val="16"/>
          <w:szCs w:val="16"/>
          <w:color w:val="auto"/>
        </w:rPr>
        <w:t>Migraine is a disorder characterized by recurrent attacks of pulsating, unilateral or bilateral head pain, often associated with nausea, photophobia, and phonophobia. Migraine attacks may occur with or without an aura, which is a focal neurological symptom, such as vision changes, that typically precedes other symptoms. Migraine attacks generally last from 4 to 72 hours and are often severe and disabling, requiring bed rest.</w:t>
      </w:r>
    </w:p>
    <w:p>
      <w:pPr>
        <w:spacing w:after="0" w:line="160" w:lineRule="exact"/>
        <w:rPr>
          <w:sz w:val="20"/>
          <w:szCs w:val="20"/>
          <w:color w:val="auto"/>
        </w:rPr>
      </w:pPr>
    </w:p>
    <w:p>
      <w:pPr>
        <w:ind w:right="100" w:firstLine="751"/>
        <w:spacing w:after="0" w:line="299" w:lineRule="auto"/>
        <w:rPr>
          <w:sz w:val="20"/>
          <w:szCs w:val="20"/>
          <w:color w:val="auto"/>
        </w:rPr>
      </w:pPr>
      <w:r>
        <w:rPr>
          <w:rFonts w:ascii="Times New Roman" w:cs="Times New Roman" w:eastAsia="Times New Roman" w:hAnsi="Times New Roman"/>
          <w:sz w:val="14"/>
          <w:szCs w:val="14"/>
          <w:color w:val="auto"/>
        </w:rPr>
        <w:t>Over 37 million Americans suffer from migraine according to the Centers for Disease Control, and it is the leading cause of disability among neurological disorders in the United States according to the American Migraine Foundation. It is estimated that migraine accounts for $78 billion in direct costs, such as doctor visits and medications, and indirect costs, such as missed work and lost productivity, each year in the United States. Published surveys of migraine sufferers indicate that more than 70% are not fully satisfied with their current treatment, that nearly 80% would try a new therapy, and that they desire treatments that work faster, more consistently, and result in less symptom recurrence.</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MOMENTUM Study</w:t>
      </w:r>
    </w:p>
    <w:p>
      <w:pPr>
        <w:spacing w:after="0" w:line="191" w:lineRule="exact"/>
        <w:rPr>
          <w:sz w:val="20"/>
          <w:szCs w:val="20"/>
          <w:color w:val="auto"/>
        </w:rPr>
      </w:pPr>
    </w:p>
    <w:p>
      <w:pPr>
        <w:ind w:right="700" w:firstLine="751"/>
        <w:spacing w:after="0" w:line="267" w:lineRule="auto"/>
        <w:rPr>
          <w:sz w:val="20"/>
          <w:szCs w:val="20"/>
          <w:color w:val="auto"/>
        </w:rPr>
      </w:pPr>
      <w:r>
        <w:rPr>
          <w:rFonts w:ascii="Times New Roman" w:cs="Times New Roman" w:eastAsia="Times New Roman" w:hAnsi="Times New Roman"/>
          <w:sz w:val="16"/>
          <w:szCs w:val="16"/>
          <w:color w:val="auto"/>
        </w:rPr>
        <w:t>In March 2019, we initiated the MOMENTUM study. In December 2019, we announced that AXS-07 achieved co-primary and key secondary endpoints and significantly improved migraine pain, freedom from most bother symptom, and sustained pain freedom, in the MOMENTUM study.</w:t>
      </w:r>
    </w:p>
    <w:p>
      <w:pPr>
        <w:spacing w:after="0" w:line="151" w:lineRule="exact"/>
        <w:rPr>
          <w:sz w:val="20"/>
          <w:szCs w:val="20"/>
          <w:color w:val="auto"/>
        </w:rPr>
      </w:pPr>
    </w:p>
    <w:p>
      <w:pPr>
        <w:ind w:right="80" w:firstLine="751"/>
        <w:spacing w:after="0" w:line="248" w:lineRule="auto"/>
        <w:rPr>
          <w:sz w:val="20"/>
          <w:szCs w:val="20"/>
          <w:color w:val="auto"/>
        </w:rPr>
      </w:pPr>
      <w:r>
        <w:rPr>
          <w:rFonts w:ascii="Times New Roman" w:cs="Times New Roman" w:eastAsia="Times New Roman" w:hAnsi="Times New Roman"/>
          <w:sz w:val="16"/>
          <w:szCs w:val="16"/>
          <w:color w:val="auto"/>
        </w:rPr>
        <w:t>MOMENTUM was a randomized, double-blind, placebo- and active-controlled trial which enrolled only patients with a history of inadequate response to prior acute migraine treatments, assessed using the Migraine Treatment Optimization Questionnaire, or mTOQ-4. A total of 1,594 patients were randomized in a 2:2:2:1 ratio to AXS-07 (20 mg MoSEIC™ meloxicam-10 mg rizatriptan), rizatriptan (10 mg), MoSEIC™ meloxicam (20 mg), or placebo, to treat a single migraine attack of moderate or severe intensity. In addition to a history of inadequate response, enrolled patients exhibited a high rate of characteristics that are strongly associated with poor treatment outcomes including cutaneous allodynia (75.4%), severe migraine pain intensity (41.2%), obesity (43.7%), and morning migraine (36.6%). Rizatriptan, an active comparator in the trial, is considered to be the fastest acting oral triptan and one of the most effective medications currently available for the acute treatment of migraine.</w:t>
      </w:r>
    </w:p>
    <w:p>
      <w:pPr>
        <w:spacing w:after="0" w:line="166" w:lineRule="exact"/>
        <w:rPr>
          <w:sz w:val="20"/>
          <w:szCs w:val="20"/>
          <w:color w:val="auto"/>
        </w:rPr>
      </w:pPr>
    </w:p>
    <w:p>
      <w:pPr>
        <w:ind w:right="140" w:firstLine="751"/>
        <w:spacing w:after="0" w:line="249" w:lineRule="auto"/>
        <w:rPr>
          <w:sz w:val="20"/>
          <w:szCs w:val="20"/>
          <w:color w:val="auto"/>
        </w:rPr>
      </w:pPr>
      <w:r>
        <w:rPr>
          <w:rFonts w:ascii="Times New Roman" w:cs="Times New Roman" w:eastAsia="Times New Roman" w:hAnsi="Times New Roman"/>
          <w:sz w:val="16"/>
          <w:szCs w:val="16"/>
          <w:color w:val="auto"/>
        </w:rPr>
        <w:t>AXS-07 met the two regulatory co-primary endpoints by demonstrating, with high statistical significance, a greater percentage of patients as compared to placebo achieving pain freedom (19.9% versus 6.7%, p&lt;0.001) and absence of most bothersome symptom (36.9% versus 24.4%, p=0.002), 2 hours after dosing. Superiority of AXS-07 to rizatriptan and MoSEIC™ meloxicam (component contribution) was established as specified in the SPA, by demonstration of a greater percentage of AXS-07 patients achieving sustained pain freedom from 2 to 24 hours after dosing, compared to rizatriptan and MoSEIC™ meloxicam, as well as to placebo (16.1%, 11.2%, 8.8% and 5.3%, respectively; p=0.038, p=0.001, and p&lt;0.001, respectively, versus AXS-07).</w:t>
      </w:r>
    </w:p>
    <w:p>
      <w:pPr>
        <w:spacing w:after="0" w:line="166" w:lineRule="exact"/>
        <w:rPr>
          <w:sz w:val="20"/>
          <w:szCs w:val="20"/>
          <w:color w:val="auto"/>
        </w:rPr>
      </w:pPr>
    </w:p>
    <w:p>
      <w:pPr>
        <w:ind w:firstLine="751"/>
        <w:spacing w:after="0" w:line="293" w:lineRule="auto"/>
        <w:rPr>
          <w:sz w:val="20"/>
          <w:szCs w:val="20"/>
          <w:color w:val="auto"/>
        </w:rPr>
      </w:pPr>
      <w:r>
        <w:rPr>
          <w:rFonts w:ascii="Times New Roman" w:cs="Times New Roman" w:eastAsia="Times New Roman" w:hAnsi="Times New Roman"/>
          <w:sz w:val="14"/>
          <w:szCs w:val="14"/>
          <w:color w:val="auto"/>
        </w:rPr>
        <w:t>AXS-07 provided substantially greater and more sustained migraine pain relief compared to placebo and rizatriptan, which translated to a significant reduction in rescue medication use for AXS-07 compared to placebo and rizatriptan. The percentage of patients experiencing sustained pain relief from 2 to 24 hours after dosing was 53.3% for AXS-07, compared to 33.5% for placebo and 43.9% for rizatriptan (p&lt;0.001, p=0.006, respectively versus AXS-07). Sustained pain relief from 2 to 48 hours was also experienced by a statistically significantly greater proportion of AXS-07 patients (46.5%), compared to placebo (31.1%) and rizatriptan (36.5%) patients (p&lt;0.001, p=0.003, respectively versus AXS-07). Rescue medication was used by 23.0% of AXS-07 patients, compared to 43.5% of placebo and 34.7% of rizatriptan patients (p&lt;0.001 for each group versus AXS-07).</w:t>
      </w:r>
    </w:p>
    <w:p>
      <w:pPr>
        <w:spacing w:after="0" w:line="138" w:lineRule="exact"/>
        <w:rPr>
          <w:sz w:val="20"/>
          <w:szCs w:val="20"/>
          <w:color w:val="auto"/>
        </w:rPr>
      </w:pPr>
    </w:p>
    <w:p>
      <w:pPr>
        <w:ind w:right="140" w:firstLine="751"/>
        <w:spacing w:after="0" w:line="299" w:lineRule="auto"/>
        <w:rPr>
          <w:sz w:val="20"/>
          <w:szCs w:val="20"/>
          <w:color w:val="auto"/>
        </w:rPr>
      </w:pPr>
      <w:r>
        <w:rPr>
          <w:rFonts w:ascii="Times New Roman" w:cs="Times New Roman" w:eastAsia="Times New Roman" w:hAnsi="Times New Roman"/>
          <w:sz w:val="14"/>
          <w:szCs w:val="14"/>
          <w:color w:val="auto"/>
        </w:rPr>
        <w:t>AXS-07 provided rapid relief of migraine pain with the percentage of patients achieving pain relief with AXS-07 being numerically greater than with rizatriptan at every time point measured starting at 15 minutes, and statistically significantly greater than with rizatriptan by 60 minutes (p=0.04). The proportions of patients experiencing pain relief 1.5 hours after dosing were 60.5% for AXS-07 compared to 52.5% for rizatriptan and 48.3% for placebo (p=0.019, p=0.004, respectively versus AXS-07). AXS-07 was statistically significantly superior to rizatriptan on several other secondary endpoints including PGI-C (p=0.022) and return to normal functioning at 24 hours (p=0.027).</w:t>
      </w:r>
    </w:p>
    <w:p>
      <w:pPr>
        <w:spacing w:after="0" w:line="131" w:lineRule="exact"/>
        <w:rPr>
          <w:sz w:val="20"/>
          <w:szCs w:val="20"/>
          <w:color w:val="auto"/>
        </w:rPr>
      </w:pPr>
    </w:p>
    <w:p>
      <w:pPr>
        <w:ind w:right="60" w:firstLine="751"/>
        <w:spacing w:after="0" w:line="267" w:lineRule="auto"/>
        <w:rPr>
          <w:sz w:val="20"/>
          <w:szCs w:val="20"/>
          <w:color w:val="auto"/>
        </w:rPr>
      </w:pPr>
      <w:r>
        <w:rPr>
          <w:rFonts w:ascii="Times New Roman" w:cs="Times New Roman" w:eastAsia="Times New Roman" w:hAnsi="Times New Roman"/>
          <w:sz w:val="16"/>
          <w:szCs w:val="16"/>
          <w:color w:val="auto"/>
        </w:rPr>
        <w:t>AXS-07 was well tolerated in the trial. The most commonly reported adverse events with AXS-07 were nausea, dizziness and somnolence, none of which occurred at a rate greater than placebo or greater than 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INTERCEPT Study</w:t>
      </w:r>
    </w:p>
    <w:p>
      <w:pPr>
        <w:spacing w:after="0" w:line="191" w:lineRule="exact"/>
        <w:rPr>
          <w:sz w:val="20"/>
          <w:szCs w:val="20"/>
          <w:color w:val="auto"/>
        </w:rPr>
      </w:pPr>
    </w:p>
    <w:p>
      <w:pPr>
        <w:ind w:right="100" w:firstLine="751"/>
        <w:spacing w:after="0" w:line="251" w:lineRule="auto"/>
        <w:rPr>
          <w:sz w:val="20"/>
          <w:szCs w:val="20"/>
          <w:color w:val="auto"/>
        </w:rPr>
      </w:pPr>
      <w:r>
        <w:rPr>
          <w:rFonts w:ascii="Times New Roman" w:cs="Times New Roman" w:eastAsia="Times New Roman" w:hAnsi="Times New Roman"/>
          <w:sz w:val="16"/>
          <w:szCs w:val="16"/>
          <w:color w:val="auto"/>
        </w:rPr>
        <w:t>In October 2019, we initiated the INTERCEPT study, a Phase 3, randomized, double-blind, multicenter, placebo-controlled trial evaluating the early treatment of migraine with AXS-07. In April 2020, we announced that AXS-07 achieved the co-primary endpoints and prevented migraine pain progression in the INTERCEPT study. In the INTERCEPT study a total of 302 patients were randomized in a 1:1 ratio to treat a single migraine attack with a single dose of AXS-07, or placebo, at the earliest sign of migraine pain, while the pain intensity was mild.</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359" w:lineRule="exact"/>
        <w:rPr>
          <w:sz w:val="20"/>
          <w:szCs w:val="20"/>
          <w:color w:val="auto"/>
        </w:rPr>
      </w:pPr>
    </w:p>
    <w:p>
      <w:pPr>
        <w:ind w:firstLine="751"/>
        <w:spacing w:after="0" w:line="248" w:lineRule="auto"/>
        <w:rPr>
          <w:sz w:val="20"/>
          <w:szCs w:val="20"/>
          <w:color w:val="auto"/>
        </w:rPr>
      </w:pPr>
      <w:r>
        <w:rPr>
          <w:rFonts w:ascii="Times New Roman" w:cs="Times New Roman" w:eastAsia="Times New Roman" w:hAnsi="Times New Roman"/>
          <w:sz w:val="16"/>
          <w:szCs w:val="16"/>
          <w:color w:val="auto"/>
        </w:rPr>
        <w:t>AXS-07 met both of the two co-primary endpoints by demonstrating a statistically significantly greater percentage of patients as compared to placebo achieving pain freedom (32.6% versus 16.3%, p=0.002) and freedom from most bothersome symptom (43.9% versus 26.7%, p=0.003), 2 hours after dosing. AXS-07 durably relieved migraine pain with a statistically significantly greater percentage of patients as compared to placebo achieving sustained pain freedom from 2 to 24 hours after dosing (22.7% versus 12.6%, p=0.030), and from 2 to 48 hours after dosing (20.5% versus 9.6%, p=0.013). AXS-07 rapidly eliminated migraine symptoms, with numerical separation from placebo as early as 30 minutes for migraine pain freedom and most bothersome symptom freedom, achieving statistical significance for migraine pain at 90 minutes (p=0.003) and at every timepoint thereafter.</w:t>
      </w:r>
    </w:p>
    <w:p>
      <w:pPr>
        <w:spacing w:after="0" w:line="166" w:lineRule="exact"/>
        <w:rPr>
          <w:sz w:val="20"/>
          <w:szCs w:val="20"/>
          <w:color w:val="auto"/>
        </w:rPr>
      </w:pPr>
    </w:p>
    <w:p>
      <w:pPr>
        <w:ind w:firstLine="751"/>
        <w:spacing w:after="0" w:line="251" w:lineRule="auto"/>
        <w:rPr>
          <w:sz w:val="20"/>
          <w:szCs w:val="20"/>
          <w:color w:val="auto"/>
        </w:rPr>
      </w:pPr>
      <w:r>
        <w:rPr>
          <w:rFonts w:ascii="Times New Roman" w:cs="Times New Roman" w:eastAsia="Times New Roman" w:hAnsi="Times New Roman"/>
          <w:sz w:val="16"/>
          <w:szCs w:val="16"/>
          <w:color w:val="auto"/>
        </w:rPr>
        <w:t>A single dose of AXS-07 significantly prevented progression of migraine pain beyond mild intensity while significantly reducing the use of rescue medication. Freedom from pain progression from 2 to 24 hours after dosing was achieved by 73.5% of AXS-07 patients versus 47.4% of placebo patients (p&lt;0.001). The effect on pain progression translated to a significant reduction in the use of rescue medication, with only 15.3% of AXS-07 patients requiring rescue medication through 24 hours after dosing, versus 42.2% of placebo patients (p&lt;0.001).</w:t>
      </w:r>
    </w:p>
    <w:p>
      <w:pPr>
        <w:spacing w:after="0" w:line="164" w:lineRule="exact"/>
        <w:rPr>
          <w:sz w:val="20"/>
          <w:szCs w:val="20"/>
          <w:color w:val="auto"/>
        </w:rPr>
      </w:pPr>
    </w:p>
    <w:p>
      <w:pPr>
        <w:ind w:right="260" w:firstLine="751"/>
        <w:spacing w:after="0" w:line="255" w:lineRule="auto"/>
        <w:rPr>
          <w:sz w:val="20"/>
          <w:szCs w:val="20"/>
          <w:color w:val="auto"/>
        </w:rPr>
      </w:pPr>
      <w:r>
        <w:rPr>
          <w:rFonts w:ascii="Times New Roman" w:cs="Times New Roman" w:eastAsia="Times New Roman" w:hAnsi="Times New Roman"/>
          <w:sz w:val="16"/>
          <w:szCs w:val="16"/>
          <w:color w:val="auto"/>
        </w:rPr>
        <w:t>AXS-07 substantially and significantly reduced functional disability and demonstrated overall disease improvement. AXS-07 treatment resulted in 73.5% of patients able to perform normal activities at 24 hours compared to 47.4% of placebo patients (p&lt;0.001). On the Patient Global Impression of Change (PGI-C) scale, 52.4% of AXS-07 patients were very much or much improved compared to 27.7% of placebo patients (p&lt;0.001).</w:t>
      </w:r>
    </w:p>
    <w:p>
      <w:pPr>
        <w:spacing w:after="0" w:line="160" w:lineRule="exact"/>
        <w:rPr>
          <w:sz w:val="20"/>
          <w:szCs w:val="20"/>
          <w:color w:val="auto"/>
        </w:rPr>
      </w:pPr>
    </w:p>
    <w:p>
      <w:pPr>
        <w:ind w:right="40" w:firstLine="751"/>
        <w:spacing w:after="0" w:line="267" w:lineRule="auto"/>
        <w:rPr>
          <w:sz w:val="20"/>
          <w:szCs w:val="20"/>
          <w:color w:val="auto"/>
        </w:rPr>
      </w:pPr>
      <w:r>
        <w:rPr>
          <w:rFonts w:ascii="Times New Roman" w:cs="Times New Roman" w:eastAsia="Times New Roman" w:hAnsi="Times New Roman"/>
          <w:sz w:val="16"/>
          <w:szCs w:val="16"/>
          <w:color w:val="auto"/>
        </w:rPr>
        <w:t>AXS-07 was well tolerated in the trial. The most commonly reported adverse events with AXS-07 were somnolence, dizziness, and paresthesia, all of which occurred at a rate of less than five percent.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MOVEMENT Study</w:t>
      </w:r>
    </w:p>
    <w:p>
      <w:pPr>
        <w:spacing w:after="0" w:line="191" w:lineRule="exact"/>
        <w:rPr>
          <w:sz w:val="20"/>
          <w:szCs w:val="20"/>
          <w:color w:val="auto"/>
        </w:rPr>
      </w:pPr>
    </w:p>
    <w:p>
      <w:pPr>
        <w:ind w:right="40" w:firstLine="751"/>
        <w:spacing w:after="0" w:line="255" w:lineRule="auto"/>
        <w:rPr>
          <w:sz w:val="20"/>
          <w:szCs w:val="20"/>
          <w:color w:val="auto"/>
        </w:rPr>
      </w:pPr>
      <w:r>
        <w:rPr>
          <w:rFonts w:ascii="Times New Roman" w:cs="Times New Roman" w:eastAsia="Times New Roman" w:hAnsi="Times New Roman"/>
          <w:sz w:val="16"/>
          <w:szCs w:val="16"/>
          <w:color w:val="auto"/>
        </w:rPr>
        <w:t>In July 2019, we announced that we were enrolling the Phase 3 open-label MOVEMENT (Multimechanistic Treatment over Time of Migraine Symptoms) study in order to build a patient safety database to support the filing of an NDA for AXS-07 in the acute treatment of migraine. In December 2020, we announced positive efficacy and long-term safety results from the MOVEMENT trial of AXS-07 in the acute treatment of migraine.</w:t>
      </w:r>
    </w:p>
    <w:p>
      <w:pPr>
        <w:spacing w:after="0" w:line="160" w:lineRule="exact"/>
        <w:rPr>
          <w:sz w:val="20"/>
          <w:szCs w:val="20"/>
          <w:color w:val="auto"/>
        </w:rPr>
      </w:pPr>
    </w:p>
    <w:p>
      <w:pPr>
        <w:ind w:right="40" w:firstLine="751"/>
        <w:spacing w:after="0" w:line="248" w:lineRule="auto"/>
        <w:rPr>
          <w:sz w:val="20"/>
          <w:szCs w:val="20"/>
          <w:color w:val="auto"/>
        </w:rPr>
      </w:pPr>
      <w:r>
        <w:rPr>
          <w:rFonts w:ascii="Times New Roman" w:cs="Times New Roman" w:eastAsia="Times New Roman" w:hAnsi="Times New Roman"/>
          <w:sz w:val="16"/>
          <w:szCs w:val="16"/>
          <w:color w:val="auto"/>
        </w:rPr>
        <w:t>The MOVEMENT trial evaluated the long-term safety of AXS-07 (20 mg MoSEIC™ meloxicam-10 mg rizatriptan), dosed for up to 12 months, in patients with migraine attacks. The study enrolled patients who had completed the previous pivotal studies of AXS-07: the MOMENTUM and INTERCEPT trials. Enrolled patients were allowed to treat up to 10 migraine attacks per month during the up to 12-month period, with one dose of AXS-07 for each migraine that occurred. The safety and efficacy of AXS-07 was assessed during the trial. A total of 706 patients were enrolled. The trial was concluded once at least 300 patients had treated at least 2 migraines a month for 6 months, and approximately 100 patients had treated at least 2 migraines a month for 12 months, as pre-specified. At the time of study conclusion, 515 patients had reached at least 6 months, and 155 patients had reached at least 12 months of treatment. Over 21,000 migraine attacks were treated with AXS-07 during the trial.</w:t>
      </w:r>
    </w:p>
    <w:p>
      <w:pPr>
        <w:spacing w:after="0" w:line="16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In the MOVEMENT trial, administration of AXS-07 resulted in rapid, and substantial relief of migraine pain and associated symptoms. Within 1 hour after dosing, 39%</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(range: 37-41%) of patients achieved relief of migraine pain, demonstrating the rapid onset of AXS-07. Two hours after administration of AXS-07, relief of migraine pain was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achieved by 68% (range: 65-71%) of patients and pain freedom by 38% (range: 37-40%) of patients. Freedom from most bothersome symptom (photophobia, phonophobia, nausea)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was achieved by 47% (range: 46-49%) of patients within 2 hours after dosing.</w:t>
      </w:r>
    </w:p>
    <w:p>
      <w:pPr>
        <w:spacing w:after="0" w:line="174" w:lineRule="exact"/>
        <w:rPr>
          <w:sz w:val="20"/>
          <w:szCs w:val="20"/>
          <w:color w:val="auto"/>
        </w:rPr>
      </w:pPr>
    </w:p>
    <w:p>
      <w:pPr>
        <w:ind w:right="60" w:firstLine="751"/>
        <w:spacing w:after="0" w:line="251" w:lineRule="auto"/>
        <w:rPr>
          <w:sz w:val="20"/>
          <w:szCs w:val="20"/>
          <w:color w:val="auto"/>
        </w:rPr>
      </w:pPr>
      <w:r>
        <w:rPr>
          <w:rFonts w:ascii="Times New Roman" w:cs="Times New Roman" w:eastAsia="Times New Roman" w:hAnsi="Times New Roman"/>
          <w:sz w:val="16"/>
          <w:szCs w:val="16"/>
          <w:color w:val="auto"/>
        </w:rPr>
        <w:t>AXS-07 durably relieved migraine pain with 85% (range: 84-86%) of patients free from rescue medication use through 24 hours, and 83% (range: 82-85%) of patients free from rescue medication use through 48 hours after a single administration of AXS-07. Rates of sustained pain relief from 2 to 24 hours and from 2 to 48 hours were 60% (range: 59-62%) and 59% (58-60%), respectively. Rates of sustained pain freedom from 2 to 24 hours and from 2 to 48 hours were 33% (range: 33-35%) and 32% (range: 32-34%), respectively.</w:t>
      </w:r>
    </w:p>
    <w:p>
      <w:pPr>
        <w:spacing w:after="0" w:line="164" w:lineRule="exact"/>
        <w:rPr>
          <w:sz w:val="20"/>
          <w:szCs w:val="20"/>
          <w:color w:val="auto"/>
        </w:rPr>
      </w:pPr>
    </w:p>
    <w:p>
      <w:pPr>
        <w:ind w:right="300" w:firstLine="751"/>
        <w:spacing w:after="0" w:line="267" w:lineRule="auto"/>
        <w:rPr>
          <w:sz w:val="20"/>
          <w:szCs w:val="20"/>
          <w:color w:val="auto"/>
        </w:rPr>
      </w:pPr>
      <w:r>
        <w:rPr>
          <w:rFonts w:ascii="Times New Roman" w:cs="Times New Roman" w:eastAsia="Times New Roman" w:hAnsi="Times New Roman"/>
          <w:sz w:val="16"/>
          <w:szCs w:val="16"/>
          <w:color w:val="auto"/>
        </w:rPr>
        <w:t>AXS-07 was well tolerated with long-term dosing. The safety profile of AXS-07 over the 12-month treatment period was consistent with that previously reported in short-term controlled trials. The most commonly reported adverse events (≥3%) were nausea, dizziness, and vomiting.</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AXS-12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191" w:lineRule="exact"/>
        <w:rPr>
          <w:sz w:val="20"/>
          <w:szCs w:val="20"/>
          <w:color w:val="auto"/>
        </w:rPr>
      </w:pPr>
    </w:p>
    <w:p>
      <w:pPr>
        <w:ind w:right="360" w:firstLine="751"/>
        <w:spacing w:after="0" w:line="267" w:lineRule="auto"/>
        <w:rPr>
          <w:sz w:val="20"/>
          <w:szCs w:val="20"/>
          <w:color w:val="auto"/>
        </w:rPr>
      </w:pPr>
      <w:r>
        <w:rPr>
          <w:rFonts w:ascii="Times New Roman" w:cs="Times New Roman" w:eastAsia="Times New Roman" w:hAnsi="Times New Roman"/>
          <w:sz w:val="16"/>
          <w:szCs w:val="16"/>
          <w:color w:val="auto"/>
        </w:rPr>
        <w:t>AXS-12, reboxetine, is a novel, oral, investigational medicine that we are initially developing for the treatment of the symptoms of narcolepsy. AXS-12 is a highly selective and potent norepinephrine reuptake inhibitor.</w:t>
      </w:r>
    </w:p>
    <w:p>
      <w:pPr>
        <w:spacing w:after="0" w:line="151" w:lineRule="exact"/>
        <w:rPr>
          <w:sz w:val="20"/>
          <w:szCs w:val="20"/>
          <w:color w:val="auto"/>
        </w:rPr>
      </w:pPr>
    </w:p>
    <w:p>
      <w:pPr>
        <w:ind w:firstLine="751"/>
        <w:spacing w:after="0" w:line="249" w:lineRule="auto"/>
        <w:rPr>
          <w:sz w:val="20"/>
          <w:szCs w:val="20"/>
          <w:color w:val="auto"/>
        </w:rPr>
      </w:pPr>
      <w:r>
        <w:rPr>
          <w:rFonts w:ascii="Times New Roman" w:cs="Times New Roman" w:eastAsia="Times New Roman" w:hAnsi="Times New Roman"/>
          <w:sz w:val="16"/>
          <w:szCs w:val="16"/>
          <w:color w:val="auto"/>
        </w:rPr>
        <w:t>In October 2018, we received Orphan Drug Designation from the FDA for AXS-12 for the treatment of narcolepsy. In January 2020, we entered into an exclusive license agreement with Pfizer for Pfizer’s clinical and nonclinical data, and intellectual property for reboxetine, the active pharmaceutical ingredient in AXS-12. In September 2020, we announced the Phase 2 CONCERT study and a single Phase 3 study would be sufficient to support the filing of an NDA. In July 2021, we announced that we were notified by the FDA that the FDA has rescinded our Breakthrough Therapy Designation for our AXS-12 product candidate for the treatment of cataplexy in narcolepsy, due to the FDA approving an additional drug product for the treatment of cataplexy in narcolepsy subsequent to granting AXS-12 Breakthrough Therapy Designation.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Narcolepsy</w:t>
      </w:r>
    </w:p>
    <w:p>
      <w:pPr>
        <w:spacing w:after="0" w:line="191" w:lineRule="exact"/>
        <w:rPr>
          <w:sz w:val="20"/>
          <w:szCs w:val="20"/>
          <w:color w:val="auto"/>
        </w:rPr>
      </w:pPr>
    </w:p>
    <w:p>
      <w:pPr>
        <w:ind w:firstLine="751"/>
        <w:spacing w:after="0" w:line="249" w:lineRule="auto"/>
        <w:rPr>
          <w:sz w:val="20"/>
          <w:szCs w:val="20"/>
          <w:color w:val="auto"/>
        </w:rPr>
      </w:pPr>
      <w:r>
        <w:rPr>
          <w:rFonts w:ascii="Times New Roman" w:cs="Times New Roman" w:eastAsia="Times New Roman" w:hAnsi="Times New Roman"/>
          <w:sz w:val="16"/>
          <w:szCs w:val="16"/>
          <w:color w:val="auto"/>
        </w:rPr>
        <w:t>Narcolepsy is a serious and debilitating neurological condition that causes dysregulation of the sleep-wake cycle and is characterized clinically by excessive daytime sleepiness, cataplexy, hypnagogic hallucinations, sleep paralysis, and disrupted nocturnal sleep. Narcolepsy afflicts an estimated 185,000 individuals in the U.S. Cataplexy is seen in an estimated 70% of narcolepsy patients and is a sudden reduction or loss of muscle tone while a patient is awake, typically triggered by strong emotions such as laughter, fear, anger, stress, or excitement. Narcolepsy interferes with cognitive, psychological, and social functioning, increases the risk of work- and driving-related accidents, and is associated with a 1.5 fold higher mortality rate.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CONCERT Study</w:t>
      </w:r>
    </w:p>
    <w:p>
      <w:pPr>
        <w:spacing w:after="0" w:line="191" w:lineRule="exact"/>
        <w:rPr>
          <w:sz w:val="20"/>
          <w:szCs w:val="20"/>
          <w:color w:val="auto"/>
        </w:rPr>
      </w:pPr>
    </w:p>
    <w:p>
      <w:pPr>
        <w:ind w:right="40" w:firstLine="751"/>
        <w:spacing w:after="0" w:line="267" w:lineRule="auto"/>
        <w:rPr>
          <w:sz w:val="20"/>
          <w:szCs w:val="20"/>
          <w:color w:val="auto"/>
        </w:rPr>
      </w:pPr>
      <w:r>
        <w:rPr>
          <w:rFonts w:ascii="Times New Roman" w:cs="Times New Roman" w:eastAsia="Times New Roman" w:hAnsi="Times New Roman"/>
          <w:sz w:val="16"/>
          <w:szCs w:val="16"/>
          <w:color w:val="auto"/>
        </w:rPr>
        <w:t>In January 2019, we initiated the CONCERT study to evaluate the efficacy and safety of AXS-12 in narcolepsy. In December 2019, we announced that AXS-12 met the prespecified primary endpoint and significantly reduced the total number of cataplexy attacks in the CONCERT trial.</w:t>
      </w:r>
    </w:p>
    <w:p>
      <w:pPr>
        <w:spacing w:after="0" w:line="151" w:lineRule="exact"/>
        <w:rPr>
          <w:sz w:val="20"/>
          <w:szCs w:val="20"/>
          <w:color w:val="auto"/>
        </w:rPr>
      </w:pPr>
    </w:p>
    <w:p>
      <w:pPr>
        <w:ind w:right="320" w:firstLine="751"/>
        <w:spacing w:after="0" w:line="255" w:lineRule="auto"/>
        <w:rPr>
          <w:sz w:val="20"/>
          <w:szCs w:val="20"/>
          <w:color w:val="auto"/>
        </w:rPr>
      </w:pPr>
      <w:r>
        <w:rPr>
          <w:rFonts w:ascii="Times New Roman" w:cs="Times New Roman" w:eastAsia="Times New Roman" w:hAnsi="Times New Roman"/>
          <w:sz w:val="16"/>
          <w:szCs w:val="16"/>
          <w:color w:val="auto"/>
        </w:rPr>
        <w:t>CONCERT was a Phase 2, randomized, double-blind, placebo-controlled, crossover, multicenter, U.S. trial in which 21 patients with a diagnosis of narcolepsy with cataplexy were all treated with orally administered AXS-12 for 2 weeks, and with placebo for 2 weeks, with the treatment periods separated by 1 week of down-titration and washout.</w:t>
      </w:r>
    </w:p>
    <w:p>
      <w:pPr>
        <w:spacing w:after="0" w:line="160" w:lineRule="exact"/>
        <w:rPr>
          <w:sz w:val="20"/>
          <w:szCs w:val="20"/>
          <w:color w:val="auto"/>
        </w:rPr>
      </w:pPr>
    </w:p>
    <w:p>
      <w:pPr>
        <w:ind w:right="260" w:firstLine="751"/>
        <w:spacing w:after="0" w:line="293" w:lineRule="auto"/>
        <w:rPr>
          <w:sz w:val="20"/>
          <w:szCs w:val="20"/>
          <w:color w:val="auto"/>
        </w:rPr>
      </w:pPr>
      <w:r>
        <w:rPr>
          <w:rFonts w:ascii="Times New Roman" w:cs="Times New Roman" w:eastAsia="Times New Roman" w:hAnsi="Times New Roman"/>
          <w:sz w:val="14"/>
          <w:szCs w:val="14"/>
          <w:color w:val="auto"/>
        </w:rPr>
        <w:t>AXS-12 met the prespecified primary endpoint by demonstrating a highly statistically significant reduction from baseline in the mean weekly number of cataplexy attacks, averaged for the 2-week treatment period, the overall treatment effect, as compared to placebo (p&lt;0.001). At Week 2, AXS-12 demonstrated a mean reduction of 14.6 cataplexy attacks per week compared to a reduction of 2.6 attacks per week for placebo (p=0.002), representing mean reductions of 48.8% and 8.6% from baseline, respectively. The proportion of patients achieving a 50% or greater reduction in the weekly number of cataplexy attacks was 76.2% for AXS-12, compared to 30.0% for placebo (p=0.003) at Week 2. The improvement in cataplexy was rapid with AXS-12 demonstrating significant benefit over placebo as early as Week 1 (p&lt;0.001).</w:t>
      </w:r>
    </w:p>
    <w:p>
      <w:pPr>
        <w:spacing w:after="0" w:line="138" w:lineRule="exact"/>
        <w:rPr>
          <w:sz w:val="20"/>
          <w:szCs w:val="20"/>
          <w:color w:val="auto"/>
        </w:rPr>
      </w:pPr>
    </w:p>
    <w:p>
      <w:pPr>
        <w:ind w:right="40" w:firstLine="751"/>
        <w:spacing w:after="0" w:line="249" w:lineRule="auto"/>
        <w:rPr>
          <w:sz w:val="20"/>
          <w:szCs w:val="20"/>
          <w:color w:val="auto"/>
        </w:rPr>
      </w:pPr>
      <w:r>
        <w:rPr>
          <w:rFonts w:ascii="Times New Roman" w:cs="Times New Roman" w:eastAsia="Times New Roman" w:hAnsi="Times New Roman"/>
          <w:sz w:val="16"/>
          <w:szCs w:val="16"/>
          <w:color w:val="auto"/>
        </w:rPr>
        <w:t>AXS-12 significantly improved EDS symptoms compared to placebo, as measured by the Epworth Sleepiness Scale, or ESS, and by the frequency of inadvertent naps. The improvement on the ESS with AXS-12 treatment was twice that observed with placebo, with reductions from baseline in the ESS score of 6.0 and 3.1, respectively for AXS-12 and placebo (p=0.003). AXS-12 treatment resulted in a 31.8% mean reduction from baseline in the average weekly number of inadvertent naps versus a 5.3% mean reduction for placebo (p&lt;0.001) at Week 2. The improvement in frequency of inadvertent naps was rapid with AXS-12 demonstrating significant benefit over placebo as early as Week 1 (p=0.038).</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20" w:firstLine="751"/>
        <w:spacing w:after="0" w:line="249" w:lineRule="auto"/>
        <w:rPr>
          <w:sz w:val="20"/>
          <w:szCs w:val="20"/>
          <w:color w:val="auto"/>
        </w:rPr>
      </w:pPr>
      <w:r>
        <w:rPr>
          <w:rFonts w:ascii="Times New Roman" w:cs="Times New Roman" w:eastAsia="Times New Roman" w:hAnsi="Times New Roman"/>
          <w:sz w:val="16"/>
          <w:szCs w:val="16"/>
          <w:color w:val="auto"/>
        </w:rPr>
        <w:t>AXS-12 significantly improved cognitive function compared to placebo over the 2-week treatment period as measured by the Ability to Concentrate item of the Narcolepsy Symptom Assessment Questionnaire (NSAQ), which was assessed daily (p&lt;0.001). For this assessment, patients rated their ability to concentrate on a 5-point scale (1=very good to 5=very poor). At the end of treatment, 42.9% of patients had an ability to concentrate that was “good” to “very good” with AXS-12 treatment, compared to 25.0% of patients with placebo, and 0% of patients at baseline. The improvement in the ability to concentrate was rapid with AXS-12 demonstrating significant improvement over placebo as early as Week 1 (p=0.007).</w:t>
      </w:r>
    </w:p>
    <w:p>
      <w:pPr>
        <w:spacing w:after="0" w:line="166" w:lineRule="exact"/>
        <w:rPr>
          <w:sz w:val="20"/>
          <w:szCs w:val="20"/>
          <w:color w:val="auto"/>
        </w:rPr>
      </w:pPr>
    </w:p>
    <w:p>
      <w:pPr>
        <w:ind w:right="80" w:firstLine="751"/>
        <w:spacing w:after="0" w:line="251" w:lineRule="auto"/>
        <w:rPr>
          <w:sz w:val="20"/>
          <w:szCs w:val="20"/>
          <w:color w:val="auto"/>
        </w:rPr>
      </w:pPr>
      <w:r>
        <w:rPr>
          <w:rFonts w:ascii="Times New Roman" w:cs="Times New Roman" w:eastAsia="Times New Roman" w:hAnsi="Times New Roman"/>
          <w:sz w:val="16"/>
          <w:szCs w:val="16"/>
          <w:color w:val="auto"/>
        </w:rPr>
        <w:t>AXS-12 significantly improved sleep quality, as measured by overall improvement and by number of awakenings at night, and reduced sleep-related symptoms, as compared to placebo. AXS-12 treatment resulted in 45.0% of patients reporting improved sleep quality versus 5.3% of patients with placebo (p=0.007). AXS-12 treatment resulted in 30.0% of patients reporting a reduction in the number of awakenings at night versus 5.3% of patients with placebo (p=0.044). AXS-12 treatment also resulted in greater proportions of patients with reductions in sleep paralysis episodes, and in hypnagogic hallucinations, as compared to placebo (p=ns).</w:t>
      </w:r>
    </w:p>
    <w:p>
      <w:pPr>
        <w:spacing w:after="0" w:line="1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AXS-12 was well tolerated in the trial. The most commonly reported adverse events with AXS-12 treatment were anxiety, constipation, and insomnia.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SYMPHONY Study</w:t>
      </w:r>
    </w:p>
    <w:p>
      <w:pPr>
        <w:spacing w:after="0" w:line="191" w:lineRule="exact"/>
        <w:rPr>
          <w:sz w:val="20"/>
          <w:szCs w:val="20"/>
          <w:color w:val="auto"/>
        </w:rPr>
      </w:pPr>
    </w:p>
    <w:p>
      <w:pPr>
        <w:ind w:right="160" w:firstLine="751"/>
        <w:spacing w:after="0" w:line="251" w:lineRule="auto"/>
        <w:rPr>
          <w:sz w:val="20"/>
          <w:szCs w:val="20"/>
          <w:color w:val="auto"/>
        </w:rPr>
      </w:pPr>
      <w:r>
        <w:rPr>
          <w:rFonts w:ascii="Times New Roman" w:cs="Times New Roman" w:eastAsia="Times New Roman" w:hAnsi="Times New Roman"/>
          <w:sz w:val="16"/>
          <w:szCs w:val="16"/>
          <w:color w:val="auto"/>
        </w:rPr>
        <w:t>In September 2021, we enrolled the first patient in SYMPHONY (Study Evaluating a Mechanistic Approach to Treating Narcolepsy), a Phase 3, randomized, double-blind, placebo-controlled trial of AXS-12 in patients with narcolepsy. Topline results from the SYMPHONY trial are anticipated in the first quarter of 2024. Approximately 90 patients will be randomized in a 1:1 ratio to treatment with AXS-12 or placebo for 5 weeks. The primary endpoint will be the frequency of cataplexy attacks. Other symptoms of narcolepsy as well as safety will be assessed throughout the study.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AXS-14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189" w:lineRule="exact"/>
        <w:rPr>
          <w:sz w:val="20"/>
          <w:szCs w:val="20"/>
          <w:color w:val="auto"/>
        </w:rPr>
      </w:pPr>
    </w:p>
    <w:p>
      <w:pPr>
        <w:ind w:right="160" w:firstLine="751"/>
        <w:spacing w:after="0" w:line="270" w:lineRule="auto"/>
        <w:rPr>
          <w:sz w:val="20"/>
          <w:szCs w:val="20"/>
          <w:color w:val="auto"/>
        </w:rPr>
      </w:pPr>
      <w:r>
        <w:rPr>
          <w:rFonts w:ascii="Times New Roman" w:cs="Times New Roman" w:eastAsia="Times New Roman" w:hAnsi="Times New Roman"/>
          <w:sz w:val="16"/>
          <w:szCs w:val="16"/>
          <w:color w:val="auto"/>
        </w:rPr>
        <w:t xml:space="preserve">AXS-14, esreboxetine, is a highly selective and potent norepinephrine reuptake inhibitor for the treatment of fibromyalgia and other conditions. Esreboxetine, the </w:t>
      </w:r>
      <w:r>
        <w:rPr>
          <w:rFonts w:ascii="Times New Roman" w:cs="Times New Roman" w:eastAsia="Times New Roman" w:hAnsi="Times New Roman"/>
          <w:sz w:val="16"/>
          <w:szCs w:val="16"/>
          <w:i w:val="1"/>
          <w:iCs w:val="1"/>
          <w:color w:val="auto"/>
        </w:rPr>
        <w:t>SS</w:t>
      </w:r>
      <w:r>
        <w:rPr>
          <w:rFonts w:ascii="Times New Roman" w:cs="Times New Roman" w:eastAsia="Times New Roman" w:hAnsi="Times New Roman"/>
          <w:sz w:val="16"/>
          <w:szCs w:val="16"/>
          <w:color w:val="auto"/>
        </w:rPr>
        <w:t>-enantiomer of reboxetine, is more potent and selective than racemic reboxetine.</w:t>
      </w:r>
    </w:p>
    <w:p>
      <w:pPr>
        <w:spacing w:after="0" w:line="148" w:lineRule="exact"/>
        <w:rPr>
          <w:sz w:val="20"/>
          <w:szCs w:val="20"/>
          <w:color w:val="auto"/>
        </w:rPr>
      </w:pPr>
    </w:p>
    <w:p>
      <w:pPr>
        <w:ind w:right="200" w:firstLine="751"/>
        <w:spacing w:after="0" w:line="255" w:lineRule="auto"/>
        <w:rPr>
          <w:sz w:val="20"/>
          <w:szCs w:val="20"/>
          <w:color w:val="auto"/>
        </w:rPr>
      </w:pPr>
      <w:r>
        <w:rPr>
          <w:rFonts w:ascii="Times New Roman" w:cs="Times New Roman" w:eastAsia="Times New Roman" w:hAnsi="Times New Roman"/>
          <w:sz w:val="16"/>
          <w:szCs w:val="16"/>
          <w:color w:val="auto"/>
        </w:rPr>
        <w:t>In January 2020, Axsome received from Pfizer an exclusive license to develop and commercialize esreboxetine in the U.S. for fibromyalgia and all other indications. The license encompasses nonclinical and clinical data for esreboxetine including results from a positive Phase 3 and a positive Phase 2 trial of esreboxetine in the treatment of fibromyalgia conducted by Pfizer.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Fibromyalgia</w:t>
      </w:r>
    </w:p>
    <w:p>
      <w:pPr>
        <w:spacing w:after="0" w:line="191" w:lineRule="exact"/>
        <w:rPr>
          <w:sz w:val="20"/>
          <w:szCs w:val="20"/>
          <w:color w:val="auto"/>
        </w:rPr>
      </w:pPr>
    </w:p>
    <w:p>
      <w:pPr>
        <w:ind w:right="20" w:firstLine="751"/>
        <w:spacing w:after="0" w:line="251" w:lineRule="auto"/>
        <w:rPr>
          <w:sz w:val="20"/>
          <w:szCs w:val="20"/>
          <w:color w:val="auto"/>
        </w:rPr>
      </w:pPr>
      <w:r>
        <w:rPr>
          <w:rFonts w:ascii="Times New Roman" w:cs="Times New Roman" w:eastAsia="Times New Roman" w:hAnsi="Times New Roman"/>
          <w:sz w:val="16"/>
          <w:szCs w:val="16"/>
          <w:color w:val="auto"/>
        </w:rPr>
        <w:t>Fibromyalgia is a chronic disorder often characterized by widespread pain, fatigue, disturbed sleep, depression, and cognitive impairment. Other symptoms of this disorder can include tingling in the hands and feet and headaches. Fibromyalgia is considered to be mediated mainly in the central nervous system. Approximately 5 million Americans, 90% of whom are women, are estimated to suffer from fibromyalgia. Treatment options for fibromyalgia are limited with only three pharmacologic treatments currently approved by the FDA.</w:t>
      </w:r>
    </w:p>
    <w:p>
      <w:pPr>
        <w:spacing w:after="0" w:line="164" w:lineRule="exact"/>
        <w:rPr>
          <w:sz w:val="20"/>
          <w:szCs w:val="20"/>
          <w:color w:val="auto"/>
        </w:rPr>
      </w:pPr>
    </w:p>
    <w:p>
      <w:pPr>
        <w:ind w:firstLine="751"/>
        <w:spacing w:after="0" w:line="249" w:lineRule="auto"/>
        <w:rPr>
          <w:sz w:val="20"/>
          <w:szCs w:val="20"/>
          <w:color w:val="auto"/>
        </w:rPr>
      </w:pPr>
      <w:r>
        <w:rPr>
          <w:rFonts w:ascii="Times New Roman" w:cs="Times New Roman" w:eastAsia="Times New Roman" w:hAnsi="Times New Roman"/>
          <w:sz w:val="16"/>
          <w:szCs w:val="16"/>
          <w:color w:val="auto"/>
        </w:rPr>
        <w:t>In a Phase 3 trial conducted by Pfizer in 1,122 patients with fibromyalgia treated with esreboxetine or placebo for 14 weeks, the study met the two primary endpoints demonstrating statistically significant improvements compared to placebo in the weekly mean pain score (p&lt;0.001, p&lt;0.001, and p=0.025, for 4 mg, 8 mg and 10 mg daily doses, respectively), and the Fibromyalgia Impact Questionnaire, or FIQ, total score (p&lt;0.001, p&lt;0.001, and p=0.023, for 4 mg, 8 mg and 10 mg doses, respectively). Esreboxetine also resulted in statistically significant improvements as compared to placebo on the PGI-C scale (p=0.002, p=0.001, and p=0.007, for 4 mg, 8 mg and 10 mg doses, respectively), and in fatigue as measured using the Global Fatigue Index (p=0.001 and p=0.001, for 4 mg and 8 mg daily doses, respectively).</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20" w:firstLine="751"/>
        <w:spacing w:after="0" w:line="251" w:lineRule="auto"/>
        <w:rPr>
          <w:sz w:val="20"/>
          <w:szCs w:val="20"/>
          <w:color w:val="auto"/>
        </w:rPr>
      </w:pPr>
      <w:r>
        <w:rPr>
          <w:rFonts w:ascii="Times New Roman" w:cs="Times New Roman" w:eastAsia="Times New Roman" w:hAnsi="Times New Roman"/>
          <w:sz w:val="16"/>
          <w:szCs w:val="16"/>
          <w:color w:val="auto"/>
        </w:rPr>
        <w:t>In a Phase 2 trial conducted by Pfizer in 267 patients with fibromyalgia treated with esreboxetine (dose escalated to 8 mg/day) or placebo for 8 weeks, esreboxetine met its primary endpoint demonstrating statistically significant improvements compared to placebo in the weekly mean pain score (p=0.006). The study also demonstrated statistically significant improvements in additional efficacy outcomes including the FIQ total score (p&lt;0.001), the PGIC scale (p&lt;0.001), and fatigue as measured using the Multidimensional Assessment of Fatigue scale (p&lt;0.001).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Solriamfetol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191" w:lineRule="exact"/>
        <w:rPr>
          <w:sz w:val="20"/>
          <w:szCs w:val="20"/>
          <w:color w:val="auto"/>
        </w:rPr>
      </w:pPr>
    </w:p>
    <w:p>
      <w:pPr>
        <w:ind w:right="80" w:firstLine="751"/>
        <w:spacing w:after="0" w:line="255" w:lineRule="auto"/>
        <w:rPr>
          <w:sz w:val="20"/>
          <w:szCs w:val="20"/>
          <w:color w:val="auto"/>
        </w:rPr>
      </w:pPr>
      <w:r>
        <w:rPr>
          <w:rFonts w:ascii="Times New Roman" w:cs="Times New Roman" w:eastAsia="Times New Roman" w:hAnsi="Times New Roman"/>
          <w:sz w:val="16"/>
          <w:szCs w:val="16"/>
          <w:color w:val="auto"/>
        </w:rPr>
        <w:t>Solriamfetol is an oral, dual-acting dopamine and norepinephrine reuptake inhibitor and TAAR1 agonist. Based on its mechanisms of action, solriamfetol is potentially applicable to the treatment of a variety of CNS disorders. We are developing solriamfetol in major depressive disorder, binge eating disorder, shift work disorder, and attention deficit hyperactivity disorder.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Attention Deficit Hyperactivity Disorder</w:t>
      </w:r>
    </w:p>
    <w:p>
      <w:pPr>
        <w:spacing w:after="0" w:line="191" w:lineRule="exact"/>
        <w:rPr>
          <w:sz w:val="20"/>
          <w:szCs w:val="20"/>
          <w:color w:val="auto"/>
        </w:rPr>
      </w:pPr>
    </w:p>
    <w:p>
      <w:pPr>
        <w:ind w:right="20" w:firstLine="751"/>
        <w:spacing w:after="0" w:line="249" w:lineRule="auto"/>
        <w:rPr>
          <w:sz w:val="20"/>
          <w:szCs w:val="20"/>
          <w:color w:val="auto"/>
        </w:rPr>
      </w:pPr>
      <w:r>
        <w:rPr>
          <w:rFonts w:ascii="Times New Roman" w:cs="Times New Roman" w:eastAsia="Times New Roman" w:hAnsi="Times New Roman"/>
          <w:sz w:val="16"/>
          <w:szCs w:val="16"/>
          <w:color w:val="auto"/>
        </w:rPr>
        <w:t>We are developing solriamfetol in attention deficit hyperactivity disorder, or ADHD. ADHD is a chronic neurobiological and developmental disorder characterized by a persistent pattern of inattention, hyperactivity, or impulsivity that interferes with functioning or development. Impairments in cognition are apparent in attention, planning and problem solving, working memory, and behavioral inhibition. An estimated 11.4 million adults in the U.S. are diagnosed with ADHD, and the condition affects an estimated 5% of children and adolescents. Approximately two-thirds or more of children with ADHD continue to have symptoms and challenges in adulthood. The total annual societal excess costs associated with adult ADHD in the U.S. have been estimated at $122.8 billion.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FOCUS Study</w:t>
      </w:r>
    </w:p>
    <w:p>
      <w:pPr>
        <w:spacing w:after="0" w:line="191" w:lineRule="exact"/>
        <w:rPr>
          <w:sz w:val="20"/>
          <w:szCs w:val="20"/>
          <w:color w:val="auto"/>
        </w:rPr>
      </w:pPr>
    </w:p>
    <w:p>
      <w:pPr>
        <w:ind w:firstLine="311"/>
        <w:spacing w:after="0" w:line="255" w:lineRule="auto"/>
        <w:rPr>
          <w:sz w:val="20"/>
          <w:szCs w:val="20"/>
          <w:color w:val="auto"/>
        </w:rPr>
      </w:pPr>
      <w:r>
        <w:rPr>
          <w:rFonts w:ascii="Times New Roman" w:cs="Times New Roman" w:eastAsia="Times New Roman" w:hAnsi="Times New Roman"/>
          <w:sz w:val="16"/>
          <w:szCs w:val="16"/>
          <w:color w:val="auto"/>
        </w:rPr>
        <w:t>In July 2023, we initiated the FOCUS trial of solriamfetol in adults with ADHD. FOCUS is a Phase 3, randomized, double-blind, placebo-controlled, multicenter trial to assess the efficacy and safety of solriamfetol for the treatment of ADHD in adults. Approximately 450 patients will be randomized in a 1:1:1 ratio to receive solriamfetol (150 mg or 300 mg) or a placebo for 6 weeks. The primary endpoint will be change in the Adult ADHD Investigator Symptom Report Scale.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Binge Eating Disorder</w:t>
      </w:r>
    </w:p>
    <w:p>
      <w:pPr>
        <w:spacing w:after="0" w:line="191" w:lineRule="exact"/>
        <w:rPr>
          <w:sz w:val="20"/>
          <w:szCs w:val="20"/>
          <w:color w:val="auto"/>
        </w:rPr>
      </w:pPr>
    </w:p>
    <w:p>
      <w:pPr>
        <w:ind w:right="160" w:firstLine="751"/>
        <w:spacing w:after="0" w:line="248" w:lineRule="auto"/>
        <w:rPr>
          <w:sz w:val="20"/>
          <w:szCs w:val="20"/>
          <w:color w:val="auto"/>
        </w:rPr>
      </w:pPr>
      <w:r>
        <w:rPr>
          <w:rFonts w:ascii="Times New Roman" w:cs="Times New Roman" w:eastAsia="Times New Roman" w:hAnsi="Times New Roman"/>
          <w:sz w:val="16"/>
          <w:szCs w:val="16"/>
          <w:color w:val="auto"/>
        </w:rPr>
        <w:t>We are developing solriamfetol in binge eating disorder, or BED. BED is the most common eating disorder, affecting an estimated 2.8% of U.S. adults. While BED affects women more than men by 1.75-fold, BED is still more common in men than other eating disorders. BED is associated with a 2- to 3-fold increased risk of psychiatric or medical comorbidities. Most people with BED remain untreated with approximately one quarter of patients having received treatment in the past year and less than half receiving treatment in their lifetime. Treatment options are limited, with only one product currently approved for the treatment of BED. In November 2023, we announced that we had received from the FDA positive Pre-Investigational New Drug Application, or Pre-IND, meeting written guidance on a proposed clinical developmental plan for solriamfetol in BED. Based on this feedback, we plan to proceed to a Phase 3 trial in this indication.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Shift Work Disorder</w:t>
      </w:r>
    </w:p>
    <w:p>
      <w:pPr>
        <w:spacing w:after="0" w:line="191" w:lineRule="exact"/>
        <w:rPr>
          <w:sz w:val="20"/>
          <w:szCs w:val="20"/>
          <w:color w:val="auto"/>
        </w:rPr>
      </w:pPr>
    </w:p>
    <w:p>
      <w:pPr>
        <w:ind w:right="20" w:firstLine="751"/>
        <w:spacing w:after="0" w:line="249" w:lineRule="auto"/>
        <w:rPr>
          <w:sz w:val="20"/>
          <w:szCs w:val="20"/>
          <w:color w:val="auto"/>
        </w:rPr>
      </w:pPr>
      <w:r>
        <w:rPr>
          <w:rFonts w:ascii="Times New Roman" w:cs="Times New Roman" w:eastAsia="Times New Roman" w:hAnsi="Times New Roman"/>
          <w:sz w:val="16"/>
          <w:szCs w:val="16"/>
          <w:color w:val="auto"/>
        </w:rPr>
        <w:t>We are developing solriamfetol in shift work disorder, or SWD. An estimated one third of working Americans perform shift work, of whom 10-43% are diagnosed with SWD. Shift work has long been associated with multiple serious health complaints and a 23% higher relative risk of sustaining a work-related injury. Treatment options are limited, with only two products currently approved for the treatment of excessive sleepiness (ES) associated with SWD. In November 2023, we announced that we had received from the FDA positive Pre-IND meeting written guidance on a proposed clinical developmental plan for solriamfetol for ES associated with SWD. Based on this feedback, we plan to proceed to a Phase 3 trial in this indication.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Major Depressive Disorder</w:t>
      </w:r>
    </w:p>
    <w:p>
      <w:pPr>
        <w:spacing w:after="0" w:line="191" w:lineRule="exact"/>
        <w:rPr>
          <w:sz w:val="20"/>
          <w:szCs w:val="20"/>
          <w:color w:val="auto"/>
        </w:rPr>
      </w:pPr>
    </w:p>
    <w:p>
      <w:pPr>
        <w:ind w:right="60" w:firstLine="311"/>
        <w:spacing w:after="0" w:line="247" w:lineRule="auto"/>
        <w:rPr>
          <w:sz w:val="20"/>
          <w:szCs w:val="20"/>
          <w:color w:val="auto"/>
        </w:rPr>
      </w:pPr>
      <w:r>
        <w:rPr>
          <w:rFonts w:ascii="Times New Roman" w:cs="Times New Roman" w:eastAsia="Times New Roman" w:hAnsi="Times New Roman"/>
          <w:sz w:val="16"/>
          <w:szCs w:val="16"/>
          <w:color w:val="auto"/>
        </w:rPr>
        <w:t>We are developing solriamfetol in major depressive disorder, or MDD. MDD is a debilitating, chronic, biologically based disorder characterized by low mood, inability to feel pleasure, feelings of guilt and worthlessness, low energy, and other emotional and physical symptoms, which impairs social, occupational, educational, or other important functioning. In severe cases, MDD can result in suicide. MDD is one of the most common mental disorders in the U.S. where approximately 1 in 5 individuals will experience MDD at some point in their life. According to the U.S. Department of Health and Human Services, or HHS, an estimated 21 million U.S. adults experience MDD each year. In addition, according to the World Health Organization (WHO), depression is the leading cause of disability worldwide, and is a major contributor to the overall global burden of disease. Nearly two-thirds of diagnosed and treated patients do not experience adequate treatment response with available first-line treatment, highlighting the need for new therapies. In December 2023, we announced that we plan to proceed to a Phase 3 trial of solriamfetol in this indication.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Pain and Primary Care</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We continue to own and maintain the intellectual property covering our pain and primary care assets that we are not currently developing.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Commercial Agreements</w:t>
      </w:r>
    </w:p>
    <w:p>
      <w:pPr>
        <w:spacing w:after="0" w:line="191" w:lineRule="exact"/>
        <w:rPr>
          <w:sz w:val="20"/>
          <w:szCs w:val="20"/>
          <w:color w:val="auto"/>
        </w:rPr>
      </w:pPr>
    </w:p>
    <w:p>
      <w:pPr>
        <w:ind w:right="360" w:firstLine="751"/>
        <w:spacing w:after="0" w:line="192" w:lineRule="exact"/>
        <w:rPr>
          <w:sz w:val="20"/>
          <w:szCs w:val="20"/>
          <w:color w:val="auto"/>
        </w:rPr>
      </w:pPr>
      <w:r>
        <w:rPr>
          <w:rFonts w:ascii="Times New Roman" w:cs="Times New Roman" w:eastAsia="Times New Roman" w:hAnsi="Times New Roman"/>
          <w:sz w:val="16"/>
          <w:szCs w:val="16"/>
          <w:color w:val="auto"/>
        </w:rPr>
        <w:t>We have customary clinical and commercial supply agreements and customary agreements with third-parties to help manage our clinical trials. Our commercial agreements are generally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exclusive, and we have no material contractual obligations under such agreements, except to the extent we order supply or request services to be performed.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Material License Agreements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Exclusive License Agreement with Pfizer</w:t>
      </w:r>
    </w:p>
    <w:p>
      <w:pPr>
        <w:spacing w:after="0" w:line="191" w:lineRule="exact"/>
        <w:rPr>
          <w:sz w:val="20"/>
          <w:szCs w:val="20"/>
          <w:color w:val="auto"/>
        </w:rPr>
      </w:pPr>
    </w:p>
    <w:p>
      <w:pPr>
        <w:ind w:firstLine="751"/>
        <w:spacing w:after="0" w:line="283" w:lineRule="auto"/>
        <w:rPr>
          <w:sz w:val="20"/>
          <w:szCs w:val="20"/>
          <w:color w:val="auto"/>
        </w:rPr>
      </w:pPr>
      <w:r>
        <w:rPr>
          <w:rFonts w:ascii="Times New Roman" w:cs="Times New Roman" w:eastAsia="Times New Roman" w:hAnsi="Times New Roman"/>
          <w:sz w:val="14"/>
          <w:szCs w:val="14"/>
          <w:color w:val="auto"/>
        </w:rPr>
        <w:t>In January 2020, we entered into an agreement with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 million, based on the average closing price of our common stock for the 10 prior trading days of $97.538, in consideration for the license and rights. Pfizer also received an upfront cash payment of $3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seeking and maintaining regulatory approvals for the compounds and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16" w:name="page17"/>
    <w:bookmarkEnd w:id="16"/>
    <w:p>
      <w:pPr>
        <w:ind w:left="7"/>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56007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7" w:right="240"/>
        <w:spacing w:after="0" w:line="267" w:lineRule="auto"/>
        <w:rPr>
          <w:sz w:val="20"/>
          <w:szCs w:val="20"/>
          <w:color w:val="auto"/>
        </w:rPr>
      </w:pPr>
      <w:r>
        <w:rPr>
          <w:rFonts w:ascii="Times New Roman" w:cs="Times New Roman" w:eastAsia="Times New Roman" w:hAnsi="Times New Roman"/>
          <w:sz w:val="16"/>
          <w:szCs w:val="16"/>
          <w:color w:val="auto"/>
        </w:rPr>
        <w:t>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w:t>
      </w:r>
    </w:p>
    <w:p>
      <w:pPr>
        <w:spacing w:after="0" w:line="1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Exclusive License Agreements with Antecip</w:t>
      </w:r>
    </w:p>
    <w:p>
      <w:pPr>
        <w:spacing w:after="0" w:line="191" w:lineRule="exact"/>
        <w:rPr>
          <w:sz w:val="20"/>
          <w:szCs w:val="20"/>
          <w:color w:val="auto"/>
        </w:rPr>
      </w:pPr>
    </w:p>
    <w:p>
      <w:pPr>
        <w:ind w:left="7" w:right="100" w:firstLine="751"/>
        <w:spacing w:after="0" w:line="283" w:lineRule="auto"/>
        <w:rPr>
          <w:sz w:val="20"/>
          <w:szCs w:val="20"/>
          <w:color w:val="auto"/>
        </w:rPr>
      </w:pPr>
      <w:r>
        <w:rPr>
          <w:rFonts w:ascii="Times New Roman" w:cs="Times New Roman" w:eastAsia="Times New Roman" w:hAnsi="Times New Roman"/>
          <w:sz w:val="14"/>
          <w:szCs w:val="14"/>
          <w:color w:val="auto"/>
        </w:rPr>
        <w:t>In 2012, we entered into three exclusive license agreements with Antecip Bioventures II LLC, or Antecip, an entity owned by our Chief Executive Officer and Chairman of the Board of Directors, or the Board, Herriot Tabuteau, M.D., in which we were granted exclusive licenses to develop, manufacture, and commercialize Antecip’s patents and applications related to the development of AXS-05 anywhere in the world for veterinary and human therapeutic and diagnostic use, and additional patents and applications that are not relevant to our current programs in development. The agreements were amended in August 2015 to update the schedule of patents and applications subject to the license agreements. Pursuant to the agreements, we are required to use commercially reasonable efforts to develop, obtain regulatory approval for, and commercialize AXS-</w:t>
      </w:r>
    </w:p>
    <w:p>
      <w:pPr>
        <w:ind w:left="7" w:right="20" w:hanging="7"/>
        <w:spacing w:after="0" w:line="244" w:lineRule="auto"/>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 by product and country by 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 up, royalty free, perpetual, nonexclusive license. If Antecip terminates any of the agreements for cause, or if we exercise our right to terminate any of the agreements for convenience, the rights granted to us under such terminated agreement will revert to Antecip. Due to product sales of Auvelity since the fourth quarter of 2022, we recorded an accrual for royalty payments due to Antecip equal to 3.0% of net sales. This is considered to be a related party transaction.</w:t>
      </w:r>
    </w:p>
    <w:p>
      <w:pPr>
        <w:spacing w:after="0" w:line="1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Royalty Agreement with Jazz Pharmaceuticals, SK Biopharmaceuticals Co., Ltd. and Aerial Biopharma, LLC</w:t>
      </w:r>
    </w:p>
    <w:p>
      <w:pPr>
        <w:spacing w:after="0" w:line="191" w:lineRule="exact"/>
        <w:rPr>
          <w:sz w:val="20"/>
          <w:szCs w:val="20"/>
          <w:color w:val="auto"/>
        </w:rPr>
      </w:pPr>
    </w:p>
    <w:p>
      <w:pPr>
        <w:ind w:left="7" w:firstLine="751"/>
        <w:spacing w:after="0" w:line="248" w:lineRule="auto"/>
        <w:rPr>
          <w:sz w:val="20"/>
          <w:szCs w:val="20"/>
          <w:color w:val="auto"/>
        </w:rPr>
      </w:pPr>
      <w:r>
        <w:rPr>
          <w:rFonts w:ascii="Times New Roman" w:cs="Times New Roman" w:eastAsia="Times New Roman" w:hAnsi="Times New Roman"/>
          <w:sz w:val="16"/>
          <w:szCs w:val="16"/>
          <w:color w:val="auto"/>
        </w:rPr>
        <w:t>In connection with the acquisition of Sunosi, in addition to the upfront purchase price, we assumed certain liabilities in connection with the acquisition and agreed to make non-refundable, non-creditable royalty payments to Jazz on U.S. net sales. There are no royalty payments due to Jazz for net sales outside of the U.S. In addition, we assumed all of the commitments of Jazz to SK Biopharmaceuticals Co., Ltd., or SK, and Aerial Biopharma, LLC, or Aerial. The assumed commitments to SK and Aerial include single-digit tiered royalties based on the Company’s sales of Sunosi, and additionally, the Company is committed to pay up to $165 million based on revenue milestones and $1 million based on development milestones. We are dependent on these agreements, and if we breach these agreements, our business, financial condition, results of operations, and prospects will be materially harmed.</w:t>
      </w:r>
    </w:p>
    <w:p>
      <w:pPr>
        <w:spacing w:after="0" w:line="16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Pharmanovia</w:t>
      </w:r>
    </w:p>
    <w:p>
      <w:pPr>
        <w:spacing w:after="0" w:line="191" w:lineRule="exact"/>
        <w:rPr>
          <w:sz w:val="20"/>
          <w:szCs w:val="20"/>
          <w:color w:val="auto"/>
        </w:rPr>
      </w:pPr>
    </w:p>
    <w:p>
      <w:pPr>
        <w:ind w:left="7" w:right="80" w:firstLine="751"/>
        <w:spacing w:after="0" w:line="255" w:lineRule="auto"/>
        <w:rPr>
          <w:sz w:val="20"/>
          <w:szCs w:val="20"/>
          <w:color w:val="auto"/>
        </w:rPr>
      </w:pPr>
      <w:r>
        <w:rPr>
          <w:rFonts w:ascii="Times New Roman" w:cs="Times New Roman" w:eastAsia="Times New Roman" w:hAnsi="Times New Roman"/>
          <w:sz w:val="16"/>
          <w:szCs w:val="16"/>
          <w:color w:val="auto"/>
        </w:rPr>
        <w:t>In February 2023, we announced a licensing transaction with Pharmanovia to market Sunosi in Europe and certain countries in the Middle East / North Africa. Refer to Note 16 - License Agreements to our consolidated financial statements included in Part IV, Exhibits and Financial Statement Schedules, of this Annual Report on Form 10-K for further detail.</w:t>
      </w:r>
    </w:p>
    <w:p>
      <w:pPr>
        <w:spacing w:after="0" w:line="34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91" w:lineRule="exact"/>
        <w:rPr>
          <w:sz w:val="20"/>
          <w:szCs w:val="20"/>
          <w:color w:val="auto"/>
        </w:rPr>
      </w:pPr>
    </w:p>
    <w:p>
      <w:pPr>
        <w:ind w:left="7" w:right="200" w:firstLine="751"/>
        <w:spacing w:after="0" w:line="299" w:lineRule="auto"/>
        <w:rPr>
          <w:sz w:val="20"/>
          <w:szCs w:val="20"/>
          <w:color w:val="auto"/>
        </w:rPr>
      </w:pPr>
      <w:r>
        <w:rPr>
          <w:rFonts w:ascii="Times New Roman" w:cs="Times New Roman" w:eastAsia="Times New Roman" w:hAnsi="Times New Roman"/>
          <w:sz w:val="14"/>
          <w:szCs w:val="14"/>
          <w:color w:val="auto"/>
        </w:rPr>
        <w:t>We seek to protect our product candidates and our technology through a combination of patents, trade secrets, proprietary know-how, FDA and EMA exclusivity, and contractual restrictions on disclosure. Our policy is to pursue, maintain, and defend patent rights whether developed internally or licensed from third parties and to protect the proprietary position of our product candidates by, among other methods, filing U.S. and foreign patent applications related to our proprietary technology, inventions, and improvements that are important to the development of our business. U.S. patents generally have a term of 20 years from the earliest effective date of the application.</w:t>
      </w:r>
    </w:p>
    <w:p>
      <w:pPr>
        <w:spacing w:after="0" w:line="190"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414655</wp:posOffset>
            </wp:positionV>
            <wp:extent cx="7176135"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7"/>
          </w:cols>
          <w:pgMar w:left="313" w:top="68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60" w:firstLine="751"/>
        <w:spacing w:after="0" w:line="286" w:lineRule="auto"/>
        <w:rPr>
          <w:sz w:val="20"/>
          <w:szCs w:val="20"/>
          <w:color w:val="auto"/>
        </w:rPr>
      </w:pPr>
      <w:r>
        <w:rPr>
          <w:rFonts w:ascii="Times New Roman" w:cs="Times New Roman" w:eastAsia="Times New Roman" w:hAnsi="Times New Roman"/>
          <w:sz w:val="14"/>
          <w:szCs w:val="14"/>
          <w:color w:val="auto"/>
        </w:rPr>
        <w:t>As of February 13, 2024, our intellectual property portfolio contains more than 600 issued patents and more than 400 pending applications in the United States and worldwide. More than 127 issued United States patents and more than 76 issued foreign patents cover our AXS-05 product candidate, which has claims covering method of treatment, pharmaceutical composition, drug delivery, and pharmacokinetics, with protection extending through 2043. More than 96 issued United States patents and more than 125 issued foreign patents covering our AXS-07 product candidate, and related compounds, have claims covering various aspects, including pharmacokinetics, pharmaceutical composition, method of delivery, and methods of use with protection extending through 2038. Six issued United States patents covering our AXS-12 product candidate with protection extending through 2039. We have pending PCT applications, as well as pending applications in Australia, Brazil, Belize, Canada, Chile, China, Colombia, Costa Rica, Ecuador, El Salvador, Europe, Guatemala, Honduras, Hong Kong, Israel, Japan, Malaysia, Mexico, Nicaragua, Panama, Peru, Singapore, South Korea, and New Zealand. We have other patent applications with claims covering the other programs in our pipeline, including those that are not relevant to our current programs in development. As with respect to Sunosi, Orange Book listed patents in the United States extend out to 2042. We also have patents in various other countries pertaining to Sunosi.</w:t>
      </w:r>
    </w:p>
    <w:p>
      <w:pPr>
        <w:spacing w:after="0" w:line="332" w:lineRule="exact"/>
        <w:rPr>
          <w:sz w:val="20"/>
          <w:szCs w:val="20"/>
          <w:color w:val="auto"/>
        </w:rPr>
      </w:pPr>
    </w:p>
    <w:p>
      <w:pPr>
        <w:jc w:val="both"/>
        <w:ind w:right="40" w:firstLine="751"/>
        <w:spacing w:after="0" w:line="286" w:lineRule="auto"/>
        <w:rPr>
          <w:sz w:val="20"/>
          <w:szCs w:val="20"/>
          <w:color w:val="auto"/>
        </w:rPr>
      </w:pPr>
      <w:r>
        <w:rPr>
          <w:rFonts w:ascii="Times New Roman" w:cs="Times New Roman" w:eastAsia="Times New Roman" w:hAnsi="Times New Roman"/>
          <w:sz w:val="14"/>
          <w:szCs w:val="14"/>
          <w:color w:val="auto"/>
        </w:rPr>
        <w:t>Many pharmaceutical companies, biotechnology companies, and academic institutions are competing with us in the field of CNS disorders and filing patent applications potentially relevant to our business. In order to contend with the inevitable possibility of third-party intellectual property conflicts, from time to time we review and assess the third-party intellectual property landscape for competitive and other developments that may inform or impact our intellectual property development and commercialization strategies.</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With respect to third-party intellectual property, it is impossible to establish with certainty that our product candidates or discovery platform will be free of claims by third- party intellectual property holders or whether we will require licenses from such third parties. Even with modern databases and online search engines, literature searches are imperfect and may fail to identify relevant patents and published applications. Even when a third-party patent is identified, we may conclude, upon a thorough analysis, that we do not infringe the patent or that the patent is invalid. If the third-party patent owner disagrees with our conclusion and we continue with the business activity in question, we might have patent litigation forced upon us. Alternatively, we might decide to initiate litigation in an attempt to have a court declare the third-party patent invalid or not infringed by our activity. In either scenario, patent litigation typically is costly and time consuming, and the outcome is uncertain. The outcome of patent litigation is subject to uncertainties that cannot be quantified in advance, for example, the credibility of expert witnesses who may disagree on technical interpretation of scientific data. Ultimately, in the case of an adverse outcome in litigation, we could be prevented from commercializing a product or using certain aspects of our discovery platform as a result of patent infringement claims asserted against us. This could have a material adverse effect on our business. In addition to patents, we rely upon unpatented trade secrets, know how, and continuing technological innovation to develop and maintain a competitive position. We seek to protect our proprietary information, including our trade secrets and proprietary know how, by requiring our employees to execute Proprietary Information, Inventions, Non-Solicitation, and Non-Competition Agreements upon the commencement of their employment. Consultants and other advisors are required to sign consulting agreements. These agreements generally provide that all confidential information developed or made known during the course of the relationship with us be kept confidential and not be disclosed to third parties except in specific circumstances. In the case of our employees, the agreements also typically provide that all inventions resulting from work performed for us, utilizing our property, or relating to our business and conceived or completed during employment shall be our exclusive property to the extent permitted by law. Further, we require confidentiality agreements from entities that receive our confidential data or materials.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191" w:lineRule="exact"/>
        <w:rPr>
          <w:sz w:val="20"/>
          <w:szCs w:val="20"/>
          <w:color w:val="auto"/>
        </w:rPr>
      </w:pPr>
    </w:p>
    <w:p>
      <w:pPr>
        <w:ind w:right="20" w:firstLine="751"/>
        <w:spacing w:after="0" w:line="247" w:lineRule="auto"/>
        <w:rPr>
          <w:sz w:val="20"/>
          <w:szCs w:val="20"/>
          <w:color w:val="auto"/>
        </w:rPr>
      </w:pPr>
      <w:r>
        <w:rPr>
          <w:rFonts w:ascii="Times New Roman" w:cs="Times New Roman" w:eastAsia="Times New Roman" w:hAnsi="Times New Roman"/>
          <w:sz w:val="16"/>
          <w:szCs w:val="16"/>
          <w:color w:val="auto"/>
        </w:rPr>
        <w:t>We have built a commercial infrastructure in the United States to commercialize our products and will further expand that team as we plan for anticipated drug approvals of our product candidates. We believe that we have cost effectively implemented a targeted sales force required to commercialize our products. Support for this team includes sales management, internal sales support, market access, distribution support, and an internal marketing group. We may seek co-promotion partners for our sales efforts to achieve broader reach or call frequency with other United States target physicians. We believe that there are significant market opportunities for our products outside of the United States. As a result, we plan to seek strategic partnerships with third parties, which may have greater reach and resources by virtue of their size and experience in the field, for the development and commercialization of our products outside the United States. We may elect in the future to utilize strategic partners, distributors, or contract sales forces to assist in the commercialization of our products. In order to implement this infrastructure, we will have to allocate management resources and make significant financial investments including some prior to product approval.</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191" w:lineRule="exact"/>
        <w:rPr>
          <w:sz w:val="20"/>
          <w:szCs w:val="20"/>
          <w:color w:val="auto"/>
        </w:rPr>
      </w:pPr>
    </w:p>
    <w:p>
      <w:pPr>
        <w:ind w:firstLine="751"/>
        <w:spacing w:after="0" w:line="188" w:lineRule="exact"/>
        <w:rPr>
          <w:sz w:val="20"/>
          <w:szCs w:val="20"/>
          <w:color w:val="auto"/>
        </w:rPr>
      </w:pPr>
      <w:r>
        <w:rPr>
          <w:rFonts w:ascii="Times New Roman" w:cs="Times New Roman" w:eastAsia="Times New Roman" w:hAnsi="Times New Roman"/>
          <w:sz w:val="16"/>
          <w:szCs w:val="16"/>
          <w:color w:val="auto"/>
        </w:rPr>
        <w:t>Our industry is highly competitive and subject to rapid and significant technological change. The large size and expanding scope of the CNS markets make them attractive therapeutic areas for biopharmaceutical businesses. Our competitors include pharmaceutical, biotechnology, and specialty pharmaceutical companies. While we believe that our employees and consultants, scientific knowledge, technology, and development experience provide us with competitive advantages, we face competition from many different sources, including major pharmaceutical, specialty pharmaceutical, and biotechnology companies, academic institutions and governmental agencies, and public and private research institutions. Several of these entities have robust drug pipelines, readily available capital, and established research and development organizations. Any product candidates that we successfully develop and commercialize will compete with existing therapies and new therapies that may become available in the future. Many of our competitors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 or early-stage companies may also prove to be significant competitors, particularly through collaborative arrangements with large and established companies. The key competitive factors affecting the success of all of our product candidates are likely to be their efficacy, safety, convenience, price, the level of branded and generic competition, and the availability of reimbursement from government and other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Patients with MDD are typically treated with a variety of anti-depressant medications. Some of these treatments include: generic and/or branded forms of Prozac, the branded form of which is marketed by Eli Lilly and Company; Zoloft, which is marketed by Pfizer, Inc.; Trintellix, which is marketed by Takeda Pharmaceuticals America, Inc and H. Lundbeck A/S; Rexulti which is marketed by Otsuka and Lundbeck A/S; Vraylar and Viibryd, which are marketed by AbbVie; Effexor, which is marketed by Pfizer, Inc.; and Wellbutrin, which is marketed by GlaxoSmithKline. We are aware of several companies developing compounds for the treatment of depression including Relmada Therapeutics, Inc., and Sage Therapeutics, Inc. and Minerva Neurosciences. Patients with EDS have available to them a variety of medications. such was generic and/or branded forms of Xyrem and Xywav, which is marketed by Jazz; Wakix, which is marketed by Harmony; Provigil and Nuvigil, which are manufactured by Teva Pharmaceutical Industries Limited, or Teva.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CNS Product Candidates</w:t>
      </w:r>
    </w:p>
    <w:p>
      <w:pPr>
        <w:spacing w:after="0" w:line="158"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b w:val="1"/>
          <w:bCs w:val="1"/>
          <w:i w:val="1"/>
          <w:iCs w:val="1"/>
          <w:color w:val="auto"/>
        </w:rPr>
        <w:t>AXS</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b w:val="1"/>
          <w:bCs w:val="1"/>
          <w:i w:val="1"/>
          <w:iCs w:val="1"/>
          <w:color w:val="auto"/>
        </w:rPr>
        <w:t>05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-43180</wp:posOffset>
            </wp:positionV>
            <wp:extent cx="5842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420" cy="37465"/>
                    </a:xfrm>
                    <a:prstGeom prst="rect">
                      <a:avLst/>
                    </a:prstGeom>
                    <a:noFill/>
                  </pic:spPr>
                </pic:pic>
              </a:graphicData>
            </a:graphic>
          </wp:anchor>
        </w:drawing>
      </w:r>
    </w:p>
    <w:p>
      <w:pPr>
        <w:spacing w:after="0" w:line="203" w:lineRule="exact"/>
        <w:rPr>
          <w:sz w:val="20"/>
          <w:szCs w:val="20"/>
          <w:color w:val="auto"/>
        </w:rPr>
      </w:pPr>
    </w:p>
    <w:p>
      <w:pPr>
        <w:ind w:firstLine="751"/>
        <w:spacing w:after="0" w:line="251" w:lineRule="auto"/>
        <w:rPr>
          <w:sz w:val="20"/>
          <w:szCs w:val="20"/>
          <w:color w:val="auto"/>
        </w:rPr>
      </w:pPr>
      <w:r>
        <w:rPr>
          <w:rFonts w:ascii="Times New Roman" w:cs="Times New Roman" w:eastAsia="Times New Roman" w:hAnsi="Times New Roman"/>
          <w:sz w:val="16"/>
          <w:szCs w:val="16"/>
          <w:color w:val="auto"/>
        </w:rPr>
        <w:t>We are aware of other companies working to develop therapeutics for the treatment of agitation associated with AD, including Otsuka Pharmaceutical Co. Ltd., which is working to develop a combination of deuterated dextromethorphan and quinidine, and Otsuka and Lundbeck A/S, which recently received approval for Rexulti for this indication. Products approved for smoking cessation include Chantix, which is marketed by Pfizer, Inc.; Zyban, which is marketed by GlaxoSmithKline; and various nicotine replacement therapies including skin patches, chewing gums, and lozenges.</w:t>
      </w:r>
    </w:p>
    <w:p>
      <w:pPr>
        <w:spacing w:after="0" w:line="130"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b w:val="1"/>
          <w:bCs w:val="1"/>
          <w:i w:val="1"/>
          <w:iCs w:val="1"/>
          <w:color w:val="auto"/>
        </w:rPr>
        <w:t>AXS</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b w:val="1"/>
          <w:bCs w:val="1"/>
          <w:i w:val="1"/>
          <w:iCs w:val="1"/>
          <w:color w:val="auto"/>
        </w:rPr>
        <w:t>07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-43180</wp:posOffset>
            </wp:positionV>
            <wp:extent cx="5842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420" cy="37465"/>
                    </a:xfrm>
                    <a:prstGeom prst="rect">
                      <a:avLst/>
                    </a:prstGeom>
                    <a:noFill/>
                  </pic:spPr>
                </pic:pic>
              </a:graphicData>
            </a:graphic>
          </wp:anchor>
        </w:drawing>
      </w:r>
    </w:p>
    <w:p>
      <w:pPr>
        <w:spacing w:after="0" w:line="203" w:lineRule="exact"/>
        <w:rPr>
          <w:sz w:val="20"/>
          <w:szCs w:val="20"/>
          <w:color w:val="auto"/>
        </w:rPr>
      </w:pPr>
    </w:p>
    <w:p>
      <w:pPr>
        <w:jc w:val="both"/>
        <w:ind w:right="80" w:firstLine="751"/>
        <w:spacing w:after="0" w:line="255" w:lineRule="auto"/>
        <w:rPr>
          <w:sz w:val="20"/>
          <w:szCs w:val="20"/>
          <w:color w:val="auto"/>
        </w:rPr>
      </w:pPr>
      <w:r>
        <w:rPr>
          <w:rFonts w:ascii="Times New Roman" w:cs="Times New Roman" w:eastAsia="Times New Roman" w:hAnsi="Times New Roman"/>
          <w:sz w:val="16"/>
          <w:szCs w:val="16"/>
          <w:color w:val="auto"/>
        </w:rPr>
        <w:t>There are a number of products approved for the acute treatment of migraine including generic and/or branded forms of Maxalt, the branded form of which is marketed by Merck &amp; Co., Inc., generic and/or branded forms of Treximet, the branded form of which is marketed by Pernix Therapeutics Holdings, Inc., Reyvow, which is marketed by Eli Lilly and Company; Nurtec, which is marketed by Pfizer, and Ubrelvy, which is marketed by AbbVie, and Trudhesa which is marketed by Impel.</w:t>
      </w:r>
    </w:p>
    <w:p>
      <w:pPr>
        <w:spacing w:after="0" w:line="127"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b w:val="1"/>
          <w:bCs w:val="1"/>
          <w:i w:val="1"/>
          <w:iCs w:val="1"/>
          <w:color w:val="auto"/>
        </w:rPr>
        <w:t>AXS</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b w:val="1"/>
          <w:bCs w:val="1"/>
          <w:i w:val="1"/>
          <w:iCs w:val="1"/>
          <w:color w:val="auto"/>
        </w:rPr>
        <w:t>12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-43180</wp:posOffset>
            </wp:positionV>
            <wp:extent cx="5842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420" cy="37465"/>
                    </a:xfrm>
                    <a:prstGeom prst="rect">
                      <a:avLst/>
                    </a:prstGeom>
                    <a:noFill/>
                  </pic:spPr>
                </pic:pic>
              </a:graphicData>
            </a:graphic>
          </wp:anchor>
        </w:drawing>
      </w:r>
    </w:p>
    <w:p>
      <w:pPr>
        <w:spacing w:after="0" w:line="203" w:lineRule="exact"/>
        <w:rPr>
          <w:sz w:val="20"/>
          <w:szCs w:val="20"/>
          <w:color w:val="auto"/>
        </w:rPr>
      </w:pPr>
    </w:p>
    <w:p>
      <w:pPr>
        <w:ind w:right="380" w:firstLine="751"/>
        <w:spacing w:after="0" w:line="309" w:lineRule="auto"/>
        <w:rPr>
          <w:sz w:val="20"/>
          <w:szCs w:val="20"/>
          <w:color w:val="auto"/>
        </w:rPr>
      </w:pPr>
      <w:r>
        <w:rPr>
          <w:rFonts w:ascii="Times New Roman" w:cs="Times New Roman" w:eastAsia="Times New Roman" w:hAnsi="Times New Roman"/>
          <w:sz w:val="14"/>
          <w:szCs w:val="14"/>
          <w:color w:val="auto"/>
        </w:rPr>
        <w:t>Products approved to treat the symptoms of narcolepsy include generic and/or branded forms of Ritalin, the branded form of which is marketed by Novartis Pharmaceuticals; Provigil and Nuvigil, which are both marketed by Teva; Xyrem and Xywav, which are all marketed by Jazz; and Wakix which is marketed by Harmony Biosciences LLC. We are aware of several companies developing compounds for the treatment of the symptoms of narcolepsy including Avadel Pharmaceuticals plc and Jazz.</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AXS-14 Competition</w:t>
      </w:r>
    </w:p>
    <w:p>
      <w:pPr>
        <w:spacing w:after="0" w:line="191" w:lineRule="exact"/>
        <w:rPr>
          <w:sz w:val="20"/>
          <w:szCs w:val="20"/>
          <w:color w:val="auto"/>
        </w:rPr>
      </w:pPr>
    </w:p>
    <w:p>
      <w:pPr>
        <w:jc w:val="both"/>
        <w:ind w:right="160" w:firstLine="751"/>
        <w:spacing w:after="0" w:line="255" w:lineRule="auto"/>
        <w:rPr>
          <w:sz w:val="20"/>
          <w:szCs w:val="20"/>
          <w:color w:val="auto"/>
        </w:rPr>
      </w:pPr>
      <w:r>
        <w:rPr>
          <w:rFonts w:ascii="Times New Roman" w:cs="Times New Roman" w:eastAsia="Times New Roman" w:hAnsi="Times New Roman"/>
          <w:sz w:val="16"/>
          <w:szCs w:val="16"/>
          <w:color w:val="auto"/>
        </w:rPr>
        <w:t>Products approved to treat fibromyalgia include generic and/or branded forms of Cymbalta, the branded form of which is marketed by Eli Lilly and Company; Lyrica, which is marketed by Pfizer, Inc.; and Savella, which is marketed by AbbVie. We are aware of other companies working to develop therapeutics for the treatment of fibromyalgia including Astellas Pharma, Inc.; Aptinyx Inc.; Innovative Med Concepts, Inc.; Teva; and Tonix Pharmaceutical Holding Corp.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Manufacturing</w:t>
      </w:r>
    </w:p>
    <w:p>
      <w:pPr>
        <w:spacing w:after="0" w:line="191" w:lineRule="exact"/>
        <w:rPr>
          <w:sz w:val="20"/>
          <w:szCs w:val="20"/>
          <w:color w:val="auto"/>
        </w:rPr>
      </w:pPr>
    </w:p>
    <w:p>
      <w:pPr>
        <w:ind w:right="140" w:firstLine="751"/>
        <w:spacing w:after="0" w:line="248" w:lineRule="auto"/>
        <w:rPr>
          <w:sz w:val="20"/>
          <w:szCs w:val="20"/>
          <w:color w:val="auto"/>
        </w:rPr>
      </w:pPr>
      <w:r>
        <w:rPr>
          <w:rFonts w:ascii="Times New Roman" w:cs="Times New Roman" w:eastAsia="Times New Roman" w:hAnsi="Times New Roman"/>
          <w:sz w:val="16"/>
          <w:szCs w:val="16"/>
          <w:color w:val="auto"/>
        </w:rPr>
        <w:t>Manufacturing of the drug substance and drug product for our products and product candidates are done by third parties and must comply with FDA current good manufacturing practice, or cGMP, regulations. Our products and product candidates are comprised of synthetic small molecules made through a series of organic chemistry steps starting with commercially available organic chemical raw materials. We do not currently own or operate any manufacturing facilities for the clinical or commercial production of our drug candidates. We believe that our existing suppliers of our product and product candidate active pharmaceutical ingredients and finished products will be capable of providing sufficient quantities of each to meet our commercial and clinical trial supply needs. We conduct periodic quality audits of their facilities. Other contract manufacturing organization, or CMOs, may be used in the future for clinical supplies and/or commercial manufacturing.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Government Regulation and Product Approval</w:t>
      </w:r>
    </w:p>
    <w:p>
      <w:pPr>
        <w:spacing w:after="0" w:line="191" w:lineRule="exact"/>
        <w:rPr>
          <w:sz w:val="20"/>
          <w:szCs w:val="20"/>
          <w:color w:val="auto"/>
        </w:rPr>
      </w:pPr>
    </w:p>
    <w:p>
      <w:pPr>
        <w:ind w:right="40" w:firstLine="751"/>
        <w:spacing w:after="0" w:line="246" w:lineRule="auto"/>
        <w:rPr>
          <w:sz w:val="20"/>
          <w:szCs w:val="20"/>
          <w:color w:val="auto"/>
        </w:rPr>
      </w:pPr>
      <w:r>
        <w:rPr>
          <w:rFonts w:ascii="Times New Roman" w:cs="Times New Roman" w:eastAsia="Times New Roman" w:hAnsi="Times New Roman"/>
          <w:sz w:val="16"/>
          <w:szCs w:val="16"/>
          <w:color w:val="auto"/>
        </w:rPr>
        <w:t>Government authorities in the United States, at the federal, state, and local level, and in other countries and supranational regions, extensively regulate, among other things, the research, development, testing, manufacture, packaging, storage, recordkeeping, labeling, advertising, promotion, distribution, adverse event reporting and pharmacovigilance, marketing, import, and export of pharmaceutical products such as those we are developing, and for which we are seeking FDA approval. In addition, healthcare regulatory bodies in the United States and around the world impose a range of requirements related to the payment for pharmaceutical products, including laws intended to prevent fraud, waste, and abuse of healthcare dollars. This includes for example, requirements that manufacturers of pharmaceutical products participating in Medicaid and Medicare comply with mandatory price reporting, discount, rebate requirements, and other cost control measures, as well as anti-kickback laws and laws prohibiting false claims. Some states also have enacted fraud, waste, and abuse laws that parallel (and in some cases apply more broadly than) federal laws, and in some cases price transparency requirements. The processes for obtaining regulatory approvals in the United States and in foreign countries, along with subsequent compliance with applicable statutes and regulations, require the expenditure of substantial time and financial resources. Further, healthcare is an active area of governmental scrutiny, and it is reasonable to expect that the requirements may become more stringent within the foreseeable future.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FDA Regulation</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In the United States, the FDA regulates drugs under the Federal Food, Drug, and Cosmetic Act, or FDCA, and its implementing regulations. The process required by the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FDA before product candidates may be marketed in the United States generally involves the following:</w:t>
      </w:r>
    </w:p>
    <w:p>
      <w:pPr>
        <w:spacing w:after="0" w:line="174" w:lineRule="exact"/>
        <w:rPr>
          <w:sz w:val="20"/>
          <w:szCs w:val="20"/>
          <w:color w:val="auto"/>
        </w:rPr>
      </w:pPr>
    </w:p>
    <w:p>
      <w:pPr>
        <w:ind w:left="1120" w:hanging="376"/>
        <w:spacing w:after="0"/>
        <w:tabs>
          <w:tab w:leader="none" w:pos="1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of preclinical laboratory tests, animal studies, and formulation studies in compliance with the FDA’s Good Laboratory Practice, or GLP, regulations;</w:t>
      </w:r>
    </w:p>
    <w:p>
      <w:pPr>
        <w:spacing w:after="0" w:line="212" w:lineRule="exact"/>
        <w:rPr>
          <w:rFonts w:ascii="Times New Roman" w:cs="Times New Roman" w:eastAsia="Times New Roman" w:hAnsi="Times New Roman"/>
          <w:sz w:val="14"/>
          <w:szCs w:val="14"/>
          <w:color w:val="auto"/>
        </w:rPr>
      </w:pPr>
    </w:p>
    <w:p>
      <w:pPr>
        <w:ind w:left="1120" w:hanging="376"/>
        <w:spacing w:after="0"/>
        <w:tabs>
          <w:tab w:leader="none" w:pos="11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submission to the FDA of an IND which must become effective before human clinical trials may begin;</w:t>
      </w:r>
    </w:p>
    <w:p>
      <w:pPr>
        <w:spacing w:after="0" w:line="189" w:lineRule="exact"/>
        <w:rPr>
          <w:rFonts w:ascii="Times New Roman" w:cs="Times New Roman" w:eastAsia="Times New Roman" w:hAnsi="Times New Roman"/>
          <w:sz w:val="16"/>
          <w:szCs w:val="16"/>
          <w:color w:val="auto"/>
        </w:rPr>
      </w:pPr>
    </w:p>
    <w:p>
      <w:pPr>
        <w:ind w:left="1120" w:hanging="376"/>
        <w:spacing w:after="0"/>
        <w:tabs>
          <w:tab w:leader="none" w:pos="11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approval by an independent Institutional Review Board, or IRB, for each clinical site or centrally, before each trial may be initiated;</w:t>
      </w:r>
    </w:p>
    <w:p>
      <w:pPr>
        <w:spacing w:after="0" w:line="155" w:lineRule="exact"/>
        <w:rPr>
          <w:rFonts w:ascii="Times New Roman" w:cs="Times New Roman" w:eastAsia="Times New Roman" w:hAnsi="Times New Roman"/>
          <w:sz w:val="16"/>
          <w:szCs w:val="16"/>
          <w:color w:val="auto"/>
        </w:rPr>
      </w:pPr>
    </w:p>
    <w:p>
      <w:pPr>
        <w:ind w:left="1120" w:right="680" w:hanging="376"/>
        <w:spacing w:after="0" w:line="211" w:lineRule="exact"/>
        <w:tabs>
          <w:tab w:leader="none" w:pos="11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adequate and well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controlled human clinical trials to establish the safety and efficacy of the proposed drug candidates for its intended use, performed in accordance with current Good Clinical Practices, or GCP;</w:t>
      </w:r>
    </w:p>
    <w:p>
      <w:pPr>
        <w:spacing w:after="0" w:line="172" w:lineRule="exact"/>
        <w:rPr>
          <w:rFonts w:ascii="Times New Roman" w:cs="Times New Roman" w:eastAsia="Times New Roman" w:hAnsi="Times New Roman"/>
          <w:sz w:val="16"/>
          <w:szCs w:val="16"/>
          <w:color w:val="auto"/>
        </w:rPr>
      </w:pPr>
    </w:p>
    <w:p>
      <w:pPr>
        <w:ind w:left="1120" w:right="160" w:hanging="376"/>
        <w:spacing w:after="0" w:line="267" w:lineRule="auto"/>
        <w:tabs>
          <w:tab w:leader="none" w:pos="11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of manufacturing processes in compliance with current Good Manufacturing Practices (cGMPs) to ensure the drug’s identity, strength, quality, and purity;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120" w:hanging="376"/>
        <w:spacing w:after="0"/>
        <w:tabs>
          <w:tab w:leader="none" w:pos="11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compilation of required information and submission to the FDA of an NDA;</w:t>
      </w:r>
    </w:p>
    <w:p>
      <w:pPr>
        <w:spacing w:after="0" w:line="189" w:lineRule="exact"/>
        <w:rPr>
          <w:rFonts w:ascii="Times New Roman" w:cs="Times New Roman" w:eastAsia="Times New Roman" w:hAnsi="Times New Roman"/>
          <w:sz w:val="16"/>
          <w:szCs w:val="16"/>
          <w:color w:val="auto"/>
        </w:rPr>
      </w:pPr>
    </w:p>
    <w:p>
      <w:pPr>
        <w:ind w:left="1120" w:hanging="376"/>
        <w:spacing w:after="0"/>
        <w:tabs>
          <w:tab w:leader="none" w:pos="11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satisfactory completion of an FDA advisory committee review, if applicable;</w:t>
      </w:r>
    </w:p>
    <w:p>
      <w:pPr>
        <w:spacing w:after="0" w:line="189" w:lineRule="exact"/>
        <w:rPr>
          <w:rFonts w:ascii="Times New Roman" w:cs="Times New Roman" w:eastAsia="Times New Roman" w:hAnsi="Times New Roman"/>
          <w:sz w:val="16"/>
          <w:szCs w:val="16"/>
          <w:color w:val="auto"/>
        </w:rPr>
      </w:pPr>
    </w:p>
    <w:p>
      <w:pPr>
        <w:ind w:left="1120" w:right="20" w:hanging="376"/>
        <w:spacing w:after="0" w:line="255" w:lineRule="auto"/>
        <w:tabs>
          <w:tab w:leader="none" w:pos="11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satisfactory completion of an FDA inspection of the manufacturing facility or facilities at which the product is produced to assess compliance with cGMPs, and to assure that the facilities, methods, and controls are adequate to preserve the drug’s identity, strength, quality, and purity, as well as satisfactory completion of an FDA inspection of selected clinical sites and selected clinical investigators to determine GCP compliance; and</w:t>
      </w:r>
    </w:p>
    <w:p>
      <w:pPr>
        <w:spacing w:after="0" w:line="160" w:lineRule="exact"/>
        <w:rPr>
          <w:rFonts w:ascii="Times New Roman" w:cs="Times New Roman" w:eastAsia="Times New Roman" w:hAnsi="Times New Roman"/>
          <w:sz w:val="16"/>
          <w:szCs w:val="16"/>
          <w:color w:val="auto"/>
        </w:rPr>
      </w:pPr>
    </w:p>
    <w:p>
      <w:pPr>
        <w:ind w:left="1120" w:hanging="376"/>
        <w:spacing w:after="0"/>
        <w:tabs>
          <w:tab w:leader="none" w:pos="11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FDA review and approval of the NDA to permit commercial marketing for particular indications for use.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Preclinical Studies and IND Submission</w:t>
      </w:r>
    </w:p>
    <w:p>
      <w:pPr>
        <w:spacing w:after="0" w:line="191" w:lineRule="exact"/>
        <w:rPr>
          <w:sz w:val="20"/>
          <w:szCs w:val="20"/>
          <w:color w:val="auto"/>
        </w:rPr>
      </w:pPr>
    </w:p>
    <w:p>
      <w:pPr>
        <w:ind w:right="20" w:firstLine="751"/>
        <w:spacing w:after="0" w:line="248" w:lineRule="auto"/>
        <w:rPr>
          <w:sz w:val="20"/>
          <w:szCs w:val="20"/>
          <w:color w:val="auto"/>
        </w:rPr>
      </w:pPr>
      <w:r>
        <w:rPr>
          <w:rFonts w:ascii="Times New Roman" w:cs="Times New Roman" w:eastAsia="Times New Roman" w:hAnsi="Times New Roman"/>
          <w:sz w:val="16"/>
          <w:szCs w:val="16"/>
          <w:color w:val="auto"/>
        </w:rPr>
        <w:t>The testing and approval process of product candidates requires substantial time, effort, and financial resources. Preclinical studies include laboratory evaluation of drug substance chemistry, pharmacology, toxicity, and drug product formulation, as well as animal studies to assess potential safety and efficacy. Such studies must generally be conducted in accordance with the FDA’s Good Laboratory Practice regulations. Prior to commencing the first clinical trial with a product candidate, an IND sponsor must submit the results of the preclinical tests and preclinical literature, together with manufacturing information, analytical data, any available clinical data or literature, and proposed clinical study protocols, among other things, to the FDA as part of an IND. In the case of 505(b)(2) applications, though, some of the IND components may not be required (for example, if previously established for an approved drug which is referenced). Some preclinical testing may continue even after the IND is submitted.</w:t>
      </w:r>
    </w:p>
    <w:p>
      <w:pPr>
        <w:spacing w:after="0" w:line="133" w:lineRule="exact"/>
        <w:rPr>
          <w:sz w:val="20"/>
          <w:szCs w:val="20"/>
          <w:color w:val="auto"/>
        </w:rPr>
      </w:pPr>
    </w:p>
    <w:p>
      <w:pPr>
        <w:ind w:right="120" w:firstLine="751"/>
        <w:spacing w:after="0" w:line="199" w:lineRule="exact"/>
        <w:rPr>
          <w:sz w:val="20"/>
          <w:szCs w:val="20"/>
          <w:color w:val="auto"/>
        </w:rPr>
      </w:pPr>
      <w:r>
        <w:rPr>
          <w:rFonts w:ascii="Times New Roman" w:cs="Times New Roman" w:eastAsia="Times New Roman" w:hAnsi="Times New Roman"/>
          <w:sz w:val="16"/>
          <w:szCs w:val="16"/>
          <w:color w:val="auto"/>
        </w:rPr>
        <w:t>An IND automatically becomes effective 30 days after receipt by the FDA, unless the FDA, within the 30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day time period, notifies the applicant of safety concerns or questions related to one or more proposed clinical trials and places the trial on a clinical hold. In such a case, the IND sponsor and the FDA must resolve any outstanding concerns before the clinical trial can begin. Clinical holds also may be imposed by the FDA at any time before or during trials due to safety concerns or noncompliance. As a result, submission of an IND may not result in FDA authorization to commence a clinical trial.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Clinical Trials</w:t>
      </w:r>
    </w:p>
    <w:p>
      <w:pPr>
        <w:spacing w:after="0" w:line="191" w:lineRule="exact"/>
        <w:rPr>
          <w:sz w:val="20"/>
          <w:szCs w:val="20"/>
          <w:color w:val="auto"/>
        </w:rPr>
      </w:pPr>
    </w:p>
    <w:p>
      <w:pPr>
        <w:ind w:firstLine="751"/>
        <w:spacing w:after="0" w:line="245" w:lineRule="auto"/>
        <w:rPr>
          <w:sz w:val="20"/>
          <w:szCs w:val="20"/>
          <w:color w:val="auto"/>
        </w:rPr>
      </w:pPr>
      <w:r>
        <w:rPr>
          <w:rFonts w:ascii="Times New Roman" w:cs="Times New Roman" w:eastAsia="Times New Roman" w:hAnsi="Times New Roman"/>
          <w:sz w:val="16"/>
          <w:szCs w:val="16"/>
          <w:color w:val="auto"/>
        </w:rPr>
        <w:t>Clinical trials involve the administration of the investigational new drug to human subjects under the supervision of qualified investigators in accordance with GCP requirements, which include the requirements that all research subjects provide their informed consent in writing for their participation in any clinical trial, as well as review and approval of the study by an IRB. Investigators must also provide certain information to the clinical trial sponsors to allow the sponsors to make certain financial disclosures to the FDA. Clinical trials are conducted under protocols detailing, among other things, the objectives of the trial, the trial procedures, the parameters to be used in monitoring safety, the effectiveness criteria to be evaluated, and a statistical analysis plan. A protocol for each clinical trial, and any subsequent protocol amendments, must be submitted to the FDA as part of the IND. In addition, an IRB at each study site participating in the clinical trial or a central IRB must review and approve the plan for any clinical trial, informed consent forms, and communications to study subjects before a study commences at that site. An IRB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Once an IND is in effect, each new clinical protocol and any amendments to the protocol must be submitted to the IND for FDA review, and to the IRB for approval. Progress reports detailing the results of the clinical trials must also be submitted at least annually to the FDA and the IRB and more frequently if serious adverse events or other significant safety information is found.</w:t>
      </w:r>
    </w:p>
    <w:p>
      <w:pPr>
        <w:spacing w:after="0" w:line="175" w:lineRule="exact"/>
        <w:rPr>
          <w:sz w:val="20"/>
          <w:szCs w:val="20"/>
          <w:color w:val="auto"/>
        </w:rPr>
      </w:pPr>
    </w:p>
    <w:p>
      <w:pPr>
        <w:ind w:right="40" w:firstLine="751"/>
        <w:spacing w:after="0" w:line="267" w:lineRule="auto"/>
        <w:rPr>
          <w:sz w:val="20"/>
          <w:szCs w:val="20"/>
          <w:color w:val="auto"/>
        </w:rPr>
      </w:pPr>
      <w:r>
        <w:rPr>
          <w:rFonts w:ascii="Times New Roman" w:cs="Times New Roman" w:eastAsia="Times New Roman" w:hAnsi="Times New Roman"/>
          <w:sz w:val="16"/>
          <w:szCs w:val="16"/>
          <w:color w:val="auto"/>
        </w:rPr>
        <w:t>Information about certain clinical trials, including a description of the study and study results, must be submitted within specific timeframes to the National Institutes of Health, or NIH, for public dissemination on their clinicaltrials.gov website.</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100" w:firstLine="751"/>
        <w:spacing w:after="0" w:line="299" w:lineRule="auto"/>
        <w:rPr>
          <w:sz w:val="20"/>
          <w:szCs w:val="20"/>
          <w:color w:val="auto"/>
        </w:rPr>
      </w:pPr>
      <w:r>
        <w:rPr>
          <w:rFonts w:ascii="Times New Roman" w:cs="Times New Roman" w:eastAsia="Times New Roman" w:hAnsi="Times New Roman"/>
          <w:sz w:val="14"/>
          <w:szCs w:val="14"/>
          <w:color w:val="auto"/>
        </w:rPr>
        <w:t>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enrollment of potential trial subjects, and the continuing validity and scientific merit of the clinical trial. The data safety monitoring board receives special access to unblinded data during the clinical trial and may advise the sponsor to halt the clinical trial if it determines there is an unacceptable safety risk for subjects or on other grounds, such as no demonstration of efficacy.</w:t>
      </w:r>
    </w:p>
    <w:p>
      <w:pPr>
        <w:spacing w:after="0" w:line="131" w:lineRule="exact"/>
        <w:rPr>
          <w:sz w:val="20"/>
          <w:szCs w:val="20"/>
          <w:color w:val="auto"/>
        </w:rPr>
      </w:pPr>
    </w:p>
    <w:p>
      <w:pPr>
        <w:ind w:right="200" w:firstLine="751"/>
        <w:spacing w:after="0" w:line="251" w:lineRule="auto"/>
        <w:rPr>
          <w:sz w:val="20"/>
          <w:szCs w:val="20"/>
          <w:color w:val="auto"/>
        </w:rPr>
      </w:pPr>
      <w:r>
        <w:rPr>
          <w:rFonts w:ascii="Times New Roman" w:cs="Times New Roman" w:eastAsia="Times New Roman" w:hAnsi="Times New Roman"/>
          <w:sz w:val="16"/>
          <w:szCs w:val="16"/>
          <w:color w:val="auto"/>
        </w:rPr>
        <w:t>The manufacture of investigational drugs for the conduct of human clinical trials (and their active pharmaceutical ingredients)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w:t>
      </w:r>
    </w:p>
    <w:p>
      <w:pPr>
        <w:spacing w:after="0" w:line="1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In general, for purposes of NDA approval, human clinical trials are typically conducted in three sequential phases, which may overlap or be combined.</w:t>
      </w:r>
    </w:p>
    <w:p>
      <w:pPr>
        <w:spacing w:after="0" w:line="187" w:lineRule="exact"/>
        <w:rPr>
          <w:sz w:val="20"/>
          <w:szCs w:val="20"/>
          <w:color w:val="auto"/>
        </w:rPr>
      </w:pPr>
    </w:p>
    <w:p>
      <w:pPr>
        <w:ind w:left="1120" w:right="40" w:hanging="376"/>
        <w:spacing w:after="0" w:line="193" w:lineRule="exact"/>
        <w:tabs>
          <w:tab w:leader="none" w:pos="11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Phase 1</w:t>
      </w:r>
      <w:r>
        <w:rPr>
          <w:rFonts w:ascii="Times New Roman" w:cs="Times New Roman" w:eastAsia="Times New Roman" w:hAnsi="Times New Roman"/>
          <w:sz w:val="16"/>
          <w:szCs w:val="16"/>
          <w:color w:val="auto"/>
        </w:rPr>
        <w:t>—Studies are initially conducted in healthy human volunteers or subjects with the target disease or condition and test the product candidate for safety,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dosage tolerance, structure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activity relationships, mechanism of action, absorption, metabolism, distribution, and excretion. If possible, Phase 1 trials may also be used to gain an initial indication of product effectiveness.</w:t>
      </w:r>
    </w:p>
    <w:p>
      <w:pPr>
        <w:spacing w:after="0" w:line="169" w:lineRule="exact"/>
        <w:rPr>
          <w:rFonts w:ascii="Times New Roman" w:cs="Times New Roman" w:eastAsia="Times New Roman" w:hAnsi="Times New Roman"/>
          <w:sz w:val="16"/>
          <w:szCs w:val="16"/>
          <w:color w:val="auto"/>
        </w:rPr>
      </w:pPr>
    </w:p>
    <w:p>
      <w:pPr>
        <w:ind w:left="1120" w:right="140" w:hanging="376"/>
        <w:spacing w:after="0" w:line="270" w:lineRule="auto"/>
        <w:tabs>
          <w:tab w:leader="none" w:pos="11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Phase 2</w:t>
      </w:r>
      <w:r>
        <w:rPr>
          <w:rFonts w:ascii="Times New Roman" w:cs="Times New Roman" w:eastAsia="Times New Roman" w:hAnsi="Times New Roman"/>
          <w:sz w:val="16"/>
          <w:szCs w:val="16"/>
          <w:color w:val="auto"/>
        </w:rPr>
        <w:t>—Controlled studies are conducted in limited subject populations with a specified disease or condition to evaluate preliminary efficacy, identify optimal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dosages, dosage tolerance and schedule, possible adverse effects and safety risks, and expanded evidence of safety.</w:t>
      </w:r>
    </w:p>
    <w:p>
      <w:pPr>
        <w:spacing w:after="0" w:line="114" w:lineRule="exact"/>
        <w:rPr>
          <w:rFonts w:ascii="Times New Roman" w:cs="Times New Roman" w:eastAsia="Times New Roman" w:hAnsi="Times New Roman"/>
          <w:sz w:val="16"/>
          <w:szCs w:val="16"/>
          <w:color w:val="auto"/>
        </w:rPr>
      </w:pPr>
    </w:p>
    <w:p>
      <w:pPr>
        <w:ind w:left="1120" w:right="160" w:hanging="376"/>
        <w:spacing w:after="0" w:line="199" w:lineRule="exact"/>
        <w:tabs>
          <w:tab w:leader="none" w:pos="11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Phase 3—</w:t>
      </w:r>
      <w:r>
        <w:rPr>
          <w:rFonts w:ascii="Times New Roman" w:cs="Times New Roman" w:eastAsia="Times New Roman" w:hAnsi="Times New Roman"/>
          <w:sz w:val="16"/>
          <w:szCs w:val="16"/>
          <w:color w:val="auto"/>
        </w:rPr>
        <w:t>These adequate and well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controlled clinical trials are undertaken in expanded subject populations, generally at geographically dispersed clinical trial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sites, to generate enough data to provide statistically significant evidence of clinical efficacy and safety of the product for approval, to establish the overall risk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benefit profile of the product, and to provide adequate information for the labeling of the product. Typically, two Phase 3 trials are required by the FDA for product approval.</w:t>
      </w:r>
    </w:p>
    <w:p>
      <w:pPr>
        <w:spacing w:after="0" w:line="173" w:lineRule="exact"/>
        <w:rPr>
          <w:sz w:val="20"/>
          <w:szCs w:val="20"/>
          <w:color w:val="auto"/>
        </w:rPr>
      </w:pPr>
    </w:p>
    <w:p>
      <w:pPr>
        <w:ind w:firstLine="751"/>
        <w:spacing w:after="0" w:line="286" w:lineRule="auto"/>
        <w:rPr>
          <w:sz w:val="20"/>
          <w:szCs w:val="20"/>
          <w:color w:val="auto"/>
        </w:rPr>
      </w:pPr>
      <w:r>
        <w:rPr>
          <w:rFonts w:ascii="Times New Roman" w:cs="Times New Roman" w:eastAsia="Times New Roman" w:hAnsi="Times New Roman"/>
          <w:sz w:val="14"/>
          <w:szCs w:val="14"/>
          <w:color w:val="auto"/>
        </w:rPr>
        <w:t>The FDA may also require, or companies may conduct, additional clinical trials for the same indication after a product is approved. These so-called Phase 4 studies may be required by the FDA as a condition of approval of the NDA, to be satisfied after approval. The results of Phase 4 studies can confirm the effectiveness of a product candidate and can provide important safety information. In addition to the above traditional kinds of clinical trial data required for the approval of an NDA, the 21st Century Cures Act provides for potential FDA use of different types and sources of data in regulatory decision-making, such as patient experience data, real world evidence for already approved products, and, for appropriate indications sought through supplemental marketing applications, data summaries. Implementation of this law and related initiatives is still in progress and we do not know the extent to which we may in the future be able to utilize these types and sources of data. In the case of a 505(b)(2) NDA, which is a marketing application in which sponsors may rely on investigations that were not conducted by or for the applicant and for which the applicant has not obtained a right of reference or use from the person by or for whom the investigations were conducted, some of the above described studies and preclinical studies may not be required or may be abbreviated. Bridging studies may be needed, however, to demonstrate the applicability of the studies that were previously conducted by other sponsors to the drug that is the subject of the marketing application.</w:t>
      </w:r>
    </w:p>
    <w:p>
      <w:pPr>
        <w:spacing w:after="0" w:line="141" w:lineRule="exact"/>
        <w:rPr>
          <w:sz w:val="20"/>
          <w:szCs w:val="20"/>
          <w:color w:val="auto"/>
        </w:rPr>
      </w:pPr>
    </w:p>
    <w:p>
      <w:pPr>
        <w:ind w:right="300" w:firstLine="751"/>
        <w:spacing w:after="0" w:line="251" w:lineRule="auto"/>
        <w:rPr>
          <w:sz w:val="20"/>
          <w:szCs w:val="20"/>
          <w:color w:val="auto"/>
        </w:rPr>
      </w:pPr>
      <w:r>
        <w:rPr>
          <w:rFonts w:ascii="Times New Roman" w:cs="Times New Roman" w:eastAsia="Times New Roman" w:hAnsi="Times New Roman"/>
          <w:sz w:val="16"/>
          <w:szCs w:val="16"/>
          <w:color w:val="auto"/>
        </w:rPr>
        <w:t>Clinical trials at any phase may not be completed successfully within any specified period, or at all.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the subjects, or based on evolving business objectives or competitive climate.</w:t>
      </w:r>
    </w:p>
    <w:p>
      <w:pPr>
        <w:spacing w:after="0" w:line="164" w:lineRule="exact"/>
        <w:rPr>
          <w:sz w:val="20"/>
          <w:szCs w:val="20"/>
          <w:color w:val="auto"/>
        </w:rPr>
      </w:pPr>
    </w:p>
    <w:p>
      <w:pPr>
        <w:ind w:right="240" w:firstLine="751"/>
        <w:spacing w:after="0" w:line="249" w:lineRule="auto"/>
        <w:rPr>
          <w:sz w:val="20"/>
          <w:szCs w:val="20"/>
          <w:color w:val="auto"/>
        </w:rPr>
      </w:pPr>
      <w:r>
        <w:rPr>
          <w:rFonts w:ascii="Times New Roman" w:cs="Times New Roman" w:eastAsia="Times New Roman" w:hAnsi="Times New Roman"/>
          <w:sz w:val="16"/>
          <w:szCs w:val="16"/>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40" w:firstLine="751"/>
        <w:spacing w:after="0" w:line="189" w:lineRule="exact"/>
        <w:rPr>
          <w:sz w:val="20"/>
          <w:szCs w:val="20"/>
          <w:color w:val="auto"/>
        </w:rPr>
      </w:pPr>
      <w:r>
        <w:rPr>
          <w:rFonts w:ascii="Times New Roman" w:cs="Times New Roman" w:eastAsia="Times New Roman" w:hAnsi="Times New Roman"/>
          <w:sz w:val="14"/>
          <w:szCs w:val="14"/>
          <w:color w:val="auto"/>
        </w:rPr>
        <w:t>During the development of a new drug, a sponsor may be able to request a Special Protocol Assessment, or SPA, the purpose of which is to reach agreement with the FDA on the Phase 3 clinical trial protocol design and analysis that will form the primary basis of an efficacy claim as well as preclinical carcinogenicity trials and stability studies. An SPA may only be modified with the agreement of the FDA and the trial sponsor or if the director of the FDA reviewing division determines that a substantial scientific issue essential to determining the safety or efficacy of the drug was identified after the testing began. An SPA is intended to provide assurance that, in the case of clinical trials, if the agreed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upon clinical trial protocol is followed, the clinical trial endpoints are achieved, and there is a favorable risk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benefit profile, the data may serve as the primary basis for an efficacy claim in support of an NDA. However, SPA agreements are not a guarantee of an approval of a product candidate or any permissible claims about the product candidate. In particular, SPAs are not binding on the FDA if, among other reasons, previously unrecognized public health concerns arise during the performance of the clinical trial, other new scientific concerns regarding the product candidate’s safety or efficacy arise, or if the sponsoring company fails to comply with the agreed upon clinical trial protocol.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NDA Submission, Review by the FDA, and Marketing Approval</w:t>
      </w:r>
    </w:p>
    <w:p>
      <w:pPr>
        <w:spacing w:after="0" w:line="191" w:lineRule="exact"/>
        <w:rPr>
          <w:sz w:val="20"/>
          <w:szCs w:val="20"/>
          <w:color w:val="auto"/>
        </w:rPr>
      </w:pPr>
    </w:p>
    <w:p>
      <w:pPr>
        <w:ind w:firstLine="751"/>
        <w:spacing w:after="0" w:line="248" w:lineRule="auto"/>
        <w:rPr>
          <w:sz w:val="20"/>
          <w:szCs w:val="20"/>
          <w:color w:val="auto"/>
        </w:rPr>
      </w:pPr>
      <w:r>
        <w:rPr>
          <w:rFonts w:ascii="Times New Roman" w:cs="Times New Roman" w:eastAsia="Times New Roman" w:hAnsi="Times New Roman"/>
          <w:sz w:val="16"/>
          <w:szCs w:val="16"/>
          <w:color w:val="auto"/>
        </w:rPr>
        <w:t>Assuming successful completion of the required clinical and preclinical testing, the results of product development, including CMC information, non-clinical studies, and clinical trial results, including negative or ambiguous results as well as positive findings, are all submitted to the FDA, along with the proposed labeling, as part of an NDA requesting approval to market the product for one or more indications. In most cases, the submission of an NDA is subject to a substantial application user fee, authorized every five years by Congress under the Prescription Drug User Fee Act, or PDUFA. User fees must be paid at the time of the first submission of the application, even if the application is being submitted on a rolling basis, and if approved, program fees must be paid on an annual basis. Product candidates that are designated as orphan drugs, which are further described below, are also not subject to application user fees unless the application includes an indication other than the orphan indication.</w:t>
      </w:r>
    </w:p>
    <w:p>
      <w:pPr>
        <w:spacing w:after="0" w:line="166" w:lineRule="exact"/>
        <w:rPr>
          <w:sz w:val="20"/>
          <w:szCs w:val="20"/>
          <w:color w:val="auto"/>
        </w:rPr>
      </w:pPr>
    </w:p>
    <w:p>
      <w:pPr>
        <w:ind w:firstLine="751"/>
        <w:spacing w:after="0" w:line="245" w:lineRule="auto"/>
        <w:rPr>
          <w:sz w:val="20"/>
          <w:szCs w:val="20"/>
          <w:color w:val="auto"/>
        </w:rPr>
      </w:pPr>
      <w:r>
        <w:rPr>
          <w:rFonts w:ascii="Times New Roman" w:cs="Times New Roman" w:eastAsia="Times New Roman" w:hAnsi="Times New Roman"/>
          <w:sz w:val="16"/>
          <w:szCs w:val="16"/>
          <w:color w:val="auto"/>
        </w:rPr>
        <w:t>In addition, under the Pediatric Research Equity Act, or PREA, an NDA or supplement to an NDA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A sponsor who is planning to submit a marketing application for a drug product that includes a new active ingredient, new indication, new dosage form, new dosing regimen or new route of administration must submit an initial Pediatric Study Plan, or PSP, within 60 days of an End-of-Phase 2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preclinical studies, early phase clinical studies or other clinical development program. The FDA may, on its own initiative or at the request of the applicant, grant deferrals for submission of some or all pediatric data until after approval of the product for use in adults, or full or partial waivers from the pediatric data requirements. The FDA also may require submission of a risk evaluation and mitigation strategy, or REMS, to ensure that the benefits of the drug outweigh the risks of the drug.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drug continue to outweigh the risks of the drug.</w:t>
      </w:r>
    </w:p>
    <w:p>
      <w:pPr>
        <w:spacing w:after="0" w:line="170" w:lineRule="exact"/>
        <w:rPr>
          <w:sz w:val="20"/>
          <w:szCs w:val="20"/>
          <w:color w:val="auto"/>
        </w:rPr>
      </w:pPr>
    </w:p>
    <w:p>
      <w:pPr>
        <w:ind w:right="60" w:firstLine="751"/>
        <w:spacing w:after="0" w:line="197" w:lineRule="exact"/>
        <w:rPr>
          <w:sz w:val="20"/>
          <w:szCs w:val="20"/>
          <w:color w:val="auto"/>
        </w:rPr>
      </w:pPr>
      <w:r>
        <w:rPr>
          <w:rFonts w:ascii="Times New Roman" w:cs="Times New Roman" w:eastAsia="Times New Roman" w:hAnsi="Times New Roman"/>
          <w:sz w:val="16"/>
          <w:szCs w:val="16"/>
          <w:color w:val="auto"/>
        </w:rPr>
        <w:t>Once the FDA receives an application, it will determine within 60 days whether the NDA as filed is sufficiently complete to permit a substantive review (with this decision often referred to as the NDA being “accepted for filing.”).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depth substantive review of the NDA.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40" w:firstLine="751"/>
        <w:spacing w:after="0" w:line="249" w:lineRule="auto"/>
        <w:rPr>
          <w:sz w:val="20"/>
          <w:szCs w:val="20"/>
          <w:color w:val="auto"/>
        </w:rPr>
      </w:pPr>
      <w:r>
        <w:rPr>
          <w:rFonts w:ascii="Times New Roman" w:cs="Times New Roman" w:eastAsia="Times New Roman" w:hAnsi="Times New Roman"/>
          <w:sz w:val="16"/>
          <w:szCs w:val="16"/>
          <w:color w:val="auto"/>
        </w:rPr>
        <w:t>The FDA has agreed to a set of performance goals and procedures under PDUFA to review 90% of all applications within ten months from the 60-day filing date for its initial review of a standard NDA for a New Molecular Entity, or NME. For non-NME standard applications, the FDA has set the goal of completing its review of 90% of all applications within ten months from the submission receipt date. Such deadlines are referred to as the PDUFA date. The PDUFA date is only a goal, thus, the FDA does not always meet its PDUFA goal dates. The review process and the PDUFA goal date may also be extended if the FDA requests, or the NDA sponsor otherwise provides, substantial additional information or clarification regarding the submission.</w:t>
      </w:r>
    </w:p>
    <w:p>
      <w:pPr>
        <w:spacing w:after="0" w:line="166" w:lineRule="exact"/>
        <w:rPr>
          <w:sz w:val="20"/>
          <w:szCs w:val="20"/>
          <w:color w:val="auto"/>
        </w:rPr>
      </w:pPr>
    </w:p>
    <w:p>
      <w:pPr>
        <w:ind w:right="300" w:firstLine="751"/>
        <w:spacing w:after="0" w:line="255" w:lineRule="auto"/>
        <w:rPr>
          <w:sz w:val="20"/>
          <w:szCs w:val="20"/>
          <w:color w:val="auto"/>
        </w:rPr>
      </w:pPr>
      <w:r>
        <w:rPr>
          <w:rFonts w:ascii="Times New Roman" w:cs="Times New Roman" w:eastAsia="Times New Roman" w:hAnsi="Times New Roman"/>
          <w:sz w:val="16"/>
          <w:szCs w:val="16"/>
          <w:color w:val="auto"/>
        </w:rPr>
        <w:t>The FDA may refer an application to an advisory committee for review, evaluation and recommendation as to whether the application should be approved, and applications for new molecular entities are generally discussed at advisory committee meetings unless the FDA determines that this type of consultation is not needed under the circumstances.</w:t>
      </w:r>
    </w:p>
    <w:p>
      <w:pPr>
        <w:spacing w:after="0" w:line="160" w:lineRule="exact"/>
        <w:rPr>
          <w:sz w:val="20"/>
          <w:szCs w:val="20"/>
          <w:color w:val="auto"/>
        </w:rPr>
      </w:pPr>
    </w:p>
    <w:p>
      <w:pPr>
        <w:ind w:right="40" w:firstLine="751"/>
        <w:spacing w:after="0" w:line="255" w:lineRule="auto"/>
        <w:rPr>
          <w:sz w:val="20"/>
          <w:szCs w:val="20"/>
          <w:color w:val="auto"/>
        </w:rPr>
      </w:pPr>
      <w:r>
        <w:rPr>
          <w:rFonts w:ascii="Times New Roman" w:cs="Times New Roman" w:eastAsia="Times New Roman" w:hAnsi="Times New Roman"/>
          <w:sz w:val="16"/>
          <w:szCs w:val="16"/>
          <w:color w:val="auto"/>
        </w:rPr>
        <w:t>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 and typically follows such recommendations.</w:t>
      </w:r>
    </w:p>
    <w:p>
      <w:pPr>
        <w:spacing w:after="0" w:line="160" w:lineRule="exact"/>
        <w:rPr>
          <w:sz w:val="20"/>
          <w:szCs w:val="20"/>
          <w:color w:val="auto"/>
        </w:rPr>
      </w:pPr>
    </w:p>
    <w:p>
      <w:pPr>
        <w:ind w:right="200" w:firstLine="751"/>
        <w:spacing w:after="0" w:line="190" w:lineRule="exact"/>
        <w:rPr>
          <w:sz w:val="20"/>
          <w:szCs w:val="20"/>
          <w:color w:val="auto"/>
        </w:rPr>
      </w:pPr>
      <w:r>
        <w:rPr>
          <w:rFonts w:ascii="Times New Roman" w:cs="Times New Roman" w:eastAsia="Times New Roman" w:hAnsi="Times New Roman"/>
          <w:sz w:val="16"/>
          <w:szCs w:val="16"/>
          <w:color w:val="auto"/>
        </w:rPr>
        <w:t>The FDA reviews applications to determine, among other things, whether a product is safe and effective for its intended use and whether the manufacturing methods and controls are adequate to assure and preserve the product’s identity, strength, quality, safety, potency, and purity. Before approving an NDA, the FDA typically will inspect the facility or facilities where the product is manufactured, referred to as a Pre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Approval Inspection. The FDA will not approve an application unless it determines that the manufacturing processes and facilities, including contract manufacturers and subcontractors, are in compliance with cGMP requirements and adequate to assure consistent production of the product within required specifications. Additionally, before approving an NDA the FDA will inspect one or more clinical trial sites to assure compliance with GCPs.</w:t>
      </w:r>
    </w:p>
    <w:p>
      <w:pPr>
        <w:spacing w:after="0" w:line="171" w:lineRule="exact"/>
        <w:rPr>
          <w:sz w:val="20"/>
          <w:szCs w:val="20"/>
          <w:color w:val="auto"/>
        </w:rPr>
      </w:pPr>
    </w:p>
    <w:p>
      <w:pPr>
        <w:ind w:right="60" w:firstLine="751"/>
        <w:spacing w:after="0" w:line="249" w:lineRule="auto"/>
        <w:rPr>
          <w:sz w:val="20"/>
          <w:szCs w:val="20"/>
          <w:color w:val="auto"/>
        </w:rPr>
      </w:pPr>
      <w:r>
        <w:rPr>
          <w:rFonts w:ascii="Times New Roman" w:cs="Times New Roman" w:eastAsia="Times New Roman" w:hAnsi="Times New Roman"/>
          <w:sz w:val="16"/>
          <w:szCs w:val="16"/>
          <w:color w:val="auto"/>
        </w:rPr>
        <w:t>The approval process is lengthy and difficult and involves numerous FDA personnel assigned to review different aspects of the NDA, and the FDA may refuse to approve an NDA if the applicable regulatory criteria are not satisfied or may require additional preclinical or clinical CMC or other data and information. Uncertainties can be presented by reviewers’ ability to exercise judgment and discretion during the review process. Even if such data and information are submitted, the FDA and may ultimately decide that the NDA does not satisfy the criteria for approval. Data obtained from clinical trials are not always conclusive and the FDA may interpret data differently than an applicant interprets the same data.</w:t>
      </w:r>
    </w:p>
    <w:p>
      <w:pPr>
        <w:spacing w:after="0" w:line="166" w:lineRule="exact"/>
        <w:rPr>
          <w:sz w:val="20"/>
          <w:szCs w:val="20"/>
          <w:color w:val="auto"/>
        </w:rPr>
      </w:pPr>
    </w:p>
    <w:p>
      <w:pPr>
        <w:ind w:right="20" w:firstLine="751"/>
        <w:spacing w:after="0" w:line="246" w:lineRule="auto"/>
        <w:rPr>
          <w:sz w:val="20"/>
          <w:szCs w:val="20"/>
          <w:color w:val="auto"/>
        </w:rPr>
      </w:pPr>
      <w:r>
        <w:rPr>
          <w:rFonts w:ascii="Times New Roman" w:cs="Times New Roman" w:eastAsia="Times New Roman" w:hAnsi="Times New Roman"/>
          <w:sz w:val="16"/>
          <w:szCs w:val="16"/>
          <w:color w:val="auto"/>
        </w:rPr>
        <w:t>After evaluating the NDA and all related information, including the advisory committee recommendation, if any, and inspection reports regarding the manufacturing facilities and clinical trial sites, the FDA may issue an approval letter, or, in some cases, a CRL. If a CRL is issued, the applicant may either resubmit the NDA, addressing all of the deficiencies identified in the letter; withdraw the application; or request an opportunity for a hearing. A CRL indicates that the review cycle of the application is complete, and the application is not ready for approval in its current form and describes all of the specific deficiencies that the FDA identified in the NDA. A CRL generally contains a statement of specific conditions that must be met in order to secure final approval of the NDA and may require additional clinical or preclinical testing in order for the FDA to reconsider the application. The deficiencies identified may be minor, for example, requiring labeling changes; or major, for example, requiring additional clinical trials. The FDA has the goal of reviewing 90% of application and efficacy supplement resubmissions in either two or six months (from receipt) for a Class 1 or Class 2 resubmission, respectively. For non-efficacy supplements (i.e., labeling and manufacturing supplements), CDER’s goal is to review the supplement within the same length of time (from receipt) as the initial review cycle (excluding an extension caused by a major amendment of the initial supplement).</w:t>
      </w:r>
    </w:p>
    <w:p>
      <w:pPr>
        <w:spacing w:after="0" w:line="170" w:lineRule="exact"/>
        <w:rPr>
          <w:sz w:val="20"/>
          <w:szCs w:val="20"/>
          <w:color w:val="auto"/>
        </w:rPr>
      </w:pPr>
    </w:p>
    <w:p>
      <w:pPr>
        <w:ind w:firstLine="751"/>
        <w:spacing w:after="0" w:line="255" w:lineRule="auto"/>
        <w:rPr>
          <w:sz w:val="20"/>
          <w:szCs w:val="20"/>
          <w:color w:val="auto"/>
        </w:rPr>
      </w:pPr>
      <w:r>
        <w:rPr>
          <w:rFonts w:ascii="Times New Roman" w:cs="Times New Roman" w:eastAsia="Times New Roman" w:hAnsi="Times New Roman"/>
          <w:sz w:val="16"/>
          <w:szCs w:val="16"/>
          <w:color w:val="auto"/>
        </w:rPr>
        <w:t>Even with the submission of additional information, the FDA ultimately may decide that the application does not satisfy the regulatory criteria for approval. If and when the issues identified in a CRL have been addressed and resolved to the FDA’s satisfaction, the FDA may issue an approval letter. An approval letter authorizes commercial marketing of the drug for specific indications and with specific prescribing information which was reviewed in connection with the NDA.</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60" w:firstLine="751"/>
        <w:spacing w:after="0" w:line="190" w:lineRule="exact"/>
        <w:rPr>
          <w:sz w:val="20"/>
          <w:szCs w:val="20"/>
          <w:color w:val="auto"/>
        </w:rPr>
      </w:pPr>
      <w:r>
        <w:rPr>
          <w:rFonts w:ascii="Times New Roman" w:cs="Times New Roman" w:eastAsia="Times New Roman" w:hAnsi="Times New Roman"/>
          <w:sz w:val="16"/>
          <w:szCs w:val="16"/>
          <w:color w:val="auto"/>
        </w:rPr>
        <w:t>Even if the FDA approves a product, it may limit the approved indications for use of the product, require that contraindications, warnings, or precautions be included in the product labeling, including a boxed warning, require that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approval studies, including Phase 4 clinical trials, be conducted to further assess a drug’s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spacing w:after="0" w:line="174" w:lineRule="exact"/>
        <w:rPr>
          <w:sz w:val="20"/>
          <w:szCs w:val="20"/>
          <w:color w:val="auto"/>
        </w:rPr>
      </w:pPr>
    </w:p>
    <w:p>
      <w:pPr>
        <w:ind w:right="100" w:firstLine="751"/>
        <w:spacing w:after="0" w:line="191" w:lineRule="exact"/>
        <w:rPr>
          <w:sz w:val="20"/>
          <w:szCs w:val="20"/>
          <w:color w:val="auto"/>
        </w:rPr>
      </w:pPr>
      <w:r>
        <w:rPr>
          <w:rFonts w:ascii="Times New Roman" w:cs="Times New Roman" w:eastAsia="Times New Roman" w:hAnsi="Times New Roman"/>
          <w:sz w:val="16"/>
          <w:szCs w:val="16"/>
          <w:color w:val="auto"/>
        </w:rPr>
        <w:t>After approval, some types of changes to the approved product, such as adding new indications, manufacturing changes, and additional labeling claims, are subject to further testing requirements and FDA review and approval. The FDA may also withdraw the product approval if compliance with the pre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and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marketing regulatory standards are not maintained or if problems occur after the product reaches the marketplace. Further, should new safety information arise, additional testing, product labeling, or FDA notification may be required.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505(b)(2) Approval Process</w:t>
      </w:r>
    </w:p>
    <w:p>
      <w:pPr>
        <w:spacing w:after="0" w:line="191" w:lineRule="exact"/>
        <w:rPr>
          <w:sz w:val="20"/>
          <w:szCs w:val="20"/>
          <w:color w:val="auto"/>
        </w:rPr>
      </w:pPr>
    </w:p>
    <w:p>
      <w:pPr>
        <w:ind w:right="100" w:firstLine="751"/>
        <w:spacing w:after="0" w:line="189" w:lineRule="exact"/>
        <w:rPr>
          <w:sz w:val="20"/>
          <w:szCs w:val="20"/>
          <w:color w:val="auto"/>
        </w:rPr>
      </w:pPr>
      <w:r>
        <w:rPr>
          <w:rFonts w:ascii="Times New Roman" w:cs="Times New Roman" w:eastAsia="Times New Roman" w:hAnsi="Times New Roman"/>
          <w:sz w:val="16"/>
          <w:szCs w:val="16"/>
          <w:color w:val="auto"/>
        </w:rPr>
        <w:t>Section 505(b)(2) of the FDCA, provides an alternate regulatory pathway to FDA approval for new or improved formulations or new uses of previously approved drug products. Specifically, Section 505(b)(2) was enacted as part of the Drug Price Competition and Patent Term Restoration Act of 1984, commonly referred to as the Hatch</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Waxman Act amendments, and permits the filing of an NDA where at least some of the information required for approval comes from studies not conducted by or for the applicant and for which the applicant has not obtained a right of reference or use from the person by or for whom the investigations were conducted. The applicant may rely, in part, upon the FDA’s prior findings of safety and effectiveness for an approved product that acts as the reference listed drug or on published scientific literature, in support of its application. The FDA may also require 505(b)(2) applicants to perform additional studies or measurements to support the changes from the reference listed drug as well as bridging studies to the reference listed drug. The FDA may then approve the new product candidate for all or some of the labeled indications for which the referenced product has been approved, as well as for any new indication sought by the Section 505(b)(2) applicant.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Orange Book Listing</w:t>
      </w:r>
    </w:p>
    <w:p>
      <w:pPr>
        <w:spacing w:after="0" w:line="191" w:lineRule="exact"/>
        <w:rPr>
          <w:sz w:val="20"/>
          <w:szCs w:val="20"/>
          <w:color w:val="auto"/>
        </w:rPr>
      </w:pPr>
    </w:p>
    <w:p>
      <w:pPr>
        <w:ind w:firstLine="751"/>
        <w:spacing w:after="0" w:line="188" w:lineRule="exact"/>
        <w:rPr>
          <w:sz w:val="20"/>
          <w:szCs w:val="20"/>
          <w:color w:val="auto"/>
        </w:rPr>
      </w:pPr>
      <w:r>
        <w:rPr>
          <w:rFonts w:ascii="Times New Roman" w:cs="Times New Roman" w:eastAsia="Times New Roman" w:hAnsi="Times New Roman"/>
          <w:sz w:val="16"/>
          <w:szCs w:val="16"/>
          <w:color w:val="auto"/>
        </w:rPr>
        <w:t>Section 505 of the FDCA describes three types of marketing applications that may be submitted to the FDA to request marketing authorization for a new drug. A section 505(b)(1) NDA is an application that contains full reports of investigations of safety and efficacy. A section 505(b)(2) NDA is an application in which the applicant, in part, relies on investigations that were not conducted by or for the applicant and for which the applicant has not obtained a right of reference or use from the person by or for whom the investigations were conducted. Section 505(j) establishes an abbreviated approval process for a generic version of approved drug products through the submission of an Abbreviated New Drug Application, or ANDA. An ANDA is an application for marketing of a generic drug product that has the same active ingredients, dosage form, strength, route of administration, labeling, performance characteristics, and intended use, among other things, to a previously approved product. Limited changes must be pre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approved by the FDA via a suitability petition.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under state substitution laws, may be substituted at the pharmacy for the reference listed drug.</w:t>
      </w:r>
    </w:p>
    <w:p>
      <w:pPr>
        <w:spacing w:after="0" w:line="176" w:lineRule="exact"/>
        <w:rPr>
          <w:sz w:val="20"/>
          <w:szCs w:val="20"/>
          <w:color w:val="auto"/>
        </w:rPr>
      </w:pPr>
    </w:p>
    <w:p>
      <w:pPr>
        <w:jc w:val="both"/>
        <w:ind w:right="40" w:firstLine="751"/>
        <w:spacing w:after="0" w:line="255" w:lineRule="auto"/>
        <w:rPr>
          <w:sz w:val="20"/>
          <w:szCs w:val="20"/>
          <w:color w:val="auto"/>
        </w:rPr>
      </w:pPr>
      <w:r>
        <w:rPr>
          <w:rFonts w:ascii="Times New Roman" w:cs="Times New Roman" w:eastAsia="Times New Roman" w:hAnsi="Times New Roman"/>
          <w:sz w:val="16"/>
          <w:szCs w:val="16"/>
          <w:color w:val="auto"/>
        </w:rPr>
        <w:t xml:space="preserve">In seeking approval for a drug through an NDA, including a 505(b)(2) NDA, applicants are required to identify to the FDA patents that contain claims that are directed to the applicant’s product and/or method(s) of use. Upon approval of an NDA, each of the identified patents is then listed in </w:t>
      </w:r>
      <w:r>
        <w:rPr>
          <w:rFonts w:ascii="Times New Roman" w:cs="Times New Roman" w:eastAsia="Times New Roman" w:hAnsi="Times New Roman"/>
          <w:sz w:val="16"/>
          <w:szCs w:val="16"/>
          <w:i w:val="1"/>
          <w:iCs w:val="1"/>
          <w:color w:val="auto"/>
        </w:rPr>
        <w:t>Approved Drug Products with Therapeutic Equivalence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Evaluations</w:t>
      </w:r>
      <w:r>
        <w:rPr>
          <w:rFonts w:ascii="Times New Roman" w:cs="Times New Roman" w:eastAsia="Times New Roman" w:hAnsi="Times New Roman"/>
          <w:sz w:val="16"/>
          <w:szCs w:val="16"/>
          <w:color w:val="auto"/>
        </w:rPr>
        <w:t>, also known as the Orange Book.</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firstLine="751"/>
        <w:spacing w:after="0" w:line="247" w:lineRule="auto"/>
        <w:rPr>
          <w:sz w:val="20"/>
          <w:szCs w:val="20"/>
          <w:color w:val="auto"/>
        </w:rPr>
      </w:pPr>
      <w:r>
        <w:rPr>
          <w:rFonts w:ascii="Times New Roman" w:cs="Times New Roman" w:eastAsia="Times New Roman" w:hAnsi="Times New Roman"/>
          <w:sz w:val="16"/>
          <w:szCs w:val="16"/>
          <w:color w:val="auto"/>
        </w:rPr>
        <w:t>An applicant who files an ANDA seeking approval of a generic version of a drug listed in the Orange Book or a 505(b)(2) NDA referencing a drug listed in the Orange Book must make patent certifications to the FDA that (1) no patent information on the drug or method of use that is the subject of the application has been submitted to the FDA; (2) the patent has expired; (3) the date on which the patent has expired and approval will not be sought until after the patent expiration; or (4) in the applicant’s opinion and to the best of its knowledge, the patent is invalid, unenforceable, or will not be infringed upon by the manufacture, use, or sale of the drug product for which the application is submitted. The last certification is known as a paragraph IV certification. Generally, the ANDA or 505(b)(2) NDA approval cannot be made effective until all listed patents have expired, except where the ANDA or 505(b)(2) NDA applicant challenges a listed patent through a paragraph IV certification or if the applicant is not seeking approval of a patented method of use. If the applicant does not challenge the listed patents or does not indicate that it is not seeking approval of a patented method of use, the ANDA or 505(b)(2) NDA application approval will not be made effective until all of the listed patents claiming the referenced product have expired.</w:t>
      </w:r>
    </w:p>
    <w:p>
      <w:pPr>
        <w:spacing w:after="0" w:line="166" w:lineRule="exact"/>
        <w:rPr>
          <w:sz w:val="20"/>
          <w:szCs w:val="20"/>
          <w:color w:val="auto"/>
        </w:rPr>
      </w:pPr>
    </w:p>
    <w:p>
      <w:pPr>
        <w:ind w:right="60" w:firstLine="751"/>
        <w:spacing w:after="0" w:line="194" w:lineRule="exact"/>
        <w:rPr>
          <w:sz w:val="20"/>
          <w:szCs w:val="20"/>
          <w:color w:val="auto"/>
        </w:rPr>
      </w:pPr>
      <w:r>
        <w:rPr>
          <w:rFonts w:ascii="Times New Roman" w:cs="Times New Roman" w:eastAsia="Times New Roman" w:hAnsi="Times New Roman"/>
          <w:sz w:val="16"/>
          <w:szCs w:val="16"/>
          <w:color w:val="auto"/>
        </w:rPr>
        <w:t>If the competitor has provided a paragraph IV certification to the FDA, the competitor must also send notice of the paragraph IV certification to the holder of the NDA for the reference listed drug and the patent owner within 20 days after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notice prevents the FDA from making the approval of the ANDA or 505(b)(2) application effective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automatic 30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month stay.</w:t>
      </w:r>
    </w:p>
    <w:p>
      <w:pPr>
        <w:spacing w:after="0" w:line="148" w:lineRule="exact"/>
        <w:rPr>
          <w:sz w:val="20"/>
          <w:szCs w:val="20"/>
          <w:color w:val="auto"/>
        </w:rPr>
      </w:pPr>
    </w:p>
    <w:p>
      <w:pPr>
        <w:jc w:val="both"/>
        <w:ind w:right="140" w:firstLine="751"/>
        <w:spacing w:after="0" w:line="192" w:lineRule="exact"/>
        <w:rPr>
          <w:sz w:val="20"/>
          <w:szCs w:val="20"/>
          <w:color w:val="auto"/>
        </w:rPr>
      </w:pPr>
      <w:r>
        <w:rPr>
          <w:rFonts w:ascii="Times New Roman" w:cs="Times New Roman" w:eastAsia="Times New Roman" w:hAnsi="Times New Roman"/>
          <w:sz w:val="16"/>
          <w:szCs w:val="16"/>
          <w:color w:val="auto"/>
        </w:rPr>
        <w:t>In practice, where an ANDA or 505(b)(2) NDA applicant files a paragraph IV certification, the NDA holder or patent owners often take action to trigger the automatic 30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month stay, resulting in patent litigation that may take many months or years to resolve. Thus, approval of an ANDA or 505(b)(2) application could be delayed for a significant period of time depending on the patent certification the applicant makes and the reference drug sponsor’s decision to initiate patent litigation.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Regulatory Exclusivity</w:t>
      </w:r>
    </w:p>
    <w:p>
      <w:pPr>
        <w:spacing w:after="0" w:line="191" w:lineRule="exact"/>
        <w:rPr>
          <w:sz w:val="20"/>
          <w:szCs w:val="20"/>
          <w:color w:val="auto"/>
        </w:rPr>
      </w:pPr>
    </w:p>
    <w:p>
      <w:pPr>
        <w:ind w:right="100" w:firstLine="751"/>
        <w:spacing w:after="0" w:line="247" w:lineRule="auto"/>
        <w:rPr>
          <w:sz w:val="20"/>
          <w:szCs w:val="20"/>
          <w:color w:val="auto"/>
        </w:rPr>
      </w:pPr>
      <w:r>
        <w:rPr>
          <w:rFonts w:ascii="Times New Roman" w:cs="Times New Roman" w:eastAsia="Times New Roman" w:hAnsi="Times New Roman"/>
          <w:sz w:val="16"/>
          <w:szCs w:val="16"/>
          <w:color w:val="auto"/>
        </w:rPr>
        <w:t>Regulatory exclusivity provisions under the FDCA can also delay the submission or the approval effective date of certain applications. A regulatory exclusivity can provide the holder of an approved NDA protection from new competition in the marketplace for the innovation represented by its approved drug. Five years of exclusivity are available for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derivatives, such as a complex, chelate, or clathrate, of the molecule, responsible for the therapeutic activity of the drug substance. During the NCE exclusivity period, the FDA may not accept for review an ANDA or a 505(b)(2) NDA application by another company that contains the previously approved active moiety. An ANDA or 505(b)(2) application, however, may be submitted one year before NCE exclusivity expires if a paragraph IV certification is filed.</w:t>
      </w:r>
    </w:p>
    <w:p>
      <w:pPr>
        <w:spacing w:after="0" w:line="168" w:lineRule="exact"/>
        <w:rPr>
          <w:sz w:val="20"/>
          <w:szCs w:val="20"/>
          <w:color w:val="auto"/>
        </w:rPr>
      </w:pPr>
    </w:p>
    <w:p>
      <w:pPr>
        <w:ind w:right="80" w:firstLine="751"/>
        <w:spacing w:after="0" w:line="192" w:lineRule="exact"/>
        <w:rPr>
          <w:sz w:val="20"/>
          <w:szCs w:val="20"/>
          <w:color w:val="auto"/>
        </w:rPr>
      </w:pPr>
      <w:r>
        <w:rPr>
          <w:rFonts w:ascii="Times New Roman" w:cs="Times New Roman" w:eastAsia="Times New Roman" w:hAnsi="Times New Roman"/>
          <w:sz w:val="14"/>
          <w:szCs w:val="14"/>
          <w:color w:val="auto"/>
        </w:rPr>
        <w:t xml:space="preserve">Three years of exclusivity are available to the holder of an NDA, including a 505(b)(2) NDA, for a particular condition of approval, or change to a marketed product, such as a new formulation or indication for a drug </w:t>
      </w:r>
      <w:r>
        <w:rPr>
          <w:rFonts w:ascii="Times New Roman" w:cs="Times New Roman" w:eastAsia="Times New Roman" w:hAnsi="Times New Roman"/>
          <w:sz w:val="14"/>
          <w:szCs w:val="14"/>
          <w:color w:val="333333"/>
        </w:rPr>
        <w:t>product that contains an active moiety that has been previously approved, when the application contains reports of new clinical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333333"/>
        </w:rPr>
        <w:t xml:space="preserve">investigations, other than bioavailability studies, conducted by the sponsor that were essential to approval of the application. Changes in an approved drug product that affect its active ingredient(s), strength, dosage form, route of administration or conditions of use may be granted this exclusivity if a new clinical investigation (NCI) was essential to approval of the application containing those changes. </w:t>
      </w:r>
      <w:r>
        <w:rPr>
          <w:rFonts w:ascii="Times New Roman" w:cs="Times New Roman" w:eastAsia="Times New Roman" w:hAnsi="Times New Roman"/>
          <w:sz w:val="14"/>
          <w:szCs w:val="14"/>
          <w:color w:val="000000"/>
        </w:rPr>
        <w:t>During the NCI exclusivity period, FDA may not approve an ANDA or 505(b)(2) NDA by another company for the condition</w:t>
      </w:r>
      <w:r>
        <w:rPr>
          <w:rFonts w:ascii="Times New Roman" w:cs="Times New Roman" w:eastAsia="Times New Roman" w:hAnsi="Times New Roman"/>
          <w:sz w:val="14"/>
          <w:szCs w:val="14"/>
          <w:color w:val="333333"/>
        </w:rPr>
        <w:t xml:space="preserve"> </w:t>
      </w:r>
      <w:r>
        <w:rPr>
          <w:rFonts w:ascii="Times New Roman" w:cs="Times New Roman" w:eastAsia="Times New Roman" w:hAnsi="Times New Roman"/>
          <w:sz w:val="14"/>
          <w:szCs w:val="14"/>
          <w:color w:val="000000"/>
        </w:rPr>
        <w:t>of the new drug’s approval. NCE and NCI exclusivities will not delay the submission or approval of a full NDA; however, an applicant submitting a full NDA would be required to conduct or obtain a right of reference to, all of the preclinical studies and adequate and well</w:t>
      </w:r>
      <w:r>
        <w:rPr>
          <w:rFonts w:ascii="MS PGothic" w:cs="MS PGothic" w:eastAsia="MS PGothic" w:hAnsi="MS PGothic"/>
          <w:sz w:val="14"/>
          <w:szCs w:val="14"/>
          <w:color w:val="000000"/>
        </w:rPr>
        <w:t>‑</w:t>
      </w:r>
      <w:r>
        <w:rPr>
          <w:rFonts w:ascii="Times New Roman" w:cs="Times New Roman" w:eastAsia="Times New Roman" w:hAnsi="Times New Roman"/>
          <w:sz w:val="14"/>
          <w:szCs w:val="14"/>
          <w:color w:val="000000"/>
        </w:rPr>
        <w:t>controlled clinical trials necessary to demonstrate safety and efficacy.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20" w:firstLine="751"/>
        <w:spacing w:after="0" w:line="189" w:lineRule="exact"/>
        <w:rPr>
          <w:sz w:val="20"/>
          <w:szCs w:val="20"/>
          <w:color w:val="auto"/>
        </w:rPr>
      </w:pPr>
      <w:r>
        <w:rPr>
          <w:rFonts w:ascii="Times New Roman" w:cs="Times New Roman" w:eastAsia="Times New Roman" w:hAnsi="Times New Roman"/>
          <w:sz w:val="16"/>
          <w:szCs w:val="16"/>
          <w:color w:val="auto"/>
        </w:rPr>
        <w:t>Pediatric exclusivity is a regulatory exclusivity in the United States that provides for the attachment of an additional six months of marketing protection to the term of any existing regulatory and statutory exclusivity, including the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patent exclusivity periods described above as well as applicable patent terms. This six</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month exclusivity may be granted if an NDA sponsor submits pediatric data that fairly respond to a written request from the FDA for such data. The data do not need to show the product to be effective in the pediatric population studies; rather, if the clinical trial is deemed to fairly respond to the FDA’s request, the additional protection is granted. If reports of requested pediatric studies are submitted to and accepted by the FDA within the required time frames, whatever statutory or regulatory periods of exclusivity or Orange Book listed patent protection cover the drug are extended by six months. This is not a patent term extension, but it effectively extends the regulatory period during which the FDA cannot make an ANDA or 505(b)(2) application approval effective as a result of regulatory exclusivity or listed patents. Moreover, pediatric exclusivity attaches to all formulations, dosage forms, and indications for products with existing marketing exclusivity or patent life that contain the same active moiety as that which was studied.</w:t>
      </w:r>
    </w:p>
    <w:p>
      <w:pPr>
        <w:spacing w:after="0" w:line="172" w:lineRule="exact"/>
        <w:rPr>
          <w:sz w:val="20"/>
          <w:szCs w:val="20"/>
          <w:color w:val="auto"/>
        </w:rPr>
      </w:pPr>
    </w:p>
    <w:p>
      <w:pPr>
        <w:ind w:firstLine="751"/>
        <w:spacing w:after="0" w:line="194" w:lineRule="exact"/>
        <w:rPr>
          <w:sz w:val="20"/>
          <w:szCs w:val="20"/>
          <w:color w:val="auto"/>
        </w:rPr>
      </w:pPr>
      <w:r>
        <w:rPr>
          <w:rFonts w:ascii="Times New Roman" w:cs="Times New Roman" w:eastAsia="Times New Roman" w:hAnsi="Times New Roman"/>
          <w:sz w:val="14"/>
          <w:szCs w:val="14"/>
          <w:color w:val="auto"/>
        </w:rPr>
        <w:t>The Orphan Drug Act provides incentives for the development of drugs intended to treat rare diseases or conditions, which generally are diseases or conditions affecting less than 200,000 individuals annually in the United States, or affecting more than 200,000 in the United States and for which there is no reasonable expectation that the cost of developing and making the drug available in the United States will be recovered from United States sales. If a product receives FDA approval for the indication for which it has orphan designation, the product is generally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Orphan drug designation also entitles a party to financial incentives such as opportunities for grant funding towards clinical study costs, tax advantages, and application user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fee waivers.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Special FDA Expedited Review and Approval Programs</w:t>
      </w:r>
    </w:p>
    <w:p>
      <w:pPr>
        <w:spacing w:after="0" w:line="191" w:lineRule="exact"/>
        <w:rPr>
          <w:sz w:val="20"/>
          <w:szCs w:val="20"/>
          <w:color w:val="auto"/>
        </w:rPr>
      </w:pPr>
    </w:p>
    <w:p>
      <w:pPr>
        <w:ind w:firstLine="751"/>
        <w:spacing w:after="0" w:line="251" w:lineRule="auto"/>
        <w:rPr>
          <w:sz w:val="20"/>
          <w:szCs w:val="20"/>
          <w:color w:val="auto"/>
        </w:rPr>
      </w:pPr>
      <w:r>
        <w:rPr>
          <w:rFonts w:ascii="Times New Roman" w:cs="Times New Roman" w:eastAsia="Times New Roman" w:hAnsi="Times New Roman"/>
          <w:sz w:val="16"/>
          <w:szCs w:val="16"/>
          <w:color w:val="auto"/>
        </w:rPr>
        <w:t>The FDA has various programs, including Fast Track designation, Priority Review and Breakthrough designation, which are intended to expedite or simplify the process for the development and FDA review of certain drug products that are intended for the treatment of serious or life threatening diseases or conditions, and demonstrate the potential to address unmet medical needs or present a significant improvement over existing therapy. The purpose of these programs is to provide important new drugs to patients earlier than under standard FDA review procedures.</w:t>
      </w:r>
    </w:p>
    <w:p>
      <w:pPr>
        <w:spacing w:after="0" w:line="164" w:lineRule="exact"/>
        <w:rPr>
          <w:sz w:val="20"/>
          <w:szCs w:val="20"/>
          <w:color w:val="auto"/>
        </w:rPr>
      </w:pPr>
    </w:p>
    <w:p>
      <w:pPr>
        <w:ind w:right="240" w:firstLine="751"/>
        <w:spacing w:after="0" w:line="251" w:lineRule="auto"/>
        <w:rPr>
          <w:sz w:val="20"/>
          <w:szCs w:val="20"/>
          <w:color w:val="auto"/>
        </w:rPr>
      </w:pPr>
      <w:r>
        <w:rPr>
          <w:rFonts w:ascii="Times New Roman" w:cs="Times New Roman" w:eastAsia="Times New Roman" w:hAnsi="Times New Roman"/>
          <w:sz w:val="16"/>
          <w:szCs w:val="16"/>
          <w:color w:val="auto"/>
        </w:rPr>
        <w:t>To be eligible for a Fast Track designation, the FDA must determine, based on the request of a sponsor, that a product is intended to treat a serious or life-threatening disease or condition and demonstrates the potential to address an unmet medical need. The FDA will determine that a product will fill an unmet medical need if the product will provide a therapy where none exists or provide a therapy that may be potentially superior to existing therapy based on efficacy, safety, or public health factors. If Fast Track designation is obtained, drug sponsors may be eligible for more frequent development meetings and correspondence with the FDA.</w:t>
      </w:r>
    </w:p>
    <w:p>
      <w:pPr>
        <w:spacing w:after="0" w:line="164" w:lineRule="exact"/>
        <w:rPr>
          <w:sz w:val="20"/>
          <w:szCs w:val="20"/>
          <w:color w:val="auto"/>
        </w:rPr>
      </w:pPr>
    </w:p>
    <w:p>
      <w:pPr>
        <w:ind w:right="60" w:firstLine="751"/>
        <w:spacing w:after="0" w:line="251" w:lineRule="auto"/>
        <w:rPr>
          <w:sz w:val="20"/>
          <w:szCs w:val="20"/>
          <w:color w:val="auto"/>
        </w:rPr>
      </w:pPr>
      <w:r>
        <w:rPr>
          <w:rFonts w:ascii="Times New Roman" w:cs="Times New Roman" w:eastAsia="Times New Roman" w:hAnsi="Times New Roman"/>
          <w:sz w:val="16"/>
          <w:szCs w:val="16"/>
          <w:color w:val="auto"/>
        </w:rPr>
        <w:t>In addition, if an applicant obtains “rolling review” the FDA may accept and initiate review of sections of an NDA before the application submission is complete, although it is not guaranteed that FDA will commence review before the application submission is complete, and the timing of the review depends on a number of factors including availability of review personnel at the FDA, and competing agency priorities among other things. The applicant must provide, and the FDA must agree to a schedule for the remaining information after the initial section of the NDA.</w:t>
      </w:r>
    </w:p>
    <w:p>
      <w:pPr>
        <w:spacing w:after="0" w:line="164" w:lineRule="exact"/>
        <w:rPr>
          <w:sz w:val="20"/>
          <w:szCs w:val="20"/>
          <w:color w:val="auto"/>
        </w:rPr>
      </w:pPr>
    </w:p>
    <w:p>
      <w:pPr>
        <w:ind w:right="140" w:firstLine="751"/>
        <w:spacing w:after="0" w:line="190" w:lineRule="exact"/>
        <w:rPr>
          <w:sz w:val="20"/>
          <w:szCs w:val="20"/>
          <w:color w:val="auto"/>
        </w:rPr>
      </w:pPr>
      <w:r>
        <w:rPr>
          <w:rFonts w:ascii="Times New Roman" w:cs="Times New Roman" w:eastAsia="Times New Roman" w:hAnsi="Times New Roman"/>
          <w:sz w:val="16"/>
          <w:szCs w:val="16"/>
          <w:color w:val="auto"/>
        </w:rPr>
        <w:t>In some cases, a Fast Track product may be eligible for Accelerated Approval or Priority Review. The FDA may give a Priority Review designation to drugs that are intended to treat serious conditions and, if approved, would provide significant improvements in the safety or effectiveness of the treatment, diagnosis, or prevention of serious conditions. A Priority Review designation means that the goal for the FDA is to review an application within six months of receipt, rather than the standard review of ten months under current PDUFA guidelines, of the 60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day filing date for NMEs and within six months of the submission receipt date for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NMEs. Products that are eligible for Fast Track designation may also be considered appropriate to receive a Priority Review.</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60" w:firstLine="751"/>
        <w:spacing w:after="0" w:line="194" w:lineRule="exact"/>
        <w:rPr>
          <w:sz w:val="20"/>
          <w:szCs w:val="20"/>
          <w:color w:val="auto"/>
        </w:rPr>
      </w:pPr>
      <w:r>
        <w:rPr>
          <w:rFonts w:ascii="Times New Roman" w:cs="Times New Roman" w:eastAsia="Times New Roman" w:hAnsi="Times New Roman"/>
          <w:sz w:val="16"/>
          <w:szCs w:val="16"/>
          <w:color w:val="auto"/>
        </w:rPr>
        <w:t>Moreover, under the provisions of the Food and Drug Administration Safety and Innovation Act, or FDASIA, enacted in 2012, a sponsor can request designation of a product candidate as a “breakthrough therapy.” A breakthrough therapy is defined as a drug that is intended, alone or in combination with one or more other drugs, to treat a serious or life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the Fast Track designation features as described above, intensive guidance on an efficient drug development program beginning as early as Phase 1 trials, and a commitment from the FDA to involve senior managers and experienced review staff in a proactive collaborative, cross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disciplinary review.</w:t>
      </w:r>
    </w:p>
    <w:p>
      <w:pPr>
        <w:spacing w:after="0" w:line="148" w:lineRule="exact"/>
        <w:rPr>
          <w:sz w:val="20"/>
          <w:szCs w:val="20"/>
          <w:color w:val="auto"/>
        </w:rPr>
      </w:pPr>
    </w:p>
    <w:p>
      <w:pPr>
        <w:ind w:right="120" w:firstLine="751"/>
        <w:spacing w:after="0" w:line="267" w:lineRule="auto"/>
        <w:rPr>
          <w:sz w:val="20"/>
          <w:szCs w:val="20"/>
          <w:color w:val="auto"/>
        </w:rPr>
      </w:pPr>
      <w:r>
        <w:rPr>
          <w:rFonts w:ascii="Times New Roman" w:cs="Times New Roman" w:eastAsia="Times New Roman" w:hAnsi="Times New Roman"/>
          <w:sz w:val="16"/>
          <w:szCs w:val="16"/>
          <w:color w:val="auto"/>
        </w:rPr>
        <w:t>Even if a product qualifies for one or more of these programs, the FDA may later decide that the product no longer meets the conditions for qualification or decide that the time period for FDA review or approval will not be shortened.</w:t>
      </w:r>
    </w:p>
    <w:p>
      <w:pPr>
        <w:spacing w:after="0" w:line="117"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i w:val="1"/>
          <w:iCs w:val="1"/>
          <w:color w:val="auto"/>
        </w:rPr>
        <w:t>Post</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approval Requirements</w:t>
      </w:r>
    </w:p>
    <w:p>
      <w:pPr>
        <w:spacing w:after="0" w:line="223" w:lineRule="exact"/>
        <w:rPr>
          <w:sz w:val="20"/>
          <w:szCs w:val="20"/>
          <w:color w:val="auto"/>
        </w:rPr>
      </w:pPr>
    </w:p>
    <w:p>
      <w:pPr>
        <w:ind w:right="40" w:firstLine="751"/>
        <w:spacing w:after="0" w:line="249" w:lineRule="auto"/>
        <w:rPr>
          <w:sz w:val="20"/>
          <w:szCs w:val="20"/>
          <w:color w:val="auto"/>
        </w:rPr>
      </w:pPr>
      <w:r>
        <w:rPr>
          <w:rFonts w:ascii="Times New Roman" w:cs="Times New Roman" w:eastAsia="Times New Roman" w:hAnsi="Times New Roman"/>
          <w:sz w:val="16"/>
          <w:szCs w:val="16"/>
          <w:color w:val="auto"/>
        </w:rPr>
        <w:t>Any product manufactured or distributed pursuant to FDA approvals are subject to pervasive and continuing regulation by the FDA, as well as other federal and state agencies, including, among other things, requirements related to manufacturing, recordkeeping, and reporting, including adverse experience reporting, drug shortage reporting, and other periodic reporting; drug supply chain security surveillance and tracking requirements; product sampling and distribution; advertising; marketing; promotion; certain electronic records and signatures; licensure in certain states for the manufacturing and distribution of drug products; and post-approval obligations imposed as a condition of approval, such as Phase 4 clinical trials, REMS, and surveillance to assess safety and effectiveness after commercialization.</w:t>
      </w:r>
    </w:p>
    <w:p>
      <w:pPr>
        <w:spacing w:after="0" w:line="166" w:lineRule="exact"/>
        <w:rPr>
          <w:sz w:val="20"/>
          <w:szCs w:val="20"/>
          <w:color w:val="auto"/>
        </w:rPr>
      </w:pPr>
    </w:p>
    <w:p>
      <w:pPr>
        <w:ind w:right="100" w:firstLine="751"/>
        <w:spacing w:after="0" w:line="194" w:lineRule="exact"/>
        <w:rPr>
          <w:sz w:val="20"/>
          <w:szCs w:val="20"/>
          <w:color w:val="auto"/>
        </w:rPr>
      </w:pPr>
      <w:r>
        <w:rPr>
          <w:rFonts w:ascii="Times New Roman" w:cs="Times New Roman" w:eastAsia="Times New Roman" w:hAnsi="Times New Roman"/>
          <w:sz w:val="16"/>
          <w:szCs w:val="16"/>
          <w:color w:val="auto"/>
        </w:rPr>
        <w:t>After approval, most changes to the approved product, such as adding new indications or other labeling claims are subject to prior FDA review and approval. There are also continuing annual prescription drug program user fee requirements for any approved products. In addition, drug manufacturers and other entities involved in the manufacture and distribution of approved drugs are required to register their establishments with the FDA and certain state agencies and list their drug products, and are subject to periodic announced and unannounced inspections by the FDA and these state agencies for compliance with cGMP and other requirements, which impose certain procedural and documentation requirements upon the company and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manufacturers.</w:t>
      </w:r>
    </w:p>
    <w:p>
      <w:pPr>
        <w:spacing w:after="0" w:line="151" w:lineRule="exact"/>
        <w:rPr>
          <w:sz w:val="20"/>
          <w:szCs w:val="20"/>
          <w:color w:val="auto"/>
        </w:rPr>
      </w:pPr>
    </w:p>
    <w:p>
      <w:pPr>
        <w:ind w:right="220" w:firstLine="751"/>
        <w:spacing w:after="0" w:line="191" w:lineRule="exact"/>
        <w:rPr>
          <w:sz w:val="20"/>
          <w:szCs w:val="20"/>
          <w:color w:val="auto"/>
        </w:rPr>
      </w:pPr>
      <w:r>
        <w:rPr>
          <w:rFonts w:ascii="Times New Roman" w:cs="Times New Roman" w:eastAsia="Times New Roman" w:hAnsi="Times New Roman"/>
          <w:sz w:val="16"/>
          <w:szCs w:val="16"/>
          <w:color w:val="auto"/>
        </w:rPr>
        <w:t>Changes to the manufacturing process are strictly regulated and often require prior FDA approval or notification before being implemented. FDA regulations also require investigation and correction of any deviations from cGMP and specifications and impose reporting and documentation requirements upon the sponsor and any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manufacturers that the sponsor may decide to use. Accordingly, manufacturers must continue to expend time, money, and effort in the area of production and quality control to maintain cGMP compliance.</w:t>
      </w:r>
    </w:p>
    <w:p>
      <w:pPr>
        <w:spacing w:after="0" w:line="173" w:lineRule="exact"/>
        <w:rPr>
          <w:sz w:val="20"/>
          <w:szCs w:val="20"/>
          <w:color w:val="auto"/>
        </w:rPr>
      </w:pPr>
    </w:p>
    <w:p>
      <w:pPr>
        <w:ind w:firstLine="751"/>
        <w:spacing w:after="0" w:line="188" w:lineRule="exact"/>
        <w:rPr>
          <w:sz w:val="20"/>
          <w:szCs w:val="20"/>
          <w:color w:val="auto"/>
        </w:rPr>
      </w:pPr>
      <w:r>
        <w:rPr>
          <w:rFonts w:ascii="Times New Roman" w:cs="Times New Roman" w:eastAsia="Times New Roman" w:hAnsi="Times New Roman"/>
          <w:sz w:val="16"/>
          <w:szCs w:val="16"/>
          <w:color w:val="auto"/>
        </w:rPr>
        <w:t>The FDA also strictly regulates marketing, labeling, advertising, and promotion of products that are placed on the market. A company can make only those claims relating to safety and efficacy, purity, and potency that are approved by the FDA. Physicians, in their independent professional medical judgment, may prescribe legally available products for unapproved indications that are not described in the product’s labeling and that differ from those tested and approved by the FDA. Pharmaceutical companies, however, are required to promote their drug products only for the approved indications and in accordance with the provisions of the approved label. The FDA and other agencies actively enforce the laws and regulations prohibiting the promotion of off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label uses, and a company that is found to have improperly promoted off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label uses may be subject to significant liability, including, but not limited to, criminal and civil penalties under the FDCA and False Claims Act, exclusion from participation in federal healthcare programs, mandatory compliance programs under corporate integrity agreements, debarment, and refusal of government contracts. Recent court decisions have impacted the FDA’s enforcement activity regarding off-label promotion in light of First Amendment considerations; however, there are still significant risks in this area in part due to the potential False Claims Act exposure. Further, the FDA has not materially changed its position on off-label promotion following legal setbacks on First Amendment grounds and the DOJ has consistently asserted in FCA briefings that “speech that serves as a conduit for violations of the law is not constitutionally protected.”</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40" w:firstLine="751"/>
        <w:spacing w:after="0" w:line="246" w:lineRule="auto"/>
        <w:rPr>
          <w:sz w:val="20"/>
          <w:szCs w:val="20"/>
          <w:color w:val="auto"/>
        </w:rPr>
      </w:pPr>
      <w:r>
        <w:rPr>
          <w:rFonts w:ascii="Times New Roman" w:cs="Times New Roman" w:eastAsia="Times New Roman" w:hAnsi="Times New Roman"/>
          <w:sz w:val="16"/>
          <w:szCs w:val="16"/>
          <w:color w:val="auto"/>
        </w:rPr>
        <w:t>Commercial products must meet the requirements of the Drug Supply Chain Security Act, or DSCSA, which imposes obligations on manufacturers of prescription biopharmaceutical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with the FDA indicating enforcement discretion on certain aspects due to the COVID-19 pandemic. The distribution of product samples continues to be regulated under the PDMA, and some states also impose regulations on drug sample distribution.</w:t>
      </w:r>
    </w:p>
    <w:p>
      <w:pPr>
        <w:spacing w:after="0" w:line="170" w:lineRule="exact"/>
        <w:rPr>
          <w:sz w:val="20"/>
          <w:szCs w:val="20"/>
          <w:color w:val="auto"/>
        </w:rPr>
      </w:pPr>
    </w:p>
    <w:p>
      <w:pPr>
        <w:ind w:right="40" w:firstLine="751"/>
        <w:spacing w:after="0" w:line="189" w:lineRule="exact"/>
        <w:rPr>
          <w:sz w:val="20"/>
          <w:szCs w:val="20"/>
          <w:color w:val="auto"/>
        </w:rPr>
      </w:pPr>
      <w:r>
        <w:rPr>
          <w:rFonts w:ascii="Times New Roman" w:cs="Times New Roman" w:eastAsia="Times New Roman" w:hAnsi="Times New Roman"/>
          <w:sz w:val="16"/>
          <w:szCs w:val="16"/>
          <w:color w:val="auto"/>
        </w:rPr>
        <w:t>Later discovery of previously unknown problems with a product, including adverse events of unanticipated severity or frequency, or with manufacturing processes, or failure to comply with regulatory requirements, may result in significant regulatory actions. Such actions may include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may result in adverse publicity, among other adverse consequences.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Fraud and Abuse, and Transparency Laws and Regulations</w:t>
      </w:r>
    </w:p>
    <w:p>
      <w:pPr>
        <w:spacing w:after="0" w:line="191" w:lineRule="exact"/>
        <w:rPr>
          <w:sz w:val="20"/>
          <w:szCs w:val="20"/>
          <w:color w:val="auto"/>
        </w:rPr>
      </w:pPr>
    </w:p>
    <w:p>
      <w:pPr>
        <w:ind w:firstLine="751"/>
        <w:spacing w:after="0" w:line="190" w:lineRule="exact"/>
        <w:rPr>
          <w:sz w:val="20"/>
          <w:szCs w:val="20"/>
          <w:color w:val="auto"/>
        </w:rPr>
      </w:pPr>
      <w:r>
        <w:rPr>
          <w:rFonts w:ascii="Times New Roman" w:cs="Times New Roman" w:eastAsia="Times New Roman" w:hAnsi="Times New Roman"/>
          <w:sz w:val="16"/>
          <w:szCs w:val="16"/>
          <w:color w:val="auto"/>
        </w:rPr>
        <w:t>Our business activities, including but not limited to research, sales, promotion, marketing, distribution, medical education, sponsorships, relationships with prescribers and other referral sources are subject to regulation by numerous federal and state regulatory and law enforcement authorities in the United States in addition to the FDA, including potentially the Department of Justice, HHS and its various divisions, including the Centers for Medicare &amp; Medicaid Services, or CMS, the Office of Inspector General, or OIG, and the Health Resources and Services Administration, or HRSA, the Department of Veterans Affairs, the Department of Defense, and certain state and local governments. Our business activities must comply with numerous healthcare laws, including but not limited to, anti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kickback and false claims laws and regulations as well as data privacy and security laws and regulations, which are described below.</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20" w:firstLine="751"/>
        <w:spacing w:after="0" w:line="282" w:lineRule="auto"/>
        <w:rPr>
          <w:sz w:val="20"/>
          <w:szCs w:val="20"/>
          <w:color w:val="auto"/>
        </w:rPr>
      </w:pPr>
      <w:r>
        <w:rPr>
          <w:rFonts w:ascii="Times New Roman" w:cs="Times New Roman" w:eastAsia="Times New Roman" w:hAnsi="Times New Roman"/>
          <w:sz w:val="14"/>
          <w:szCs w:val="14"/>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or recommending the purchase, lease, furnishing, or order of any item or service reimbursable under Medicare, Medicaid, or other federal healthcare programs, in whole or in part. The term “remuneration” has been interpreted broadly to include anything of value. The Anti- Kickback Statute has been interpreted to apply to arrangements between pharmaceutical manufacturers on one hand and prescribers, purchasers, formulary managers, and beneficiaries on the other. There are certain statutory exceptions and regulatory safe harbors protecting some common activities from prosecution. The exceptions and safe harbors are drawn narrowly, and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however, does not make the conduct per se illegal under the Anti- Kickback Statute. The safe harbors are subject to change through legislative and regulatory action, and we may decide to adjust our business practices or be subject to heightened scrutiny as a result. Instead, the legality of the arrangement will be evaluated on a case-by-case basis based on a cumulative review of all of its facts and circumstances to determine whether one purpose of an arrangement involving remuneration is to induce referrals of federal healthcare covered business. Additionally, the intent standard under the Anti-Kickback Statute provides that a person or entity need not have actual knowledge of the statute or specific intent to violate it in order to have committed a violation. In addition, a claim including items or services resulting from a violation of the federal Anti-Kickback Statute constitutes a false or fraudulent claim for purposes of the federal civil False Claims Act. Therefore, either the federal government or private citizens under the False Claims Act’s qui tam provisions (discussed further below) can bring an action under the False Claims Act for violations of the Anti-Kickback Statute, potentially exposing an alleged violator to substantial monetary damages and penalties. Certain Anti-Kickback safe harbor provisions that protect the rebates paid by drug manufacturers to third parties may also be repealed or materially revised, as contemplated in a recent regulatory proposal.</w:t>
      </w:r>
    </w:p>
    <w:p>
      <w:pPr>
        <w:spacing w:after="0" w:line="200" w:lineRule="exact"/>
        <w:rPr>
          <w:sz w:val="20"/>
          <w:szCs w:val="20"/>
          <w:color w:val="auto"/>
        </w:rPr>
      </w:pPr>
    </w:p>
    <w:p>
      <w:pPr>
        <w:spacing w:after="0" w:line="326" w:lineRule="exact"/>
        <w:rPr>
          <w:sz w:val="20"/>
          <w:szCs w:val="20"/>
          <w:color w:val="auto"/>
        </w:rPr>
      </w:pPr>
    </w:p>
    <w:p>
      <w:pPr>
        <w:ind w:right="20" w:firstLine="751"/>
        <w:spacing w:after="0" w:line="246" w:lineRule="auto"/>
        <w:rPr>
          <w:sz w:val="20"/>
          <w:szCs w:val="20"/>
          <w:color w:val="auto"/>
        </w:rPr>
      </w:pPr>
      <w:r>
        <w:rPr>
          <w:rFonts w:ascii="Times New Roman" w:cs="Times New Roman" w:eastAsia="Times New Roman" w:hAnsi="Times New Roman"/>
          <w:sz w:val="16"/>
          <w:szCs w:val="16"/>
          <w:color w:val="auto"/>
        </w:rPr>
        <w:t>The government has asserted False Claims Act liability against manufacturers by alleging that improper arrangements with ordering physicians caused them or another provider to file false claims in violation of the False Claims Act or that manufacturers’ support of patient assistance programs improperly induced beneficiaries to choose their products in violation of the Anti-Kickback Statute. Sales, marketing and business arrangements in the healthcare industry are also subject to extensive laws and regulations intended to prevent fraud, kickbacks, self-dealing and other abusive practices. These laws and regulations may restrict or prohibit a wide range of pricing, discounting, marketing and promotion, sales commission, customer incentive programs, patient assistance programs, and other business arrangements. Medicare Advantage and Medicaid managed care plan regulations prohibit certain forms of marketing to enrollees that are designed to discriminate against beneficiaries on the basis of their health conditions or history. These regulations may require regulatory review of marketing materials, and coordination with health plan or governmental regulators. Additionally, the federal government has pursued electronic health record (EHR) vendors and pharmaceutical manufacturers for remunerative relationships involving the EHR platform’s recommendation of particular drugs and “prompting” technology to increase prescribing of particular drugs.</w:t>
      </w:r>
    </w:p>
    <w:p>
      <w:pPr>
        <w:spacing w:after="0" w:line="170" w:lineRule="exact"/>
        <w:rPr>
          <w:sz w:val="20"/>
          <w:szCs w:val="20"/>
          <w:color w:val="auto"/>
        </w:rPr>
      </w:pPr>
    </w:p>
    <w:p>
      <w:pPr>
        <w:ind w:firstLine="751"/>
        <w:spacing w:after="0" w:line="251" w:lineRule="auto"/>
        <w:rPr>
          <w:sz w:val="20"/>
          <w:szCs w:val="20"/>
          <w:color w:val="auto"/>
        </w:rPr>
      </w:pPr>
      <w:r>
        <w:rPr>
          <w:rFonts w:ascii="Times New Roman" w:cs="Times New Roman" w:eastAsia="Times New Roman" w:hAnsi="Times New Roman"/>
          <w:sz w:val="16"/>
          <w:szCs w:val="16"/>
          <w:color w:val="auto"/>
        </w:rPr>
        <w:t>The Physician Payments Sunshine Act, or the Sunshine Act, requires applicable manufacturers of covered drugs for which payment is available under Medicare, Medicaid, or the State Children’s Health Insurance Program, among others, to track and report annually to the federal government (for disclosure to the public) certain payments and other transfers of value they make to physicians, teaching hospitals, physician assistants, nurse practitioners, and other mid-level practitioners. We are also required to report certain ownership and investment interests held by physicians and their immediate family members.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40" w:firstLine="751"/>
        <w:spacing w:after="0" w:line="245" w:lineRule="auto"/>
        <w:rPr>
          <w:sz w:val="20"/>
          <w:szCs w:val="20"/>
          <w:color w:val="auto"/>
        </w:rPr>
      </w:pPr>
      <w:r>
        <w:rPr>
          <w:rFonts w:ascii="Times New Roman" w:cs="Times New Roman" w:eastAsia="Times New Roman" w:hAnsi="Times New Roman"/>
          <w:sz w:val="16"/>
          <w:szCs w:val="16"/>
          <w:color w:val="auto"/>
        </w:rPr>
        <w:t>The federal civil False Claims Act, or FCA, prohibits, among other things, any person or entity from knowingly presenting, or causing to be presented, a false or fraudulent claim for payment to, or approval by, the federal government, knowingly making, using, or causing to be made or used a false record or statement material to a false or fraudulent claim to the federal government, or avoiding, decreasing, or concealing an obligation to pay money to the federal government. A claim includes “any request or demand” for money or property presented directly or indirectly to the U.S. government. The civil False Claims Act has been used to assert liability on the basis of kickbacks and other improper referrals, improperly reported government pricing metrics such as Best Price or Average Manufacturer Price, or submission of inaccurate information required by government contracts, improper use of Medicare provider or supplier numbers when detailing a provider of services, improper promotion of off-label uses not expressly approved by the FDA in a drug’s label, and allegations as to misrepresentations with respect to the products supplied or services rendered. Several pharmaceutical and other healthcare companies have further been sued under these laws for allegedly providing free product to customers with the expectation that the customers would bill federal programs for the product. Civil False Claims Act actions may be brought by the government or may be brought by private individuals on behalf of the government, called “qui tam” actions. If the government decides to intervene in a qui tam action and prevails in the lawsuit, the individual will share in the proceeds from any fines or settlement funds. If the government declines to intervene, the individual may pursue the case alone, subject to governmental review and certain approvals. Qui tam complaints are filed under seal, and the cases may progress for a number of years before a complaint is unsealed and a manufacturer becomes aware of its existence. Since 2004, these False Claims Act lawsuits against pharmaceutical companies have increased significantly in volume and breadth, leading to several substantial civil and criminal settlements, as much as $3.0 billion, regarding certain sales practices and promoting off-label drug uses. For example, civil False Claims Act liability may be imposed for Medicare or Medicaid overpayments arising out of claims that were filed by providers but alleged to have been caused by manufacturers’ incentives, impermissible discounts, or overpayments caused by understated rebate amounts. False Claims Act enforcement may also arise from claims filed as the result of manufacturing marketing materials that contained inaccurate statements or provided certain reimbursement guidance.</w:t>
      </w:r>
    </w:p>
    <w:p>
      <w:pPr>
        <w:spacing w:after="0" w:line="168" w:lineRule="exact"/>
        <w:rPr>
          <w:sz w:val="20"/>
          <w:szCs w:val="20"/>
          <w:color w:val="auto"/>
        </w:rPr>
      </w:pPr>
    </w:p>
    <w:p>
      <w:pPr>
        <w:ind w:right="160" w:firstLine="751"/>
        <w:spacing w:after="0" w:line="290" w:lineRule="auto"/>
        <w:rPr>
          <w:sz w:val="20"/>
          <w:szCs w:val="20"/>
          <w:color w:val="auto"/>
        </w:rPr>
      </w:pPr>
      <w:r>
        <w:rPr>
          <w:rFonts w:ascii="Times New Roman" w:cs="Times New Roman" w:eastAsia="Times New Roman" w:hAnsi="Times New Roman"/>
          <w:sz w:val="14"/>
          <w:szCs w:val="14"/>
          <w:color w:val="auto"/>
        </w:rPr>
        <w:t>The government may further prosecute conduct constituting a false claim under the criminal False Claims Act. The criminal False Claims Act prohibits the making or presenting of a claim to the government knowing such claim to be false, fictitious, or fraudulent and, unlike the civil False Claims Act, requires proof of intent to submit a false claim. Similarly, the criminal healthcare fraud statutes impose criminal liability for, among other things, knowingly and willfully attempting or executing a scheme to defraud any healthcare benefit program, including private third-party payors, obtaining money or property of a benefit program by false or fraudulent means, or falsifying, concealing, or covering up a material fact or submitting a materially false statement in connection with the delivery of, or payment form healthcare benefits, items, or services. These statutes are not limited to items and services reimbursed by a governmental health care program and have been used to prosecute commercial insurance fraud as well.</w:t>
      </w:r>
    </w:p>
    <w:p>
      <w:pPr>
        <w:spacing w:after="0" w:line="140" w:lineRule="exact"/>
        <w:rPr>
          <w:sz w:val="20"/>
          <w:szCs w:val="20"/>
          <w:color w:val="auto"/>
        </w:rPr>
      </w:pPr>
    </w:p>
    <w:p>
      <w:pPr>
        <w:ind w:right="20" w:firstLine="751"/>
        <w:spacing w:after="0" w:line="299" w:lineRule="auto"/>
        <w:rPr>
          <w:sz w:val="20"/>
          <w:szCs w:val="20"/>
          <w:color w:val="auto"/>
        </w:rPr>
      </w:pPr>
      <w:r>
        <w:rPr>
          <w:rFonts w:ascii="Times New Roman" w:cs="Times New Roman" w:eastAsia="Times New Roman" w:hAnsi="Times New Roman"/>
          <w:sz w:val="14"/>
          <w:szCs w:val="14"/>
          <w:color w:val="auto"/>
        </w:rPr>
        <w:t>The federal Civil Monetary Penalties Law authorizes the imposition of substantial civil monetary penalties against an entity, such as a 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spacing w:after="0" w:line="131" w:lineRule="exact"/>
        <w:rPr>
          <w:sz w:val="20"/>
          <w:szCs w:val="20"/>
          <w:color w:val="auto"/>
        </w:rPr>
      </w:pPr>
    </w:p>
    <w:p>
      <w:pPr>
        <w:ind w:firstLine="751"/>
        <w:spacing w:after="0" w:line="246" w:lineRule="auto"/>
        <w:rPr>
          <w:sz w:val="20"/>
          <w:szCs w:val="20"/>
          <w:color w:val="auto"/>
        </w:rPr>
      </w:pPr>
      <w:r>
        <w:rPr>
          <w:rFonts w:ascii="Times New Roman" w:cs="Times New Roman" w:eastAsia="Times New Roman" w:hAnsi="Times New Roman"/>
          <w:sz w:val="16"/>
          <w:szCs w:val="16"/>
          <w:color w:val="auto"/>
        </w:rPr>
        <w:t>The exclusion statute requires the exclusion of entities and individuals who have been convicted of federal-program related crimes or health care felony fraud or controlled substance charges. The statute also permits the exclusion of those that have been convicted of any form of fraud, the anti-kickback statute, for obstructing an investigation or audit, misdemeanor-controlled substance charges, those whose health care license has been revoked or suspended, and those who have filed claims for excessive charges or unnecessary services. If a company were to be excluded, its products would be ineligible for reimbursement from any federal programs, including Medicare and Medicaid, and no other entity participating in those programs would be permitted to enter into contracts with the company. Further, employment or contracting with an individual or entity that has been excluded from participation in federal healthcare programs could serve as a basis to invalidate claims for items or services submitted by that entity and to exclude that entity from participation in such programs as well. In order to preserve access to beneficial drugs, the government may elect to exclude officers and key employees of manufacturers, rather than excluding the organization. Such enforcement actions would prohibit the Company from engaging those individuals, which could adversely affect operations, and could result in significant reputational harm.</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320" w:firstLine="751"/>
        <w:spacing w:after="0" w:line="267" w:lineRule="auto"/>
        <w:rPr>
          <w:sz w:val="20"/>
          <w:szCs w:val="20"/>
          <w:color w:val="auto"/>
        </w:rPr>
      </w:pPr>
      <w:r>
        <w:rPr>
          <w:rFonts w:ascii="Times New Roman" w:cs="Times New Roman" w:eastAsia="Times New Roman" w:hAnsi="Times New Roman"/>
          <w:sz w:val="16"/>
          <w:szCs w:val="16"/>
          <w:color w:val="auto"/>
        </w:rPr>
        <w:t>The compliance and enforcement landscape, and related risk, is informed by government litigation and settlement precedent, Advisory Opinions, and Special Fraud Alerts. Our approach to compliance may evolve over time in light of these types of developments.</w:t>
      </w:r>
    </w:p>
    <w:p>
      <w:pPr>
        <w:spacing w:after="0" w:line="151" w:lineRule="exact"/>
        <w:rPr>
          <w:sz w:val="20"/>
          <w:szCs w:val="20"/>
          <w:color w:val="auto"/>
        </w:rPr>
      </w:pPr>
    </w:p>
    <w:p>
      <w:pPr>
        <w:ind w:firstLine="751"/>
        <w:spacing w:after="0" w:line="188" w:lineRule="exact"/>
        <w:rPr>
          <w:sz w:val="20"/>
          <w:szCs w:val="20"/>
          <w:color w:val="auto"/>
        </w:rPr>
      </w:pPr>
      <w:r>
        <w:rPr>
          <w:rFonts w:ascii="Times New Roman" w:cs="Times New Roman" w:eastAsia="Times New Roman" w:hAnsi="Times New Roman"/>
          <w:sz w:val="14"/>
          <w:szCs w:val="14"/>
          <w:color w:val="auto"/>
        </w:rPr>
        <w:t>Payment or reimbursement of prescription drugs by Medicaid or Medicare requires manufacturers of the drugs to submit pricing information to CMS. The Medicaid Drug Rebate statute requires manufacturers to calculate and report price points, which are used to determine Medicaid rebate payments shared between the states and the federal government and Medicaid payment rates for certain drugs. For drugs paid under Medicare Part B, manufacturers must also calculate and report their Average Sales Price, which is used to determine the Medicare Part B payment rate for the drug. Drugs that are approved under a Biologic License Application, or BLA, or an NDA, including 505(b)(2) drugs, are subject to an additional inflation penalty which can substantially increase rebate payments. In addition, for BLA and NDA drugs, the Veterans Health Care Act, or VHCA, requires manufacturers to calculate and report to the Veterans Administration, or VA, a different price called the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Federal Average Manufacturing Price, which is used to determine the maximum price that can be charged to certain federal agencies, referred to as the Federal Ceiling Price, or FCP. Like the Medicaid rebate amount, the FCP includes an inflation penalty. A Department of Defense regulation requires manufacturers to provide this discount through prescription rebates on drugs dispensed by retail pharmacies when paid by the TRICARE Program. All of these price reporting requirements create risk of submitting false information to the government and resulting potential FCA liability.</w:t>
      </w:r>
    </w:p>
    <w:p>
      <w:pPr>
        <w:spacing w:after="0" w:line="177" w:lineRule="exact"/>
        <w:rPr>
          <w:sz w:val="20"/>
          <w:szCs w:val="20"/>
          <w:color w:val="auto"/>
        </w:rPr>
      </w:pPr>
    </w:p>
    <w:p>
      <w:pPr>
        <w:ind w:firstLine="751"/>
        <w:spacing w:after="0" w:line="248" w:lineRule="auto"/>
        <w:rPr>
          <w:sz w:val="20"/>
          <w:szCs w:val="20"/>
          <w:color w:val="auto"/>
        </w:rPr>
      </w:pPr>
      <w:r>
        <w:rPr>
          <w:rFonts w:ascii="Times New Roman" w:cs="Times New Roman" w:eastAsia="Times New Roman" w:hAnsi="Times New Roman"/>
          <w:sz w:val="16"/>
          <w:szCs w:val="16"/>
          <w:color w:val="auto"/>
        </w:rPr>
        <w:t>The VHCA also requires manufacturers of covered drugs participating in the Medicaid program to enter into Federal Supply Schedule contracts with the VA through which their covered drugs must be sold to certain federal agencies at FCP and to report pricing information. This necessitates compliance with applicable federal procurement laws and regulations and subjects us to contractual remedies as well as administrative, civil, and criminal sanctions. In addition, the VHCA requires manufacturers participating in Medicaid to agree to provide different mandatory discounts to certain Public Health Service grantees and other safety net hospitals and clinics under the 340B Drug Pricing Program and report the ceiling price to HRSA within HHS. Manufacturers can be audited by HRSA and be subjected to civil monetary penalties for knowingly and intentionally overcharging covered entities for drugs.</w:t>
      </w:r>
    </w:p>
    <w:p>
      <w:pPr>
        <w:spacing w:after="0" w:line="166" w:lineRule="exact"/>
        <w:rPr>
          <w:sz w:val="20"/>
          <w:szCs w:val="20"/>
          <w:color w:val="auto"/>
        </w:rPr>
      </w:pPr>
    </w:p>
    <w:p>
      <w:pPr>
        <w:ind w:right="20" w:firstLine="751"/>
        <w:spacing w:after="0" w:line="248" w:lineRule="auto"/>
        <w:rPr>
          <w:sz w:val="20"/>
          <w:szCs w:val="20"/>
          <w:color w:val="auto"/>
        </w:rPr>
      </w:pPr>
      <w:r>
        <w:rPr>
          <w:rFonts w:ascii="Times New Roman" w:cs="Times New Roman" w:eastAsia="Times New Roman" w:hAnsi="Times New Roman"/>
          <w:sz w:val="16"/>
          <w:szCs w:val="16"/>
          <w:color w:val="auto"/>
        </w:rPr>
        <w:t>The federal Health Insurance Portability and Accountability Act of 1996, or HIPAA, also created federal criminal statutes that prohibit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 person or entity does not need to have actual knowledge of the statute or specific intent to violate it.</w:t>
      </w:r>
    </w:p>
    <w:p>
      <w:pPr>
        <w:spacing w:after="0" w:line="166" w:lineRule="exact"/>
        <w:rPr>
          <w:sz w:val="20"/>
          <w:szCs w:val="20"/>
          <w:color w:val="auto"/>
        </w:rPr>
      </w:pPr>
    </w:p>
    <w:p>
      <w:pPr>
        <w:ind w:firstLine="751"/>
        <w:spacing w:after="0" w:line="246" w:lineRule="auto"/>
        <w:rPr>
          <w:sz w:val="20"/>
          <w:szCs w:val="20"/>
          <w:color w:val="auto"/>
        </w:rPr>
      </w:pPr>
      <w:r>
        <w:rPr>
          <w:rFonts w:ascii="Times New Roman" w:cs="Times New Roman" w:eastAsia="Times New Roman" w:hAnsi="Times New Roman"/>
          <w:sz w:val="16"/>
          <w:szCs w:val="16"/>
          <w:color w:val="auto"/>
        </w:rPr>
        <w:t>Further, we may be subject to data privacy and security regulation by both the federal government and the states in which we conduct our business. HIPAA, as amended by the Health Information Technology for Economic and Clinical Health Act, or HITECH, and its respective implementing regulations, extended certain requirements relating to the privacy, security, and transmission of individually identifiable health information directly to business associates and HIPAA-covered entities. While we would not be a “covered entity” under HIPAA, it is possible that we may enter into a service or business arrangement that would cause us to serve as a business associate, defined as a person or organization, other than a member of a covered entity’s workforce, that performs certain functions or activities that involve the use or disclosure of protected health information on behalf of, or provides services to, a covered entity. We are not a covered entity under HIPAA but in certain limited situations, we may be considered a business associate. HITECH also strengthened the civil and criminal penalties that may be imposed against covered entities, business associates, and individuals, and gave state attorneys general new authority to file civil actions for damages or injunctions in federal courts to enforce the federal HIPAA laws and seek attorneys’ fees and costs associated with pursuing federal civil actions. In addition, other federal and state laws may govern the privacy and security of health and other information in certain circumstances, many of which differ from each other in significant ways and may not have the same effect, thus complicating compliance efforts.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60" w:firstLine="751"/>
        <w:spacing w:after="0" w:line="248" w:lineRule="auto"/>
        <w:rPr>
          <w:sz w:val="20"/>
          <w:szCs w:val="20"/>
          <w:color w:val="auto"/>
        </w:rPr>
      </w:pPr>
      <w:r>
        <w:rPr>
          <w:rFonts w:ascii="Times New Roman" w:cs="Times New Roman" w:eastAsia="Times New Roman" w:hAnsi="Times New Roman"/>
          <w:sz w:val="16"/>
          <w:szCs w:val="16"/>
          <w:color w:val="auto"/>
        </w:rPr>
        <w:t>Even for entities that are not deemed “covered entities” or “business associates” under HIPAA, according to the United States Federal Trade Commission, or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The FTC’s authority under Section 5 is concurrent with HIPAA’s jurisdiction and with any action taken under state law.</w:t>
      </w:r>
    </w:p>
    <w:p>
      <w:pPr>
        <w:spacing w:after="0" w:line="166" w:lineRule="exact"/>
        <w:rPr>
          <w:sz w:val="20"/>
          <w:szCs w:val="20"/>
          <w:color w:val="auto"/>
        </w:rPr>
      </w:pPr>
    </w:p>
    <w:p>
      <w:pPr>
        <w:ind w:firstLine="751"/>
        <w:spacing w:after="0" w:line="255" w:lineRule="auto"/>
        <w:rPr>
          <w:sz w:val="20"/>
          <w:szCs w:val="20"/>
          <w:color w:val="auto"/>
        </w:rPr>
      </w:pPr>
      <w:r>
        <w:rPr>
          <w:rFonts w:ascii="Times New Roman" w:cs="Times New Roman" w:eastAsia="Times New Roman" w:hAnsi="Times New Roman"/>
          <w:sz w:val="16"/>
          <w:szCs w:val="16"/>
          <w:color w:val="auto"/>
        </w:rPr>
        <w:t>In addition to the laws discussed above, we may see more stringent state and federal privacy legislation in the future, as the increased cyber-attacks during the pandemic have heightened attention to data privacy and security in the U.S. and other jurisdictions. We cannot predict where new legislation might arise, the scope of such legislation, or the potential impact to our business and operations.</w:t>
      </w:r>
    </w:p>
    <w:p>
      <w:pPr>
        <w:spacing w:after="0" w:line="160" w:lineRule="exact"/>
        <w:rPr>
          <w:sz w:val="20"/>
          <w:szCs w:val="20"/>
          <w:color w:val="auto"/>
        </w:rPr>
      </w:pPr>
    </w:p>
    <w:p>
      <w:pPr>
        <w:ind w:right="60" w:firstLine="751"/>
        <w:spacing w:after="0" w:line="246" w:lineRule="auto"/>
        <w:rPr>
          <w:sz w:val="20"/>
          <w:szCs w:val="20"/>
          <w:color w:val="auto"/>
        </w:rPr>
      </w:pPr>
      <w:r>
        <w:rPr>
          <w:rFonts w:ascii="Times New Roman" w:cs="Times New Roman" w:eastAsia="Times New Roman" w:hAnsi="Times New Roman"/>
          <w:sz w:val="16"/>
          <w:szCs w:val="16"/>
          <w:color w:val="auto"/>
        </w:rPr>
        <w:t>In addition, other federal and state laws may govern the privacy and security of health and other information in certain circumstances, many of which differ from each other in significant ways and may not have the same effect, thus complicating compliance efforts. For example, California recently enacted legislation – the California Consumer Privacy Act, or CCPA, which became effective January 1, 2020. The CCPA was recently amended and expanded by the California Privacy Rights Act (CPRA), which passed on November 3, 2020 and became effective on January 1, 2023. The CPRA’s expansion of the “Right to Know” impacts personal information collected on or after January 1, 2022. Companies must still comply with the CCPA during the ramp up period before CPRA goes into effect. The CCPA and CPRA, among other things, create new data privacy obligations for covered companies and provided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It remains unclear what, if any, additional modifications will be made to the CPRA by the California legislature or how it will be interpreted. Therefore, the effects of the CCPA and CPRA are significant and will likely require us to modify our data processing practices and may cause us to incur substantial costs and expenses to comply.</w:t>
      </w:r>
    </w:p>
    <w:p>
      <w:pPr>
        <w:spacing w:after="0" w:line="170" w:lineRule="exact"/>
        <w:rPr>
          <w:sz w:val="20"/>
          <w:szCs w:val="20"/>
          <w:color w:val="auto"/>
        </w:rPr>
      </w:pPr>
    </w:p>
    <w:p>
      <w:pPr>
        <w:ind w:firstLine="751"/>
        <w:spacing w:after="0" w:line="247" w:lineRule="auto"/>
        <w:rPr>
          <w:sz w:val="20"/>
          <w:szCs w:val="20"/>
          <w:color w:val="auto"/>
        </w:rPr>
      </w:pPr>
      <w:r>
        <w:rPr>
          <w:rFonts w:ascii="Times New Roman" w:cs="Times New Roman" w:eastAsia="Times New Roman" w:hAnsi="Times New Roman"/>
          <w:sz w:val="16"/>
          <w:szCs w:val="16"/>
          <w:color w:val="auto"/>
        </w:rPr>
        <w:t>Many states have also adopted laws similar to each of the above federal laws, which may be broader in scope and apply to items or services reimbursed by any third-party payor, including commercial insurers, and some have transparency laws that require reporting price increases and related information. Certain state laws also regulate manufacturers’ use of prescriber identifiable data.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drug manufacturers to track and report information related to payments, gifts, and other items of value to physicians and other healthcare providers. These laws may affect our future sales, marketing, and other promotional activities by imposing administrative and compliance burdens.</w:t>
      </w:r>
    </w:p>
    <w:p>
      <w:pPr>
        <w:spacing w:after="0" w:line="168" w:lineRule="exact"/>
        <w:rPr>
          <w:sz w:val="20"/>
          <w:szCs w:val="20"/>
          <w:color w:val="auto"/>
        </w:rPr>
      </w:pPr>
    </w:p>
    <w:p>
      <w:pPr>
        <w:ind w:right="40" w:firstLine="751"/>
        <w:spacing w:after="0" w:line="290" w:lineRule="auto"/>
        <w:rPr>
          <w:sz w:val="20"/>
          <w:szCs w:val="20"/>
          <w:color w:val="auto"/>
        </w:rPr>
      </w:pPr>
      <w:r>
        <w:rPr>
          <w:rFonts w:ascii="Times New Roman" w:cs="Times New Roman" w:eastAsia="Times New Roman" w:hAnsi="Times New Roman"/>
          <w:sz w:val="14"/>
          <w:szCs w:val="14"/>
          <w:color w:val="auto"/>
        </w:rPr>
        <w:t>Because of the breadth of these laws and the narrowness of the statutory exceptions and regulatory safe harbors available under such laws, it is possible that certain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pharmaceutical companies and providers and patients, which has led to a number of investigations, prosecutions, convictions and settlements in the healthcare industry. Ensuring that business arrangements with third parties comply with applicable healthcare laws, as well as responding to possible investigations by government authorities, can be time- and resource-consuming and can divert management’s attention from the business, even if investigators ultimately find that no violation has occurred.</w:t>
      </w:r>
    </w:p>
    <w:p>
      <w:pPr>
        <w:spacing w:after="0" w:line="140" w:lineRule="exact"/>
        <w:rPr>
          <w:sz w:val="20"/>
          <w:szCs w:val="20"/>
          <w:color w:val="auto"/>
        </w:rPr>
      </w:pPr>
    </w:p>
    <w:p>
      <w:pPr>
        <w:ind w:right="60" w:firstLine="751"/>
        <w:spacing w:after="0" w:line="249" w:lineRule="auto"/>
        <w:rPr>
          <w:sz w:val="20"/>
          <w:szCs w:val="20"/>
          <w:color w:val="auto"/>
        </w:rPr>
      </w:pPr>
      <w:r>
        <w:rPr>
          <w:rFonts w:ascii="Times New Roman" w:cs="Times New Roman" w:eastAsia="Times New Roman" w:hAnsi="Times New Roman"/>
          <w:sz w:val="16"/>
          <w:szCs w:val="16"/>
          <w:color w:val="auto"/>
        </w:rPr>
        <w:t>If our operations are found to be in violation of any of the laws or regulations described above or any other laws that apply to us, we may be subject penalties or other enforcement actions, including criminal and significant civil monetary penalties, damages, fines, disgorgement, imprisonment, exclusion from participation in government healthcare programs, corporate integrity agreements, debarment from receiving government contracts or refusal of new orders under existing contracts, reputational harm, diminished profits and future earnings, and the curtailment or restructuring of our operations, any of which could adversely affect our ability to operate our business and our results of operations.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20" w:firstLine="751"/>
        <w:spacing w:after="0" w:line="192" w:lineRule="exact"/>
        <w:rPr>
          <w:sz w:val="20"/>
          <w:szCs w:val="20"/>
          <w:color w:val="auto"/>
        </w:rPr>
      </w:pPr>
      <w:r>
        <w:rPr>
          <w:rFonts w:ascii="Times New Roman" w:cs="Times New Roman" w:eastAsia="Times New Roman" w:hAnsi="Times New Roman"/>
          <w:sz w:val="16"/>
          <w:szCs w:val="16"/>
          <w:color w:val="auto"/>
        </w:rPr>
        <w:t>To the extent that any of our products are sold in a foreign country, we may be subject to similar foreign laws and regulations, which may include, for instance, applicable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marketing requirements, including safety surveillance, anti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fraud and abuse laws, and implementation of corporate compliance programs and reporting of payments or transfers of value to healthcare professionals.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Coverage and Reimbursement Generally</w:t>
      </w:r>
    </w:p>
    <w:p>
      <w:pPr>
        <w:spacing w:after="0" w:line="191" w:lineRule="exact"/>
        <w:rPr>
          <w:sz w:val="20"/>
          <w:szCs w:val="20"/>
          <w:color w:val="auto"/>
        </w:rPr>
      </w:pPr>
    </w:p>
    <w:p>
      <w:pPr>
        <w:ind w:firstLine="751"/>
        <w:spacing w:after="0" w:line="188" w:lineRule="exact"/>
        <w:rPr>
          <w:sz w:val="20"/>
          <w:szCs w:val="20"/>
          <w:color w:val="auto"/>
        </w:rPr>
      </w:pPr>
      <w:r>
        <w:rPr>
          <w:rFonts w:ascii="Times New Roman" w:cs="Times New Roman" w:eastAsia="Times New Roman" w:hAnsi="Times New Roman"/>
          <w:sz w:val="16"/>
          <w:szCs w:val="16"/>
          <w:color w:val="auto"/>
        </w:rPr>
        <w:t>The commercial success of our products depends in part on the extent to which governmental payor programs at the federal and state levels, including Medicare and Medicaid, private health insurers, and other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provide coverage for and establish adequate reimbursement levels for our product candidates. Government authorities, private health insurers, and other organizations generally decide which drugs they will pay for and establish reimbursement levels and potential access restrictions. Medicare is a federally funded program managed by CMS through local contractors that administer coverage and reimbursement for certain healthcare items and services furnished to the elderly and disabled. Medicaid is an insurance program for certain categories of patients whose income and assets fall below state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defined levels and who are otherwise uninsured that is both federally and state funded and managed by each state. The federal government sets general guidelines for Medicaid and each state creates specific regulations that govern its individual program, including supplemental rebate programs that prioritize coverage for drugs on the state Preferred Drug List. Similarly, government laws and regulations establish the parameters for coverage of prescription drugs by Tricare, the health care program for military personnel, retirees, and related beneficiaries. Many states have also created pharmacy assistance programs for individuals who do not qualify for federal programs. In the United States, private health insurers and other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often provide reimbursement for products and services based on the level at which the government provides reimbursement through the Medicare or Medicaid programs for such products and services.</w:t>
      </w:r>
    </w:p>
    <w:p>
      <w:pPr>
        <w:spacing w:after="0" w:line="141" w:lineRule="exact"/>
        <w:rPr>
          <w:sz w:val="20"/>
          <w:szCs w:val="20"/>
          <w:color w:val="auto"/>
        </w:rPr>
      </w:pPr>
    </w:p>
    <w:p>
      <w:pPr>
        <w:ind w:right="20" w:firstLine="751"/>
        <w:spacing w:after="0" w:line="194" w:lineRule="exact"/>
        <w:rPr>
          <w:sz w:val="20"/>
          <w:szCs w:val="20"/>
          <w:color w:val="auto"/>
        </w:rPr>
      </w:pPr>
      <w:r>
        <w:rPr>
          <w:rFonts w:ascii="Times New Roman" w:cs="Times New Roman" w:eastAsia="Times New Roman" w:hAnsi="Times New Roman"/>
          <w:sz w:val="16"/>
          <w:szCs w:val="16"/>
          <w:color w:val="auto"/>
        </w:rPr>
        <w:t>In the United States, the European Union, and other potentially significant markets for our product candidates, government authorities and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are increasingly attempting to limit or regulate the price of medical products and services, particularly for new and innovative products and therapies, which often has resulted in average selling prices lower than they would otherwise be. For example, in the United States, federal and state governments reimburse covered prescription drugs at varying rates generally below average wholesale price. Governmental and private payors may also establish certain access restrictions, such as prior approvals or evidence of failure on existing medications or therapies. These restrictions and limitations influence the purchase of healthcare services and products.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are developing increasingly sophisticated methods of controlling healthcare costs.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may limit coverage to specific drug products on an approved list, or formulary, which might not include all of the FDA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approved drug products for a particular indication.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also control costs by requiring prior authorization or imposing other dispensing restrictions before covering certain products and by broadening therapeutic classes to increase competition.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are increasingly challenging the price and examining the medical necessity and cost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effectiveness of medical products and services, in addition to their safety and efficacy. Absent clinical differentiators,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may treat products as therapeutically equivalent and base formulary decisions on net cost. To lower the prescription cost, manufacturers frequently rebate a portion of the prescription price to the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w:t>
      </w:r>
    </w:p>
    <w:p>
      <w:pPr>
        <w:spacing w:after="0" w:line="149" w:lineRule="exact"/>
        <w:rPr>
          <w:sz w:val="20"/>
          <w:szCs w:val="20"/>
          <w:color w:val="auto"/>
        </w:rPr>
      </w:pPr>
    </w:p>
    <w:p>
      <w:pPr>
        <w:ind w:right="20" w:firstLine="751"/>
        <w:spacing w:after="0" w:line="249" w:lineRule="auto"/>
        <w:rPr>
          <w:sz w:val="20"/>
          <w:szCs w:val="20"/>
          <w:color w:val="auto"/>
        </w:rPr>
      </w:pPr>
      <w:r>
        <w:rPr>
          <w:rFonts w:ascii="Times New Roman" w:cs="Times New Roman" w:eastAsia="Times New Roman" w:hAnsi="Times New Roman"/>
          <w:sz w:val="16"/>
          <w:szCs w:val="16"/>
          <w:color w:val="auto"/>
        </w:rPr>
        <w:t>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In addition, government programs like Medicaid include substantial penalties for increasing commercial prices over the rate of inflation which can affect realization and return on investment.</w:t>
      </w:r>
    </w:p>
    <w:p>
      <w:pPr>
        <w:spacing w:after="0" w:line="166" w:lineRule="exact"/>
        <w:rPr>
          <w:sz w:val="20"/>
          <w:szCs w:val="20"/>
          <w:color w:val="auto"/>
        </w:rPr>
      </w:pPr>
    </w:p>
    <w:p>
      <w:pPr>
        <w:ind w:firstLine="751"/>
        <w:spacing w:after="0" w:line="251" w:lineRule="auto"/>
        <w:rPr>
          <w:sz w:val="20"/>
          <w:szCs w:val="20"/>
          <w:color w:val="auto"/>
        </w:rPr>
      </w:pPr>
      <w:r>
        <w:rPr>
          <w:rFonts w:ascii="Times New Roman" w:cs="Times New Roman" w:eastAsia="Times New Roman" w:hAnsi="Times New Roman"/>
          <w:sz w:val="16"/>
          <w:szCs w:val="16"/>
          <w:color w:val="auto"/>
        </w:rPr>
        <w:t>Private payors often rely on the lead of the governmental payors in rendering coverage and reimbursement determinations. Therefore, achieving favorable CMS coverage and reimbursement is usually a significant gating issue for successful introduction of a new product. In addition, many government programs as a condition of participation mandate fixed discounts or rebates from manufacturers regardless of formulary position or utilization, and then rely on competition in the market to attain further price reductions, which can greatly reduce realization on the sale.</w:t>
      </w: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680"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firstLine="751"/>
        <w:spacing w:after="0" w:line="192" w:lineRule="exact"/>
        <w:rPr>
          <w:sz w:val="20"/>
          <w:szCs w:val="20"/>
          <w:color w:val="auto"/>
        </w:rPr>
      </w:pPr>
      <w:r>
        <w:rPr>
          <w:rFonts w:ascii="Times New Roman" w:cs="Times New Roman" w:eastAsia="Times New Roman" w:hAnsi="Times New Roman"/>
          <w:sz w:val="16"/>
          <w:szCs w:val="16"/>
          <w:color w:val="auto"/>
        </w:rPr>
        <w:t>Further, the increased emphasis on managed healthcare in the United States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groups and health technology assessment bodies, competition within therapeutic classes, availability of generic equivalents, judicial decisions and governmental laws and regulations related to Medicare, Medicaid, and healthcare reform, pharmaceutical coverage and reimbursement policies, and pricing in general. Patients who are prescribed treatments for their conditions and providers performing the prescribed services generally rely on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to reimburse all or part of the associated healthcare costs. Sales of our products will therefore depend substantially, both domestically and abroad, on the extent to which the costs of our products will be paid by health maintenance, managed care, pharmacy benefit and similar healthcare management organizations, or reimbursed by government health administration authorities, such as Medicare and Medicaid, private health insurers, and other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w:t>
      </w:r>
    </w:p>
    <w:p>
      <w:pPr>
        <w:spacing w:after="0" w:line="113" w:lineRule="exact"/>
        <w:rPr>
          <w:sz w:val="20"/>
          <w:szCs w:val="20"/>
          <w:color w:val="auto"/>
        </w:rPr>
      </w:pPr>
    </w:p>
    <w:p>
      <w:pPr>
        <w:ind w:right="60" w:firstLine="751"/>
        <w:spacing w:after="0" w:line="211" w:lineRule="exact"/>
        <w:rPr>
          <w:sz w:val="20"/>
          <w:szCs w:val="20"/>
          <w:color w:val="auto"/>
        </w:rPr>
      </w:pPr>
      <w:r>
        <w:rPr>
          <w:rFonts w:ascii="Times New Roman" w:cs="Times New Roman" w:eastAsia="Times New Roman" w:hAnsi="Times New Roman"/>
          <w:sz w:val="16"/>
          <w:szCs w:val="16"/>
          <w:color w:val="auto"/>
        </w:rPr>
        <w:t>As a result of the above, we may need to conduct expensive pharmacoeconomic studies in order to demonstrate the medical necessity and cost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effectiveness of our products, in addition to the costs required to obtain the FDA and other comparable foreign regulatory authority approvals. Our products may not be considered medically necessary or cost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effective, or the rebate percentages required to secure coverage may not yield an adequate margin over cost.</w:t>
      </w:r>
    </w:p>
    <w:p>
      <w:pPr>
        <w:spacing w:after="0" w:line="148" w:lineRule="exact"/>
        <w:rPr>
          <w:sz w:val="20"/>
          <w:szCs w:val="20"/>
          <w:color w:val="auto"/>
        </w:rPr>
      </w:pPr>
    </w:p>
    <w:p>
      <w:pPr>
        <w:ind w:right="20" w:firstLine="751"/>
        <w:spacing w:after="0" w:line="245" w:lineRule="auto"/>
        <w:rPr>
          <w:sz w:val="20"/>
          <w:szCs w:val="20"/>
          <w:color w:val="auto"/>
        </w:rPr>
      </w:pPr>
      <w:r>
        <w:rPr>
          <w:rFonts w:ascii="Times New Roman" w:cs="Times New Roman" w:eastAsia="Times New Roman" w:hAnsi="Times New Roman"/>
          <w:sz w:val="16"/>
          <w:szCs w:val="16"/>
          <w:color w:val="auto"/>
        </w:rPr>
        <w:t>There is often pressure to renegotiate pricing and reimbursement levels, including, in particular, in connection with changes to Medicare. Third-party payors continue to demand discounted fee structures, and the trend toward consolidation among third-party payors tends to increase their bargaining power over price structures. If third-party payors reduce their rates for our products, then our revenue and profitability may decline, and our operating margins will be reduced. Because some third-party payors rely on all or portions of Medicare payment systems to determine payment rates, changes to government healthcare programs that reduce payments under these programs may negatively impact payments from third-party payors. Our inability to maintain suitable financial arrangements with third-party payors could have a material adverse impact on our business. Additionally, the reimbursement process is complex and can involve lengthy delays. Third-party payors may disallow, in whole or in part, providers’ requests for reimbursement based on determinations that certain amounts are not reimbursable under plan coverage, that the drugs provided were not medically necessary, or that additional supporting documentation is necessary. Retroactive adjustments may change amounts realized from third-party payors. Delays and uncertainties in the reimbursement process may adversely affect market acceptance and utilization of our products, resulting in reduced revenues. The unavailability or inadequacy of third-party coverage and reimbursement could negatively affect the market acceptance of our products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 Many hospitals implement a controlled and defined process for developing and approving formularies. Any marketing efforts that are determined to have violated such policies could result in the denial or removal of our products from that hospital’s formulary.</w:t>
      </w:r>
    </w:p>
    <w:p>
      <w:pPr>
        <w:spacing w:after="0" w:line="139" w:lineRule="exact"/>
        <w:rPr>
          <w:sz w:val="20"/>
          <w:szCs w:val="20"/>
          <w:color w:val="auto"/>
        </w:rPr>
      </w:pPr>
    </w:p>
    <w:p>
      <w:pPr>
        <w:ind w:right="40" w:firstLine="751"/>
        <w:spacing w:after="0" w:line="195" w:lineRule="exact"/>
        <w:rPr>
          <w:sz w:val="20"/>
          <w:szCs w:val="20"/>
          <w:color w:val="auto"/>
        </w:rPr>
      </w:pPr>
      <w:r>
        <w:rPr>
          <w:rFonts w:ascii="Times New Roman" w:cs="Times New Roman" w:eastAsia="Times New Roman" w:hAnsi="Times New Roman"/>
          <w:sz w:val="16"/>
          <w:szCs w:val="16"/>
          <w:color w:val="auto"/>
        </w:rPr>
        <w:t>Moreover, a payor’s decision to provide coverage for a drug product does not imply that an adequate reimbursement rate will be approved. Adequate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reimbursement may not be available to enable us to maintain price levels sufficient to realize an appropriate return on our investment in drug development. Legislative proposals to reform healthcare or reduce costs under government insurance programs may result in lower reimbursement for our products or exclusion of our products from coverage. The cost containment measures that healthcare payors and providers are instituting and any healthcare reform could significantly reduce our revenues from the sale of any approved product candidates. We cannot provide any assurances that we will be able to obtain and maintain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coverage or adequate reimbursement for our product candidates in whole or in part.</w:t>
      </w:r>
    </w:p>
    <w:p>
      <w:pPr>
        <w:spacing w:after="0" w:line="172" w:lineRule="exact"/>
        <w:rPr>
          <w:sz w:val="20"/>
          <w:szCs w:val="20"/>
          <w:color w:val="auto"/>
        </w:rPr>
      </w:pPr>
    </w:p>
    <w:p>
      <w:pPr>
        <w:jc w:val="both"/>
        <w:ind w:right="300" w:firstLine="751"/>
        <w:spacing w:after="0" w:line="255" w:lineRule="auto"/>
        <w:rPr>
          <w:sz w:val="20"/>
          <w:szCs w:val="20"/>
          <w:color w:val="auto"/>
        </w:rPr>
      </w:pPr>
      <w:r>
        <w:rPr>
          <w:rFonts w:ascii="Times New Roman" w:cs="Times New Roman" w:eastAsia="Times New Roman" w:hAnsi="Times New Roman"/>
          <w:sz w:val="16"/>
          <w:szCs w:val="16"/>
          <w:color w:val="auto"/>
        </w:rPr>
        <w:t>Pharmacy benefit managers, or PBM, rebates and pricing transparency are key areas of legislative and regulatory focus and there may be changes in the regulatory landscape that could have a significant impact on the pharmaceutical supply chain and drug pricing more generally, which could affect our business operations and prospects in unknown and material ways.</w:t>
      </w: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Healthcare Reform Measures</w:t>
      </w:r>
    </w:p>
    <w:p>
      <w:pPr>
        <w:spacing w:after="0" w:line="191" w:lineRule="exact"/>
        <w:rPr>
          <w:sz w:val="20"/>
          <w:szCs w:val="20"/>
          <w:color w:val="auto"/>
        </w:rPr>
      </w:pPr>
    </w:p>
    <w:p>
      <w:pPr>
        <w:ind w:right="220" w:firstLine="751"/>
        <w:spacing w:after="0" w:line="249" w:lineRule="auto"/>
        <w:rPr>
          <w:sz w:val="20"/>
          <w:szCs w:val="20"/>
          <w:color w:val="auto"/>
        </w:rPr>
      </w:pPr>
      <w:r>
        <w:rPr>
          <w:rFonts w:ascii="Times New Roman" w:cs="Times New Roman" w:eastAsia="Times New Roman" w:hAnsi="Times New Roman"/>
          <w:sz w:val="16"/>
          <w:szCs w:val="16"/>
          <w:color w:val="auto"/>
        </w:rPr>
        <w:t>The United States and some foreign jurisdictions are considering or have enacted a number of legislative and regulatory proposals designed to change the healthcare system in ways that could prevent or delay marketing approval of our product candidates, restrict or regulate post-approval activities, and affect our ability to sell our products profitably.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w:t>
      </w:r>
    </w:p>
    <w:p>
      <w:pPr>
        <w:spacing w:after="0" w:line="166" w:lineRule="exact"/>
        <w:rPr>
          <w:sz w:val="20"/>
          <w:szCs w:val="20"/>
          <w:color w:val="auto"/>
        </w:rPr>
      </w:pPr>
    </w:p>
    <w:p>
      <w:pPr>
        <w:ind w:right="100" w:firstLine="751"/>
        <w:spacing w:after="0" w:line="255" w:lineRule="auto"/>
        <w:rPr>
          <w:sz w:val="20"/>
          <w:szCs w:val="20"/>
          <w:color w:val="auto"/>
        </w:rPr>
      </w:pPr>
      <w:r>
        <w:rPr>
          <w:rFonts w:ascii="Times New Roman" w:cs="Times New Roman" w:eastAsia="Times New Roman" w:hAnsi="Times New Roman"/>
          <w:sz w:val="16"/>
          <w:szCs w:val="16"/>
          <w:color w:val="auto"/>
        </w:rPr>
        <w:t>For example, the Patient Protection and Affordable Care Act, as amended by the Health Care and Education Reconciliation Act, or, collectively, the ACA has substantially changed and continues to impact healthcare financing and delivery by both government payors and private insurers. Among the ACA provisions of importance to the pharmaceutical industry, in addition to those otherwise described above, are the following:</w:t>
      </w:r>
    </w:p>
    <w:p>
      <w:pPr>
        <w:spacing w:after="0" w:line="67" w:lineRule="exact"/>
        <w:rPr>
          <w:sz w:val="20"/>
          <w:szCs w:val="20"/>
          <w:color w:val="auto"/>
        </w:rPr>
      </w:pPr>
    </w:p>
    <w:p>
      <w:pPr>
        <w:ind w:left="1020" w:right="40" w:hanging="517"/>
        <w:spacing w:after="0" w:line="267" w:lineRule="auto"/>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annual, nondeductible fee on any entity that manufactures or imports specified branded prescription drugs and biologic agents, apportioned among these entities according to their market share in certain federal programs identified in the ACA;</w:t>
      </w:r>
    </w:p>
    <w:p>
      <w:pPr>
        <w:spacing w:after="0" w:line="57" w:lineRule="exact"/>
        <w:rPr>
          <w:rFonts w:ascii="Times New Roman" w:cs="Times New Roman" w:eastAsia="Times New Roman" w:hAnsi="Times New Roman"/>
          <w:sz w:val="16"/>
          <w:szCs w:val="16"/>
          <w:color w:val="auto"/>
        </w:rPr>
      </w:pPr>
    </w:p>
    <w:p>
      <w:pPr>
        <w:ind w:left="1020" w:right="200" w:hanging="517"/>
        <w:spacing w:after="0" w:line="267" w:lineRule="auto"/>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expansion of beneficiary eligibility criteria for Medicaid programs by, among other things, allowing states to offer Medicaid coverage to certain individuals with income at or below 138% of the federal poverty level, thereby potentially increasing manufacturers’ Medicaid rebate liability;</w:t>
      </w:r>
    </w:p>
    <w:p>
      <w:pPr>
        <w:spacing w:after="0" w:line="57" w:lineRule="exact"/>
        <w:rPr>
          <w:rFonts w:ascii="Times New Roman" w:cs="Times New Roman" w:eastAsia="Times New Roman" w:hAnsi="Times New Roman"/>
          <w:sz w:val="16"/>
          <w:szCs w:val="16"/>
          <w:color w:val="auto"/>
        </w:rPr>
      </w:pPr>
    </w:p>
    <w:p>
      <w:pPr>
        <w:ind w:left="1020" w:right="160" w:hanging="517"/>
        <w:spacing w:after="0" w:line="267" w:lineRule="auto"/>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expansion of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57" w:lineRule="exact"/>
        <w:rPr>
          <w:rFonts w:ascii="Times New Roman" w:cs="Times New Roman" w:eastAsia="Times New Roman" w:hAnsi="Times New Roman"/>
          <w:sz w:val="16"/>
          <w:szCs w:val="16"/>
          <w:color w:val="auto"/>
        </w:rPr>
      </w:pPr>
    </w:p>
    <w:p>
      <w:pPr>
        <w:ind w:left="1020" w:hanging="517"/>
        <w:spacing w:after="0"/>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extension of manufacturers’ Medicaid rebate liability to covered drugs dispensed to individuals who are enrolled in Medicaid managed care organizations;</w:t>
      </w:r>
    </w:p>
    <w:p>
      <w:pPr>
        <w:spacing w:after="0" w:line="96" w:lineRule="exact"/>
        <w:rPr>
          <w:rFonts w:ascii="Times New Roman" w:cs="Times New Roman" w:eastAsia="Times New Roman" w:hAnsi="Times New Roman"/>
          <w:sz w:val="16"/>
          <w:szCs w:val="16"/>
          <w:color w:val="auto"/>
        </w:rPr>
      </w:pPr>
    </w:p>
    <w:p>
      <w:pPr>
        <w:ind w:left="1020" w:right="400" w:hanging="517"/>
        <w:spacing w:after="0" w:line="267" w:lineRule="auto"/>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separate methodology by which rebates owed by manufacturers under the Medicaid Drug Rebate Program are calculated for drugs that are inhaled, infused, instilled, implanted, or injected;</w:t>
      </w:r>
    </w:p>
    <w:p>
      <w:pPr>
        <w:spacing w:after="0" w:line="57" w:lineRule="exact"/>
        <w:rPr>
          <w:rFonts w:ascii="Times New Roman" w:cs="Times New Roman" w:eastAsia="Times New Roman" w:hAnsi="Times New Roman"/>
          <w:sz w:val="16"/>
          <w:szCs w:val="16"/>
          <w:color w:val="auto"/>
        </w:rPr>
      </w:pPr>
    </w:p>
    <w:p>
      <w:pPr>
        <w:ind w:left="1020" w:hanging="517"/>
        <w:spacing w:after="0"/>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expansion of the types of entities eligible for the 340B drug discount program;</w:t>
      </w:r>
    </w:p>
    <w:p>
      <w:pPr>
        <w:spacing w:after="0" w:line="96" w:lineRule="exact"/>
        <w:rPr>
          <w:rFonts w:ascii="Times New Roman" w:cs="Times New Roman" w:eastAsia="Times New Roman" w:hAnsi="Times New Roman"/>
          <w:sz w:val="16"/>
          <w:szCs w:val="16"/>
          <w:color w:val="auto"/>
        </w:rPr>
      </w:pPr>
    </w:p>
    <w:p>
      <w:pPr>
        <w:ind w:left="1020" w:hanging="517"/>
        <w:spacing w:after="0" w:line="255" w:lineRule="auto"/>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establishment of the Medicare Part D coverage gap discount program that, as a condition for the manufacturers’ outpatient drugs to be covered under Medicare Part D, requires manufacturers to provide a now 70% point-of-sale-discount off the negotiated price of applicable brand drugs to eligible beneficiaries during their coverage gap period;</w:t>
      </w:r>
    </w:p>
    <w:p>
      <w:pPr>
        <w:spacing w:after="0" w:line="67" w:lineRule="exact"/>
        <w:rPr>
          <w:rFonts w:ascii="Times New Roman" w:cs="Times New Roman" w:eastAsia="Times New Roman" w:hAnsi="Times New Roman"/>
          <w:sz w:val="16"/>
          <w:szCs w:val="16"/>
          <w:color w:val="auto"/>
        </w:rPr>
      </w:pPr>
    </w:p>
    <w:p>
      <w:pPr>
        <w:ind w:left="1020" w:right="100" w:hanging="517"/>
        <w:spacing w:after="0" w:line="267" w:lineRule="auto"/>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establishment of the Center for Medicare and Medicaid Innovation within the CMS to test innovative payment and service delivery models to lower Medicare and Medicaid spending, potentially including prescription drug spending;</w:t>
      </w:r>
    </w:p>
    <w:p>
      <w:pPr>
        <w:spacing w:after="0" w:line="57" w:lineRule="exact"/>
        <w:rPr>
          <w:rFonts w:ascii="Times New Roman" w:cs="Times New Roman" w:eastAsia="Times New Roman" w:hAnsi="Times New Roman"/>
          <w:sz w:val="16"/>
          <w:szCs w:val="16"/>
          <w:color w:val="auto"/>
        </w:rPr>
      </w:pPr>
    </w:p>
    <w:p>
      <w:pPr>
        <w:ind w:left="1020" w:right="100" w:hanging="517"/>
        <w:spacing w:after="0" w:line="267" w:lineRule="auto"/>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creation of the Patient-Centered Outcomes Research Institute to oversee, identify priorities in, and conduct comparative clinical effectiveness research, along with funding for such research;</w:t>
      </w:r>
    </w:p>
    <w:p>
      <w:pPr>
        <w:spacing w:after="0" w:line="57" w:lineRule="exact"/>
        <w:rPr>
          <w:rFonts w:ascii="Times New Roman" w:cs="Times New Roman" w:eastAsia="Times New Roman" w:hAnsi="Times New Roman"/>
          <w:sz w:val="16"/>
          <w:szCs w:val="16"/>
          <w:color w:val="auto"/>
        </w:rPr>
      </w:pPr>
    </w:p>
    <w:p>
      <w:pPr>
        <w:ind w:left="1020" w:right="140" w:hanging="517"/>
        <w:spacing w:after="0" w:line="267" w:lineRule="auto"/>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 of certain financial arrangements between manufacturers of drugs, biologics, devices, and medical supplies and physicians and teaching hospitals under the Sunshine Act; and</w:t>
      </w:r>
    </w:p>
    <w:p>
      <w:pPr>
        <w:spacing w:after="0" w:line="57" w:lineRule="exact"/>
        <w:rPr>
          <w:rFonts w:ascii="Times New Roman" w:cs="Times New Roman" w:eastAsia="Times New Roman" w:hAnsi="Times New Roman"/>
          <w:sz w:val="16"/>
          <w:szCs w:val="16"/>
          <w:color w:val="auto"/>
        </w:rPr>
      </w:pPr>
    </w:p>
    <w:p>
      <w:pPr>
        <w:ind w:left="1020" w:hanging="517"/>
        <w:spacing w:after="0"/>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reporting of certain information regarding drug samples that manufacturers and distributors provide to licensed practitioners.</w:t>
      </w:r>
    </w:p>
    <w:p>
      <w:pPr>
        <w:spacing w:after="0" w:line="189" w:lineRule="exact"/>
        <w:rPr>
          <w:sz w:val="20"/>
          <w:szCs w:val="20"/>
          <w:color w:val="auto"/>
        </w:rPr>
      </w:pPr>
    </w:p>
    <w:p>
      <w:pPr>
        <w:ind w:right="40" w:firstLine="751"/>
        <w:spacing w:after="0" w:line="190" w:lineRule="exact"/>
        <w:rPr>
          <w:sz w:val="20"/>
          <w:szCs w:val="20"/>
          <w:color w:val="auto"/>
        </w:rPr>
      </w:pPr>
      <w:r>
        <w:rPr>
          <w:rFonts w:ascii="Times New Roman" w:cs="Times New Roman" w:eastAsia="Times New Roman" w:hAnsi="Times New Roman"/>
          <w:sz w:val="16"/>
          <w:szCs w:val="16"/>
          <w:color w:val="auto"/>
        </w:rPr>
        <w:t>The ACA established the Patient-Centered Outcome Research Institute to organize and coordinate federally funded research to compare the effectiveness of different treatments for the same illness. Although the results of the comparative effectiveness studies are not intended to mandate coverage policies for public or private payors, it is not clear what effect, if any, the research will have on the sales of any product, if any such product or the condition that it is intended to treat is the subject of a study. It is also possible that comparative effectiveness research demonstrating benefits in a competitor’s product could adversely affect the sales of our product candidates. If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do not consider our product candidates to be cost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effective compared to other available therapies, they may not cover our product candidates, once approved, as a benefit under their plans or, if they do, the level of payment may not be sufficient to allow us to sell our products on a profitable basis.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680"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40" w:firstLine="751"/>
        <w:spacing w:after="0" w:line="284" w:lineRule="auto"/>
        <w:rPr>
          <w:sz w:val="20"/>
          <w:szCs w:val="20"/>
          <w:color w:val="auto"/>
        </w:rPr>
      </w:pPr>
      <w:r>
        <w:rPr>
          <w:rFonts w:ascii="Times New Roman" w:cs="Times New Roman" w:eastAsia="Times New Roman" w:hAnsi="Times New Roman"/>
          <w:sz w:val="14"/>
          <w:szCs w:val="14"/>
          <w:color w:val="auto"/>
        </w:rPr>
        <w:t>The ACA made other changes intended to broaden access to health insurance, reduce or constrain the growth of healthcare spending, enhance remedies against fraud and abuse, add new transparency requirements for healthcare and health insurance industries, impose new taxes and fees on the health care industry, and impose additional health policy reforms. The law expanded the eligibility criteria for Medicaid programs, thereby potentially increasing both the volume of sales and manufacturers’ Medicaid rebate liability. The law also expanded the entities eligible for discounts under the 340B Drug Discount Program, which mandates discounts to certain hospitals, community centers, and other qualifying providers, although, with the exception of children’s hospitals, these newly eligible entities are not eligible to receive discounted 340B pricing on orphan drugs and the Health Resources and Services Administration has narrowed its interpretation of which beneficiaries may fill prescriptions through 340B inventories. The law additionally extended manufacturer’s Medicaid rebate liability to covered drugs dispensed to patients enrolled in Medicaid managed care organizations, increased the statutory minimum rebates a manufacturer must pay under the Medicaid Drug Rebate program, and created an alternative rebate formula for certain new formulations of certain existing products, which is intended to increase the amount of rebates due on those drugs. The revisions to the Medicaid rebate formula can have the further effect of increasing the required 340B discounts. Finally, the ACA imposes a significant annual fee on companies that manufacture or import branded prescription drug products. Substantial new provisions affecting compliance have also been enacted through the ACA and otherwise, including the reporting of drug sample distribution, which may require us to modify our business practices with healthcare practitioners. Moreover, in the coming years, additional changes could be made to governmental healthcare programs that could significantly impact the success of our products.</w:t>
      </w:r>
    </w:p>
    <w:p>
      <w:pPr>
        <w:spacing w:after="0" w:line="332" w:lineRule="exact"/>
        <w:rPr>
          <w:sz w:val="20"/>
          <w:szCs w:val="20"/>
          <w:color w:val="auto"/>
        </w:rPr>
      </w:pPr>
    </w:p>
    <w:p>
      <w:pPr>
        <w:jc w:val="both"/>
        <w:ind w:right="240" w:firstLine="751"/>
        <w:spacing w:after="0" w:line="251" w:lineRule="auto"/>
        <w:rPr>
          <w:sz w:val="20"/>
          <w:szCs w:val="20"/>
          <w:color w:val="auto"/>
        </w:rPr>
      </w:pPr>
      <w:r>
        <w:rPr>
          <w:rFonts w:ascii="Times New Roman" w:cs="Times New Roman" w:eastAsia="Times New Roman" w:hAnsi="Times New Roman"/>
          <w:sz w:val="16"/>
          <w:szCs w:val="16"/>
          <w:color w:val="auto"/>
        </w:rPr>
        <w:t>The ACA also imposed an affirmative obligation to report and repay any overpayments, including those payments that resulted from violations of the Anti-Kickback Statute, False Claims Act, or Civil Monetary Penalties Law, within sixty (60) days after such overpayment has been identified. Corresponding case law imposes an obligation on entities to exercise reasonable diligence in identifying such overpayments. The failure to timely report and repay is, itself, considered to constitute a violation of the False Claims Act.</w:t>
      </w:r>
    </w:p>
    <w:p>
      <w:pPr>
        <w:spacing w:after="0" w:line="164" w:lineRule="exact"/>
        <w:rPr>
          <w:sz w:val="20"/>
          <w:szCs w:val="20"/>
          <w:color w:val="auto"/>
        </w:rPr>
      </w:pPr>
    </w:p>
    <w:p>
      <w:pPr>
        <w:ind w:right="280" w:firstLine="751"/>
        <w:spacing w:after="0" w:line="251" w:lineRule="auto"/>
        <w:rPr>
          <w:sz w:val="20"/>
          <w:szCs w:val="20"/>
          <w:color w:val="auto"/>
        </w:rPr>
      </w:pPr>
      <w:r>
        <w:rPr>
          <w:rFonts w:ascii="Times New Roman" w:cs="Times New Roman" w:eastAsia="Times New Roman" w:hAnsi="Times New Roman"/>
          <w:sz w:val="16"/>
          <w:szCs w:val="16"/>
          <w:color w:val="auto"/>
        </w:rPr>
        <w:t>The framework of the ACA continues to evolve as a result of executive, legislative, regulatory, and administrative developments that have challenged the law and contribute to legal uncertainty that could affect the profitability of our products. While Congress has not enacted legislation to comprehensively repeal the ACA, legislation affecting the ACA has been signed into law, including the elimination, effective January 1, 2019, of the tax-based shared responsibility payment imposed by the ACA on certain individuals who fail to maintain qualifying health coverage for all or part of a year, which is commonly referred to as the “individual mandate.”</w:t>
      </w:r>
    </w:p>
    <w:p>
      <w:pPr>
        <w:spacing w:after="0" w:line="164" w:lineRule="exact"/>
        <w:rPr>
          <w:sz w:val="20"/>
          <w:szCs w:val="20"/>
          <w:color w:val="auto"/>
        </w:rPr>
      </w:pPr>
    </w:p>
    <w:p>
      <w:pPr>
        <w:ind w:firstLine="751"/>
        <w:spacing w:after="0" w:line="283" w:lineRule="auto"/>
        <w:rPr>
          <w:sz w:val="20"/>
          <w:szCs w:val="20"/>
          <w:color w:val="auto"/>
        </w:rPr>
      </w:pPr>
      <w:r>
        <w:rPr>
          <w:rFonts w:ascii="Times New Roman" w:cs="Times New Roman" w:eastAsia="Times New Roman" w:hAnsi="Times New Roman"/>
          <w:sz w:val="14"/>
          <w:szCs w:val="14"/>
          <w:color w:val="auto"/>
        </w:rPr>
        <w:t>The Medicare Prescription Drug, Improvement, and Modernization Act of 2003, or the MMA, established a prescription drug benefit program for Medicare beneficiaries. Under Part D, Medicare beneficiaries may enroll in prescription drug plans offered by private entities that provide coverage of outpatient prescription drugs. Part D plans include both standalone prescription drug benefit plans and prescription drug coverage as a supplement to Medicare Advantage plans. Unlike Medicare Part A and B, which do not utilize formularies to restrict coverage, Part D coverage varies by plan. With some exceptions,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any products for which we receive marketing approval. However, Part D plans use competition for coverage to leverage manufacturer rebates. Further, the law requires manufacturers to absorb a significant percentage of the prescription price paid for NDA drugs, including 504(b)(2) drugs, during a beneficiary’s coverage gap. The Bipartisan Budget Act of 2018 permanently increased manufacturer liability for the prescription price in the coverage gap from 50% to 70% beginning in 2019, while simultaneously accelerating closure of the gap. These cost reduction initiatives and other provisions of the legislation, as well as any negotiated price discounts for our future products covered by a Part D prescription drug plan, may decrease the coverage and reimbursement rate that we receive, lower the net price realized on our sales to pharmacies, or both. Moreover, while the MMA applies only to drug benefits for Medicare beneficiaries, private payors often follow Medicare coverage policy and payment limitations in setting their own payment rates. Any reduction in payment that results from Medicare Part D may result in a similar reduction in payments from nongovernmental payors.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80" w:firstLine="751"/>
        <w:spacing w:after="0" w:line="287" w:lineRule="auto"/>
        <w:rPr>
          <w:sz w:val="20"/>
          <w:szCs w:val="20"/>
          <w:color w:val="auto"/>
        </w:rPr>
      </w:pPr>
      <w:r>
        <w:rPr>
          <w:rFonts w:ascii="Times New Roman" w:cs="Times New Roman" w:eastAsia="Times New Roman" w:hAnsi="Times New Roman"/>
          <w:sz w:val="14"/>
          <w:szCs w:val="14"/>
          <w:color w:val="auto"/>
        </w:rPr>
        <w:t>There have been numerous initiatives on the federal and state levels in the United States for comprehensive reforms affecting the payment for, the availability of, and reimbursement for, healthcare services. Current and future U.S. legislative healthcare reforms may result in price controls and other restrictions for any approved products, if covered, and could seriously harm our business. In August 2022, the Inflation Reduction Act of 2022, or the IRA, was signed into law. The IRA includes several provisions that impose new manufacturer financial liability on all drugs in Medicare Part D beginning in 2025, allow the U.S. government to negotiate prices for some drugs covered under Medicare Part D beginning in 2026 and Medicare Part B beginning in 2028, and require companies to pay rebates to Medicare beginning in 2023 for drug prices that increase faster than inflation. The IRA permits the Secretary of HHS to implement many of these provisions through guidance, as opposed to regulation, for the initial years. For that and other reasons, it is currently unclear how the IRA will be effectuated, and the impact of the IRA on the pharmaceutical industry cannot yet be fully determined. On December 14, 2023, President Biden announced that, through the IRA, dozens of pharmaceutical companies are required to pay rebates to Medicare for price hikes on prescription drugs.</w:t>
      </w:r>
    </w:p>
    <w:p>
      <w:pPr>
        <w:spacing w:after="0" w:line="140" w:lineRule="exact"/>
        <w:rPr>
          <w:sz w:val="20"/>
          <w:szCs w:val="20"/>
          <w:color w:val="auto"/>
        </w:rPr>
      </w:pPr>
    </w:p>
    <w:p>
      <w:pPr>
        <w:ind w:right="140" w:firstLine="751"/>
        <w:spacing w:after="0" w:line="247" w:lineRule="auto"/>
        <w:rPr>
          <w:sz w:val="20"/>
          <w:szCs w:val="20"/>
          <w:color w:val="auto"/>
        </w:rPr>
      </w:pPr>
      <w:r>
        <w:rPr>
          <w:rFonts w:ascii="Times New Roman" w:cs="Times New Roman" w:eastAsia="Times New Roman" w:hAnsi="Times New Roman"/>
          <w:sz w:val="16"/>
          <w:szCs w:val="16"/>
          <w:color w:val="auto"/>
        </w:rPr>
        <w:t>In addition, other legislative changes have been proposed and adopted since the ACA was enacted. For example, the Budget Control Act of 2011, among other things, resulted in reductions in payments to Medicare providers of 2% per fiscal year, which went into effect on April 1, 2013 and, due to subsequent legislation, will remain in effect through 2031, with the exception of a temporary suspension of the payment reduction from May 1, 2020 through March 31, 2022 due to the coronavirus pandemic. Sequestration began again on April 1, 2022. From April 1, 2022 to June 30, 2022, payment for Medicare fee-for-service claims were adjusted downwards by 1%; beginning on July 1, 2022, the payment were adjusted downwards by 2%. In addition, on March 11, 2021, President Biden signed the American Rescue Plan Act of 2021 into law, which eliminated the statutory Medicaid drug rebate cap, currently set at 100% of a drug’s average manufacturer price, for single source and innovator multiple source drugs, beginning January 1, 2024. These legislative changes may result in additional reductions in Medicare and other healthcare funding and otherwise affect the prices we may obtain for any of our products or the frequency with which any such product is prescribed or used.</w:t>
      </w:r>
    </w:p>
    <w:p>
      <w:pPr>
        <w:spacing w:after="0" w:line="166" w:lineRule="exact"/>
        <w:rPr>
          <w:sz w:val="20"/>
          <w:szCs w:val="20"/>
          <w:color w:val="auto"/>
        </w:rPr>
      </w:pPr>
    </w:p>
    <w:p>
      <w:pPr>
        <w:ind w:firstLine="751"/>
        <w:spacing w:after="0" w:line="245" w:lineRule="auto"/>
        <w:rPr>
          <w:sz w:val="20"/>
          <w:szCs w:val="20"/>
          <w:color w:val="auto"/>
        </w:rPr>
      </w:pPr>
      <w:r>
        <w:rPr>
          <w:rFonts w:ascii="Times New Roman" w:cs="Times New Roman" w:eastAsia="Times New Roman" w:hAnsi="Times New Roman"/>
          <w:sz w:val="16"/>
          <w:szCs w:val="16"/>
          <w:color w:val="auto"/>
        </w:rPr>
        <w:t>Recently, the cost of prescription pharmaceuticals has been the subject of considerable discussion in the United States. Congress considered and passed legislation, and the former Trump administration pursued several regulatory reforms to further increase transparency around prices and price increases, lower out-of-pocket costs for consumers, and decrease spending on prescription drugs by government programs. Congress also continued to conduct inquiries into the prescription drug industry’s pricing practices. While several proposed reform measures will require Congress to pass legislation to become effective, Congress and the Biden administration have each indicated that it will continue to seek new legislative and/or administrative measures to address prescription drug costs. The Biden administration has taken several recent executive actions that signal changes in policy from the prior administration. For example, on July 9, 2021, President Biden signed an executive order to promote competition in the U.S. economy that included several initiatives addressing prescription drugs. Among other provisions, the executive order directed the Secretary of HHS to issue a report to the White House within 45 days that includes a plan to, among other things, reduce prices for prescription drugs, including prices paid by the federal government for such drugs. In response to the executive order, on September 9, 2021, HHS issued a Comprehensive Plan for Addressing High Drug Prices that identified potential legislative policies and administrative tools that Congress and HHS can pursue in order to make drug prices more affordable and equitable, improve and promote competition throughout the prescription drug industry, and foster scientific innovation. Additionally, on February 2, 2022, the Biden administration signaled its continued commitment to the Cancer Moonshot initiative, which was initially launched in 2016. In its recent announcement, the administration noted that its new goals under the initiative include addressing inequities in order to ensure broader access to cutting-edge cancer therapeutics and investing in a robust pipeline for new treatments.</w:t>
      </w:r>
    </w:p>
    <w:p>
      <w:pPr>
        <w:spacing w:after="0" w:line="172" w:lineRule="exact"/>
        <w:rPr>
          <w:sz w:val="20"/>
          <w:szCs w:val="20"/>
          <w:color w:val="auto"/>
        </w:rPr>
      </w:pPr>
    </w:p>
    <w:p>
      <w:pPr>
        <w:ind w:right="100" w:firstLine="751"/>
        <w:spacing w:after="0" w:line="247" w:lineRule="auto"/>
        <w:rPr>
          <w:sz w:val="20"/>
          <w:szCs w:val="20"/>
          <w:color w:val="auto"/>
        </w:rPr>
      </w:pPr>
      <w:r>
        <w:rPr>
          <w:rFonts w:ascii="Times New Roman" w:cs="Times New Roman" w:eastAsia="Times New Roman" w:hAnsi="Times New Roman"/>
          <w:sz w:val="16"/>
          <w:szCs w:val="16"/>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Some states, such as California, have enacted transparency laws that require manufacturers to report drug price increases and related information. The boom in state laws targeting drug pricing is unprecedented and the requirements are not uniform from state to state, creating additional compliance and commercialization challenges for manufacturers. We further expect that the pharmaceutical industry will experience pricing pressures due to the trend toward managed healthcare, the increasing influence of managed care organizations, judicial interpretation of health care reform efforts, and additional legislative and regulatory proposals resulting in ongoing, relatively rapid changes to applicable laws and regulations. Our results of operations could be adversely affected by current and future healthcare reforms.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ind w:right="40"/>
        <w:spacing w:after="0" w:line="184" w:lineRule="exact"/>
        <w:rPr>
          <w:sz w:val="20"/>
          <w:szCs w:val="20"/>
          <w:color w:val="auto"/>
        </w:rPr>
      </w:pPr>
      <w:r>
        <w:rPr>
          <w:rFonts w:ascii="Times New Roman" w:cs="Times New Roman" w:eastAsia="Times New Roman" w:hAnsi="Times New Roman"/>
          <w:sz w:val="16"/>
          <w:szCs w:val="16"/>
          <w:color w:val="auto"/>
        </w:rPr>
        <w:t>Government and private payors also increasingly require pre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approval of coverage for new or innovative devices or drug therapies or condition coverage on</w:t>
      </w:r>
    </w:p>
    <w:p>
      <w:pPr>
        <w:spacing w:after="0" w:line="54" w:lineRule="exact"/>
        <w:rPr>
          <w:sz w:val="20"/>
          <w:szCs w:val="20"/>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unsuccessful alternative treatment before they will reimburse healthcare providers that use such therapies. For some specialty drugs, payors are conditioning payment on successful treatment measured by objective metrics. While we cannot predict whether any proposed cost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containment measures will be adopted or otherwise implemented in the future, the announcement or adoption of these proposals could have a material adverse effect on our ability to obtain adequate prices for our products and operate profitably.</w:t>
      </w:r>
    </w:p>
    <w:p>
      <w:pPr>
        <w:spacing w:after="0" w:line="171" w:lineRule="exact"/>
        <w:rPr>
          <w:sz w:val="20"/>
          <w:szCs w:val="20"/>
          <w:color w:val="auto"/>
        </w:rPr>
      </w:pPr>
    </w:p>
    <w:p>
      <w:pPr>
        <w:ind w:right="100" w:firstLine="751"/>
        <w:spacing w:after="0" w:line="247" w:lineRule="auto"/>
        <w:rPr>
          <w:sz w:val="20"/>
          <w:szCs w:val="20"/>
          <w:color w:val="auto"/>
        </w:rPr>
      </w:pPr>
      <w:r>
        <w:rPr>
          <w:rFonts w:ascii="Times New Roman" w:cs="Times New Roman" w:eastAsia="Times New Roman" w:hAnsi="Times New Roman"/>
          <w:sz w:val="16"/>
          <w:szCs w:val="16"/>
          <w:color w:val="auto"/>
        </w:rPr>
        <w:t>In the future, there may continue to be additional proposals relating to the reform of the U.S. healthcare system, some of which could further limit the prices we will be able to charge for our products, or the amounts of reimbursement available for our products. We continue to monitor the potential impact of proposals to lower prescription drug costs at the federal and state level. Managed care organizations, as well as Medicaid and other government agencies, continue to seek price discounts. Some states have implemented, and other states are considering, measures to reduce costs of the Medicaid program, and some states are considering implementing measures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68" w:lineRule="exact"/>
        <w:rPr>
          <w:sz w:val="20"/>
          <w:szCs w:val="20"/>
          <w:color w:val="auto"/>
        </w:rPr>
      </w:pPr>
    </w:p>
    <w:p>
      <w:pPr>
        <w:jc w:val="both"/>
        <w:ind w:right="160" w:firstLine="751"/>
        <w:spacing w:after="0" w:line="255" w:lineRule="auto"/>
        <w:rPr>
          <w:sz w:val="20"/>
          <w:szCs w:val="20"/>
          <w:color w:val="auto"/>
        </w:rPr>
      </w:pPr>
      <w:r>
        <w:rPr>
          <w:rFonts w:ascii="Times New Roman" w:cs="Times New Roman" w:eastAsia="Times New Roman" w:hAnsi="Times New Roman"/>
          <w:sz w:val="16"/>
          <w:szCs w:val="16"/>
          <w:color w:val="auto"/>
        </w:rPr>
        <w:t>These and other healthcare reform initiatives may result in additional reductions in Medicare and other healthcare funding, which could have a material adverse effect on our financial operations. We expect that additional state and federal healthcare reform measures will be adopted in the future, any of which could limit the amounts that federal and state governments will pay for healthcare products and services, which could result in reduced demand for our products or additional pricing pressures.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Foreign Corrupt Practices Act</w:t>
      </w:r>
    </w:p>
    <w:p>
      <w:pPr>
        <w:spacing w:after="0" w:line="191" w:lineRule="exact"/>
        <w:rPr>
          <w:sz w:val="20"/>
          <w:szCs w:val="20"/>
          <w:color w:val="auto"/>
        </w:rPr>
      </w:pPr>
    </w:p>
    <w:p>
      <w:pPr>
        <w:ind w:right="120" w:firstLine="751"/>
        <w:spacing w:after="0" w:line="248" w:lineRule="auto"/>
        <w:rPr>
          <w:sz w:val="20"/>
          <w:szCs w:val="20"/>
          <w:color w:val="auto"/>
        </w:rPr>
      </w:pPr>
      <w:r>
        <w:rPr>
          <w:rFonts w:ascii="Times New Roman" w:cs="Times New Roman" w:eastAsia="Times New Roman" w:hAnsi="Times New Roman"/>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Regulation</w:t>
      </w:r>
    </w:p>
    <w:p>
      <w:pPr>
        <w:spacing w:after="0" w:line="191" w:lineRule="exact"/>
        <w:rPr>
          <w:sz w:val="20"/>
          <w:szCs w:val="20"/>
          <w:color w:val="auto"/>
        </w:rPr>
      </w:pPr>
    </w:p>
    <w:p>
      <w:pPr>
        <w:ind w:firstLine="751"/>
        <w:spacing w:after="0" w:line="192" w:lineRule="exact"/>
        <w:rPr>
          <w:sz w:val="20"/>
          <w:szCs w:val="20"/>
          <w:color w:val="auto"/>
        </w:rPr>
      </w:pPr>
      <w:r>
        <w:rPr>
          <w:rFonts w:ascii="Times New Roman" w:cs="Times New Roman" w:eastAsia="Times New Roman" w:hAnsi="Times New Roman"/>
          <w:sz w:val="14"/>
          <w:szCs w:val="14"/>
          <w:color w:val="auto"/>
        </w:rPr>
        <w:t>We are subject to a variety of foreign regulatory requirements regarding safety and efficacy and governing, among other things, clinical trials, marketing authorization, commercial sales, and distribution of our products. For example, in the European Union, or EU, we must obtain authorization of a clinical trial application in each member state in which we intend to conduct a clinical trial prior to the pending introduction of an EU portal for EU-wide approvals. Whether or not we obtain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The requirements governing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As in the United States,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approval regulatory requirements, such as those regarding product manufacture, marketing, or distribution, would apply to any product that is approved outside the United States.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European Union Drug Approval Process</w:t>
      </w:r>
    </w:p>
    <w:p>
      <w:pPr>
        <w:spacing w:after="0" w:line="158" w:lineRule="exact"/>
        <w:rPr>
          <w:sz w:val="20"/>
          <w:szCs w:val="20"/>
          <w:color w:val="auto"/>
        </w:rPr>
      </w:pPr>
    </w:p>
    <w:p>
      <w:pPr>
        <w:ind w:right="540" w:firstLine="751"/>
        <w:spacing w:after="0" w:line="211" w:lineRule="exact"/>
        <w:rPr>
          <w:sz w:val="20"/>
          <w:szCs w:val="20"/>
          <w:color w:val="auto"/>
        </w:rPr>
      </w:pPr>
      <w:r>
        <w:rPr>
          <w:rFonts w:ascii="Times New Roman" w:cs="Times New Roman" w:eastAsia="Times New Roman" w:hAnsi="Times New Roman"/>
          <w:sz w:val="16"/>
          <w:szCs w:val="16"/>
          <w:color w:val="auto"/>
        </w:rPr>
        <w:t>To obtain a marketing authorization of a drug in the European Union, we may submit marketing authorization applications, or MAAs, either under the so</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called centralized, decentralized, mutual recognition, or national authorization procedures.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Centralized Procedure</w:t>
      </w:r>
    </w:p>
    <w:p>
      <w:pPr>
        <w:spacing w:after="0" w:line="189" w:lineRule="exact"/>
        <w:rPr>
          <w:sz w:val="20"/>
          <w:szCs w:val="20"/>
          <w:color w:val="auto"/>
        </w:rPr>
      </w:pPr>
    </w:p>
    <w:p>
      <w:pPr>
        <w:ind w:right="20" w:firstLine="751"/>
        <w:spacing w:after="0" w:line="246" w:lineRule="auto"/>
        <w:rPr>
          <w:sz w:val="20"/>
          <w:szCs w:val="20"/>
          <w:color w:val="auto"/>
        </w:rPr>
      </w:pPr>
      <w:r>
        <w:rPr>
          <w:rFonts w:ascii="Times New Roman" w:cs="Times New Roman" w:eastAsia="Times New Roman" w:hAnsi="Times New Roman"/>
          <w:sz w:val="16"/>
          <w:szCs w:val="16"/>
          <w:color w:val="auto"/>
        </w:rPr>
        <w:t>The centralized procedure provides for the grant of a single marketing authorization following a favorable opinion by the European Medicines Agency, or EMA, which is valid in all European Union member states, as well as Iceland, Liechtenstein, and Norway. The centralized procedure is compulsory for medicines produced by specified biotechnological processes, products designated as orphan medicinal products, and products with a new active substance indicated for the treatment of specified diseases, such as HIV/AIDS, cancer, diabetes, neurodegenerative disorders, or autoimmune diseases and other immune dysfunctions. The centralized procedure is optional for products that represent a significant therapeutic, scientific, or technical innovation, or whose authorization would be in the interest of public health. Under the centralized procedure the maximum timeframe for the evaluation of an MAA by the EMA is 210 days, excluding clock stops, when additional written or oral information is to be provided by the applicant in response to questions asked by the Committee of Medicinal Products for Human Use, or the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clock stops.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Authorization Procedures</w:t>
      </w:r>
    </w:p>
    <w:p>
      <w:pPr>
        <w:spacing w:after="0" w:line="189" w:lineRule="exact"/>
        <w:rPr>
          <w:sz w:val="20"/>
          <w:szCs w:val="20"/>
          <w:color w:val="auto"/>
        </w:rPr>
      </w:pPr>
    </w:p>
    <w:p>
      <w:pPr>
        <w:ind w:right="20" w:firstLine="751"/>
        <w:spacing w:after="0" w:line="267" w:lineRule="auto"/>
        <w:rPr>
          <w:sz w:val="20"/>
          <w:szCs w:val="20"/>
          <w:color w:val="auto"/>
        </w:rPr>
      </w:pPr>
      <w:r>
        <w:rPr>
          <w:rFonts w:ascii="Times New Roman" w:cs="Times New Roman" w:eastAsia="Times New Roman" w:hAnsi="Times New Roman"/>
          <w:sz w:val="16"/>
          <w:szCs w:val="16"/>
          <w:color w:val="auto"/>
        </w:rPr>
        <w:t>There are also two other possible routes to authorize medicinal products in several European Union countries, which are available for investigational medicinal products that fall outside the scope of the centralized procedure:</w:t>
      </w:r>
    </w:p>
    <w:p>
      <w:pPr>
        <w:spacing w:after="0" w:line="149" w:lineRule="exact"/>
        <w:rPr>
          <w:sz w:val="20"/>
          <w:szCs w:val="20"/>
          <w:color w:val="auto"/>
        </w:rPr>
      </w:pPr>
    </w:p>
    <w:p>
      <w:pPr>
        <w:ind w:left="1120" w:right="160" w:hanging="376"/>
        <w:spacing w:after="0" w:line="252" w:lineRule="auto"/>
        <w:tabs>
          <w:tab w:leader="none" w:pos="11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Decentralized procedure. </w:t>
      </w:r>
      <w:r>
        <w:rPr>
          <w:rFonts w:ascii="Times New Roman" w:cs="Times New Roman" w:eastAsia="Times New Roman" w:hAnsi="Times New Roman"/>
          <w:sz w:val="16"/>
          <w:szCs w:val="16"/>
          <w:color w:val="auto"/>
        </w:rPr>
        <w:t>Using the decentralized procedure, an applicant may apply in more than one European Union country, although the applicant must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nominate one reference European Union Member State, for simultaneous authorization of medicinal products that have not yet been authorized in any European Union country and that do not fall within the mandatory scope of the centralized procedure. Failing agreement, there is a procedure for resolving disagreements between member states and ultimately an arbitration procedure before the CHMP.</w:t>
      </w:r>
    </w:p>
    <w:p>
      <w:pPr>
        <w:spacing w:after="0" w:line="160" w:lineRule="exact"/>
        <w:rPr>
          <w:rFonts w:ascii="Times New Roman" w:cs="Times New Roman" w:eastAsia="Times New Roman" w:hAnsi="Times New Roman"/>
          <w:sz w:val="16"/>
          <w:szCs w:val="16"/>
          <w:color w:val="auto"/>
        </w:rPr>
      </w:pPr>
    </w:p>
    <w:p>
      <w:pPr>
        <w:ind w:left="1120" w:right="80" w:hanging="376"/>
        <w:spacing w:after="0" w:line="252" w:lineRule="auto"/>
        <w:tabs>
          <w:tab w:leader="none" w:pos="11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Mutual recognition procedure. </w:t>
      </w:r>
      <w:r>
        <w:rPr>
          <w:rFonts w:ascii="Times New Roman" w:cs="Times New Roman" w:eastAsia="Times New Roman" w:hAnsi="Times New Roman"/>
          <w:sz w:val="16"/>
          <w:szCs w:val="16"/>
          <w:color w:val="auto"/>
        </w:rPr>
        <w:t>In the mutual recognition procedure, a medicine is first authorized in one European Union Member State, referred to as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reference member state, in accordance with the national procedures of that country. Following this, further marketing authorizations can be sought from other nominated European Union countries, referred to as the concerned member states, in a procedure whereby the countries concerned agree to recognize the validity of the original, national marketing authorization. The procedure for disagreements described above similarly applies.</w:t>
      </w:r>
    </w:p>
    <w:p>
      <w:pPr>
        <w:spacing w:after="0" w:line="160" w:lineRule="exact"/>
        <w:rPr>
          <w:rFonts w:ascii="Times New Roman" w:cs="Times New Roman" w:eastAsia="Times New Roman" w:hAnsi="Times New Roman"/>
          <w:sz w:val="16"/>
          <w:szCs w:val="16"/>
          <w:color w:val="auto"/>
        </w:rPr>
      </w:pPr>
    </w:p>
    <w:p>
      <w:pPr>
        <w:ind w:left="1120" w:hanging="376"/>
        <w:spacing w:after="0"/>
        <w:tabs>
          <w:tab w:leader="none" w:pos="1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National procedures. </w:t>
      </w:r>
      <w:r>
        <w:rPr>
          <w:rFonts w:ascii="Times New Roman" w:cs="Times New Roman" w:eastAsia="Times New Roman" w:hAnsi="Times New Roman"/>
          <w:sz w:val="14"/>
          <w:szCs w:val="14"/>
          <w:color w:val="auto"/>
        </w:rPr>
        <w:t>Purely national procedures continue to be possible but are strictly limited to where the product is to be authorized in one member state only.</w:t>
      </w:r>
    </w:p>
    <w:p>
      <w:pPr>
        <w:spacing w:after="0" w:line="214" w:lineRule="exact"/>
        <w:rPr>
          <w:sz w:val="20"/>
          <w:szCs w:val="20"/>
          <w:color w:val="auto"/>
        </w:rPr>
      </w:pPr>
    </w:p>
    <w:p>
      <w:pPr>
        <w:ind w:right="60" w:firstLine="751"/>
        <w:spacing w:after="0" w:line="189" w:lineRule="exact"/>
        <w:rPr>
          <w:sz w:val="20"/>
          <w:szCs w:val="20"/>
          <w:color w:val="auto"/>
        </w:rPr>
      </w:pPr>
      <w:r>
        <w:rPr>
          <w:rFonts w:ascii="Times New Roman" w:cs="Times New Roman" w:eastAsia="Times New Roman" w:hAnsi="Times New Roman"/>
          <w:sz w:val="14"/>
          <w:szCs w:val="14"/>
          <w:color w:val="auto"/>
        </w:rPr>
        <w:t>In the European Union, new products authorized for marketing, referred to as reference products, qualify for eight years of data exclusivity and an additional two years of market exclusivity upon marketing authorization. The data exclusivity period prevents generic applicants from relying on the preclinical and clinical trial data contained in the dossier of the reference product when applying for a generic marketing authorization in the European Union during a period of eight years from the date on which the reference product was first authorized in the European Union. The market exclusivity period prevents a successful generic applicant from commercializing its product in the European Union until 10 years have elapsed from the initial authorization of the reference product in the European Union. The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191" w:lineRule="exact"/>
        <w:rPr>
          <w:sz w:val="20"/>
          <w:szCs w:val="20"/>
          <w:color w:val="auto"/>
        </w:rPr>
      </w:pPr>
    </w:p>
    <w:p>
      <w:pPr>
        <w:ind w:firstLine="751"/>
        <w:spacing w:after="0" w:line="309" w:lineRule="auto"/>
        <w:rPr>
          <w:sz w:val="20"/>
          <w:szCs w:val="20"/>
          <w:color w:val="auto"/>
        </w:rPr>
      </w:pPr>
      <w:r>
        <w:rPr>
          <w:rFonts w:ascii="Times New Roman" w:cs="Times New Roman" w:eastAsia="Times New Roman" w:hAnsi="Times New Roman"/>
          <w:sz w:val="14"/>
          <w:szCs w:val="14"/>
          <w:color w:val="auto"/>
        </w:rPr>
        <w:t>Conducting research and development is central to our business model. We have invested and expect to continue to invest significant time and capital in our research and development operations. Our research and development expenses were $97.9 million, and $57.9 million for the years ended December 31, 2023 and 2022, respectively. We plan to increase our research and development expenses for the foreseeable future as we seek to complete the development of AXS-05, AXS-07, AXS-12, AXS-14 and solriamfetol.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Employees and Human Capital Management</w:t>
      </w:r>
    </w:p>
    <w:p>
      <w:pPr>
        <w:spacing w:after="0" w:line="158" w:lineRule="exact"/>
        <w:rPr>
          <w:sz w:val="20"/>
          <w:szCs w:val="20"/>
          <w:color w:val="auto"/>
        </w:rPr>
      </w:pPr>
    </w:p>
    <w:p>
      <w:pPr>
        <w:ind w:firstLine="751"/>
        <w:spacing w:after="0" w:line="194" w:lineRule="exact"/>
        <w:rPr>
          <w:sz w:val="20"/>
          <w:szCs w:val="20"/>
          <w:color w:val="auto"/>
        </w:rPr>
      </w:pPr>
      <w:r>
        <w:rPr>
          <w:rFonts w:ascii="Times New Roman" w:cs="Times New Roman" w:eastAsia="Times New Roman" w:hAnsi="Times New Roman"/>
          <w:sz w:val="16"/>
          <w:szCs w:val="16"/>
          <w:color w:val="auto"/>
        </w:rPr>
        <w:t>As of February 13, 2024, we had 545 full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time employees. None of our employees are represented by a collective bargaining agreement and we have never experienced any work stoppage. We believe that we maintain good relations with our employees. Our employees are highly skilled, and many hold advanced degrees. Most of our employees have experience with drug development.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Information</w:t>
      </w:r>
    </w:p>
    <w:p>
      <w:pPr>
        <w:spacing w:after="0" w:line="191" w:lineRule="exact"/>
        <w:rPr>
          <w:sz w:val="20"/>
          <w:szCs w:val="20"/>
          <w:color w:val="auto"/>
        </w:rPr>
      </w:pPr>
    </w:p>
    <w:p>
      <w:pPr>
        <w:ind w:right="320" w:firstLine="751"/>
        <w:spacing w:after="0" w:line="267" w:lineRule="auto"/>
        <w:rPr>
          <w:sz w:val="20"/>
          <w:szCs w:val="20"/>
          <w:color w:val="auto"/>
        </w:rPr>
      </w:pPr>
      <w:r>
        <w:rPr>
          <w:rFonts w:ascii="Times New Roman" w:cs="Times New Roman" w:eastAsia="Times New Roman" w:hAnsi="Times New Roman"/>
          <w:sz w:val="16"/>
          <w:szCs w:val="16"/>
          <w:color w:val="auto"/>
        </w:rPr>
        <w:t>We were incorporated in Delaware in January 2012. Our offices are located at One World Trade Center 22nd Floor, New York, New York 10007, and our telephone number is (212) 332-3241.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191" w:lineRule="exact"/>
        <w:rPr>
          <w:sz w:val="20"/>
          <w:szCs w:val="20"/>
          <w:color w:val="auto"/>
        </w:rPr>
      </w:pPr>
    </w:p>
    <w:p>
      <w:pPr>
        <w:ind w:right="100" w:firstLine="751"/>
        <w:spacing w:after="0" w:line="290" w:lineRule="auto"/>
        <w:rPr>
          <w:sz w:val="20"/>
          <w:szCs w:val="20"/>
          <w:color w:val="auto"/>
        </w:rPr>
      </w:pPr>
      <w:r>
        <w:rPr>
          <w:rFonts w:ascii="Times New Roman" w:cs="Times New Roman" w:eastAsia="Times New Roman" w:hAnsi="Times New Roman"/>
          <w:sz w:val="14"/>
          <w:szCs w:val="14"/>
          <w:color w:val="auto"/>
        </w:rPr>
        <w:t>We file reports and other information with the SEC, as required by the Exchange Act. We make available free of charge through our website (http://www.axsome.com) our annual reports on Form 10-K, quarterly reports on Form 10-Q, current reports on Form 8-K and amendments to those reports filed or furnished pursuant to Sections 13(a) and 15(d) of the Exchange Act. We make these reports available through our website as soon as reasonably practicable after we electronically file such reports with, or furnish such reports to, the SEC. In addition, we regularly use our website to post information regarding our business, product development programs and governance, and we encourage investors to use our website, particularly the information in the section entitled “Investors,” as a source of information about us. The foregoing references to our website are not intended to, nor shall they be deemed to, incorporate information on our website into this Annual Report on Form 10-K by reference.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89" w:lineRule="exact"/>
        <w:rPr>
          <w:sz w:val="20"/>
          <w:szCs w:val="20"/>
          <w:color w:val="auto"/>
        </w:rPr>
      </w:pPr>
    </w:p>
    <w:p>
      <w:pPr>
        <w:ind w:right="180" w:firstLine="751"/>
        <w:spacing w:after="0" w:line="252" w:lineRule="auto"/>
        <w:rPr>
          <w:sz w:val="20"/>
          <w:szCs w:val="20"/>
          <w:color w:val="auto"/>
        </w:rPr>
      </w:pPr>
      <w:r>
        <w:rPr>
          <w:rFonts w:ascii="Times New Roman" w:cs="Times New Roman" w:eastAsia="Times New Roman" w:hAnsi="Times New Roman"/>
          <w:sz w:val="16"/>
          <w:szCs w:val="16"/>
          <w:i w:val="1"/>
          <w:iCs w:val="1"/>
          <w:color w:val="auto"/>
        </w:rPr>
        <w:t>The Company is subject to a number of risks that if realized could materially adversely affect its business, results of operations, cash flow, financial condition or prospects. The following is a summary of the principal risk factors facing the Company. The list below is not exhaustive, and the Company faces additional challenges and risks. Investors should carefully consider all of the information set forth in this Annual Report on Form 10-K, including the following risk factors, before deciding to invest in any of the Company’s securities.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Factors Summary</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Our business is subject to a number of risks and uncertainties, including those risks discussed at length below. These risks include, among others, the following:</w:t>
      </w:r>
    </w:p>
    <w:p>
      <w:pPr>
        <w:spacing w:after="0" w:line="187" w:lineRule="exact"/>
        <w:rPr>
          <w:sz w:val="20"/>
          <w:szCs w:val="20"/>
          <w:color w:val="auto"/>
        </w:rPr>
      </w:pPr>
    </w:p>
    <w:p>
      <w:pPr>
        <w:ind w:left="740" w:hanging="371"/>
        <w:spacing w:after="0"/>
        <w:tabs>
          <w:tab w:leader="none" w:pos="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i w:val="1"/>
          <w:iCs w:val="1"/>
          <w:color w:val="auto"/>
        </w:rPr>
        <w:t>We have incurred significant losses since our inception, anticipate that we will continue to have losses, and may never achieve or maintain profitability.</w:t>
      </w:r>
    </w:p>
    <w:p>
      <w:pPr>
        <w:spacing w:after="0" w:line="189" w:lineRule="exact"/>
        <w:rPr>
          <w:rFonts w:ascii="Times New Roman" w:cs="Times New Roman" w:eastAsia="Times New Roman" w:hAnsi="Times New Roman"/>
          <w:sz w:val="14"/>
          <w:szCs w:val="14"/>
          <w:color w:val="auto"/>
        </w:rPr>
      </w:pPr>
    </w:p>
    <w:p>
      <w:pPr>
        <w:ind w:left="740" w:right="420" w:hanging="371"/>
        <w:spacing w:after="0" w:line="343" w:lineRule="auto"/>
        <w:tabs>
          <w:tab w:leader="none" w:pos="7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99" w:lineRule="exact"/>
        <w:rPr>
          <w:rFonts w:ascii="Times New Roman" w:cs="Times New Roman" w:eastAsia="Times New Roman" w:hAnsi="Times New Roman"/>
          <w:sz w:val="13"/>
          <w:szCs w:val="13"/>
          <w:color w:val="auto"/>
        </w:rPr>
      </w:pPr>
    </w:p>
    <w:p>
      <w:pPr>
        <w:ind w:left="740" w:right="40" w:hanging="371"/>
        <w:spacing w:after="0" w:line="270" w:lineRule="auto"/>
        <w:tabs>
          <w:tab w:leader="none" w:pos="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46"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i w:val="1"/>
          <w:iCs w:val="1"/>
          <w:color w:val="auto"/>
        </w:rPr>
        <w:t>We have a limited operating history and history of commercializing products, which may make it difficult to evaluate our business and prospects.</w:t>
      </w:r>
    </w:p>
    <w:p>
      <w:pPr>
        <w:spacing w:after="0" w:line="189" w:lineRule="exact"/>
        <w:rPr>
          <w:rFonts w:ascii="Times New Roman" w:cs="Times New Roman" w:eastAsia="Times New Roman" w:hAnsi="Times New Roman"/>
          <w:sz w:val="14"/>
          <w:szCs w:val="14"/>
          <w:color w:val="auto"/>
        </w:rPr>
      </w:pPr>
    </w:p>
    <w:p>
      <w:pPr>
        <w:ind w:left="740" w:right="160" w:hanging="371"/>
        <w:spacing w:after="0" w:line="270" w:lineRule="auto"/>
        <w:tabs>
          <w:tab w:leader="none" w:pos="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46" w:lineRule="exact"/>
        <w:rPr>
          <w:rFonts w:ascii="Times New Roman" w:cs="Times New Roman" w:eastAsia="Times New Roman" w:hAnsi="Times New Roman"/>
          <w:sz w:val="14"/>
          <w:szCs w:val="14"/>
          <w:color w:val="auto"/>
        </w:rPr>
      </w:pPr>
    </w:p>
    <w:p>
      <w:pPr>
        <w:ind w:left="740" w:hanging="371"/>
        <w:spacing w:after="0" w:line="257" w:lineRule="auto"/>
        <w:tabs>
          <w:tab w:leader="none" w:pos="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55" w:lineRule="exact"/>
        <w:rPr>
          <w:rFonts w:ascii="Times New Roman" w:cs="Times New Roman" w:eastAsia="Times New Roman" w:hAnsi="Times New Roman"/>
          <w:sz w:val="14"/>
          <w:szCs w:val="14"/>
          <w:color w:val="auto"/>
        </w:rPr>
      </w:pPr>
    </w:p>
    <w:p>
      <w:pPr>
        <w:ind w:left="740" w:right="120" w:hanging="371"/>
        <w:spacing w:after="0" w:line="257" w:lineRule="auto"/>
        <w:tabs>
          <w:tab w:leader="none" w:pos="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55" w:lineRule="exact"/>
        <w:rPr>
          <w:rFonts w:ascii="Times New Roman" w:cs="Times New Roman" w:eastAsia="Times New Roman" w:hAnsi="Times New Roman"/>
          <w:sz w:val="14"/>
          <w:szCs w:val="14"/>
          <w:color w:val="auto"/>
        </w:rPr>
      </w:pPr>
    </w:p>
    <w:p>
      <w:pPr>
        <w:ind w:left="740" w:right="640" w:hanging="371"/>
        <w:spacing w:after="0" w:line="270" w:lineRule="auto"/>
        <w:tabs>
          <w:tab w:leader="none" w:pos="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46" w:lineRule="exact"/>
        <w:rPr>
          <w:rFonts w:ascii="Times New Roman" w:cs="Times New Roman" w:eastAsia="Times New Roman" w:hAnsi="Times New Roman"/>
          <w:sz w:val="14"/>
          <w:szCs w:val="14"/>
          <w:color w:val="auto"/>
        </w:rPr>
      </w:pPr>
    </w:p>
    <w:p>
      <w:pPr>
        <w:ind w:left="740" w:right="340" w:hanging="371"/>
        <w:spacing w:after="0" w:line="270" w:lineRule="auto"/>
        <w:tabs>
          <w:tab w:leader="none" w:pos="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i w:val="1"/>
          <w:iCs w:val="1"/>
          <w:color w:val="auto"/>
        </w:rPr>
        <w:t>If we are unable to establish effective marketing, sales and distribution capabilities or enter into agreements with third parties to market, sell and distribute our products, we may be unable to generate substantial product revenues.</w:t>
      </w:r>
    </w:p>
    <w:p>
      <w:pPr>
        <w:spacing w:after="0" w:line="146"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i w:val="1"/>
          <w:iCs w:val="1"/>
          <w:color w:val="auto"/>
        </w:rPr>
        <w:t>If any of our products do not achieve broad market acceptance, the revenues that we generate from their sales will be limited.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740" w:right="60" w:hanging="371"/>
        <w:spacing w:after="0" w:line="270" w:lineRule="auto"/>
        <w:tabs>
          <w:tab w:leader="none" w:pos="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i w:val="1"/>
          <w:iCs w:val="1"/>
          <w:color w:val="auto"/>
        </w:rPr>
        <w:t>We rely, and expect to continue to rely, on third parties to conduct, supervise, and monitor our preclinical studies and clinical trials, and those third parties may not perform satisfactorily, including by failing to meet deadlines for the completion of such trials or failing to comply with regulatory requirements.</w:t>
      </w:r>
    </w:p>
    <w:p>
      <w:pPr>
        <w:spacing w:after="0" w:line="146" w:lineRule="exact"/>
        <w:rPr>
          <w:rFonts w:ascii="Times New Roman" w:cs="Times New Roman" w:eastAsia="Times New Roman" w:hAnsi="Times New Roman"/>
          <w:sz w:val="14"/>
          <w:szCs w:val="14"/>
          <w:color w:val="auto"/>
        </w:rPr>
      </w:pPr>
    </w:p>
    <w:p>
      <w:pPr>
        <w:ind w:left="740" w:right="40" w:hanging="371"/>
        <w:spacing w:after="0" w:line="257" w:lineRule="auto"/>
        <w:tabs>
          <w:tab w:leader="none" w:pos="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55" w:lineRule="exact"/>
        <w:rPr>
          <w:rFonts w:ascii="Times New Roman" w:cs="Times New Roman" w:eastAsia="Times New Roman" w:hAnsi="Times New Roman"/>
          <w:sz w:val="14"/>
          <w:szCs w:val="14"/>
          <w:color w:val="auto"/>
        </w:rPr>
      </w:pPr>
    </w:p>
    <w:p>
      <w:pPr>
        <w:ind w:left="740" w:right="160" w:hanging="371"/>
        <w:spacing w:after="0" w:line="252" w:lineRule="auto"/>
        <w:tabs>
          <w:tab w:leader="none" w:pos="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i w:val="1"/>
          <w:iCs w:val="1"/>
          <w:color w:val="auto"/>
        </w:rPr>
        <w:t>As an NDA applicant and commercial “virtual manufacturer,” we may rely in many cases on third parties to perform many essential services for our products, including services related to warehousing and inventory control, distribution, government price reporting, customer service, and adverse event reporting. If these third parties fail to perform as expected or to comply with legal and regulatory requirements, our ability to commercialize any of our products will be significantly impacted and we may be subject to regulatory sanctions.</w:t>
      </w:r>
    </w:p>
    <w:p>
      <w:pPr>
        <w:spacing w:after="0" w:line="160" w:lineRule="exact"/>
        <w:rPr>
          <w:rFonts w:ascii="Times New Roman" w:cs="Times New Roman" w:eastAsia="Times New Roman" w:hAnsi="Times New Roman"/>
          <w:sz w:val="14"/>
          <w:szCs w:val="14"/>
          <w:color w:val="auto"/>
        </w:rPr>
      </w:pPr>
    </w:p>
    <w:p>
      <w:pPr>
        <w:ind w:left="740" w:right="140" w:hanging="371"/>
        <w:spacing w:after="0" w:line="270" w:lineRule="auto"/>
        <w:tabs>
          <w:tab w:leader="none" w:pos="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46" w:lineRule="exact"/>
        <w:rPr>
          <w:rFonts w:ascii="Times New Roman" w:cs="Times New Roman" w:eastAsia="Times New Roman" w:hAnsi="Times New Roman"/>
          <w:sz w:val="14"/>
          <w:szCs w:val="14"/>
          <w:color w:val="auto"/>
        </w:rPr>
      </w:pPr>
    </w:p>
    <w:p>
      <w:pPr>
        <w:ind w:left="740" w:right="160" w:hanging="371"/>
        <w:spacing w:after="0" w:line="270" w:lineRule="auto"/>
        <w:tabs>
          <w:tab w:leader="none" w:pos="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46" w:lineRule="exact"/>
        <w:rPr>
          <w:rFonts w:ascii="Times New Roman" w:cs="Times New Roman" w:eastAsia="Times New Roman" w:hAnsi="Times New Roman"/>
          <w:sz w:val="14"/>
          <w:szCs w:val="14"/>
          <w:color w:val="auto"/>
        </w:rPr>
      </w:pPr>
    </w:p>
    <w:p>
      <w:pPr>
        <w:jc w:val="both"/>
        <w:ind w:left="740" w:right="20" w:hanging="371"/>
        <w:spacing w:after="0" w:line="343" w:lineRule="auto"/>
        <w:tabs>
          <w:tab w:leader="none" w:pos="7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b w:val="1"/>
          <w:bCs w:val="1"/>
          <w:i w:val="1"/>
          <w:iCs w:val="1"/>
          <w:color w:val="auto"/>
        </w:rPr>
        <w:t>If we fail to comply with federal, state, and foreign healthcare laws, including fraud and abuse and transparency and health and other data protection, information privacy and security laws, we could face substantial penalties and our business, financial condition, results of operations, and prospects could be adversely affected.</w:t>
      </w:r>
    </w:p>
    <w:p>
      <w:pPr>
        <w:spacing w:after="0" w:line="99" w:lineRule="exact"/>
        <w:rPr>
          <w:rFonts w:ascii="Times New Roman" w:cs="Times New Roman" w:eastAsia="Times New Roman" w:hAnsi="Times New Roman"/>
          <w:sz w:val="13"/>
          <w:szCs w:val="13"/>
          <w:color w:val="auto"/>
        </w:rPr>
      </w:pPr>
    </w:p>
    <w:p>
      <w:pPr>
        <w:ind w:left="740" w:hanging="371"/>
        <w:spacing w:after="0" w:line="270" w:lineRule="auto"/>
        <w:tabs>
          <w:tab w:leader="none" w:pos="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i w:val="1"/>
          <w:iCs w:val="1"/>
          <w:color w:val="auto"/>
        </w:rPr>
        <w:t>If the government or third-party payors fail to provide adequate coverage and payment rates for any of our products, or if health maintenance organization (HMOs) or long-term care facilities choose to use therapies that are less expensive, our revenue and prospects for profitability will be limited.</w:t>
      </w:r>
    </w:p>
    <w:p>
      <w:pPr>
        <w:spacing w:after="0" w:line="146" w:lineRule="exact"/>
        <w:rPr>
          <w:rFonts w:ascii="Times New Roman" w:cs="Times New Roman" w:eastAsia="Times New Roman" w:hAnsi="Times New Roman"/>
          <w:sz w:val="14"/>
          <w:szCs w:val="14"/>
          <w:color w:val="auto"/>
        </w:rPr>
      </w:pPr>
    </w:p>
    <w:p>
      <w:pPr>
        <w:ind w:left="740" w:right="500" w:hanging="371"/>
        <w:spacing w:after="0" w:line="270" w:lineRule="auto"/>
        <w:tabs>
          <w:tab w:leader="none" w:pos="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46" w:lineRule="exact"/>
        <w:rPr>
          <w:rFonts w:ascii="Times New Roman" w:cs="Times New Roman" w:eastAsia="Times New Roman" w:hAnsi="Times New Roman"/>
          <w:sz w:val="14"/>
          <w:szCs w:val="14"/>
          <w:color w:val="auto"/>
        </w:rPr>
      </w:pPr>
    </w:p>
    <w:p>
      <w:pPr>
        <w:ind w:left="740" w:right="280" w:hanging="371"/>
        <w:spacing w:after="0" w:line="270" w:lineRule="auto"/>
        <w:tabs>
          <w:tab w:leader="none" w:pos="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46" w:lineRule="exact"/>
        <w:rPr>
          <w:rFonts w:ascii="Times New Roman" w:cs="Times New Roman" w:eastAsia="Times New Roman" w:hAnsi="Times New Roman"/>
          <w:sz w:val="14"/>
          <w:szCs w:val="14"/>
          <w:color w:val="auto"/>
        </w:rPr>
      </w:pPr>
    </w:p>
    <w:p>
      <w:pPr>
        <w:ind w:left="740" w:right="640" w:hanging="371"/>
        <w:spacing w:after="0" w:line="270" w:lineRule="auto"/>
        <w:tabs>
          <w:tab w:leader="none" w:pos="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i w:val="1"/>
          <w:iCs w:val="1"/>
          <w:color w:val="auto"/>
        </w:rPr>
        <w:t>Our principal stockholders and management own a significant percentage of our stock and may be able to exert significant control over matters subject to stockholder approval.</w:t>
      </w:r>
    </w:p>
    <w:p>
      <w:pPr>
        <w:spacing w:after="0" w:line="146"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i w:val="1"/>
          <w:iCs w:val="1"/>
          <w:color w:val="auto"/>
        </w:rPr>
        <w:t>The use of our net operating loss carryforwards and research tax credits may be limited.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FINANCIAL CONDITION AND CAPITAL REQUIREMENTS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incurred significant losses since our inception, anticipate that we will continue to have losses, and may never achieve or maintain profitability.</w:t>
      </w:r>
    </w:p>
    <w:p>
      <w:pPr>
        <w:spacing w:after="0" w:line="191" w:lineRule="exact"/>
        <w:rPr>
          <w:sz w:val="20"/>
          <w:szCs w:val="20"/>
          <w:color w:val="auto"/>
        </w:rPr>
      </w:pPr>
    </w:p>
    <w:p>
      <w:pPr>
        <w:ind w:firstLine="751"/>
        <w:spacing w:after="0" w:line="309" w:lineRule="auto"/>
        <w:rPr>
          <w:sz w:val="20"/>
          <w:szCs w:val="20"/>
          <w:color w:val="auto"/>
        </w:rPr>
      </w:pPr>
      <w:r>
        <w:rPr>
          <w:rFonts w:ascii="Times New Roman" w:cs="Times New Roman" w:eastAsia="Times New Roman" w:hAnsi="Times New Roman"/>
          <w:sz w:val="14"/>
          <w:szCs w:val="14"/>
          <w:color w:val="auto"/>
        </w:rPr>
        <w:t>We are a biopharmaceutical company with a limited operating history. Since inception, we have incurred significant operating losses. Our net loss was $239.2 million for the year ended December 31, 2023. As of December 31, 2023, we had an accumulated deficit of $835.6 million. In 2022, we commenced the commercial sale of Auvelity in the United States and Sunosi in the United States and select global markets. Apart from Sunosi and Auvelity, we have no other products which have received regulatory approval.</w:t>
      </w:r>
    </w:p>
    <w:p>
      <w:pPr>
        <w:spacing w:after="0" w:line="125" w:lineRule="exact"/>
        <w:rPr>
          <w:sz w:val="20"/>
          <w:szCs w:val="20"/>
          <w:color w:val="auto"/>
        </w:rPr>
      </w:pPr>
    </w:p>
    <w:p>
      <w:pPr>
        <w:ind w:firstLine="751"/>
        <w:spacing w:after="0" w:line="255" w:lineRule="auto"/>
        <w:rPr>
          <w:sz w:val="20"/>
          <w:szCs w:val="20"/>
          <w:color w:val="auto"/>
        </w:rPr>
      </w:pPr>
      <w:r>
        <w:rPr>
          <w:rFonts w:ascii="Times New Roman" w:cs="Times New Roman" w:eastAsia="Times New Roman" w:hAnsi="Times New Roman"/>
          <w:sz w:val="16"/>
          <w:szCs w:val="16"/>
          <w:color w:val="auto"/>
        </w:rPr>
        <w:t>We expect to continue to incur substantial expenses and operating losses, as we continue to develop our current and future product candidates. In addition, we expect to incur significant sales, marketing, and manufacturing expenses related to the commercialization of Sunosi, Auvelity, and any other product candidate which may be approved or which we may in-license. We anticipate that our expenses will increase substantially as we:</w:t>
      </w:r>
    </w:p>
    <w:p>
      <w:pPr>
        <w:spacing w:after="0" w:line="160" w:lineRule="exact"/>
        <w:rPr>
          <w:sz w:val="20"/>
          <w:szCs w:val="20"/>
          <w:color w:val="auto"/>
        </w:rPr>
      </w:pPr>
    </w:p>
    <w:p>
      <w:pPr>
        <w:ind w:left="740" w:hanging="371"/>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seek regulatory approval for additional product candidates;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hire additional commercial, clinical, medical, quality, regulatory, and scientific personnel;</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add operational, financial, and management information systems and personnel;</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expand our sales, marketing, and distribution infrastructure;</w:t>
      </w:r>
    </w:p>
    <w:p>
      <w:pPr>
        <w:spacing w:after="0" w:line="189" w:lineRule="exact"/>
        <w:rPr>
          <w:rFonts w:ascii="Times New Roman" w:cs="Times New Roman" w:eastAsia="Times New Roman" w:hAnsi="Times New Roman"/>
          <w:sz w:val="14"/>
          <w:szCs w:val="14"/>
          <w:color w:val="auto"/>
        </w:rPr>
      </w:pPr>
    </w:p>
    <w:p>
      <w:pPr>
        <w:ind w:left="740" w:right="80" w:hanging="371"/>
        <w:spacing w:after="0" w:line="267" w:lineRule="auto"/>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expand external manufacturing capabilities and production to commercialize any additional products for which we may obtain regulatory approval and that we choose not to license to a third party;</w:t>
      </w:r>
    </w:p>
    <w:p>
      <w:pPr>
        <w:spacing w:after="0" w:line="150"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undertake additional manufacturing activities of our product candidates to satisfy FDA requirements for marketing application submissions;</w:t>
      </w:r>
    </w:p>
    <w:p>
      <w:pPr>
        <w:spacing w:after="0" w:line="155" w:lineRule="exact"/>
        <w:rPr>
          <w:rFonts w:ascii="Times New Roman" w:cs="Times New Roman" w:eastAsia="Times New Roman" w:hAnsi="Times New Roman"/>
          <w:sz w:val="14"/>
          <w:szCs w:val="14"/>
          <w:color w:val="auto"/>
        </w:rPr>
      </w:pPr>
    </w:p>
    <w:p>
      <w:pPr>
        <w:ind w:left="740" w:hanging="371"/>
        <w:spacing w:after="0" w:line="184" w:lineRule="exact"/>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conduct our clinical trials with AXS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05 in AD agitation;</w:t>
      </w:r>
    </w:p>
    <w:p>
      <w:pPr>
        <w:spacing w:after="0" w:line="223"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conduct our clinical trials with AXS-12 in narcolepsy;</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continue to evaluate, plan for, and conduct clinical trials for AXS-05 as an aid to smoking cessation treatment and other CNS disorders;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continue to evaluate, plan for, and conduct clinical trials for solriamfetol in additional indications;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continue to evaluate, plan for, and potentially submit an NDA for AXS-14 in fibromyalgia;</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continue to expand commercial sales of Sunosi and Auvelity;</w:t>
      </w:r>
    </w:p>
    <w:p>
      <w:pPr>
        <w:spacing w:after="0" w:line="155" w:lineRule="exact"/>
        <w:rPr>
          <w:rFonts w:ascii="Times New Roman" w:cs="Times New Roman" w:eastAsia="Times New Roman" w:hAnsi="Times New Roman"/>
          <w:sz w:val="14"/>
          <w:szCs w:val="14"/>
          <w:color w:val="auto"/>
        </w:rPr>
      </w:pPr>
    </w:p>
    <w:p>
      <w:pPr>
        <w:ind w:left="740" w:hanging="371"/>
        <w:spacing w:after="0" w:line="184" w:lineRule="exact"/>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develop, 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license, or acquire additional product candidates;</w:t>
      </w:r>
    </w:p>
    <w:p>
      <w:pPr>
        <w:spacing w:after="0" w:line="189" w:lineRule="exact"/>
        <w:rPr>
          <w:rFonts w:ascii="Times New Roman" w:cs="Times New Roman" w:eastAsia="Times New Roman" w:hAnsi="Times New Roman"/>
          <w:sz w:val="14"/>
          <w:szCs w:val="14"/>
          <w:color w:val="auto"/>
        </w:rPr>
      </w:pPr>
    </w:p>
    <w:p>
      <w:pPr>
        <w:ind w:left="740" w:hanging="371"/>
        <w:spacing w:after="0" w:line="184" w:lineRule="exact"/>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conduct late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stage clinical trials for any product candidates that successfully complete early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stage clinical trials;</w:t>
      </w:r>
    </w:p>
    <w:p>
      <w:pPr>
        <w:spacing w:after="0" w:line="189" w:lineRule="exact"/>
        <w:rPr>
          <w:rFonts w:ascii="Times New Roman" w:cs="Times New Roman" w:eastAsia="Times New Roman" w:hAnsi="Times New Roman"/>
          <w:sz w:val="14"/>
          <w:szCs w:val="14"/>
          <w:color w:val="auto"/>
        </w:rPr>
      </w:pPr>
    </w:p>
    <w:p>
      <w:pPr>
        <w:ind w:left="740" w:hanging="371"/>
        <w:spacing w:after="0" w:line="184" w:lineRule="exact"/>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conduct additional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clinical studies with any product candidates; and</w:t>
      </w:r>
    </w:p>
    <w:p>
      <w:pPr>
        <w:spacing w:after="0" w:line="223"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maintain, expand, and protect our intellectual property portfolio.</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80"/>
          </w:cols>
          <w:pgMar w:left="320" w:top="680"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60" w:firstLine="751"/>
        <w:spacing w:after="0" w:line="290" w:lineRule="auto"/>
        <w:rPr>
          <w:sz w:val="20"/>
          <w:szCs w:val="20"/>
          <w:color w:val="auto"/>
        </w:rPr>
      </w:pPr>
      <w:r>
        <w:rPr>
          <w:rFonts w:ascii="Times New Roman" w:cs="Times New Roman" w:eastAsia="Times New Roman" w:hAnsi="Times New Roman"/>
          <w:sz w:val="14"/>
          <w:szCs w:val="14"/>
          <w:color w:val="auto"/>
        </w:rPr>
        <w:t>To become and remain profitable, we must succeed in developing (or in-licensing) and commercializing products that generate significant revenue. This will require us to be successful in a range of challenging activities, which may include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with respect to certain products and product candidates. We may never succeed in some of these activities and, even if we do, may never achieve profitability.</w:t>
      </w:r>
    </w:p>
    <w:p>
      <w:pPr>
        <w:spacing w:after="0" w:line="140" w:lineRule="exact"/>
        <w:rPr>
          <w:sz w:val="20"/>
          <w:szCs w:val="20"/>
          <w:color w:val="auto"/>
        </w:rPr>
      </w:pPr>
    </w:p>
    <w:p>
      <w:pPr>
        <w:ind w:right="200" w:firstLine="751"/>
        <w:spacing w:after="0" w:line="251" w:lineRule="auto"/>
        <w:rPr>
          <w:sz w:val="20"/>
          <w:szCs w:val="20"/>
          <w:color w:val="auto"/>
        </w:rPr>
      </w:pPr>
      <w:r>
        <w:rPr>
          <w:rFonts w:ascii="Times New Roman" w:cs="Times New Roman" w:eastAsia="Times New Roman" w:hAnsi="Times New Roman"/>
          <w:sz w:val="16"/>
          <w:szCs w:val="16"/>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64" w:lineRule="exact"/>
        <w:rPr>
          <w:sz w:val="20"/>
          <w:szCs w:val="20"/>
          <w:color w:val="auto"/>
        </w:rPr>
      </w:pPr>
    </w:p>
    <w:p>
      <w:pPr>
        <w:jc w:val="both"/>
        <w:ind w:right="200" w:firstLine="751"/>
        <w:spacing w:after="0" w:line="251" w:lineRule="auto"/>
        <w:rPr>
          <w:sz w:val="20"/>
          <w:szCs w:val="20"/>
          <w:color w:val="auto"/>
        </w:rPr>
      </w:pPr>
      <w:r>
        <w:rPr>
          <w:rFonts w:ascii="Times New Roman" w:cs="Times New Roman" w:eastAsia="Times New Roman" w:hAnsi="Times New Roman"/>
          <w:sz w:val="16"/>
          <w:szCs w:val="16"/>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continue the commercialization of our products or even continue our operations. A decline in the value of our company could also cause you to lose all or part of your investment.</w:t>
      </w:r>
    </w:p>
    <w:p>
      <w:pPr>
        <w:spacing w:after="0" w:line="16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48" w:lineRule="exact"/>
        <w:rPr>
          <w:sz w:val="20"/>
          <w:szCs w:val="20"/>
          <w:color w:val="auto"/>
        </w:rPr>
      </w:pPr>
    </w:p>
    <w:p>
      <w:pPr>
        <w:ind w:firstLine="751"/>
        <w:spacing w:after="0" w:line="207" w:lineRule="exact"/>
        <w:rPr>
          <w:sz w:val="20"/>
          <w:szCs w:val="20"/>
          <w:color w:val="auto"/>
        </w:rPr>
      </w:pPr>
      <w:r>
        <w:rPr>
          <w:rFonts w:ascii="Times New Roman" w:cs="Times New Roman" w:eastAsia="Times New Roman" w:hAnsi="Times New Roman"/>
          <w:sz w:val="16"/>
          <w:szCs w:val="16"/>
          <w:color w:val="auto"/>
        </w:rPr>
        <w:t>Conducting clinical trials, pursuing regulatory approvals, establishing outsourced manufacturing relationships, and successfully manufacturing and commercializing our product candidates is a time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consuming, expensive, and uncertain process that takes years to complete. We may need to raise additional capital to:</w:t>
      </w:r>
    </w:p>
    <w:p>
      <w:pPr>
        <w:spacing w:after="0" w:line="148" w:lineRule="exact"/>
        <w:rPr>
          <w:sz w:val="20"/>
          <w:szCs w:val="20"/>
          <w:color w:val="auto"/>
        </w:rPr>
      </w:pPr>
    </w:p>
    <w:p>
      <w:pPr>
        <w:ind w:left="740" w:hanging="371"/>
        <w:spacing w:after="0"/>
        <w:tabs>
          <w:tab w:leader="none" w:pos="7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fund our future clinical trials for our current product candidates, especially if we encounter any unforeseen delays or difficulties in our planned development activities;</w:t>
      </w:r>
    </w:p>
    <w:p>
      <w:pPr>
        <w:spacing w:after="0" w:line="212" w:lineRule="exact"/>
        <w:rPr>
          <w:rFonts w:ascii="Times New Roman" w:cs="Times New Roman" w:eastAsia="Times New Roman" w:hAnsi="Times New Roman"/>
          <w:sz w:val="13"/>
          <w:szCs w:val="13"/>
          <w:color w:val="auto"/>
        </w:rPr>
      </w:pPr>
    </w:p>
    <w:p>
      <w:pPr>
        <w:ind w:left="740" w:hanging="371"/>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fund our operations and continue to commercialize our products;</w:t>
      </w:r>
    </w:p>
    <w:p>
      <w:pPr>
        <w:spacing w:after="0" w:line="155" w:lineRule="exact"/>
        <w:rPr>
          <w:rFonts w:ascii="Times New Roman" w:cs="Times New Roman" w:eastAsia="Times New Roman" w:hAnsi="Times New Roman"/>
          <w:sz w:val="14"/>
          <w:szCs w:val="14"/>
          <w:color w:val="auto"/>
        </w:rPr>
      </w:pPr>
    </w:p>
    <w:p>
      <w:pPr>
        <w:ind w:left="740" w:hanging="371"/>
        <w:spacing w:after="0" w:line="184" w:lineRule="exact"/>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qualify and outsource the commercial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scale manufacturing of our products under current good manufacturing practices, or cGMP;</w:t>
      </w:r>
    </w:p>
    <w:p>
      <w:pPr>
        <w:spacing w:after="0" w:line="223"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develop additional product candidates; and</w:t>
      </w:r>
    </w:p>
    <w:p>
      <w:pPr>
        <w:spacing w:after="0" w:line="155" w:lineRule="exact"/>
        <w:rPr>
          <w:rFonts w:ascii="Times New Roman" w:cs="Times New Roman" w:eastAsia="Times New Roman" w:hAnsi="Times New Roman"/>
          <w:sz w:val="14"/>
          <w:szCs w:val="14"/>
          <w:color w:val="auto"/>
        </w:rPr>
      </w:pPr>
    </w:p>
    <w:p>
      <w:pPr>
        <w:ind w:left="740" w:hanging="371"/>
        <w:spacing w:after="0" w:line="184" w:lineRule="exact"/>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license other product candidates.</w:t>
      </w:r>
    </w:p>
    <w:p>
      <w:pPr>
        <w:spacing w:after="0" w:line="223" w:lineRule="exact"/>
        <w:rPr>
          <w:sz w:val="20"/>
          <w:szCs w:val="20"/>
          <w:color w:val="auto"/>
        </w:rPr>
      </w:pPr>
    </w:p>
    <w:p>
      <w:pPr>
        <w:jc w:val="both"/>
        <w:ind w:firstLine="751"/>
        <w:spacing w:after="0" w:line="255" w:lineRule="auto"/>
        <w:rPr>
          <w:sz w:val="20"/>
          <w:szCs w:val="20"/>
          <w:color w:val="auto"/>
        </w:rPr>
      </w:pPr>
      <w:r>
        <w:rPr>
          <w:rFonts w:ascii="Times New Roman" w:cs="Times New Roman" w:eastAsia="Times New Roman" w:hAnsi="Times New Roman"/>
          <w:sz w:val="16"/>
          <w:szCs w:val="16"/>
          <w:color w:val="auto"/>
        </w:rPr>
        <w:t>We believe that our current cash is sufficient to fund anticipated operations into cash flow positivity, based on the current operating plan. Our assumptions may prove to be wrong, and we could spend our available financial resources faster than we currently expect. Further, we may not have sufficient financial resources to meet all of our objectives. Our future funding requirements will depend on many factors, including, but not limited to:</w:t>
      </w:r>
    </w:p>
    <w:p>
      <w:pPr>
        <w:spacing w:after="0" w:line="160" w:lineRule="exact"/>
        <w:rPr>
          <w:sz w:val="20"/>
          <w:szCs w:val="20"/>
          <w:color w:val="auto"/>
        </w:rPr>
      </w:pPr>
    </w:p>
    <w:p>
      <w:pPr>
        <w:ind w:left="740" w:hanging="371"/>
        <w:spacing w:after="0"/>
        <w:tabs>
          <w:tab w:leader="none" w:pos="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rate of progress and costs related to the development of our product candidates, including the costs of preparing filings for regulatory approval;</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costs associated with conducting additional clinical and non-clinical studies with any of our product candidates;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740" w:hanging="371"/>
        <w:spacing w:after="0"/>
        <w:tabs>
          <w:tab w:leader="none" w:pos="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potential for delays in our efforts to seek regulatory approval for our product candidates, and any costs associated with such delays;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costs associated with selling, marketing, and distributing our approved products;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costs of filing, prosecuting, defending, and enforcing any patent claims and other intellectual property rights associated with our product candidates;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cost and timing of manufacturing, or having third parties manufacture, sufficient supplies of our product candidates in preparation for commercialization;</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effect of competing technological and market developments;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revenues from commercial sales of our approved products;</w:t>
      </w:r>
    </w:p>
    <w:p>
      <w:pPr>
        <w:spacing w:after="0" w:line="155" w:lineRule="exact"/>
        <w:rPr>
          <w:rFonts w:ascii="Times New Roman" w:cs="Times New Roman" w:eastAsia="Times New Roman" w:hAnsi="Times New Roman"/>
          <w:sz w:val="14"/>
          <w:szCs w:val="14"/>
          <w:color w:val="auto"/>
        </w:rPr>
      </w:pPr>
    </w:p>
    <w:p>
      <w:pPr>
        <w:ind w:left="740" w:hanging="371"/>
        <w:spacing w:after="0" w:line="184" w:lineRule="exact"/>
        <w:tabs>
          <w:tab w:leader="none" w:pos="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terms and timing of any collaborative, licensing, co</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promotion, or other arrangements that we may establish; and</w:t>
      </w:r>
    </w:p>
    <w:p>
      <w:pPr>
        <w:spacing w:after="0" w:line="223"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success of the commercialization of any of our current products and, if approved, any of our product candidates.</w:t>
      </w:r>
    </w:p>
    <w:p>
      <w:pPr>
        <w:spacing w:after="0" w:line="189" w:lineRule="exact"/>
        <w:rPr>
          <w:sz w:val="20"/>
          <w:szCs w:val="20"/>
          <w:color w:val="auto"/>
        </w:rPr>
      </w:pPr>
    </w:p>
    <w:p>
      <w:pPr>
        <w:ind w:firstLine="751"/>
        <w:spacing w:after="0" w:line="249" w:lineRule="auto"/>
        <w:rPr>
          <w:sz w:val="20"/>
          <w:szCs w:val="20"/>
          <w:color w:val="auto"/>
        </w:rPr>
      </w:pPr>
      <w:r>
        <w:rPr>
          <w:rFonts w:ascii="Times New Roman" w:cs="Times New Roman" w:eastAsia="Times New Roman" w:hAnsi="Times New Roman"/>
          <w:sz w:val="16"/>
          <w:szCs w:val="16"/>
          <w:color w:val="auto"/>
        </w:rPr>
        <w:t>Future capital requirements will also depend on the extent to which we acquire or invest in additional businesses, products, and technologies. Until we can generate a sufficient amount of product revenue, if ever, we may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6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48" w:lineRule="exact"/>
        <w:rPr>
          <w:sz w:val="20"/>
          <w:szCs w:val="20"/>
          <w:color w:val="auto"/>
        </w:rPr>
      </w:pPr>
    </w:p>
    <w:p>
      <w:pPr>
        <w:ind w:right="20" w:firstLine="751"/>
        <w:spacing w:after="0" w:line="245" w:lineRule="auto"/>
        <w:rPr>
          <w:sz w:val="20"/>
          <w:szCs w:val="20"/>
          <w:color w:val="auto"/>
        </w:rPr>
      </w:pPr>
      <w:r>
        <w:rPr>
          <w:rFonts w:ascii="Times New Roman" w:cs="Times New Roman" w:eastAsia="Times New Roman" w:hAnsi="Times New Roman"/>
          <w:sz w:val="16"/>
          <w:szCs w:val="16"/>
          <w:color w:val="auto"/>
        </w:rPr>
        <w:t>In September 2020, we entered into a Loan and Security Agreement, or the Loan Agreement, for a term loan, which we refer to as the 2020 Term Loan, with Hercules Capital, Inc., or Hercules, in its capacity as administrative agent and collateral agent and as a lender, and the other financial institutions that from time to time become parties to the Loan Agreement, collectively referred to as the Lenders, secured by a lien on substantially all of our assets, including intellectual property. In October 2021, we entered into a First Amendment to the Loan Agreement to, among other things, increase the size of the 2020 Term Loan. In March 2022, we entered into a Second Amendment to the Loan Agreement that, among other things, changed the terms of the Term Loan Advances (as defined in the Loan Agreement) upon the consummation of the Acquisition (as defined in the Loan Agreement). In January 2023, we entered into a Third Amendment to the Loan Agreement that amended the terms of the Loan Agreement to, among other things, increase the size of the aggregate principal amount under the 2020 Term Loan from $300.0 million to $350.0 million, reduce the interest rate, and extend the maturity and interest-only period of the Loan Agreement. In May 2023, we entered into a Waiver and Fourth Amendment to the Loan Agreement that increased the amount of cash that could be held by Axsome Malta Ltd., or the Malta Subsidiary, outside of the United States and waived any purported default with respect to the amount of cash held by the Malta Subsidiary prior to the date of the Fourth Amendment. In August 2023, Hercules granted Axsome a waiver to the Fourth Amendment, increasing the amount of cash that could be held by the Malta Subsidiary outside of the United States until December 31, 2023.</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680"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180" w:firstLine="751"/>
        <w:spacing w:after="0" w:line="251" w:lineRule="auto"/>
        <w:rPr>
          <w:sz w:val="20"/>
          <w:szCs w:val="20"/>
          <w:color w:val="auto"/>
        </w:rPr>
      </w:pPr>
      <w:r>
        <w:rPr>
          <w:rFonts w:ascii="Times New Roman" w:cs="Times New Roman" w:eastAsia="Times New Roman" w:hAnsi="Times New Roman"/>
          <w:sz w:val="16"/>
          <w:szCs w:val="16"/>
          <w:color w:val="auto"/>
        </w:rPr>
        <w:t>The Loan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spacing w:after="0" w:line="164" w:lineRule="exact"/>
        <w:rPr>
          <w:sz w:val="20"/>
          <w:szCs w:val="20"/>
          <w:color w:val="auto"/>
        </w:rPr>
      </w:pPr>
    </w:p>
    <w:p>
      <w:pPr>
        <w:ind w:right="280" w:firstLine="751"/>
        <w:spacing w:after="0" w:line="267" w:lineRule="auto"/>
        <w:rPr>
          <w:sz w:val="20"/>
          <w:szCs w:val="20"/>
          <w:color w:val="auto"/>
        </w:rPr>
      </w:pPr>
      <w:r>
        <w:rPr>
          <w:rFonts w:ascii="Times New Roman" w:cs="Times New Roman" w:eastAsia="Times New Roman" w:hAnsi="Times New Roman"/>
          <w:sz w:val="16"/>
          <w:szCs w:val="16"/>
          <w:color w:val="auto"/>
        </w:rPr>
        <w:t>The covenants under the Loan Agreement also requiring maintaining a minimum amount of cash in an account or accounts in which the Lenders have a first priority security interest.</w:t>
      </w:r>
    </w:p>
    <w:p>
      <w:pPr>
        <w:spacing w:after="0" w:line="151" w:lineRule="exact"/>
        <w:rPr>
          <w:sz w:val="20"/>
          <w:szCs w:val="20"/>
          <w:color w:val="auto"/>
        </w:rPr>
      </w:pPr>
    </w:p>
    <w:p>
      <w:pPr>
        <w:jc w:val="both"/>
        <w:ind w:right="180" w:firstLine="751"/>
        <w:spacing w:after="0" w:line="255" w:lineRule="auto"/>
        <w:rPr>
          <w:sz w:val="20"/>
          <w:szCs w:val="20"/>
          <w:color w:val="auto"/>
        </w:rPr>
      </w:pPr>
      <w:r>
        <w:rPr>
          <w:rFonts w:ascii="Times New Roman" w:cs="Times New Roman" w:eastAsia="Times New Roman" w:hAnsi="Times New Roman"/>
          <w:sz w:val="16"/>
          <w:szCs w:val="16"/>
          <w:color w:val="auto"/>
        </w:rPr>
        <w:t>A breach of any of the covenants under the Loan Agreement could result in a default under the 2020 Term Loan. Upon the occurrence of an event of default under the 2020 Term Loan,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it to secure such indebtedness.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a limited operating history of commercializing products, which may make it difficult to evaluate our business and prospects.</w:t>
      </w:r>
    </w:p>
    <w:p>
      <w:pPr>
        <w:spacing w:after="0" w:line="191" w:lineRule="exact"/>
        <w:rPr>
          <w:sz w:val="20"/>
          <w:szCs w:val="20"/>
          <w:color w:val="auto"/>
        </w:rPr>
      </w:pPr>
    </w:p>
    <w:p>
      <w:pPr>
        <w:ind w:firstLine="751"/>
        <w:spacing w:after="0" w:line="251" w:lineRule="auto"/>
        <w:rPr>
          <w:sz w:val="20"/>
          <w:szCs w:val="20"/>
          <w:color w:val="auto"/>
        </w:rPr>
      </w:pPr>
      <w:r>
        <w:rPr>
          <w:rFonts w:ascii="Times New Roman" w:cs="Times New Roman" w:eastAsia="Times New Roman" w:hAnsi="Times New Roman"/>
          <w:sz w:val="16"/>
          <w:szCs w:val="16"/>
          <w:color w:val="auto"/>
        </w:rPr>
        <w:t>We are an early-stage commercial company. Prior to our commercialization of Auvelity and Sunosi in 2022, we had not obtained marketing approvals for any product candidates, manufactured products on a commercial scale or arranged for a third party to do so on our behalf, or conducted sales and marketing activities necessary for successful commercialization. Consequently, predictions about our future success or viability may not be as accurate as they would be if we had a longer history of successfully developing and commercializing products.</w:t>
      </w:r>
    </w:p>
    <w:p>
      <w:pPr>
        <w:spacing w:after="0" w:line="164" w:lineRule="exact"/>
        <w:rPr>
          <w:sz w:val="20"/>
          <w:szCs w:val="20"/>
          <w:color w:val="auto"/>
        </w:rPr>
      </w:pPr>
    </w:p>
    <w:p>
      <w:pPr>
        <w:jc w:val="both"/>
        <w:ind w:right="180" w:firstLine="751"/>
        <w:spacing w:after="0" w:line="255" w:lineRule="auto"/>
        <w:rPr>
          <w:sz w:val="20"/>
          <w:szCs w:val="20"/>
          <w:color w:val="auto"/>
        </w:rPr>
      </w:pPr>
      <w:r>
        <w:rPr>
          <w:rFonts w:ascii="Times New Roman" w:cs="Times New Roman" w:eastAsia="Times New Roman" w:hAnsi="Times New Roman"/>
          <w:sz w:val="16"/>
          <w:szCs w:val="16"/>
          <w:color w:val="auto"/>
        </w:rPr>
        <w:t>We expect our financial condition and operating results to continue to fluctuate from quarter to quarter and year to year due to a variety of factors, many of which are beyond our control. We have transitioned from a company with solely a research and development focus to a company also capable of undertaking commercial activities. We may encounter unforeseen expenses, difficulties, complications and delays, and may not be successful in such a transition.</w:t>
      </w:r>
    </w:p>
    <w:p>
      <w:pPr>
        <w:spacing w:after="0" w:line="158"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We are currently operating in a period of economic uncertainty and capital markets disruption, which has been significantly impacted by geopolitical instability. Our business, financial condition and results of operations could be materially adversely affected by any negative impact on the global economy and capital markets resulting from geopolitical tensions.</w:t>
      </w:r>
    </w:p>
    <w:p>
      <w:pPr>
        <w:spacing w:after="0" w:line="158" w:lineRule="exact"/>
        <w:rPr>
          <w:sz w:val="20"/>
          <w:szCs w:val="20"/>
          <w:color w:val="auto"/>
        </w:rPr>
      </w:pPr>
    </w:p>
    <w:p>
      <w:pPr>
        <w:ind w:right="140" w:firstLine="751"/>
        <w:spacing w:after="0" w:line="251" w:lineRule="auto"/>
        <w:rPr>
          <w:sz w:val="20"/>
          <w:szCs w:val="20"/>
          <w:color w:val="auto"/>
        </w:rPr>
      </w:pPr>
      <w:r>
        <w:rPr>
          <w:rFonts w:ascii="Times New Roman" w:cs="Times New Roman" w:eastAsia="Times New Roman" w:hAnsi="Times New Roman"/>
          <w:sz w:val="16"/>
          <w:szCs w:val="16"/>
          <w:color w:val="auto"/>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w:t>
      </w:r>
    </w:p>
    <w:p>
      <w:pPr>
        <w:spacing w:after="0" w:line="164" w:lineRule="exact"/>
        <w:rPr>
          <w:sz w:val="20"/>
          <w:szCs w:val="20"/>
          <w:color w:val="auto"/>
        </w:rPr>
      </w:pPr>
    </w:p>
    <w:p>
      <w:pPr>
        <w:ind w:right="20" w:firstLine="751"/>
        <w:spacing w:after="0" w:line="255" w:lineRule="auto"/>
        <w:rPr>
          <w:sz w:val="20"/>
          <w:szCs w:val="20"/>
          <w:color w:val="auto"/>
        </w:rPr>
      </w:pPr>
      <w:r>
        <w:rPr>
          <w:rFonts w:ascii="Times New Roman" w:cs="Times New Roman" w:eastAsia="Times New Roman" w:hAnsi="Times New Roman"/>
          <w:sz w:val="16"/>
          <w:szCs w:val="16"/>
          <w:color w:val="auto"/>
        </w:rPr>
        <w:t>Additionally, the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w:t>
      </w:r>
    </w:p>
    <w:p>
      <w:pPr>
        <w:spacing w:after="0" w:line="160" w:lineRule="exact"/>
        <w:rPr>
          <w:sz w:val="20"/>
          <w:szCs w:val="20"/>
          <w:color w:val="auto"/>
        </w:rPr>
      </w:pPr>
    </w:p>
    <w:p>
      <w:pPr>
        <w:ind w:right="40" w:firstLine="751"/>
        <w:spacing w:after="0" w:line="251" w:lineRule="auto"/>
        <w:rPr>
          <w:sz w:val="20"/>
          <w:szCs w:val="20"/>
          <w:color w:val="auto"/>
        </w:rPr>
      </w:pPr>
      <w:r>
        <w:rPr>
          <w:rFonts w:ascii="Times New Roman" w:cs="Times New Roman" w:eastAsia="Times New Roman" w:hAnsi="Times New Roman"/>
          <w:sz w:val="16"/>
          <w:szCs w:val="16"/>
          <w:color w:val="auto"/>
        </w:rPr>
        <w:t>In addition, on October 7, 2023, Hamas militants and members of other terrorist organizations infiltrated Israel’s southern border from the Gaza Strip and conducted a series of terror attacks on civilian and military targets. Shortly following the attack, Israel’s security cabinet declared war against Hamas, and Israel launched an aerial bombardment of various targets within the Gaza Strip and then also began ground operations in the Gaza Strip, which remain ongoing. It is possible that other terrorist and/or regional organizations will join the hostilities as well, resulting in a widening of the conflict, which could negatively impact the global economy.</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60" w:firstLine="751"/>
        <w:spacing w:after="0" w:line="249" w:lineRule="auto"/>
        <w:rPr>
          <w:sz w:val="20"/>
          <w:szCs w:val="20"/>
          <w:color w:val="auto"/>
        </w:rPr>
      </w:pPr>
      <w:r>
        <w:rPr>
          <w:rFonts w:ascii="Times New Roman" w:cs="Times New Roman" w:eastAsia="Times New Roman" w:hAnsi="Times New Roman"/>
          <w:sz w:val="16"/>
          <w:szCs w:val="16"/>
          <w:color w:val="auto"/>
        </w:rPr>
        <w:t>Furthermore, because of current geopolitical tensions, the Biden administration has recently signed multiple executive orders regarding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Moreover, there have been Congressional legislative proposals, such as the recent bill titled the Biosecure Act, to discourage contracting with Chinese companies on the development or manufacturing of pharmaceutical products. Any additional executive orders or legislative action regarding or potential sanctions on China could materially impact our current manufacturing partners.</w:t>
      </w:r>
    </w:p>
    <w:p>
      <w:pPr>
        <w:spacing w:after="0" w:line="166" w:lineRule="exact"/>
        <w:rPr>
          <w:sz w:val="20"/>
          <w:szCs w:val="20"/>
          <w:color w:val="auto"/>
        </w:rPr>
      </w:pPr>
    </w:p>
    <w:p>
      <w:pPr>
        <w:ind w:firstLine="751"/>
        <w:spacing w:after="0" w:line="309" w:lineRule="auto"/>
        <w:rPr>
          <w:sz w:val="20"/>
          <w:szCs w:val="20"/>
          <w:color w:val="auto"/>
        </w:rPr>
      </w:pPr>
      <w:r>
        <w:rPr>
          <w:rFonts w:ascii="Times New Roman" w:cs="Times New Roman" w:eastAsia="Times New Roman" w:hAnsi="Times New Roman"/>
          <w:sz w:val="14"/>
          <w:szCs w:val="14"/>
          <w:color w:val="auto"/>
        </w:rPr>
        <w:t>Although our business has not been materially impacted by these geopolitical issues to date, it is impossible to predict the extent to which our operations, or those of our suppliers and manufacturers, will be impacted in the short and long term, or the ways in which the conflict may impact our business. The extent and duration of the military action, sanctions and resulting market disruptions are impossible to predict, but could be substantial. Any such disruptions may also magnify the impact of other risks described herein.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Climate change or legal, regulatory or market measures to address climate change may negatively affect our business, results of operations, cash flows and prospects.</w:t>
      </w:r>
    </w:p>
    <w:p>
      <w:pPr>
        <w:spacing w:after="0" w:line="191" w:lineRule="exact"/>
        <w:rPr>
          <w:sz w:val="20"/>
          <w:szCs w:val="20"/>
          <w:color w:val="auto"/>
        </w:rPr>
      </w:pPr>
    </w:p>
    <w:p>
      <w:pPr>
        <w:ind w:firstLine="751"/>
        <w:spacing w:after="0" w:line="251" w:lineRule="auto"/>
        <w:rPr>
          <w:sz w:val="20"/>
          <w:szCs w:val="20"/>
          <w:color w:val="auto"/>
        </w:rPr>
      </w:pPr>
      <w:r>
        <w:rPr>
          <w:rFonts w:ascii="Times New Roman" w:cs="Times New Roman" w:eastAsia="Times New Roman" w:hAnsi="Times New Roman"/>
          <w:sz w:val="16"/>
          <w:szCs w:val="16"/>
          <w:color w:val="auto"/>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spacing w:after="0" w:line="164" w:lineRule="exact"/>
        <w:rPr>
          <w:sz w:val="20"/>
          <w:szCs w:val="20"/>
          <w:color w:val="auto"/>
        </w:rPr>
      </w:pPr>
    </w:p>
    <w:p>
      <w:pPr>
        <w:ind w:right="80" w:firstLine="751"/>
        <w:spacing w:after="0" w:line="249" w:lineRule="auto"/>
        <w:rPr>
          <w:sz w:val="20"/>
          <w:szCs w:val="20"/>
          <w:color w:val="auto"/>
        </w:rPr>
      </w:pPr>
      <w:r>
        <w:rPr>
          <w:rFonts w:ascii="Times New Roman" w:cs="Times New Roman" w:eastAsia="Times New Roman" w:hAnsi="Times New Roman"/>
          <w:sz w:val="16"/>
          <w:szCs w:val="16"/>
          <w:color w:val="auto"/>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its supply chain, which may result in increased costs.</w:t>
      </w:r>
    </w:p>
    <w:p>
      <w:pPr>
        <w:spacing w:after="0" w:line="166" w:lineRule="exact"/>
        <w:rPr>
          <w:sz w:val="20"/>
          <w:szCs w:val="20"/>
          <w:color w:val="auto"/>
        </w:rPr>
      </w:pPr>
    </w:p>
    <w:p>
      <w:pPr>
        <w:ind w:right="40" w:firstLine="751"/>
        <w:spacing w:after="0" w:line="249" w:lineRule="auto"/>
        <w:rPr>
          <w:sz w:val="20"/>
          <w:szCs w:val="20"/>
          <w:color w:val="auto"/>
        </w:rPr>
      </w:pPr>
      <w:r>
        <w:rPr>
          <w:rFonts w:ascii="Times New Roman" w:cs="Times New Roman" w:eastAsia="Times New Roman" w:hAnsi="Times New Roman"/>
          <w:sz w:val="16"/>
          <w:szCs w:val="16"/>
          <w:color w:val="auto"/>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THE DEVELOPMENT OF OUR PRODUCT CANDIDATES</w:t>
      </w:r>
    </w:p>
    <w:p>
      <w:pPr>
        <w:spacing w:after="0" w:line="189"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48" w:lineRule="exact"/>
        <w:rPr>
          <w:sz w:val="20"/>
          <w:szCs w:val="20"/>
          <w:color w:val="auto"/>
        </w:rPr>
      </w:pPr>
    </w:p>
    <w:p>
      <w:pPr>
        <w:ind w:right="60" w:firstLine="751"/>
        <w:spacing w:after="0" w:line="247" w:lineRule="auto"/>
        <w:rPr>
          <w:sz w:val="20"/>
          <w:szCs w:val="20"/>
          <w:color w:val="auto"/>
        </w:rPr>
      </w:pPr>
      <w:r>
        <w:rPr>
          <w:rFonts w:ascii="Times New Roman" w:cs="Times New Roman" w:eastAsia="Times New Roman" w:hAnsi="Times New Roman"/>
          <w:sz w:val="16"/>
          <w:szCs w:val="16"/>
          <w:color w:val="auto"/>
        </w:rPr>
        <w:t>We currently have two products approved for commercial distribution. We have invested a significant portion of our efforts and financial resources in the development of our product candidates. Our business, including our ability to generate revenue, depends entirely on the successful commercialization of Sunosi and Auvelity and the successful development and commercialization of our product candidates and/or future in-licensing activities, which may never occur. Furthermore, given the nature of our business, the biopharmaceutical industry in general and the uncertainty and costs associated with developing and commercializing our products within a complicated and costly regulatory regime, our goals, plans and assumptions with respect to our products may evolve or change. For example, we may not continue to emphasize, focus our research and development efforts on or direct resources to certain of our product candidates, and we may shift our focus and resources to our other current or future products. Any such change in our business strategy could harm our business, cause uncertainty or confusion in the marketplace or harm the clinical prospects of our products.</w:t>
      </w:r>
    </w:p>
    <w:p>
      <w:pPr>
        <w:spacing w:after="0" w:line="168" w:lineRule="exact"/>
        <w:rPr>
          <w:sz w:val="20"/>
          <w:szCs w:val="20"/>
          <w:color w:val="auto"/>
        </w:rPr>
      </w:pPr>
    </w:p>
    <w:p>
      <w:pPr>
        <w:ind w:right="200" w:firstLine="751"/>
        <w:spacing w:after="0" w:line="251" w:lineRule="auto"/>
        <w:rPr>
          <w:sz w:val="20"/>
          <w:szCs w:val="20"/>
          <w:color w:val="auto"/>
        </w:rPr>
      </w:pPr>
      <w:r>
        <w:rPr>
          <w:rFonts w:ascii="Times New Roman" w:cs="Times New Roman" w:eastAsia="Times New Roman" w:hAnsi="Times New Roman"/>
          <w:sz w:val="16"/>
          <w:szCs w:val="16"/>
          <w:color w:val="auto"/>
        </w:rPr>
        <w:t>Our product candidates will require additional clinical and non-clinical development, regulatory approval, commercial manufacturing arrangements, significant marketing efforts, and further investment before we generate any revenues from the sale of such product candidates. A Phase 3 trial with AXS-05 in AD agitation, a Phase 3 trial with AXS-12 in narcolepsy, and a Phase 3 trial of solriamfetol in ADHD are ongoing. As a result of one or more risks discussed in this section, we cannot assure you that we will meet projected timelines related to these trials.</w:t>
      </w:r>
    </w:p>
    <w:p>
      <w:pPr>
        <w:spacing w:after="0" w:line="164" w:lineRule="exact"/>
        <w:rPr>
          <w:sz w:val="20"/>
          <w:szCs w:val="20"/>
          <w:color w:val="auto"/>
        </w:rPr>
      </w:pPr>
    </w:p>
    <w:p>
      <w:pPr>
        <w:ind w:firstLine="751"/>
        <w:spacing w:after="0" w:line="247" w:lineRule="auto"/>
        <w:rPr>
          <w:sz w:val="20"/>
          <w:szCs w:val="20"/>
          <w:color w:val="auto"/>
        </w:rPr>
      </w:pPr>
      <w:r>
        <w:rPr>
          <w:rFonts w:ascii="Times New Roman" w:cs="Times New Roman" w:eastAsia="Times New Roman" w:hAnsi="Times New Roman"/>
          <w:sz w:val="16"/>
          <w:szCs w:val="16"/>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166" w:lineRule="exact"/>
        <w:rPr>
          <w:sz w:val="20"/>
          <w:szCs w:val="20"/>
          <w:color w:val="auto"/>
        </w:rPr>
      </w:pPr>
    </w:p>
    <w:p>
      <w:pPr>
        <w:ind w:right="40" w:firstLine="751"/>
        <w:spacing w:after="0" w:line="255" w:lineRule="auto"/>
        <w:rPr>
          <w:sz w:val="20"/>
          <w:szCs w:val="20"/>
          <w:color w:val="auto"/>
        </w:rPr>
      </w:pPr>
      <w:r>
        <w:rPr>
          <w:rFonts w:ascii="Times New Roman" w:cs="Times New Roman" w:eastAsia="Times New Roman" w:hAnsi="Times New Roman"/>
          <w:sz w:val="16"/>
          <w:szCs w:val="16"/>
          <w:color w:val="auto"/>
        </w:rPr>
        <w:t>Although we submitted NDAs to the FDA for Auvelity (which was approved) and for AXS-07 for the acute treatment of migraines (which received a CRL), we have not otherwise submitted an NDA to the FDA, or similar drug approval filings to comparable foreign authorities, for any product candidate, and we cannot be certain that our current or future product candidates will be successful in clinical trials or receive regulatory approval.</w:t>
      </w:r>
    </w:p>
    <w:p>
      <w:pPr>
        <w:spacing w:after="0" w:line="160" w:lineRule="exact"/>
        <w:rPr>
          <w:sz w:val="20"/>
          <w:szCs w:val="20"/>
          <w:color w:val="auto"/>
        </w:rPr>
      </w:pPr>
    </w:p>
    <w:p>
      <w:pPr>
        <w:ind w:right="40" w:firstLine="751"/>
        <w:spacing w:after="0" w:line="293" w:lineRule="auto"/>
        <w:rPr>
          <w:sz w:val="20"/>
          <w:szCs w:val="20"/>
          <w:color w:val="auto"/>
        </w:rPr>
      </w:pPr>
      <w:r>
        <w:rPr>
          <w:rFonts w:ascii="Times New Roman" w:cs="Times New Roman" w:eastAsia="Times New Roman" w:hAnsi="Times New Roman"/>
          <w:sz w:val="14"/>
          <w:szCs w:val="14"/>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We conducted one interim analysis for the Phase 2/3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If approved for marketing by applicable regulatory authorities, our ability to generate revenues from our product candidates depend on our ability to:</w:t>
      </w:r>
    </w:p>
    <w:p>
      <w:pPr>
        <w:spacing w:after="0" w:line="189" w:lineRule="exact"/>
        <w:rPr>
          <w:sz w:val="20"/>
          <w:szCs w:val="20"/>
          <w:color w:val="auto"/>
        </w:rPr>
      </w:pPr>
    </w:p>
    <w:p>
      <w:pPr>
        <w:ind w:left="740" w:right="140" w:hanging="371"/>
        <w:spacing w:after="0" w:line="267" w:lineRule="auto"/>
        <w:tabs>
          <w:tab w:leader="none" w:pos="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create market demand for our product candidates through our own marketing and sales activities, and any other arrangements to promote these product candidates that we may otherwise establish;</w:t>
      </w:r>
    </w:p>
    <w:p>
      <w:pPr>
        <w:spacing w:after="0" w:line="150"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receive regulatory approval for claims that are necessary or desirable for successful marketing;</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hire, train, and deploy a sales force to commercialize our product candidates;</w:t>
      </w:r>
    </w:p>
    <w:p>
      <w:pPr>
        <w:spacing w:after="0" w:line="189" w:lineRule="exact"/>
        <w:rPr>
          <w:rFonts w:ascii="Times New Roman" w:cs="Times New Roman" w:eastAsia="Times New Roman" w:hAnsi="Times New Roman"/>
          <w:sz w:val="14"/>
          <w:szCs w:val="14"/>
          <w:color w:val="auto"/>
        </w:rPr>
      </w:pPr>
    </w:p>
    <w:p>
      <w:pPr>
        <w:ind w:left="740" w:hanging="371"/>
        <w:spacing w:after="0" w:line="267" w:lineRule="auto"/>
        <w:tabs>
          <w:tab w:leader="none" w:pos="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manufacture (or have manufactured by third parties) our product candidates in sufficient quantities and at acceptable quality and manufacturing cost to meet commercial demand at launch and thereafter;</w:t>
      </w:r>
    </w:p>
    <w:p>
      <w:pPr>
        <w:spacing w:after="0" w:line="150"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establish and maintain agreements with wholesalers, distributors, and group purchasing organizations on commercially reasonable terms;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create partnerships with, or offer licenses to, third parties to promote and sell our product candidates in foreign markets where we receive marketing approval;</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maintain patent and trade secret protection and regulatory exclusivity for our product candidates;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launch commercial sales of our product candidates, whether alone or in collaboration with others;</w:t>
      </w:r>
    </w:p>
    <w:p>
      <w:pPr>
        <w:spacing w:after="0" w:line="155" w:lineRule="exact"/>
        <w:rPr>
          <w:rFonts w:ascii="Times New Roman" w:cs="Times New Roman" w:eastAsia="Times New Roman" w:hAnsi="Times New Roman"/>
          <w:sz w:val="14"/>
          <w:szCs w:val="14"/>
          <w:color w:val="auto"/>
        </w:rPr>
      </w:pPr>
    </w:p>
    <w:p>
      <w:pPr>
        <w:ind w:left="740" w:hanging="371"/>
        <w:spacing w:after="0" w:line="184" w:lineRule="exact"/>
        <w:tabs>
          <w:tab w:leader="none" w:pos="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achieve market acceptance of our product candidates by patients, the medical community, and government and private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w:t>
      </w:r>
    </w:p>
    <w:p>
      <w:pPr>
        <w:spacing w:after="0" w:line="223"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achieve appropriate reimbursement for our product candidates;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effectively compete with other therapies; and</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maintain a continued acceptable safety profile of our product candidates following launch.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48" w:lineRule="exact"/>
        <w:rPr>
          <w:sz w:val="20"/>
          <w:szCs w:val="20"/>
          <w:color w:val="auto"/>
        </w:rPr>
      </w:pPr>
    </w:p>
    <w:p>
      <w:pPr>
        <w:ind w:firstLine="751"/>
        <w:spacing w:after="0" w:line="245" w:lineRule="auto"/>
        <w:rPr>
          <w:sz w:val="20"/>
          <w:szCs w:val="20"/>
          <w:color w:val="auto"/>
        </w:rPr>
      </w:pPr>
      <w:r>
        <w:rPr>
          <w:rFonts w:ascii="Times New Roman" w:cs="Times New Roman" w:eastAsia="Times New Roman" w:hAnsi="Times New Roman"/>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certain of the Company’s then current product candidates. The patents licensed from Antecip include certain intellectual property pertaining to the Company’s Auvelity product / AXS-05 portfolio product.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70"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48" w:lineRule="exact"/>
        <w:rPr>
          <w:sz w:val="20"/>
          <w:szCs w:val="20"/>
          <w:color w:val="auto"/>
        </w:rPr>
      </w:pPr>
    </w:p>
    <w:p>
      <w:pPr>
        <w:ind w:right="40" w:firstLine="751"/>
        <w:spacing w:after="0" w:line="245" w:lineRule="auto"/>
        <w:rPr>
          <w:sz w:val="20"/>
          <w:szCs w:val="20"/>
          <w:color w:val="auto"/>
        </w:rPr>
      </w:pPr>
      <w:r>
        <w:rPr>
          <w:rFonts w:ascii="Times New Roman" w:cs="Times New Roman" w:eastAsia="Times New Roman" w:hAnsi="Times New Roman"/>
          <w:sz w:val="16"/>
          <w:szCs w:val="16"/>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solriamfetol for additional indications, AXS-05 for the treatment of agitation associated with AD, and smoking cessation, AXS-07 for the acute treatment of migraines,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sales of the Company’s Auvelity product / AXS-05 portfolio product, as well as two product candidates that are not currently in active development. This may influence management’s decision concerning which product candidates or indications to pursue and/or the manner in which our products are commercialized.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7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48" w:lineRule="exact"/>
        <w:rPr>
          <w:sz w:val="20"/>
          <w:szCs w:val="20"/>
          <w:color w:val="auto"/>
        </w:rPr>
      </w:pPr>
    </w:p>
    <w:p>
      <w:pPr>
        <w:ind w:right="60" w:firstLine="751"/>
        <w:spacing w:after="0" w:line="267" w:lineRule="auto"/>
        <w:rPr>
          <w:sz w:val="20"/>
          <w:szCs w:val="20"/>
          <w:color w:val="auto"/>
        </w:rPr>
      </w:pPr>
      <w:r>
        <w:rPr>
          <w:rFonts w:ascii="Times New Roman" w:cs="Times New Roman" w:eastAsia="Times New Roman" w:hAnsi="Times New Roman"/>
          <w:sz w:val="16"/>
          <w:szCs w:val="16"/>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740" w:hanging="371"/>
        <w:spacing w:after="0"/>
        <w:tabs>
          <w:tab w:leader="none" w:pos="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difficulty or inability to secure financing to fund business activities for such development;</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disruption of our business and diversion of our management’s time and attention;</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higher than expected development costs;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exposure to unknown liabilities;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difficulty in managing multiple product development programs; and</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inability to successfully develop new products or clinical failure.</w:t>
      </w:r>
    </w:p>
    <w:p>
      <w:pPr>
        <w:spacing w:after="0" w:line="189" w:lineRule="exact"/>
        <w:rPr>
          <w:sz w:val="20"/>
          <w:szCs w:val="20"/>
          <w:color w:val="auto"/>
        </w:rPr>
      </w:pPr>
    </w:p>
    <w:p>
      <w:pPr>
        <w:ind w:firstLine="751"/>
        <w:spacing w:after="0" w:line="299" w:lineRule="auto"/>
        <w:rPr>
          <w:sz w:val="20"/>
          <w:szCs w:val="20"/>
          <w:color w:val="auto"/>
        </w:rPr>
      </w:pPr>
      <w:r>
        <w:rPr>
          <w:rFonts w:ascii="Times New Roman" w:cs="Times New Roman" w:eastAsia="Times New Roman" w:hAnsi="Times New Roman"/>
          <w:sz w:val="14"/>
          <w:szCs w:val="14"/>
          <w:color w:val="auto"/>
        </w:rPr>
        <w:t>For instance, our prior efforts have resulted in our decision not to further develop certain product candidates that, at one time, appeared to be promising. Likewise, we received a CRL from the FDA relating to the Company’s AXS-07 portfolio product in 2022 (we intend to resubmit the NDA for AXS-07). We have limited resources to identify and execute the development of products. Moreover, we may devote resources to potential development that are never completed, or we may fail to realize the anticipated benefits of such efforts. If we do not successfully develop and commercialize product candidates, we may not be able to obtain revenues from such product candidates in future periods.</w:t>
      </w:r>
    </w:p>
    <w:p>
      <w:pPr>
        <w:spacing w:after="0" w:line="12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We are not permitted to commercialize, market, promote, or sell any product candidate in the United States without obtaining marketing approval from the FDA.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Comparable foreign regulatory authorities, such as the European Medicines Agency, or EMA, impose similar restrictions.</w:t>
      </w:r>
    </w:p>
    <w:p>
      <w:pPr>
        <w:spacing w:after="0" w:line="174" w:lineRule="exact"/>
        <w:rPr>
          <w:sz w:val="20"/>
          <w:szCs w:val="20"/>
          <w:color w:val="auto"/>
        </w:rPr>
      </w:pPr>
    </w:p>
    <w:p>
      <w:pPr>
        <w:ind w:right="20" w:firstLine="751"/>
        <w:spacing w:after="0" w:line="249" w:lineRule="auto"/>
        <w:rPr>
          <w:sz w:val="20"/>
          <w:szCs w:val="20"/>
          <w:color w:val="auto"/>
        </w:rPr>
      </w:pPr>
      <w:r>
        <w:rPr>
          <w:rFonts w:ascii="Times New Roman" w:cs="Times New Roman" w:eastAsia="Times New Roman" w:hAnsi="Times New Roman"/>
          <w:sz w:val="16"/>
          <w:szCs w:val="16"/>
          <w:color w:val="auto"/>
        </w:rPr>
        <w:t>In the United States, we currently plan to, at least initially, seek approval of some of our product candidates using the 505(b)(2) pathway. These 505(b)(2) product candidates include AXS-05 and AXS-07.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66" w:lineRule="exact"/>
        <w:rPr>
          <w:sz w:val="20"/>
          <w:szCs w:val="20"/>
          <w:color w:val="auto"/>
        </w:rPr>
      </w:pPr>
    </w:p>
    <w:p>
      <w:pPr>
        <w:ind w:right="40" w:firstLine="751"/>
        <w:spacing w:after="0" w:line="190" w:lineRule="exact"/>
        <w:rPr>
          <w:sz w:val="20"/>
          <w:szCs w:val="20"/>
          <w:color w:val="auto"/>
        </w:rPr>
      </w:pPr>
      <w:r>
        <w:rPr>
          <w:rFonts w:ascii="Times New Roman" w:cs="Times New Roman" w:eastAsia="Times New Roman" w:hAnsi="Times New Roman"/>
          <w:sz w:val="16"/>
          <w:szCs w:val="16"/>
          <w:color w:val="auto"/>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wide warnings. For instance, antidepressants, including Auvelity, include a class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wide black box warning regarding the increased risk of suicidal thoughts and behavior.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180" w:firstLine="751"/>
        <w:spacing w:after="0" w:line="247" w:lineRule="auto"/>
        <w:rPr>
          <w:sz w:val="20"/>
          <w:szCs w:val="20"/>
          <w:color w:val="auto"/>
        </w:rPr>
      </w:pPr>
      <w:r>
        <w:rPr>
          <w:rFonts w:ascii="Times New Roman" w:cs="Times New Roman" w:eastAsia="Times New Roman" w:hAnsi="Times New Roman"/>
          <w:sz w:val="16"/>
          <w:szCs w:val="16"/>
          <w:color w:val="auto"/>
        </w:rPr>
        <w:t>In addition, because we plan to file certain product candidates under an NDA submitted pursuant to 505(b)(2), we will rely, at least in part, upon a reference drug and published literature. For example, we intend to rely on third-party studies in the published literature as well as FDA findings of safety and efficacy for approved drug products containing the same active molecules in AXS-05 and AXS-07. If the FDA disagrees with our conclusions regarding the appropriateness of our reliance on a reference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 consuming 505(b)(1) approval process, which consists of full reports of investigations of safety and effectiveness conducted by or for the applicant. In addition, because we have submitted NDAs for AXS-05 and AXS-07 pursuant to the 505(b)(2) process, we have not conducted certain additional clinical trials for these product candidates and, as such, we will have less experience with actual testing of these product candidates.</w:t>
      </w:r>
    </w:p>
    <w:p>
      <w:pPr>
        <w:spacing w:after="0" w:line="166" w:lineRule="exact"/>
        <w:rPr>
          <w:sz w:val="20"/>
          <w:szCs w:val="20"/>
          <w:color w:val="auto"/>
        </w:rPr>
      </w:pPr>
    </w:p>
    <w:p>
      <w:pPr>
        <w:ind w:right="40" w:firstLine="751"/>
        <w:spacing w:after="0" w:line="251" w:lineRule="auto"/>
        <w:rPr>
          <w:sz w:val="20"/>
          <w:szCs w:val="20"/>
          <w:color w:val="auto"/>
        </w:rPr>
      </w:pPr>
      <w:r>
        <w:rPr>
          <w:rFonts w:ascii="Times New Roman" w:cs="Times New Roman" w:eastAsia="Times New Roman" w:hAnsi="Times New Roman"/>
          <w:sz w:val="16"/>
          <w:szCs w:val="16"/>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ANDA, for a generic version of the approved product. We may, however, not be able to immediately submit an ANDA or have an ANDA approval made effective, as we could be blocked by others’ periods of patent and regulatory exclusivity protection.</w:t>
      </w:r>
    </w:p>
    <w:p>
      <w:pPr>
        <w:spacing w:after="0" w:line="164" w:lineRule="exact"/>
        <w:rPr>
          <w:sz w:val="20"/>
          <w:szCs w:val="20"/>
          <w:color w:val="auto"/>
        </w:rPr>
      </w:pPr>
    </w:p>
    <w:p>
      <w:pPr>
        <w:ind w:firstLine="751"/>
        <w:spacing w:after="0" w:line="249" w:lineRule="auto"/>
        <w:rPr>
          <w:sz w:val="20"/>
          <w:szCs w:val="20"/>
          <w:color w:val="auto"/>
        </w:rPr>
      </w:pPr>
      <w:r>
        <w:rPr>
          <w:rFonts w:ascii="Times New Roman" w:cs="Times New Roman" w:eastAsia="Times New Roman" w:hAnsi="Times New Roman"/>
          <w:sz w:val="16"/>
          <w:szCs w:val="16"/>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6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An NDA submitted under Section 505(b)(2) subjects us to the risk that we may be subject to a patent infringement lawsuit or regulatory actions that would delay or prevent the review or approval of our product candidates.</w:t>
      </w:r>
    </w:p>
    <w:p>
      <w:pPr>
        <w:spacing w:after="0" w:line="148" w:lineRule="exact"/>
        <w:rPr>
          <w:sz w:val="20"/>
          <w:szCs w:val="20"/>
          <w:color w:val="auto"/>
        </w:rPr>
      </w:pPr>
    </w:p>
    <w:p>
      <w:pPr>
        <w:ind w:right="40" w:firstLine="751"/>
        <w:spacing w:after="0" w:line="246" w:lineRule="auto"/>
        <w:rPr>
          <w:sz w:val="20"/>
          <w:szCs w:val="20"/>
          <w:color w:val="auto"/>
        </w:rPr>
      </w:pPr>
      <w:r>
        <w:rPr>
          <w:rFonts w:ascii="Times New Roman" w:cs="Times New Roman" w:eastAsia="Times New Roman" w:hAnsi="Times New Roman"/>
          <w:sz w:val="16"/>
          <w:szCs w:val="16"/>
          <w:color w:val="auto"/>
        </w:rPr>
        <w:t>Under the Hatch-Waxman Act, the holder of patents listed in the Orange Book for NDAs that a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 time, automatic, 30 months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80" w:firstLine="751"/>
        <w:spacing w:after="0" w:line="246" w:lineRule="auto"/>
        <w:rPr>
          <w:sz w:val="20"/>
          <w:szCs w:val="20"/>
          <w:color w:val="auto"/>
        </w:rPr>
      </w:pPr>
      <w:r>
        <w:rPr>
          <w:rFonts w:ascii="Times New Roman" w:cs="Times New Roman" w:eastAsia="Times New Roman" w:hAnsi="Times New Roman"/>
          <w:sz w:val="16"/>
          <w:szCs w:val="16"/>
          <w:color w:val="auto"/>
        </w:rPr>
        <w:t>In practice, companies that produce branded reference listed drugs often bring patent litigation against applicants that seek regulatory approval to market generic or reformulated versions of their products. Litigation to enforce or defend intellectual property rights is often complex and often involves significant expense and can delay or prevent introduction or sale of our product candidates. If a court finds patents valid and infringed by our product candidates, we may be required to cease selling, relinquish or destroy existing stock, or pay monetary damages unless we can obtain a license from the patent holder. There may also be situations where we use our business judgment and decide to market and sell our approved products, notwithstanding the fact that allegations of patent infringement have not been finally resolved by the courts, an approach known as an “at 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w:t>
      </w:r>
    </w:p>
    <w:p>
      <w:pPr>
        <w:spacing w:after="0" w:line="16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58" w:lineRule="exact"/>
        <w:rPr>
          <w:sz w:val="20"/>
          <w:szCs w:val="20"/>
          <w:color w:val="auto"/>
        </w:rPr>
      </w:pPr>
    </w:p>
    <w:p>
      <w:pPr>
        <w:ind w:right="60" w:firstLine="751"/>
        <w:spacing w:after="0" w:line="287" w:lineRule="auto"/>
        <w:rPr>
          <w:sz w:val="20"/>
          <w:szCs w:val="20"/>
          <w:color w:val="auto"/>
        </w:rPr>
      </w:pPr>
      <w:r>
        <w:rPr>
          <w:rFonts w:ascii="Times New Roman" w:cs="Times New Roman" w:eastAsia="Times New Roman" w:hAnsi="Times New Roman"/>
          <w:sz w:val="14"/>
          <w:szCs w:val="14"/>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and the availability and prioritization of regulatory agency resources. In addition, approval policies, regulations, or the type and amount of clinical data necessary to gain approval may change during the course of a product candidate’s clinical development, vary among jurisdictions, and/or require us to amend our clinical trial protocols or conduct additional studies that require regulatory or institutional review board, or IRB, approval, or otherwise cause delays in the approval or rejection of an application. To date, we have submitted two NDAs to the FDA and have obtained regulatory approval for one of our product candidates, Auvelity. It is possible that none of our other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40" w:lineRule="exact"/>
        <w:rPr>
          <w:sz w:val="20"/>
          <w:szCs w:val="20"/>
          <w:color w:val="auto"/>
        </w:rPr>
      </w:pPr>
    </w:p>
    <w:p>
      <w:pPr>
        <w:ind w:right="60" w:firstLine="751"/>
        <w:spacing w:after="0" w:line="189" w:lineRule="exact"/>
        <w:rPr>
          <w:sz w:val="20"/>
          <w:szCs w:val="20"/>
          <w:color w:val="auto"/>
        </w:rPr>
      </w:pPr>
      <w:r>
        <w:rPr>
          <w:rFonts w:ascii="Times New Roman" w:cs="Times New Roman" w:eastAsia="Times New Roman" w:hAnsi="Times New Roman"/>
          <w:sz w:val="14"/>
          <w:szCs w:val="14"/>
          <w:color w:val="auto"/>
        </w:rPr>
        <w:t>Our products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in Europe, and similar regulatory authorities outside the United States and Europe. Failure to obtain marketing approval for a product candidate will prevent us from commercializing the product candidate. We have limited experience in filing and supporting the applications necessary to gain marketing approvals and rely on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174" w:lineRule="exact"/>
        <w:rPr>
          <w:sz w:val="20"/>
          <w:szCs w:val="20"/>
          <w:color w:val="auto"/>
        </w:rPr>
      </w:pPr>
    </w:p>
    <w:p>
      <w:pPr>
        <w:ind w:firstLine="751"/>
        <w:spacing w:after="0" w:line="189" w:lineRule="exact"/>
        <w:rPr>
          <w:sz w:val="20"/>
          <w:szCs w:val="20"/>
          <w:color w:val="auto"/>
        </w:rPr>
      </w:pPr>
      <w:r>
        <w:rPr>
          <w:rFonts w:ascii="Times New Roman" w:cs="Times New Roman" w:eastAsia="Times New Roman" w:hAnsi="Times New Roman"/>
          <w:sz w:val="16"/>
          <w:szCs w:val="16"/>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firstLine="751"/>
        <w:spacing w:after="0" w:line="267" w:lineRule="auto"/>
        <w:rPr>
          <w:sz w:val="20"/>
          <w:szCs w:val="20"/>
          <w:color w:val="auto"/>
        </w:rPr>
      </w:pPr>
      <w:r>
        <w:rPr>
          <w:rFonts w:ascii="Times New Roman" w:cs="Times New Roman" w:eastAsia="Times New Roman" w:hAnsi="Times New Roman"/>
          <w:sz w:val="16"/>
          <w:szCs w:val="16"/>
          <w:color w:val="auto"/>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spacing w:after="0" w:line="151" w:lineRule="exact"/>
        <w:rPr>
          <w:sz w:val="20"/>
          <w:szCs w:val="20"/>
          <w:color w:val="auto"/>
        </w:rPr>
      </w:pPr>
    </w:p>
    <w:p>
      <w:pPr>
        <w:ind w:left="740" w:hanging="371"/>
        <w:spacing w:after="0"/>
        <w:tabs>
          <w:tab w:leader="none" w:pos="74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regulators or IRBs may not authorize us or our investigators to commence a clinical trial or conduct a clinical trial at a prospective trial site or amend trial protocols;</w:t>
      </w:r>
    </w:p>
    <w:p>
      <w:pPr>
        <w:spacing w:after="0" w:line="212" w:lineRule="exact"/>
        <w:rPr>
          <w:rFonts w:ascii="Times New Roman" w:cs="Times New Roman" w:eastAsia="Times New Roman" w:hAnsi="Times New Roman"/>
          <w:sz w:val="13"/>
          <w:szCs w:val="13"/>
          <w:color w:val="auto"/>
        </w:rPr>
      </w:pPr>
    </w:p>
    <w:p>
      <w:pPr>
        <w:ind w:left="740" w:right="360" w:hanging="371"/>
        <w:spacing w:after="0" w:line="267" w:lineRule="auto"/>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we may experience delays in reaching, or fail to reach, agreement on acceptable clinical trial contracts or clinical trial protocols with prospective trial sites and our CROs;</w:t>
      </w:r>
    </w:p>
    <w:p>
      <w:pPr>
        <w:spacing w:after="0" w:line="150" w:lineRule="exact"/>
        <w:rPr>
          <w:rFonts w:ascii="Times New Roman" w:cs="Times New Roman" w:eastAsia="Times New Roman" w:hAnsi="Times New Roman"/>
          <w:sz w:val="14"/>
          <w:szCs w:val="14"/>
          <w:color w:val="auto"/>
        </w:rPr>
      </w:pPr>
    </w:p>
    <w:p>
      <w:pPr>
        <w:ind w:left="740" w:right="500" w:hanging="371"/>
        <w:spacing w:after="0" w:line="267" w:lineRule="auto"/>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50" w:lineRule="exact"/>
        <w:rPr>
          <w:rFonts w:ascii="Times New Roman" w:cs="Times New Roman" w:eastAsia="Times New Roman" w:hAnsi="Times New Roman"/>
          <w:sz w:val="14"/>
          <w:szCs w:val="14"/>
          <w:color w:val="auto"/>
        </w:rPr>
      </w:pPr>
    </w:p>
    <w:p>
      <w:pPr>
        <w:ind w:left="740" w:hanging="371"/>
        <w:spacing w:after="0" w:line="267" w:lineRule="auto"/>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50" w:lineRule="exact"/>
        <w:rPr>
          <w:rFonts w:ascii="Times New Roman" w:cs="Times New Roman" w:eastAsia="Times New Roman" w:hAnsi="Times New Roman"/>
          <w:sz w:val="14"/>
          <w:szCs w:val="14"/>
          <w:color w:val="auto"/>
        </w:rPr>
      </w:pPr>
    </w:p>
    <w:p>
      <w:pPr>
        <w:ind w:left="740" w:right="180" w:hanging="371"/>
        <w:spacing w:after="0" w:line="267" w:lineRule="auto"/>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17" w:lineRule="exact"/>
        <w:rPr>
          <w:rFonts w:ascii="Times New Roman" w:cs="Times New Roman" w:eastAsia="Times New Roman" w:hAnsi="Times New Roman"/>
          <w:sz w:val="14"/>
          <w:szCs w:val="14"/>
          <w:color w:val="auto"/>
        </w:rPr>
      </w:pPr>
    </w:p>
    <w:p>
      <w:pPr>
        <w:ind w:left="740" w:right="120" w:hanging="371"/>
        <w:spacing w:after="0" w:line="211" w:lineRule="exact"/>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our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72" w:lineRule="exact"/>
        <w:rPr>
          <w:rFonts w:ascii="Times New Roman" w:cs="Times New Roman" w:eastAsia="Times New Roman" w:hAnsi="Times New Roman"/>
          <w:sz w:val="14"/>
          <w:szCs w:val="14"/>
          <w:color w:val="auto"/>
        </w:rPr>
      </w:pPr>
    </w:p>
    <w:p>
      <w:pPr>
        <w:jc w:val="both"/>
        <w:ind w:left="740" w:right="20" w:hanging="371"/>
        <w:spacing w:after="0" w:line="251" w:lineRule="auto"/>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63"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changes in marketing approval policies during the development period rendering our data insufficient to obtain marketing approval;</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changes in or the enactment of additional statutes or regulations;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changes in regulatory review for each submitted product application;</w:t>
      </w:r>
    </w:p>
    <w:p>
      <w:pPr>
        <w:spacing w:after="0" w:line="189" w:lineRule="exact"/>
        <w:rPr>
          <w:rFonts w:ascii="Times New Roman" w:cs="Times New Roman" w:eastAsia="Times New Roman" w:hAnsi="Times New Roman"/>
          <w:sz w:val="14"/>
          <w:szCs w:val="14"/>
          <w:color w:val="auto"/>
        </w:rPr>
      </w:pPr>
    </w:p>
    <w:p>
      <w:pPr>
        <w:ind w:left="740" w:right="100" w:hanging="371"/>
        <w:spacing w:after="0" w:line="267" w:lineRule="auto"/>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50"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supply or quality of our product candidates or other materials necessary to conduct clinical trials of our product candidates may be insufficient or inadequate;</w:t>
      </w:r>
    </w:p>
    <w:p>
      <w:pPr>
        <w:spacing w:after="0" w:line="189" w:lineRule="exact"/>
        <w:rPr>
          <w:rFonts w:ascii="Times New Roman" w:cs="Times New Roman" w:eastAsia="Times New Roman" w:hAnsi="Times New Roman"/>
          <w:sz w:val="14"/>
          <w:szCs w:val="14"/>
          <w:color w:val="auto"/>
        </w:rPr>
      </w:pPr>
    </w:p>
    <w:p>
      <w:pPr>
        <w:ind w:left="740" w:right="20" w:hanging="371"/>
        <w:spacing w:after="0" w:line="249" w:lineRule="auto"/>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we may decide, or regulators may require us, to conduct additional clinical trials, analyses, reports, data, or preclinical/nonclinical studies than we currently plan, or we may abandon product development programs. For instance, although we believe that we are able to rely on the Phase 2 CONCERT trial and ongoing SYMPHONY trial to support an NDA for AXS-12 for the treatment of cataplexy and narcolepsy and the completed Phase 2 trial and Phase 3 trial to support an NDA for AXS-14 for the management of fibromyalgia, the FDA could still require additional studies to support the approval of an NDA for these product candidates. The outcome of our studies may further necessitate additional clinical or preclinical work;</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740" w:hanging="371"/>
        <w:spacing w:after="0"/>
        <w:tabs>
          <w:tab w:leader="none" w:pos="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we may fail to reach an agreement with regulators regarding the scope or design of our clinical trials;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we may have delays in adding new investigators or clinical trial sites, or we may experience a withdrawal of clinical trial sites;</w:t>
      </w:r>
    </w:p>
    <w:p>
      <w:pPr>
        <w:spacing w:after="0" w:line="189" w:lineRule="exact"/>
        <w:rPr>
          <w:rFonts w:ascii="Times New Roman" w:cs="Times New Roman" w:eastAsia="Times New Roman" w:hAnsi="Times New Roman"/>
          <w:sz w:val="14"/>
          <w:szCs w:val="14"/>
          <w:color w:val="auto"/>
        </w:rPr>
      </w:pPr>
    </w:p>
    <w:p>
      <w:pPr>
        <w:ind w:left="740" w:right="20" w:hanging="371"/>
        <w:spacing w:after="0" w:line="267" w:lineRule="auto"/>
        <w:tabs>
          <w:tab w:leader="none" w:pos="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50"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there may be regulatory questions regarding interpretations of data and results, or new information may emerge regarding our product candidates;</w:t>
      </w:r>
    </w:p>
    <w:p>
      <w:pPr>
        <w:spacing w:after="0" w:line="189" w:lineRule="exact"/>
        <w:rPr>
          <w:rFonts w:ascii="Times New Roman" w:cs="Times New Roman" w:eastAsia="Times New Roman" w:hAnsi="Times New Roman"/>
          <w:sz w:val="14"/>
          <w:szCs w:val="14"/>
          <w:color w:val="auto"/>
        </w:rPr>
      </w:pPr>
    </w:p>
    <w:p>
      <w:pPr>
        <w:ind w:left="740" w:right="40" w:hanging="371"/>
        <w:spacing w:after="0" w:line="251" w:lineRule="auto"/>
        <w:tabs>
          <w:tab w:leader="none" w:pos="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species and doses used in our preclinical studies, and the results of our preclinical studies;</w:t>
      </w:r>
    </w:p>
    <w:p>
      <w:pPr>
        <w:spacing w:after="0" w:line="163" w:lineRule="exact"/>
        <w:rPr>
          <w:rFonts w:ascii="Times New Roman" w:cs="Times New Roman" w:eastAsia="Times New Roman" w:hAnsi="Times New Roman"/>
          <w:sz w:val="14"/>
          <w:szCs w:val="14"/>
          <w:color w:val="auto"/>
        </w:rPr>
      </w:pPr>
    </w:p>
    <w:p>
      <w:pPr>
        <w:ind w:left="740" w:hanging="371"/>
        <w:spacing w:after="0" w:line="251" w:lineRule="auto"/>
        <w:tabs>
          <w:tab w:leader="none" w:pos="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FDA or comparable foreign regulatory authorities may disagree with our belief that certain product attributes are advantageous or may require further study of product attributes that are different than our reference listed drugs.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63"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FDA or comparable foreign regulatory authorities may not accept data from studies with clinical trial sites in foreign countries;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FDA or comparable foreign regulatory authorities may disagree with our intended indications;</w:t>
      </w:r>
    </w:p>
    <w:p>
      <w:pPr>
        <w:spacing w:after="0" w:line="189" w:lineRule="exact"/>
        <w:rPr>
          <w:rFonts w:ascii="Times New Roman" w:cs="Times New Roman" w:eastAsia="Times New Roman" w:hAnsi="Times New Roman"/>
          <w:sz w:val="14"/>
          <w:szCs w:val="14"/>
          <w:color w:val="auto"/>
        </w:rPr>
      </w:pPr>
    </w:p>
    <w:p>
      <w:pPr>
        <w:ind w:left="740" w:hanging="371"/>
        <w:spacing w:after="0" w:line="267" w:lineRule="auto"/>
        <w:tabs>
          <w:tab w:leader="none" w:pos="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FDA or comparable foreign regulatory authorities may fail to approve or subsequently find fault with the manufacturing processes or our manufacturing facilities for clinical and future commercial supplies;</w:t>
      </w:r>
    </w:p>
    <w:p>
      <w:pPr>
        <w:spacing w:after="0" w:line="150" w:lineRule="exact"/>
        <w:rPr>
          <w:rFonts w:ascii="Times New Roman" w:cs="Times New Roman" w:eastAsia="Times New Roman" w:hAnsi="Times New Roman"/>
          <w:sz w:val="14"/>
          <w:szCs w:val="14"/>
          <w:color w:val="auto"/>
        </w:rPr>
      </w:pPr>
    </w:p>
    <w:p>
      <w:pPr>
        <w:ind w:left="740" w:right="40" w:hanging="371"/>
        <w:spacing w:after="0" w:line="267" w:lineRule="auto"/>
        <w:tabs>
          <w:tab w:leader="none" w:pos="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 connection with the CMC data necessary for our NDA filing and approval, we will need to conduct stability studies and provide stability data to establish appropriate retest or expiration dating periods;</w:t>
      </w:r>
    </w:p>
    <w:p>
      <w:pPr>
        <w:spacing w:after="0" w:line="150" w:lineRule="exact"/>
        <w:rPr>
          <w:rFonts w:ascii="Times New Roman" w:cs="Times New Roman" w:eastAsia="Times New Roman" w:hAnsi="Times New Roman"/>
          <w:sz w:val="14"/>
          <w:szCs w:val="14"/>
          <w:color w:val="auto"/>
        </w:rPr>
      </w:pPr>
    </w:p>
    <w:p>
      <w:pPr>
        <w:ind w:left="740" w:right="240" w:hanging="371"/>
        <w:spacing w:after="0" w:line="309" w:lineRule="auto"/>
        <w:tabs>
          <w:tab w:leader="none" w:pos="7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applicable to all future drug substance and drug product batches manufactured, packaged, and stored under similar circumstances, to establish the long-term storage conditions, and to provide evidence of the effect of various environmental conditions on the quality of the drug substance and drug product -- our product candidates may not demonstrate sufficient long-term stability to support an NDA filing or obtain approval, or the product shelf life may be limited by stability results;</w:t>
      </w:r>
    </w:p>
    <w:p>
      <w:pPr>
        <w:spacing w:after="0" w:line="125" w:lineRule="exact"/>
        <w:rPr>
          <w:rFonts w:ascii="Times New Roman" w:cs="Times New Roman" w:eastAsia="Times New Roman" w:hAnsi="Times New Roman"/>
          <w:sz w:val="13"/>
          <w:szCs w:val="13"/>
          <w:color w:val="auto"/>
        </w:rPr>
      </w:pPr>
    </w:p>
    <w:p>
      <w:pPr>
        <w:ind w:left="740" w:right="520" w:hanging="371"/>
        <w:spacing w:after="0" w:line="267" w:lineRule="auto"/>
        <w:tabs>
          <w:tab w:leader="none" w:pos="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there may be delays in the FDA’s ability to conduct necessary Pre-Approval Inspections, or PAIs, and more generally the FDA or comparable foreign regulatory authorities may take longer than we anticipate to make a decision on our product candidates; and</w:t>
      </w:r>
    </w:p>
    <w:p>
      <w:pPr>
        <w:spacing w:after="0" w:line="150" w:lineRule="exact"/>
        <w:rPr>
          <w:rFonts w:ascii="Times New Roman" w:cs="Times New Roman" w:eastAsia="Times New Roman" w:hAnsi="Times New Roman"/>
          <w:sz w:val="14"/>
          <w:szCs w:val="14"/>
          <w:color w:val="auto"/>
        </w:rPr>
      </w:pPr>
    </w:p>
    <w:p>
      <w:pPr>
        <w:ind w:left="740" w:right="720" w:hanging="371"/>
        <w:spacing w:after="0" w:line="267" w:lineRule="auto"/>
        <w:tabs>
          <w:tab w:leader="none" w:pos="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we may not be able to demonstrate that a product candidate provides an advantage over current standards of care or current or future competitive therapies in development.</w:t>
      </w:r>
    </w:p>
    <w:p>
      <w:pPr>
        <w:spacing w:after="0" w:line="151" w:lineRule="exact"/>
        <w:rPr>
          <w:sz w:val="20"/>
          <w:szCs w:val="20"/>
          <w:color w:val="auto"/>
        </w:rPr>
      </w:pPr>
    </w:p>
    <w:p>
      <w:pPr>
        <w:ind w:right="20" w:firstLine="751"/>
        <w:spacing w:after="0" w:line="267" w:lineRule="auto"/>
        <w:rPr>
          <w:sz w:val="20"/>
          <w:szCs w:val="20"/>
          <w:color w:val="auto"/>
        </w:rPr>
      </w:pPr>
      <w:r>
        <w:rPr>
          <w:rFonts w:ascii="Times New Roman" w:cs="Times New Roman" w:eastAsia="Times New Roman" w:hAnsi="Times New Roman"/>
          <w:sz w:val="16"/>
          <w:szCs w:val="16"/>
          <w:color w:val="auto"/>
        </w:rPr>
        <w:t>Moreover, if we are required to conduct additional clinical trials or other testing of our product candidates beyond that which we currently contemplate, if we are unable to successfully complete clinical trials or other testing</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our product candidates, if the results of these trials or tests are not positive, or are only modestly positive or if there are safety concerns, we may:</w:t>
      </w:r>
    </w:p>
    <w:p>
      <w:pPr>
        <w:spacing w:after="0" w:line="189" w:lineRule="exact"/>
        <w:rPr>
          <w:sz w:val="20"/>
          <w:szCs w:val="20"/>
          <w:color w:val="auto"/>
        </w:rPr>
      </w:pPr>
    </w:p>
    <w:p>
      <w:pPr>
        <w:ind w:left="740" w:hanging="371"/>
        <w:spacing w:after="0"/>
        <w:tabs>
          <w:tab w:leader="none" w:pos="7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be delayed in obtaining marketing approval for our product candidates;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not obtain marketing approval at all;</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obtain approval for indications or patient populations that are not as broad as intended or desired or are not covered by our intellectual property;</w:t>
      </w:r>
    </w:p>
    <w:p>
      <w:pPr>
        <w:spacing w:after="0" w:line="189" w:lineRule="exact"/>
        <w:rPr>
          <w:rFonts w:ascii="Times New Roman" w:cs="Times New Roman" w:eastAsia="Times New Roman" w:hAnsi="Times New Roman"/>
          <w:sz w:val="14"/>
          <w:szCs w:val="14"/>
          <w:color w:val="auto"/>
        </w:rPr>
      </w:pPr>
    </w:p>
    <w:p>
      <w:pPr>
        <w:ind w:left="740" w:right="400" w:hanging="371"/>
        <w:spacing w:after="0" w:line="340" w:lineRule="auto"/>
        <w:tabs>
          <w:tab w:leader="none" w:pos="7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70" w:lineRule="exact"/>
        <w:rPr>
          <w:rFonts w:ascii="Times New Roman" w:cs="Times New Roman" w:eastAsia="Times New Roman" w:hAnsi="Times New Roman"/>
          <w:sz w:val="13"/>
          <w:szCs w:val="13"/>
          <w:color w:val="auto"/>
        </w:rPr>
      </w:pPr>
    </w:p>
    <w:p>
      <w:pPr>
        <w:ind w:left="740" w:hanging="371"/>
        <w:spacing w:after="0" w:line="184" w:lineRule="exact"/>
        <w:tabs>
          <w:tab w:leader="none" w:pos="7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be subject to additional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marketing testing and surveillance requirements, including REMS; or</w:t>
      </w:r>
    </w:p>
    <w:p>
      <w:pPr>
        <w:spacing w:after="0" w:line="223"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have the product removed from the market after obtaining marketing approval.</w:t>
      </w:r>
    </w:p>
    <w:p>
      <w:pPr>
        <w:spacing w:after="0" w:line="189" w:lineRule="exact"/>
        <w:rPr>
          <w:sz w:val="20"/>
          <w:szCs w:val="20"/>
          <w:color w:val="auto"/>
        </w:rPr>
      </w:pPr>
    </w:p>
    <w:p>
      <w:pPr>
        <w:ind w:right="20" w:firstLine="751"/>
        <w:spacing w:after="0" w:line="247" w:lineRule="auto"/>
        <w:rPr>
          <w:sz w:val="20"/>
          <w:szCs w:val="20"/>
          <w:color w:val="auto"/>
        </w:rPr>
      </w:pPr>
      <w:r>
        <w:rPr>
          <w:rFonts w:ascii="Times New Roman" w:cs="Times New Roman" w:eastAsia="Times New Roman" w:hAnsi="Times New Roman"/>
          <w:sz w:val="16"/>
          <w:szCs w:val="16"/>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may be materially harmed.</w:t>
      </w:r>
    </w:p>
    <w:p>
      <w:pPr>
        <w:spacing w:after="0" w:line="166" w:lineRule="exact"/>
        <w:rPr>
          <w:sz w:val="20"/>
          <w:szCs w:val="20"/>
          <w:color w:val="auto"/>
        </w:rPr>
      </w:pPr>
    </w:p>
    <w:p>
      <w:pPr>
        <w:ind w:firstLine="751"/>
        <w:spacing w:after="0" w:line="247" w:lineRule="auto"/>
        <w:rPr>
          <w:sz w:val="20"/>
          <w:szCs w:val="20"/>
          <w:color w:val="auto"/>
        </w:rPr>
      </w:pPr>
      <w:r>
        <w:rPr>
          <w:rFonts w:ascii="Times New Roman" w:cs="Times New Roman" w:eastAsia="Times New Roman" w:hAnsi="Times New Roman"/>
          <w:sz w:val="16"/>
          <w:szCs w:val="16"/>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For example, in the CRL with respect to our NDA for AXS-07, the FDA noted the need for additional CMC data. Furthermore, there is the possibility that the FDA or comparable foreign regulatory authorities have not previously reviewed product candidates for the indications we are pursuing, such as AD agitation or smoking cessation. As a result, we may experience delays in regulatory approval due to uncertainties in the approval process.</w:t>
      </w:r>
    </w:p>
    <w:p>
      <w:pPr>
        <w:spacing w:after="0" w:line="168" w:lineRule="exact"/>
        <w:rPr>
          <w:sz w:val="20"/>
          <w:szCs w:val="20"/>
          <w:color w:val="auto"/>
        </w:rPr>
      </w:pPr>
    </w:p>
    <w:p>
      <w:pPr>
        <w:ind w:right="40" w:firstLine="751"/>
        <w:spacing w:after="0" w:line="249" w:lineRule="auto"/>
        <w:rPr>
          <w:sz w:val="20"/>
          <w:szCs w:val="20"/>
          <w:color w:val="auto"/>
        </w:rPr>
      </w:pPr>
      <w:r>
        <w:rPr>
          <w:rFonts w:ascii="Times New Roman" w:cs="Times New Roman" w:eastAsia="Times New Roman" w:hAnsi="Times New Roman"/>
          <w:sz w:val="16"/>
          <w:szCs w:val="16"/>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 Furthermore, there is the possibility that the FDA or comparable foreign regulatory authorities have not previously reviewed product candidates for the indications we are pursuing, such as AD agitation or smoking cessation. As a result, we may experience delays in regulatory approval due to uncertainties in the approval process.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If we cannot demonstrate an acceptable safety and toxicity profile for our product candidates, we will not be able to continue our clinical trials of or obtain approval for those product candidates.</w:t>
      </w:r>
    </w:p>
    <w:p>
      <w:pPr>
        <w:spacing w:after="0" w:line="148" w:lineRule="exact"/>
        <w:rPr>
          <w:sz w:val="20"/>
          <w:szCs w:val="20"/>
          <w:color w:val="auto"/>
        </w:rPr>
      </w:pPr>
    </w:p>
    <w:p>
      <w:pPr>
        <w:ind w:right="220" w:firstLine="751"/>
        <w:spacing w:after="0" w:line="248" w:lineRule="auto"/>
        <w:rPr>
          <w:sz w:val="20"/>
          <w:szCs w:val="20"/>
          <w:color w:val="auto"/>
        </w:rPr>
      </w:pPr>
      <w:r>
        <w:rPr>
          <w:rFonts w:ascii="Times New Roman" w:cs="Times New Roman" w:eastAsia="Times New Roman" w:hAnsi="Times New Roman"/>
          <w:sz w:val="16"/>
          <w:szCs w:val="16"/>
          <w:color w:val="auto"/>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166" w:lineRule="exact"/>
        <w:rPr>
          <w:sz w:val="20"/>
          <w:szCs w:val="20"/>
          <w:color w:val="auto"/>
        </w:rPr>
      </w:pPr>
    </w:p>
    <w:p>
      <w:pPr>
        <w:ind w:left="740" w:right="140" w:hanging="371"/>
        <w:spacing w:after="0" w:line="267" w:lineRule="auto"/>
        <w:tabs>
          <w:tab w:leader="none" w:pos="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our preclinical or nonclinical testing may produce inconclusive or negative safety results, which may require us to conduct additional nonclinical testing or to abandon product candidates;</w:t>
      </w:r>
    </w:p>
    <w:p>
      <w:pPr>
        <w:spacing w:after="0" w:line="150"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our product candidates may have unfavorable pharmacology or toxicity characteristics or suggest possible drug-drug interaction;</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our product candidates may cause undesirable side effects; and</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FDA or other regulatory authorities may determine that additional safety testing is required.</w:t>
      </w:r>
    </w:p>
    <w:p>
      <w:pPr>
        <w:spacing w:after="0" w:line="189" w:lineRule="exact"/>
        <w:rPr>
          <w:sz w:val="20"/>
          <w:szCs w:val="20"/>
          <w:color w:val="auto"/>
        </w:rPr>
      </w:pPr>
    </w:p>
    <w:p>
      <w:pPr>
        <w:ind w:right="160" w:firstLine="751"/>
        <w:spacing w:after="0" w:line="267" w:lineRule="auto"/>
        <w:rPr>
          <w:sz w:val="20"/>
          <w:szCs w:val="20"/>
          <w:color w:val="auto"/>
        </w:rPr>
      </w:pPr>
      <w:r>
        <w:rPr>
          <w:rFonts w:ascii="Times New Roman" w:cs="Times New Roman" w:eastAsia="Times New Roman" w:hAnsi="Times New Roman"/>
          <w:sz w:val="16"/>
          <w:szCs w:val="16"/>
          <w:color w:val="auto"/>
        </w:rPr>
        <w:t>Any such events would increase our costs and could delay or prevent our ability to commercialize our product candidates, which could adversely impact our business, financial condition and results of operation.</w:t>
      </w:r>
    </w:p>
    <w:p>
      <w:pPr>
        <w:spacing w:after="0" w:line="149" w:lineRule="exact"/>
        <w:rPr>
          <w:sz w:val="20"/>
          <w:szCs w:val="20"/>
          <w:color w:val="auto"/>
        </w:rPr>
      </w:pPr>
    </w:p>
    <w:p>
      <w:pPr>
        <w:ind w:right="84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48" w:lineRule="exact"/>
        <w:rPr>
          <w:sz w:val="20"/>
          <w:szCs w:val="20"/>
          <w:color w:val="auto"/>
        </w:rPr>
      </w:pPr>
    </w:p>
    <w:p>
      <w:pPr>
        <w:ind w:right="80" w:firstLine="751"/>
        <w:spacing w:after="0" w:line="299" w:lineRule="auto"/>
        <w:rPr>
          <w:sz w:val="20"/>
          <w:szCs w:val="20"/>
          <w:color w:val="auto"/>
        </w:rPr>
      </w:pPr>
      <w:r>
        <w:rPr>
          <w:rFonts w:ascii="Times New Roman" w:cs="Times New Roman" w:eastAsia="Times New Roman" w:hAnsi="Times New Roman"/>
          <w:sz w:val="14"/>
          <w:szCs w:val="14"/>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31" w:lineRule="exact"/>
        <w:rPr>
          <w:sz w:val="20"/>
          <w:szCs w:val="20"/>
          <w:color w:val="auto"/>
        </w:rPr>
      </w:pPr>
    </w:p>
    <w:p>
      <w:pPr>
        <w:ind w:firstLine="751"/>
        <w:spacing w:after="0" w:line="190" w:lineRule="exact"/>
        <w:rPr>
          <w:sz w:val="20"/>
          <w:szCs w:val="20"/>
          <w:color w:val="auto"/>
        </w:rPr>
      </w:pPr>
      <w:r>
        <w:rPr>
          <w:rFonts w:ascii="Times New Roman" w:cs="Times New Roman" w:eastAsia="Times New Roman" w:hAnsi="Times New Roman"/>
          <w:sz w:val="14"/>
          <w:szCs w:val="14"/>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172" w:lineRule="exact"/>
        <w:rPr>
          <w:sz w:val="20"/>
          <w:szCs w:val="20"/>
          <w:color w:val="auto"/>
        </w:rPr>
      </w:pPr>
    </w:p>
    <w:p>
      <w:pPr>
        <w:ind w:right="100" w:firstLine="751"/>
        <w:spacing w:after="0" w:line="249" w:lineRule="auto"/>
        <w:rPr>
          <w:sz w:val="20"/>
          <w:szCs w:val="20"/>
          <w:color w:val="auto"/>
        </w:rPr>
      </w:pPr>
      <w:r>
        <w:rPr>
          <w:rFonts w:ascii="Times New Roman" w:cs="Times New Roman" w:eastAsia="Times New Roman" w:hAnsi="Times New Roman"/>
          <w:sz w:val="16"/>
          <w:szCs w:val="16"/>
          <w:color w:val="auto"/>
        </w:rPr>
        <w:t>Based on the side effects disclosed in FDA product labeling for marketed drugs that contain the same active molecules as our product candidate, AXS-07 may result in fatigue, confusion, dry mouth, diarrhea, nausea, insomnia, anemia, increased appetite, anxiety, sweating, dizziness, palpitations, arrythmia, tachycardia, abnormal vision, syncope, seizure, tremor, tinnitus, dizziness, somnolence, paresthesia, dysgeusia, dyspepsia, constipation, weight increase or decrease, gastritis, hematuria, flatulence, esophagitis, gastric ulcers, gastroesophageal reflux, gastrointestinal hemorrhages, colitis, rash, pain or tightness in the chest, neck, throat or jaw, upper respiratory tract infections, influenza-like symptoms, or other adverse events or potential adverse events reported or discussed in the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product labels for meloxicam</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containing or rizatriptan-containing products including Anjeso, Vivlodex, Mobic, and Maxalt.</w:t>
      </w:r>
    </w:p>
    <w:p>
      <w:pPr>
        <w:spacing w:after="0" w:line="223" w:lineRule="exact"/>
        <w:rPr>
          <w:sz w:val="20"/>
          <w:szCs w:val="20"/>
          <w:color w:val="auto"/>
        </w:rPr>
      </w:pPr>
    </w:p>
    <w:p>
      <w:pPr>
        <w:ind w:right="140" w:firstLine="751"/>
        <w:spacing w:after="0" w:line="249" w:lineRule="auto"/>
        <w:rPr>
          <w:sz w:val="20"/>
          <w:szCs w:val="20"/>
          <w:color w:val="auto"/>
        </w:rPr>
      </w:pPr>
      <w:r>
        <w:rPr>
          <w:rFonts w:ascii="Times New Roman" w:cs="Times New Roman" w:eastAsia="Times New Roman" w:hAnsi="Times New Roman"/>
          <w:sz w:val="16"/>
          <w:szCs w:val="16"/>
          <w:color w:val="auto"/>
        </w:rPr>
        <w:t>Based on the side effects disclosed in the EMA required product label for marketed drugs that contain the same active molecule as our product candidate,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p>
    <w:p>
      <w:pPr>
        <w:spacing w:after="0" w:line="166" w:lineRule="exact"/>
        <w:rPr>
          <w:sz w:val="20"/>
          <w:szCs w:val="20"/>
          <w:color w:val="auto"/>
        </w:rPr>
      </w:pPr>
    </w:p>
    <w:p>
      <w:pPr>
        <w:ind w:right="380" w:firstLine="751"/>
        <w:spacing w:after="0" w:line="251" w:lineRule="auto"/>
        <w:rPr>
          <w:sz w:val="20"/>
          <w:szCs w:val="20"/>
          <w:color w:val="auto"/>
        </w:rPr>
      </w:pPr>
      <w:r>
        <w:rPr>
          <w:rFonts w:ascii="Times New Roman" w:cs="Times New Roman" w:eastAsia="Times New Roman" w:hAnsi="Times New Roman"/>
          <w:sz w:val="16"/>
          <w:szCs w:val="16"/>
          <w:color w:val="auto"/>
        </w:rPr>
        <w:t>Known side effects for Auvelity and Sunosi are described on the approved labels for those products. In relation to further development efforts with respect to these compounds, different patient populations may react to these compounds differently. For example, AD agitation patients in the case of AXS-05 or ADHD patients in the case of solriamfetol may experience different side effects than patients taking these products for their currently approved indications. This is particularly true where different dosing, formulations or methods of administration are implicated.</w:t>
      </w:r>
    </w:p>
    <w:p>
      <w:pPr>
        <w:spacing w:after="0" w:line="164" w:lineRule="exact"/>
        <w:rPr>
          <w:sz w:val="20"/>
          <w:szCs w:val="20"/>
          <w:color w:val="auto"/>
        </w:rPr>
      </w:pPr>
    </w:p>
    <w:p>
      <w:pPr>
        <w:ind w:right="20" w:firstLine="751"/>
        <w:spacing w:after="0" w:line="191" w:lineRule="exact"/>
        <w:rPr>
          <w:sz w:val="20"/>
          <w:szCs w:val="20"/>
          <w:color w:val="auto"/>
        </w:rPr>
      </w:pPr>
      <w:r>
        <w:rPr>
          <w:rFonts w:ascii="Times New Roman" w:cs="Times New Roman" w:eastAsia="Times New Roman" w:hAnsi="Times New Roman"/>
          <w:sz w:val="14"/>
          <w:szCs w:val="14"/>
          <w:color w:val="auto"/>
        </w:rPr>
        <w:t>If any of our other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benefit perspective. The drug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experience delays or difficulties in the enrollment of patients in clinical trials, our receipt of necessary regulatory approvals could be delayed or prevented.</w:t>
      </w:r>
    </w:p>
    <w:p>
      <w:pPr>
        <w:spacing w:after="0" w:line="191" w:lineRule="exact"/>
        <w:rPr>
          <w:sz w:val="20"/>
          <w:szCs w:val="20"/>
          <w:color w:val="auto"/>
        </w:rPr>
      </w:pPr>
    </w:p>
    <w:p>
      <w:pPr>
        <w:ind w:firstLine="751"/>
        <w:spacing w:after="0" w:line="251" w:lineRule="auto"/>
        <w:rPr>
          <w:sz w:val="20"/>
          <w:szCs w:val="20"/>
          <w:color w:val="auto"/>
        </w:rPr>
      </w:pPr>
      <w:r>
        <w:rPr>
          <w:rFonts w:ascii="Times New Roman" w:cs="Times New Roman" w:eastAsia="Times New Roman" w:hAnsi="Times New Roman"/>
          <w:sz w:val="16"/>
          <w:szCs w:val="16"/>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64" w:lineRule="exact"/>
        <w:rPr>
          <w:sz w:val="20"/>
          <w:szCs w:val="20"/>
          <w:color w:val="auto"/>
        </w:rPr>
      </w:pPr>
    </w:p>
    <w:p>
      <w:pPr>
        <w:ind w:left="740" w:hanging="371"/>
        <w:spacing w:after="0"/>
        <w:tabs>
          <w:tab w:leader="none" w:pos="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size and nature of the patient population;</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severity of the disease under investigation;</w:t>
      </w:r>
    </w:p>
    <w:p>
      <w:pPr>
        <w:spacing w:after="0" w:line="189" w:lineRule="exact"/>
        <w:rPr>
          <w:rFonts w:ascii="Times New Roman" w:cs="Times New Roman" w:eastAsia="Times New Roman" w:hAnsi="Times New Roman"/>
          <w:sz w:val="14"/>
          <w:szCs w:val="14"/>
          <w:color w:val="auto"/>
        </w:rPr>
      </w:pPr>
    </w:p>
    <w:p>
      <w:pPr>
        <w:ind w:left="740" w:right="420" w:hanging="371"/>
        <w:spacing w:after="0" w:line="267" w:lineRule="auto"/>
        <w:tabs>
          <w:tab w:leader="none" w:pos="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eligibility criteria for, and design of, the clinical trial in question, including factors such as frequency of required assessments, length of the study, and ongoing monitoring requirements;</w:t>
      </w:r>
    </w:p>
    <w:p>
      <w:pPr>
        <w:spacing w:after="0" w:line="150" w:lineRule="exact"/>
        <w:rPr>
          <w:rFonts w:ascii="Times New Roman" w:cs="Times New Roman" w:eastAsia="Times New Roman" w:hAnsi="Times New Roman"/>
          <w:sz w:val="14"/>
          <w:szCs w:val="14"/>
          <w:color w:val="auto"/>
        </w:rPr>
      </w:pPr>
    </w:p>
    <w:p>
      <w:pPr>
        <w:ind w:left="740" w:right="380" w:hanging="371"/>
        <w:spacing w:after="0" w:line="267" w:lineRule="auto"/>
        <w:tabs>
          <w:tab w:leader="none" w:pos="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perceived risks and benefits of the product candidate under study, including the potential advantages or disadvantages of the product candidate being studied in relation to other available therapies;</w:t>
      </w:r>
    </w:p>
    <w:p>
      <w:pPr>
        <w:spacing w:after="0" w:line="150"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competition in recruiting and enrolling patients in clinical trials;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efforts to facilitate timely enrollment in clinical trials;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patient referral practices of physicians;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effectiveness of publicity created by clinical trial sites regarding the trial;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740" w:hanging="371"/>
        <w:spacing w:after="0"/>
        <w:tabs>
          <w:tab w:leader="none" w:pos="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patients’ ability to comply with the specific instructions related to the trial protocol, proper documentation, and use of the drug product;</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inability to obtain or maintain patient informed consents;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risk that enrolled patients will drop out before completion;</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ability to identify patients for enrollment and maintain a sufficient level of patient participants in our clinical studies;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ability to monitor patients adequately during and after treatment; and</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proximity and availability of clinical trial sites for prospective patients.</w:t>
      </w:r>
    </w:p>
    <w:p>
      <w:pPr>
        <w:spacing w:after="0" w:line="189" w:lineRule="exact"/>
        <w:rPr>
          <w:sz w:val="20"/>
          <w:szCs w:val="20"/>
          <w:color w:val="auto"/>
        </w:rPr>
      </w:pPr>
    </w:p>
    <w:p>
      <w:pPr>
        <w:ind w:right="40" w:firstLine="751"/>
        <w:spacing w:after="0" w:line="248" w:lineRule="auto"/>
        <w:rPr>
          <w:sz w:val="20"/>
          <w:szCs w:val="20"/>
          <w:color w:val="auto"/>
        </w:rPr>
      </w:pPr>
      <w:r>
        <w:rPr>
          <w:rFonts w:ascii="Times New Roman" w:cs="Times New Roman" w:eastAsia="Times New Roman" w:hAnsi="Times New Roman"/>
          <w:sz w:val="16"/>
          <w:szCs w:val="16"/>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66" w:lineRule="exact"/>
        <w:rPr>
          <w:sz w:val="20"/>
          <w:szCs w:val="20"/>
          <w:color w:val="auto"/>
        </w:rPr>
      </w:pPr>
    </w:p>
    <w:p>
      <w:pPr>
        <w:ind w:right="20" w:firstLine="751"/>
        <w:spacing w:after="0" w:line="255" w:lineRule="auto"/>
        <w:rPr>
          <w:sz w:val="20"/>
          <w:szCs w:val="20"/>
          <w:color w:val="auto"/>
        </w:rPr>
      </w:pPr>
      <w:r>
        <w:rPr>
          <w:rFonts w:ascii="Times New Roman" w:cs="Times New Roman" w:eastAsia="Times New Roman" w:hAnsi="Times New Roman"/>
          <w:sz w:val="16"/>
          <w:szCs w:val="16"/>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Development of combination product candidates may present more or different challenges than development of single agent product candidates.</w:t>
      </w:r>
    </w:p>
    <w:p>
      <w:pPr>
        <w:spacing w:after="0" w:line="191" w:lineRule="exact"/>
        <w:rPr>
          <w:sz w:val="20"/>
          <w:szCs w:val="20"/>
          <w:color w:val="auto"/>
        </w:rPr>
      </w:pPr>
    </w:p>
    <w:p>
      <w:pPr>
        <w:ind w:right="200" w:firstLine="751"/>
        <w:spacing w:after="0" w:line="248" w:lineRule="auto"/>
        <w:rPr>
          <w:sz w:val="20"/>
          <w:szCs w:val="20"/>
          <w:color w:val="auto"/>
        </w:rPr>
      </w:pPr>
      <w:r>
        <w:rPr>
          <w:rFonts w:ascii="Times New Roman" w:cs="Times New Roman" w:eastAsia="Times New Roman" w:hAnsi="Times New Roman"/>
          <w:sz w:val="16"/>
          <w:szCs w:val="16"/>
          <w:color w:val="auto"/>
        </w:rPr>
        <w:t>Certain product candidates of ours, including AXS-05 and AXS-07,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product candidate manufacturing or formulation may result in additional costs or delay.</w:t>
      </w:r>
    </w:p>
    <w:p>
      <w:pPr>
        <w:spacing w:after="0" w:line="191" w:lineRule="exact"/>
        <w:rPr>
          <w:sz w:val="20"/>
          <w:szCs w:val="20"/>
          <w:color w:val="auto"/>
        </w:rPr>
      </w:pPr>
    </w:p>
    <w:p>
      <w:pPr>
        <w:ind w:firstLine="751"/>
        <w:spacing w:after="0" w:line="247" w:lineRule="auto"/>
        <w:rPr>
          <w:sz w:val="20"/>
          <w:szCs w:val="20"/>
          <w:color w:val="auto"/>
        </w:rPr>
      </w:pPr>
      <w:r>
        <w:rPr>
          <w:rFonts w:ascii="Times New Roman" w:cs="Times New Roman" w:eastAsia="Times New Roman" w:hAnsi="Times New Roman"/>
          <w:sz w:val="16"/>
          <w:szCs w:val="16"/>
          <w:color w:val="auto"/>
        </w:rPr>
        <w:t>As product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commercial-size manufacturing batches, formulation changes may be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obtain marketing approval in international jurisdictions would prevent our products from being marketed abroad.</w:t>
      </w:r>
    </w:p>
    <w:p>
      <w:pPr>
        <w:spacing w:after="0" w:line="158" w:lineRule="exact"/>
        <w:rPr>
          <w:sz w:val="20"/>
          <w:szCs w:val="20"/>
          <w:color w:val="auto"/>
        </w:rPr>
      </w:pPr>
    </w:p>
    <w:p>
      <w:pPr>
        <w:ind w:firstLine="751"/>
        <w:spacing w:after="0" w:line="193" w:lineRule="exact"/>
        <w:rPr>
          <w:sz w:val="20"/>
          <w:szCs w:val="20"/>
          <w:color w:val="auto"/>
        </w:rPr>
      </w:pPr>
      <w:r>
        <w:rPr>
          <w:rFonts w:ascii="Times New Roman" w:cs="Times New Roman" w:eastAsia="Times New Roman" w:hAnsi="Times New Roman"/>
          <w:sz w:val="14"/>
          <w:szCs w:val="14"/>
          <w:color w:val="auto"/>
        </w:rPr>
        <w:t>In order to market and sell our products in the European Union, or EU, and many other jurisdictions, we or our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17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58" w:lineRule="exact"/>
        <w:rPr>
          <w:sz w:val="20"/>
          <w:szCs w:val="20"/>
          <w:color w:val="auto"/>
        </w:rPr>
      </w:pPr>
    </w:p>
    <w:p>
      <w:pPr>
        <w:ind w:right="20" w:firstLine="751"/>
        <w:spacing w:after="0" w:line="247" w:lineRule="auto"/>
        <w:rPr>
          <w:sz w:val="20"/>
          <w:szCs w:val="20"/>
          <w:color w:val="auto"/>
        </w:rPr>
      </w:pPr>
      <w:r>
        <w:rPr>
          <w:rFonts w:ascii="Times New Roman" w:cs="Times New Roman" w:eastAsia="Times New Roman" w:hAnsi="Times New Roman"/>
          <w:sz w:val="16"/>
          <w:szCs w:val="16"/>
          <w:color w:val="auto"/>
        </w:rPr>
        <w:t>We have received a Fast Track product designation for AXS-05 for both the treatment of TRD as well as for the treatment of AD agitation, and we may seek Fast Track designation for other of our current or future product candidates.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w:t>
      </w:r>
    </w:p>
    <w:p>
      <w:pPr>
        <w:spacing w:after="0" w:line="168" w:lineRule="exact"/>
        <w:rPr>
          <w:sz w:val="20"/>
          <w:szCs w:val="20"/>
          <w:color w:val="auto"/>
        </w:rPr>
      </w:pPr>
    </w:p>
    <w:p>
      <w:pPr>
        <w:ind w:right="80" w:firstLine="751"/>
        <w:spacing w:after="0" w:line="246" w:lineRule="auto"/>
        <w:rPr>
          <w:sz w:val="20"/>
          <w:szCs w:val="20"/>
          <w:color w:val="auto"/>
        </w:rPr>
      </w:pPr>
      <w:r>
        <w:rPr>
          <w:rFonts w:ascii="Times New Roman" w:cs="Times New Roman" w:eastAsia="Times New Roman" w:hAnsi="Times New Roman"/>
          <w:sz w:val="16"/>
          <w:szCs w:val="16"/>
          <w:color w:val="auto"/>
        </w:rPr>
        <w:t>We also received Breakthrough Therapy designation for AXS-05 for both the treatment of MDD and the treatment of AD agitation, and we may seek Breakthrough Therapy designation for other current or future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Breakthrough Therapy designation also allows the sponsor to request a Priority Review or file sections of the NDA on an ongoing basis for rolling review where the FDA may consider beginning review portions of a marketing application before the full submission is complete. Product candidates designated as Breakthrough Therapies by the FDA are also eligible for Priority Review if supported by clinical data at the time of the submission of the NDA.</w:t>
      </w:r>
    </w:p>
    <w:p>
      <w:pPr>
        <w:spacing w:after="0" w:line="170" w:lineRule="exact"/>
        <w:rPr>
          <w:sz w:val="20"/>
          <w:szCs w:val="20"/>
          <w:color w:val="auto"/>
        </w:rPr>
      </w:pPr>
    </w:p>
    <w:p>
      <w:pPr>
        <w:ind w:right="100" w:firstLine="751"/>
        <w:spacing w:after="0" w:line="248" w:lineRule="auto"/>
        <w:rPr>
          <w:sz w:val="20"/>
          <w:szCs w:val="20"/>
          <w:color w:val="auto"/>
        </w:rPr>
      </w:pPr>
      <w:r>
        <w:rPr>
          <w:rFonts w:ascii="Times New Roman" w:cs="Times New Roman" w:eastAsia="Times New Roman" w:hAnsi="Times New Roman"/>
          <w:sz w:val="16"/>
          <w:szCs w:val="16"/>
          <w:color w:val="auto"/>
        </w:rPr>
        <w:t>Breakthrough Therapy or Fast Track designation is within the discretion of the FDA. The receipt of a Breakthrough Therapy or Fast Track designation for a product candidate may not ultimately result in a faster development process or review, and it does not in any way assure approval of product candidates by the FDA. In addition, the FDA may later decide to rescind the Breakthrough Therapy or Fast Track designation for one or more of our applicable product candidates if such product candidates no longer meet the conditions for qualification of this program. For example, we were initially granted Breakthrough Therapy designation for AXS-12 for the treatment of cataplexy in patients with narcolepsy in August 2020. In July 2021, the FDA rescinded our Breakthrough Therapy designation due to the FDA approving an additional drug product for the treatment of cataplexy in narcolepsy.</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80"/>
        <w:spacing w:after="0" w:line="201" w:lineRule="exact"/>
        <w:rPr>
          <w:sz w:val="20"/>
          <w:szCs w:val="20"/>
          <w:color w:val="auto"/>
        </w:rPr>
      </w:pPr>
      <w:r>
        <w:rPr>
          <w:rFonts w:ascii="Times New Roman" w:cs="Times New Roman" w:eastAsia="Times New Roman" w:hAnsi="Times New Roman"/>
          <w:sz w:val="16"/>
          <w:szCs w:val="16"/>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b w:val="1"/>
          <w:bCs w:val="1"/>
          <w:i w:val="1"/>
          <w:iCs w:val="1"/>
          <w:color w:val="auto"/>
        </w:rPr>
        <w:t>label” uses, resulting in damage to our reputation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-90805</wp:posOffset>
            </wp:positionV>
            <wp:extent cx="58420"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420" cy="37465"/>
                    </a:xfrm>
                    <a:prstGeom prst="rect">
                      <a:avLst/>
                    </a:prstGeom>
                    <a:noFill/>
                  </pic:spPr>
                </pic:pic>
              </a:graphicData>
            </a:graphic>
          </wp:anchor>
        </w:drawing>
      </w:r>
    </w:p>
    <w:p>
      <w:pPr>
        <w:spacing w:after="0" w:line="129" w:lineRule="exact"/>
        <w:rPr>
          <w:sz w:val="20"/>
          <w:szCs w:val="20"/>
          <w:color w:val="auto"/>
        </w:rPr>
      </w:pPr>
    </w:p>
    <w:p>
      <w:pPr>
        <w:ind w:firstLine="751"/>
        <w:spacing w:after="0" w:line="189" w:lineRule="exact"/>
        <w:rPr>
          <w:sz w:val="20"/>
          <w:szCs w:val="20"/>
          <w:color w:val="auto"/>
        </w:rPr>
      </w:pPr>
      <w:r>
        <w:rPr>
          <w:rFonts w:ascii="Times New Roman" w:cs="Times New Roman" w:eastAsia="Times New Roman" w:hAnsi="Times New Roman"/>
          <w:sz w:val="16"/>
          <w:szCs w:val="16"/>
          <w:color w:val="auto"/>
        </w:rPr>
        <w:t>We, and any of our collaborators, must comply with requirements concerning advertising and promotion for any of our products for which we or they obtain marketing approval. Promotional communications with respect to prescription drugs are subject to a variety of legal and regulatory restrictions and continuing review by the FDA, Department of Justice, HHS’s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label uses, and our business may be adversely affected. We further must be able to sufficiently substantiate any claims that we make for our products including claims comparing our products to other companies’ products.</w:t>
      </w:r>
    </w:p>
    <w:p>
      <w:pPr>
        <w:spacing w:after="0" w:line="174" w:lineRule="exact"/>
        <w:rPr>
          <w:sz w:val="20"/>
          <w:szCs w:val="20"/>
          <w:color w:val="auto"/>
        </w:rPr>
      </w:pPr>
    </w:p>
    <w:p>
      <w:pPr>
        <w:ind w:right="80" w:firstLine="751"/>
        <w:spacing w:after="0" w:line="195" w:lineRule="exact"/>
        <w:rPr>
          <w:sz w:val="20"/>
          <w:szCs w:val="20"/>
          <w:color w:val="auto"/>
        </w:rPr>
      </w:pPr>
      <w:r>
        <w:rPr>
          <w:rFonts w:ascii="Times New Roman" w:cs="Times New Roman" w:eastAsia="Times New Roman" w:hAnsi="Times New Roman"/>
          <w:sz w:val="14"/>
          <w:szCs w:val="14"/>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label use.</w:t>
      </w:r>
    </w:p>
    <w:p>
      <w:pPr>
        <w:spacing w:after="0" w:line="148" w:lineRule="exact"/>
        <w:rPr>
          <w:sz w:val="20"/>
          <w:szCs w:val="20"/>
          <w:color w:val="auto"/>
        </w:rPr>
      </w:pPr>
    </w:p>
    <w:p>
      <w:pPr>
        <w:ind w:right="20" w:firstLine="751"/>
        <w:spacing w:after="0" w:line="190" w:lineRule="exact"/>
        <w:rPr>
          <w:sz w:val="20"/>
          <w:szCs w:val="20"/>
          <w:color w:val="auto"/>
        </w:rPr>
      </w:pPr>
      <w:r>
        <w:rPr>
          <w:rFonts w:ascii="Times New Roman" w:cs="Times New Roman" w:eastAsia="Times New Roman" w:hAnsi="Times New Roman"/>
          <w:sz w:val="16"/>
          <w:szCs w:val="16"/>
          <w:color w:val="auto"/>
        </w:rPr>
        <w:t>If we are found to have impermissibly promoted any of our products,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firstLine="751"/>
        <w:spacing w:after="0" w:line="192" w:lineRule="exact"/>
        <w:rPr>
          <w:sz w:val="20"/>
          <w:szCs w:val="20"/>
          <w:color w:val="auto"/>
        </w:rPr>
      </w:pPr>
      <w:r>
        <w:rPr>
          <w:rFonts w:ascii="Times New Roman" w:cs="Times New Roman" w:eastAsia="Times New Roman" w:hAnsi="Times New Roman"/>
          <w:sz w:val="14"/>
          <w:szCs w:val="14"/>
          <w:color w:val="auto"/>
        </w:rPr>
        <w:t>In the United States, engaging in the impermissible promotion of our products, following approval, for off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 part due to the potential False Claims Act exposure. The False Claims Act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 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335" w:lineRule="exact"/>
        <w:rPr>
          <w:sz w:val="20"/>
          <w:szCs w:val="20"/>
          <w:color w:val="auto"/>
        </w:rPr>
      </w:pPr>
    </w:p>
    <w:p>
      <w:pPr>
        <w:ind w:right="240" w:firstLine="751"/>
        <w:spacing w:after="0" w:line="249" w:lineRule="auto"/>
        <w:rPr>
          <w:sz w:val="20"/>
          <w:szCs w:val="20"/>
          <w:color w:val="auto"/>
        </w:rPr>
      </w:pPr>
      <w:r>
        <w:rPr>
          <w:rFonts w:ascii="Times New Roman" w:cs="Times New Roman" w:eastAsia="Times New Roman" w:hAnsi="Times New Roman"/>
          <w:sz w:val="16"/>
          <w:szCs w:val="16"/>
          <w:color w:val="auto"/>
        </w:rPr>
        <w:t>In the United States, the distribution of product samples to physicians must further comply with the requirements of the U.S. Prescription Drug Marketing Act.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164"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We are, and will continue to be subject to, ongoing obligations and continued regulatory review, which may result in significant additional expense. Additionally, any of our products, could be subject to labeling and other restrictions and market withdrawal and we may be subject to penalties if we fail to comply with regulatory requirements or experience unanticipated problems with our products.</w:t>
      </w:r>
    </w:p>
    <w:p>
      <w:pPr>
        <w:spacing w:after="0" w:line="158" w:lineRule="exact"/>
        <w:rPr>
          <w:sz w:val="20"/>
          <w:szCs w:val="20"/>
          <w:color w:val="auto"/>
        </w:rPr>
      </w:pPr>
    </w:p>
    <w:p>
      <w:pPr>
        <w:ind w:right="120" w:firstLine="751"/>
        <w:spacing w:after="0" w:line="248" w:lineRule="auto"/>
        <w:rPr>
          <w:sz w:val="20"/>
          <w:szCs w:val="20"/>
          <w:color w:val="auto"/>
        </w:rPr>
      </w:pPr>
      <w:r>
        <w:rPr>
          <w:rFonts w:ascii="Times New Roman" w:cs="Times New Roman" w:eastAsia="Times New Roman" w:hAnsi="Times New Roman"/>
          <w:sz w:val="16"/>
          <w:szCs w:val="16"/>
          <w:color w:val="auto"/>
        </w:rPr>
        <w:t>Our product(s) are subject to extensive and ongoing requirements of and review by the FDA and other regulatory authorities, including requirements related to the manufacturing processes, post 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program fees for our products; continued compliance with cGMP requirements relating to manufacturing, quality control, quality assurance, and corresponding maintenance of records and documents; requirements regarding the distribution of samples to physicians and recordkeeping; and GCP, for any clinical trials that we conduct post approval.</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500" w:firstLine="751"/>
        <w:spacing w:after="0" w:line="255" w:lineRule="auto"/>
        <w:rPr>
          <w:sz w:val="20"/>
          <w:szCs w:val="20"/>
          <w:color w:val="auto"/>
        </w:rPr>
      </w:pPr>
      <w:r>
        <w:rPr>
          <w:rFonts w:ascii="Times New Roman" w:cs="Times New Roman" w:eastAsia="Times New Roman" w:hAnsi="Times New Roman"/>
          <w:sz w:val="16"/>
          <w:szCs w:val="16"/>
          <w:color w:val="auto"/>
        </w:rPr>
        <w:t>We and any of our collaborators, including our contract manufacturers, could be subject to periodic unannounced inspections by the FDA to monitor and ensure compliance with cGMP and GCP. Application holders must further notify the FDA, and depending on the nature of the change, obtain FDA pre-approval for product and manufacturing changes. Application fees may apply to certain changes.</w:t>
      </w:r>
    </w:p>
    <w:p>
      <w:pPr>
        <w:spacing w:after="0" w:line="160" w:lineRule="exact"/>
        <w:rPr>
          <w:sz w:val="20"/>
          <w:szCs w:val="20"/>
          <w:color w:val="auto"/>
        </w:rPr>
      </w:pPr>
    </w:p>
    <w:p>
      <w:pPr>
        <w:ind w:right="520" w:firstLine="751"/>
        <w:spacing w:after="0" w:line="340" w:lineRule="auto"/>
        <w:rPr>
          <w:sz w:val="20"/>
          <w:szCs w:val="20"/>
          <w:color w:val="auto"/>
        </w:rPr>
      </w:pPr>
      <w:r>
        <w:rPr>
          <w:rFonts w:ascii="Times New Roman" w:cs="Times New Roman" w:eastAsia="Times New Roman" w:hAnsi="Times New Roman"/>
          <w:sz w:val="14"/>
          <w:szCs w:val="14"/>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04" w:lineRule="exact"/>
        <w:rPr>
          <w:sz w:val="20"/>
          <w:szCs w:val="20"/>
          <w:color w:val="auto"/>
        </w:rPr>
      </w:pPr>
    </w:p>
    <w:p>
      <w:pPr>
        <w:ind w:left="740" w:hanging="371"/>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restrictions on manufacturing or distribution, or marketing of such products;</w:t>
      </w:r>
    </w:p>
    <w:p>
      <w:pPr>
        <w:spacing w:after="0" w:line="189" w:lineRule="exact"/>
        <w:rPr>
          <w:rFonts w:ascii="Times New Roman" w:cs="Times New Roman" w:eastAsia="Times New Roman" w:hAnsi="Times New Roman"/>
          <w:sz w:val="14"/>
          <w:szCs w:val="14"/>
          <w:color w:val="auto"/>
        </w:rPr>
      </w:pPr>
    </w:p>
    <w:p>
      <w:pPr>
        <w:ind w:left="740" w:right="500" w:hanging="371"/>
        <w:spacing w:after="0" w:line="267" w:lineRule="auto"/>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restrictions on the labeling, including required additional warnings, such as black box warnings, contraindications, precautions, and restrictions on the approved indication or use;</w:t>
      </w:r>
    </w:p>
    <w:p>
      <w:pPr>
        <w:spacing w:after="0" w:line="150"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modifications to promotional pieces;</w:t>
      </w:r>
    </w:p>
    <w:p>
      <w:pPr>
        <w:spacing w:after="0" w:line="155" w:lineRule="exact"/>
        <w:rPr>
          <w:rFonts w:ascii="Times New Roman" w:cs="Times New Roman" w:eastAsia="Times New Roman" w:hAnsi="Times New Roman"/>
          <w:sz w:val="14"/>
          <w:szCs w:val="14"/>
          <w:color w:val="auto"/>
        </w:rPr>
      </w:pPr>
    </w:p>
    <w:p>
      <w:pPr>
        <w:ind w:left="740" w:hanging="371"/>
        <w:spacing w:after="0" w:line="184" w:lineRule="exact"/>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requirements to conduct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marketing studies or clinical trials; clinical holds or termination of clinical trials;</w:t>
      </w:r>
    </w:p>
    <w:p>
      <w:pPr>
        <w:spacing w:after="0" w:line="223" w:lineRule="exact"/>
        <w:rPr>
          <w:rFonts w:ascii="Times New Roman" w:cs="Times New Roman" w:eastAsia="Times New Roman" w:hAnsi="Times New Roman"/>
          <w:sz w:val="14"/>
          <w:szCs w:val="14"/>
          <w:color w:val="auto"/>
        </w:rPr>
      </w:pPr>
    </w:p>
    <w:p>
      <w:pPr>
        <w:jc w:val="both"/>
        <w:ind w:left="740" w:hanging="371"/>
        <w:spacing w:after="0" w:line="255" w:lineRule="auto"/>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requirements to establish or modify a REMS or a comparable foreign authority may require that we establish or modify a similar strategy, that may, for instance, require us to create or modify a medication guide outlining the risks of the previously unidentified side effects for distribution to patients, or restrict distribution of the product, if and when approved, and impose burdensome implementation requirements on us;</w:t>
      </w:r>
    </w:p>
    <w:p>
      <w:pPr>
        <w:spacing w:after="0" w:line="160"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changes to the way the drug is administered;</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liability for harm caused to patients or subjects;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reputational harm;</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drug becoming less competitive;</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warning or untitled letters;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suspension of marketing or withdrawal of the products from the market;</w:t>
      </w:r>
    </w:p>
    <w:p>
      <w:pPr>
        <w:spacing w:after="0" w:line="189" w:lineRule="exact"/>
        <w:rPr>
          <w:rFonts w:ascii="Times New Roman" w:cs="Times New Roman" w:eastAsia="Times New Roman" w:hAnsi="Times New Roman"/>
          <w:sz w:val="14"/>
          <w:szCs w:val="14"/>
          <w:color w:val="auto"/>
        </w:rPr>
      </w:pPr>
    </w:p>
    <w:p>
      <w:pPr>
        <w:ind w:left="740" w:right="40" w:hanging="371"/>
        <w:spacing w:after="0" w:line="267" w:lineRule="auto"/>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regulatory authority issuance of safety alerts, Dear Healthcare Provider letters, press releases, or other communications containing warnings or other safety information about the drug;</w:t>
      </w:r>
    </w:p>
    <w:p>
      <w:pPr>
        <w:spacing w:after="0" w:line="150"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refusal to approve pending applications or supplements to approved applications that we submit;</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recall of products;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fines, damages, restitution, or disgorgement of profits or revenues;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suspension or withdrawal of marketing approvals;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refusal to permit the import or export of our products;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product seizure or detention;</w:t>
      </w:r>
    </w:p>
    <w:p>
      <w:pPr>
        <w:spacing w:after="0" w:line="189" w:lineRule="exact"/>
        <w:rPr>
          <w:rFonts w:ascii="Times New Roman" w:cs="Times New Roman" w:eastAsia="Times New Roman" w:hAnsi="Times New Roman"/>
          <w:sz w:val="14"/>
          <w:szCs w:val="14"/>
          <w:color w:val="auto"/>
        </w:rPr>
      </w:pPr>
    </w:p>
    <w:p>
      <w:pPr>
        <w:ind w:left="740" w:right="360" w:hanging="371"/>
        <w:spacing w:after="0" w:line="267" w:lineRule="auto"/>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FDA debarment, debarment from government contracts, and refusal of future orders under existing contracts, exclusion from federal healthcare programs, consent decrees, or corporate integrity agreements; or</w:t>
      </w: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680"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740" w:hanging="371"/>
        <w:spacing w:after="0"/>
        <w:tabs>
          <w:tab w:leader="none" w:pos="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injunctions or the imposition of civil or criminal penalties, including imprisonment.</w:t>
      </w:r>
    </w:p>
    <w:p>
      <w:pPr>
        <w:spacing w:after="0" w:line="189" w:lineRule="exact"/>
        <w:rPr>
          <w:sz w:val="20"/>
          <w:szCs w:val="20"/>
          <w:color w:val="auto"/>
        </w:rPr>
      </w:pPr>
    </w:p>
    <w:p>
      <w:pPr>
        <w:ind w:right="40" w:firstLine="751"/>
        <w:spacing w:after="0" w:line="251" w:lineRule="auto"/>
        <w:rPr>
          <w:sz w:val="20"/>
          <w:szCs w:val="20"/>
          <w:color w:val="auto"/>
        </w:rPr>
      </w:pPr>
      <w:r>
        <w:rPr>
          <w:rFonts w:ascii="Times New Roman" w:cs="Times New Roman" w:eastAsia="Times New Roman" w:hAnsi="Times New Roman"/>
          <w:sz w:val="16"/>
          <w:szCs w:val="16"/>
          <w:color w:val="auto"/>
        </w:rPr>
        <w:t>Any of these events could prevent us from achieving or maintaining market acceptance of the particular products,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64" w:lineRule="exact"/>
        <w:rPr>
          <w:sz w:val="20"/>
          <w:szCs w:val="20"/>
          <w:color w:val="auto"/>
        </w:rPr>
      </w:pPr>
    </w:p>
    <w:p>
      <w:pPr>
        <w:jc w:val="both"/>
        <w:ind w:right="40" w:firstLine="751"/>
        <w:spacing w:after="0" w:line="309" w:lineRule="auto"/>
        <w:rPr>
          <w:sz w:val="20"/>
          <w:szCs w:val="20"/>
          <w:color w:val="auto"/>
        </w:rPr>
      </w:pPr>
      <w:r>
        <w:rPr>
          <w:rFonts w:ascii="Times New Roman" w:cs="Times New Roman" w:eastAsia="Times New Roman" w:hAnsi="Times New Roman"/>
          <w:sz w:val="14"/>
          <w:szCs w:val="14"/>
          <w:color w:val="auto"/>
        </w:rPr>
        <w:t>The FDA’s policies may change and additional government regulations may be enacted that could prevent, limit, or delay regulatory approval of our product candidates or that could impose additional regulatory obligations on our products.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91" w:lineRule="exact"/>
        <w:rPr>
          <w:sz w:val="20"/>
          <w:szCs w:val="20"/>
          <w:color w:val="auto"/>
        </w:rPr>
      </w:pPr>
    </w:p>
    <w:p>
      <w:pPr>
        <w:ind w:right="80" w:firstLine="751"/>
        <w:spacing w:after="0" w:line="211" w:lineRule="exact"/>
        <w:rPr>
          <w:sz w:val="20"/>
          <w:szCs w:val="20"/>
          <w:color w:val="auto"/>
        </w:rPr>
      </w:pPr>
      <w:r>
        <w:rPr>
          <w:rFonts w:ascii="Times New Roman" w:cs="Times New Roman" w:eastAsia="Times New Roman" w:hAnsi="Times New Roman"/>
          <w:sz w:val="16"/>
          <w:szCs w:val="16"/>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approval regulations may have a negative effect on our operating results and financial condition.</w:t>
      </w:r>
    </w:p>
    <w:p>
      <w:pPr>
        <w:spacing w:after="0" w:line="170" w:lineRule="exact"/>
        <w:rPr>
          <w:sz w:val="20"/>
          <w:szCs w:val="20"/>
          <w:color w:val="auto"/>
        </w:rPr>
      </w:pPr>
    </w:p>
    <w:p>
      <w:pPr>
        <w:ind w:right="56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Timelines for the review of our regulatory submissions by the FDA and other regulatory agencies are subject to change and uncertainty, which may delay the potential approval of any product candidates we seek to develop or commercialize.</w:t>
      </w:r>
    </w:p>
    <w:p>
      <w:pPr>
        <w:spacing w:after="0" w:line="148" w:lineRule="exact"/>
        <w:rPr>
          <w:sz w:val="20"/>
          <w:szCs w:val="20"/>
          <w:color w:val="auto"/>
        </w:rPr>
      </w:pPr>
    </w:p>
    <w:p>
      <w:pPr>
        <w:ind w:firstLine="751"/>
        <w:spacing w:after="0" w:line="251" w:lineRule="auto"/>
        <w:rPr>
          <w:sz w:val="20"/>
          <w:szCs w:val="20"/>
          <w:color w:val="auto"/>
        </w:rPr>
      </w:pPr>
      <w:r>
        <w:rPr>
          <w:rFonts w:ascii="Times New Roman" w:cs="Times New Roman" w:eastAsia="Times New Roman" w:hAnsi="Times New Roman"/>
          <w:sz w:val="16"/>
          <w:szCs w:val="16"/>
          <w:color w:val="auto"/>
        </w:rPr>
        <w:t>We cannot predict the timeline for review of submissions to any regulatory authorities or when any of our product candidates will receive marketing approval, if at all. The timeline for regulatory approval can be affected by a variety of factors, including disruptive effects of the COVID-19 pandemic, budget and funding levels, agency staffing, and statutory, regulatory and policy changes. Delays or uncertainty in the timing of regulatory action in response to our submissions could adversely impact our development and commercialization efforts and our business prospects.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variety of risks associated with international operations could materially adversely affect our business.</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We are, and may become party to further agreements, pursuant to which we out-license our products outside of the United States. The Company also currently markets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Sunosi in Canada. We expect that we will be subject to additional risks related to entering into international business relationships, including:</w:t>
      </w:r>
    </w:p>
    <w:p>
      <w:pPr>
        <w:spacing w:after="0" w:line="174" w:lineRule="exact"/>
        <w:rPr>
          <w:sz w:val="20"/>
          <w:szCs w:val="20"/>
          <w:color w:val="auto"/>
        </w:rPr>
      </w:pPr>
    </w:p>
    <w:p>
      <w:pPr>
        <w:ind w:left="740" w:hanging="371"/>
        <w:spacing w:after="0"/>
        <w:tabs>
          <w:tab w:leader="none" w:pos="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different regulatory requirements for approval of drugs in foreign countries;</w:t>
      </w:r>
    </w:p>
    <w:p>
      <w:pPr>
        <w:spacing w:after="0" w:line="155" w:lineRule="exact"/>
        <w:rPr>
          <w:rFonts w:ascii="Times New Roman" w:cs="Times New Roman" w:eastAsia="Times New Roman" w:hAnsi="Times New Roman"/>
          <w:sz w:val="14"/>
          <w:szCs w:val="14"/>
          <w:color w:val="auto"/>
        </w:rPr>
      </w:pPr>
    </w:p>
    <w:p>
      <w:pPr>
        <w:ind w:left="740" w:right="20" w:hanging="371"/>
        <w:spacing w:after="0" w:line="212" w:lineRule="exact"/>
        <w:tabs>
          <w:tab w:leader="none" w:pos="74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potential for so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171" w:lineRule="exact"/>
        <w:rPr>
          <w:rFonts w:ascii="Times New Roman" w:cs="Times New Roman" w:eastAsia="Times New Roman" w:hAnsi="Times New Roman"/>
          <w:sz w:val="13"/>
          <w:szCs w:val="13"/>
          <w:color w:val="auto"/>
        </w:rPr>
      </w:pPr>
    </w:p>
    <w:p>
      <w:pPr>
        <w:ind w:left="740" w:right="160" w:hanging="371"/>
        <w:spacing w:after="0" w:line="267" w:lineRule="auto"/>
        <w:tabs>
          <w:tab w:leader="none" w:pos="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stricter harmonized EU rules on data privacy particularly in relation to health data than is the case in the United States which are being further toughened with the EU General Data Protection Regulation, or the GDPR, which became enforceable beginning May 25, 2018;</w:t>
      </w:r>
    </w:p>
    <w:p>
      <w:pPr>
        <w:spacing w:after="0" w:line="150" w:lineRule="exact"/>
        <w:rPr>
          <w:rFonts w:ascii="Times New Roman" w:cs="Times New Roman" w:eastAsia="Times New Roman" w:hAnsi="Times New Roman"/>
          <w:sz w:val="14"/>
          <w:szCs w:val="14"/>
          <w:color w:val="auto"/>
        </w:rPr>
      </w:pPr>
    </w:p>
    <w:p>
      <w:pPr>
        <w:ind w:left="740" w:right="160" w:hanging="371"/>
        <w:spacing w:after="0" w:line="267" w:lineRule="auto"/>
        <w:tabs>
          <w:tab w:leader="none" w:pos="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challenges enforcing our contractual and intellectual property rights, especially in those foreign countries that do not respect and protect intellectual property rights to the same extent as the United States;</w:t>
      </w:r>
    </w:p>
    <w:p>
      <w:pPr>
        <w:spacing w:after="0" w:line="150"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unexpected changes in tariffs, trade barriers, and regulatory requirements and in the health care policies of foreign jurisdictions;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economic weakness, including inflation, or political instability in particular foreign economies and markets;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compliance with tax, employment, immigration, and labor laws for employees living or traveling abroad;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740" w:hanging="371"/>
        <w:spacing w:after="0"/>
        <w:tabs>
          <w:tab w:leader="none" w:pos="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foreign taxes, including withholding of payroll taxes;</w:t>
      </w:r>
    </w:p>
    <w:p>
      <w:pPr>
        <w:spacing w:after="0" w:line="189" w:lineRule="exact"/>
        <w:rPr>
          <w:rFonts w:ascii="Times New Roman" w:cs="Times New Roman" w:eastAsia="Times New Roman" w:hAnsi="Times New Roman"/>
          <w:sz w:val="14"/>
          <w:szCs w:val="14"/>
          <w:color w:val="auto"/>
        </w:rPr>
      </w:pPr>
    </w:p>
    <w:p>
      <w:pPr>
        <w:ind w:left="740" w:right="360" w:hanging="371"/>
        <w:spacing w:after="0" w:line="267" w:lineRule="auto"/>
        <w:tabs>
          <w:tab w:leader="none" w:pos="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foreign currency fluctuations, which could result in increased operating expenses and reduced revenues, and other obligations incident to doing business in another country;</w:t>
      </w:r>
    </w:p>
    <w:p>
      <w:pPr>
        <w:spacing w:after="0" w:line="150"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difficulties staffing and managing foreign operations;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workforce uncertainty in countries where labor unrest is more common than in the United States and worker rights tend to be stronger;</w:t>
      </w:r>
    </w:p>
    <w:p>
      <w:pPr>
        <w:spacing w:after="0" w:line="189" w:lineRule="exact"/>
        <w:rPr>
          <w:rFonts w:ascii="Times New Roman" w:cs="Times New Roman" w:eastAsia="Times New Roman" w:hAnsi="Times New Roman"/>
          <w:sz w:val="14"/>
          <w:szCs w:val="14"/>
          <w:color w:val="auto"/>
        </w:rPr>
      </w:pPr>
    </w:p>
    <w:p>
      <w:pPr>
        <w:ind w:left="740" w:right="100" w:hanging="371"/>
        <w:spacing w:after="0" w:line="267" w:lineRule="auto"/>
        <w:tabs>
          <w:tab w:leader="none" w:pos="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costs of compliance with U.S. laws and regulations for foreign operations, including the Foreign Corrupt Practices Act or comparable foreign regulations, and the risks and costs of noncompliance;</w:t>
      </w:r>
    </w:p>
    <w:p>
      <w:pPr>
        <w:spacing w:after="0" w:line="150"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production shortages resulting from any events affecting raw material supply or manufacturing capabilities abroad; and</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business interruptions resulting from geopolitical actions, including war and terrorism, or natural disasters including earthquakes, typhoons, floods, and fires.</w:t>
      </w:r>
    </w:p>
    <w:p>
      <w:pPr>
        <w:spacing w:after="0" w:line="18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These and other risks associated with our international operations may materially adversely affect our ability to attain or maintain profitable operations.</w:t>
      </w:r>
    </w:p>
    <w:p>
      <w:pPr>
        <w:spacing w:after="0" w:line="187"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48" w:lineRule="exact"/>
        <w:rPr>
          <w:sz w:val="20"/>
          <w:szCs w:val="20"/>
          <w:color w:val="auto"/>
        </w:rPr>
      </w:pPr>
    </w:p>
    <w:p>
      <w:pPr>
        <w:ind w:firstLine="751"/>
        <w:spacing w:after="0" w:line="288" w:lineRule="auto"/>
        <w:rPr>
          <w:sz w:val="20"/>
          <w:szCs w:val="20"/>
          <w:color w:val="auto"/>
        </w:rPr>
      </w:pPr>
      <w:r>
        <w:rPr>
          <w:rFonts w:ascii="Times New Roman" w:cs="Times New Roman" w:eastAsia="Times New Roman" w:hAnsi="Times New Roman"/>
          <w:sz w:val="14"/>
          <w:szCs w:val="14"/>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THE COMMERCIALIZATION OF OUR PRODUCTS</w:t>
      </w:r>
    </w:p>
    <w:p>
      <w:pPr>
        <w:spacing w:after="0" w:line="189"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48" w:lineRule="exact"/>
        <w:rPr>
          <w:sz w:val="20"/>
          <w:szCs w:val="20"/>
          <w:color w:val="auto"/>
        </w:rPr>
      </w:pPr>
    </w:p>
    <w:p>
      <w:pPr>
        <w:ind w:right="120" w:firstLine="751"/>
        <w:spacing w:after="0" w:line="248" w:lineRule="auto"/>
        <w:rPr>
          <w:sz w:val="20"/>
          <w:szCs w:val="20"/>
          <w:color w:val="auto"/>
        </w:rPr>
      </w:pPr>
      <w:r>
        <w:rPr>
          <w:rFonts w:ascii="Times New Roman" w:cs="Times New Roman" w:eastAsia="Times New Roman" w:hAnsi="Times New Roman"/>
          <w:sz w:val="16"/>
          <w:szCs w:val="16"/>
          <w:color w:val="auto"/>
        </w:rPr>
        <w:t>The development and commercialization of new drug products is highly competitive. We face competition with respect to our current products and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60" w:firstLine="751"/>
        <w:spacing w:after="0" w:line="251" w:lineRule="auto"/>
        <w:rPr>
          <w:sz w:val="20"/>
          <w:szCs w:val="20"/>
          <w:color w:val="auto"/>
        </w:rPr>
      </w:pPr>
      <w:r>
        <w:rPr>
          <w:rFonts w:ascii="Times New Roman" w:cs="Times New Roman" w:eastAsia="Times New Roman" w:hAnsi="Times New Roman"/>
          <w:sz w:val="16"/>
          <w:szCs w:val="16"/>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Inc.; Amgen Inc.; Avadel Pharmaceuticals plc; Biogen Inc.; Eli Lilly and Company; H. Lundbeck A/S; Harmony Biosciences; Intra-Cellular Therapies, Inc.; Janssen; Jazz; Otsuka Pharmaceutical Co. Ltd.; Pfizer Inc.; Relmada Therapeutics Inc.; Sage Therapeutics, Inc.; and Takeda Pharmaceutical Company Limited.</w:t>
      </w:r>
    </w:p>
    <w:p>
      <w:pPr>
        <w:spacing w:after="0" w:line="164" w:lineRule="exact"/>
        <w:rPr>
          <w:sz w:val="20"/>
          <w:szCs w:val="20"/>
          <w:color w:val="auto"/>
        </w:rPr>
      </w:pPr>
    </w:p>
    <w:p>
      <w:pPr>
        <w:ind w:firstLine="751"/>
        <w:spacing w:after="0" w:line="190" w:lineRule="exact"/>
        <w:rPr>
          <w:sz w:val="20"/>
          <w:szCs w:val="20"/>
          <w:color w:val="auto"/>
        </w:rPr>
      </w:pPr>
      <w:r>
        <w:rPr>
          <w:rFonts w:ascii="Times New Roman" w:cs="Times New Roman" w:eastAsia="Times New Roman" w:hAnsi="Times New Roman"/>
          <w:sz w:val="16"/>
          <w:szCs w:val="16"/>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171" w:lineRule="exact"/>
        <w:rPr>
          <w:sz w:val="20"/>
          <w:szCs w:val="20"/>
          <w:color w:val="auto"/>
        </w:rPr>
      </w:pPr>
    </w:p>
    <w:p>
      <w:pPr>
        <w:ind w:firstLine="751"/>
        <w:spacing w:after="0" w:line="249" w:lineRule="auto"/>
        <w:rPr>
          <w:sz w:val="20"/>
          <w:szCs w:val="20"/>
          <w:color w:val="auto"/>
        </w:rPr>
      </w:pPr>
      <w:r>
        <w:rPr>
          <w:rFonts w:ascii="Times New Roman" w:cs="Times New Roman" w:eastAsia="Times New Roman" w:hAnsi="Times New Roman"/>
          <w:sz w:val="16"/>
          <w:szCs w:val="16"/>
          <w:color w:val="auto"/>
        </w:rPr>
        <w:t>Generic forms of the active ingredients of our product candidates, including dextromethorphan, bupropion, meloxicam, rizatriptan, and reboxetine, are available in the United States and abroad and could be used off-label. Any such off-label use could adversely affect our profitability and have a negative effect on our operating results and financial condition. For example, even though meloxicam is not currently approved for the treatment of acute migraine, we would not be able to prevent a physician from prescribing it for such treatment. Nor could we prevent a payor from offering favorable coverage for such product and disadvantaging our product candidates, even if the generics would be used off-label.</w:t>
      </w:r>
    </w:p>
    <w:p>
      <w:pPr>
        <w:spacing w:after="0" w:line="166" w:lineRule="exact"/>
        <w:rPr>
          <w:sz w:val="20"/>
          <w:szCs w:val="20"/>
          <w:color w:val="auto"/>
        </w:rPr>
      </w:pPr>
    </w:p>
    <w:p>
      <w:pPr>
        <w:ind w:firstLine="751"/>
        <w:spacing w:after="0" w:line="248" w:lineRule="auto"/>
        <w:rPr>
          <w:sz w:val="20"/>
          <w:szCs w:val="20"/>
          <w:color w:val="auto"/>
        </w:rPr>
      </w:pPr>
      <w:r>
        <w:rPr>
          <w:rFonts w:ascii="Times New Roman" w:cs="Times New Roman" w:eastAsia="Times New Roman" w:hAnsi="Times New Roman"/>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4" w:lineRule="exact"/>
        <w:rPr>
          <w:sz w:val="20"/>
          <w:szCs w:val="20"/>
          <w:color w:val="auto"/>
        </w:rPr>
      </w:pPr>
    </w:p>
    <w:p>
      <w:pPr>
        <w:ind w:right="40"/>
        <w:spacing w:after="0" w:line="343" w:lineRule="auto"/>
        <w:rPr>
          <w:sz w:val="20"/>
          <w:szCs w:val="20"/>
          <w:color w:val="auto"/>
        </w:rPr>
      </w:pPr>
      <w:r>
        <w:rPr>
          <w:rFonts w:ascii="Times New Roman" w:cs="Times New Roman" w:eastAsia="Times New Roman" w:hAnsi="Times New Roman"/>
          <w:sz w:val="14"/>
          <w:szCs w:val="14"/>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exclusivity before approving generic or similar versions of our products, the sales of our products could be adversely affected.</w:t>
      </w:r>
    </w:p>
    <w:p>
      <w:pPr>
        <w:spacing w:after="0" w:line="102" w:lineRule="exact"/>
        <w:rPr>
          <w:sz w:val="20"/>
          <w:szCs w:val="20"/>
          <w:color w:val="auto"/>
        </w:rPr>
      </w:pPr>
    </w:p>
    <w:p>
      <w:pPr>
        <w:ind w:right="80" w:firstLine="751"/>
        <w:spacing w:after="0" w:line="247" w:lineRule="auto"/>
        <w:rPr>
          <w:sz w:val="20"/>
          <w:szCs w:val="20"/>
          <w:color w:val="auto"/>
        </w:rPr>
      </w:pPr>
      <w:r>
        <w:rPr>
          <w:rFonts w:ascii="Times New Roman" w:cs="Times New Roman" w:eastAsia="Times New Roman" w:hAnsi="Times New Roman"/>
          <w:sz w:val="16"/>
          <w:szCs w:val="16"/>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For example, in February 2023, we received a paragraph IV certification notice letter from Teva providing notification to the Company that Teva has submitted an ANDA to the FDA seeking approval to manufacture, use, or sell a generic version of Auvelity. Additionally, beginning in August 2023, we received paragraph IV certification notice letters from six other pharmaceutical companies providing notification to the Company that each such filer has submitted an ANDA to the FDA seeking approval to manufacture, use, or sell a generic version of Sunosi.</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20" w:firstLine="751"/>
        <w:spacing w:after="0" w:line="191" w:lineRule="exact"/>
        <w:rPr>
          <w:sz w:val="20"/>
          <w:szCs w:val="20"/>
          <w:color w:val="auto"/>
        </w:rPr>
      </w:pPr>
      <w:r>
        <w:rPr>
          <w:rFonts w:ascii="Times New Roman" w:cs="Times New Roman" w:eastAsia="Times New Roman" w:hAnsi="Times New Roman"/>
          <w:sz w:val="16"/>
          <w:szCs w:val="16"/>
          <w:color w:val="auto"/>
        </w:rPr>
        <w:t>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Thus, following the introduction of a generic drug, a significant percentage of the sales of any branded product or reference listed drug is typically lost to the generic product.</w:t>
      </w:r>
    </w:p>
    <w:p>
      <w:pPr>
        <w:spacing w:after="0" w:line="173" w:lineRule="exact"/>
        <w:rPr>
          <w:sz w:val="20"/>
          <w:szCs w:val="20"/>
          <w:color w:val="auto"/>
        </w:rPr>
      </w:pPr>
    </w:p>
    <w:p>
      <w:pPr>
        <w:ind w:right="200" w:firstLine="751"/>
        <w:spacing w:after="0" w:line="255" w:lineRule="auto"/>
        <w:rPr>
          <w:sz w:val="20"/>
          <w:szCs w:val="20"/>
          <w:color w:val="auto"/>
        </w:rPr>
      </w:pPr>
      <w:r>
        <w:rPr>
          <w:rFonts w:ascii="Times New Roman" w:cs="Times New Roman" w:eastAsia="Times New Roman" w:hAnsi="Times New Roman"/>
          <w:sz w:val="16"/>
          <w:szCs w:val="16"/>
          <w:color w:val="auto"/>
        </w:rPr>
        <w:t>Moreover, in addition to generic competition, we could face competition from other companies seeking approval of drug products that are similar to ours using the 505(b)(2) pathway. Such applicants may be able to rely on our products, or other approved drug products or published literature to develop drug products that are similar to ours. The introduction of a drug product similar to our product candidates could expose us to increased competition.</w:t>
      </w:r>
    </w:p>
    <w:p>
      <w:pPr>
        <w:spacing w:after="0" w:line="160" w:lineRule="exact"/>
        <w:rPr>
          <w:sz w:val="20"/>
          <w:szCs w:val="20"/>
          <w:color w:val="auto"/>
        </w:rPr>
      </w:pPr>
    </w:p>
    <w:p>
      <w:pPr>
        <w:ind w:right="20" w:firstLine="751"/>
        <w:spacing w:after="0" w:line="190" w:lineRule="exact"/>
        <w:rPr>
          <w:sz w:val="20"/>
          <w:szCs w:val="20"/>
          <w:color w:val="auto"/>
        </w:rPr>
      </w:pPr>
      <w:r>
        <w:rPr>
          <w:rFonts w:ascii="Times New Roman" w:cs="Times New Roman" w:eastAsia="Times New Roman" w:hAnsi="Times New Roman"/>
          <w:sz w:val="16"/>
          <w:szCs w:val="16"/>
          <w:color w:val="auto"/>
        </w:rPr>
        <w:t>Further, if we do not file a patent infringement lawsuit against a generic manufacturer within 45 days of receiving notice of its paragraph IV certification, the ANDA or 505(b)(2) applicant may not be subject to a 30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we may be subject to generic competition or competition from similar products, or may need to commence patent infringement proceedings, which would divert our resources.</w:t>
      </w:r>
    </w:p>
    <w:p>
      <w:pPr>
        <w:spacing w:after="0" w:line="174" w:lineRule="exact"/>
        <w:rPr>
          <w:sz w:val="20"/>
          <w:szCs w:val="20"/>
          <w:color w:val="auto"/>
        </w:rPr>
      </w:pPr>
    </w:p>
    <w:p>
      <w:pPr>
        <w:ind w:right="260" w:firstLine="751"/>
        <w:spacing w:after="0" w:line="267" w:lineRule="auto"/>
        <w:rPr>
          <w:sz w:val="20"/>
          <w:szCs w:val="20"/>
          <w:color w:val="auto"/>
        </w:rPr>
      </w:pPr>
      <w:r>
        <w:rPr>
          <w:rFonts w:ascii="Times New Roman" w:cs="Times New Roman" w:eastAsia="Times New Roman" w:hAnsi="Times New Roman"/>
          <w:sz w:val="16"/>
          <w:szCs w:val="16"/>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our product candidates.</w:t>
      </w:r>
    </w:p>
    <w:p>
      <w:pPr>
        <w:spacing w:after="0" w:line="149"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AXS-12 received Orphan Drug Designation from FDA for the treatment of narcolepsy. We may also seek Orphan Drug Designation for our other products, 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appropriate.</w:t>
      </w:r>
    </w:p>
    <w:p>
      <w:pPr>
        <w:spacing w:after="0" w:line="174" w:lineRule="exact"/>
        <w:rPr>
          <w:sz w:val="20"/>
          <w:szCs w:val="20"/>
          <w:color w:val="auto"/>
        </w:rPr>
      </w:pPr>
    </w:p>
    <w:p>
      <w:pPr>
        <w:ind w:firstLine="751"/>
        <w:spacing w:after="0" w:line="290" w:lineRule="auto"/>
        <w:rPr>
          <w:sz w:val="20"/>
          <w:szCs w:val="20"/>
          <w:color w:val="auto"/>
        </w:rPr>
      </w:pPr>
      <w:r>
        <w:rPr>
          <w:rFonts w:ascii="Times New Roman" w:cs="Times New Roman" w:eastAsia="Times New Roman" w:hAnsi="Times New Roman"/>
          <w:sz w:val="14"/>
          <w:szCs w:val="14"/>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40" w:lineRule="exact"/>
        <w:rPr>
          <w:sz w:val="20"/>
          <w:szCs w:val="20"/>
          <w:color w:val="auto"/>
        </w:rPr>
      </w:pPr>
    </w:p>
    <w:p>
      <w:pPr>
        <w:ind w:firstLine="751"/>
        <w:spacing w:after="0" w:line="249" w:lineRule="auto"/>
        <w:rPr>
          <w:sz w:val="20"/>
          <w:szCs w:val="20"/>
          <w:color w:val="auto"/>
        </w:rPr>
      </w:pPr>
      <w:r>
        <w:rPr>
          <w:rFonts w:ascii="Times New Roman" w:cs="Times New Roman" w:eastAsia="Times New Roman" w:hAnsi="Times New Roman"/>
          <w:sz w:val="16"/>
          <w:szCs w:val="16"/>
          <w:color w:val="auto"/>
        </w:rPr>
        <w:t>The FDA or the EMA may grant orphan exclusivity to two different sponsors for the same compound or active molecule and for the same indication. For example, if another sponsor receives FDA approval for a reboxetine containing product for the treatment of narcolepsy before we obtain FDA approval for AXS-12 for the treatment of narcolepsy, we would be prevented from launching our product in the United States for this indication for a period of at least 7 years. If another sponsor receives EMA approval for a reboxetine containing product for the treatment of narcolepsy before we obtain EMA approval for AXS-12 for the treatment of narcolepsy, we would be prevented from launching our product in the EU for this indication for a period of at least 10 to 12 years.</w:t>
      </w:r>
    </w:p>
    <w:p>
      <w:pPr>
        <w:spacing w:after="0" w:line="166" w:lineRule="exact"/>
        <w:rPr>
          <w:sz w:val="20"/>
          <w:szCs w:val="20"/>
          <w:color w:val="auto"/>
        </w:rPr>
      </w:pPr>
    </w:p>
    <w:p>
      <w:pPr>
        <w:jc w:val="both"/>
        <w:ind w:right="100" w:firstLine="751"/>
        <w:spacing w:after="0" w:line="251" w:lineRule="auto"/>
        <w:rPr>
          <w:sz w:val="20"/>
          <w:szCs w:val="20"/>
          <w:color w:val="auto"/>
        </w:rPr>
      </w:pPr>
      <w:r>
        <w:rPr>
          <w:rFonts w:ascii="Times New Roman" w:cs="Times New Roman" w:eastAsia="Times New Roman" w:hAnsi="Times New Roman"/>
          <w:sz w:val="16"/>
          <w:szCs w:val="16"/>
          <w:color w:val="auto"/>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establish effective marketing, sales and distribution capabilities or enter into agreements with third parties to market, sell and distribute our products, we may be unable to generate substantial product revenues.</w:t>
      </w:r>
    </w:p>
    <w:p>
      <w:pPr>
        <w:spacing w:after="0" w:line="148" w:lineRule="exact"/>
        <w:rPr>
          <w:sz w:val="20"/>
          <w:szCs w:val="20"/>
          <w:color w:val="auto"/>
        </w:rPr>
      </w:pPr>
    </w:p>
    <w:p>
      <w:pPr>
        <w:ind w:right="60" w:firstLine="751"/>
        <w:spacing w:after="0" w:line="255" w:lineRule="auto"/>
        <w:rPr>
          <w:sz w:val="20"/>
          <w:szCs w:val="20"/>
          <w:color w:val="auto"/>
        </w:rPr>
      </w:pPr>
      <w:r>
        <w:rPr>
          <w:rFonts w:ascii="Times New Roman" w:cs="Times New Roman" w:eastAsia="Times New Roman" w:hAnsi="Times New Roman"/>
          <w:sz w:val="16"/>
          <w:szCs w:val="16"/>
          <w:color w:val="auto"/>
        </w:rPr>
        <w:t>We recently expanded our commercial infrastructure for the marketing, sale, and distribution of pharmaceutical products, which included the creation of a sales force to launch our commercial stage products throughout the United States. This requires additional compliance with a range of federal and state laws. Additionally, we currently commercialize Sunosi outside the United States. Each global market we commercialize Sunosi in has its own set of applicable laws.</w:t>
      </w:r>
    </w:p>
    <w:p>
      <w:pPr>
        <w:spacing w:after="0" w:line="160" w:lineRule="exact"/>
        <w:rPr>
          <w:sz w:val="20"/>
          <w:szCs w:val="20"/>
          <w:color w:val="auto"/>
        </w:rPr>
      </w:pPr>
    </w:p>
    <w:p>
      <w:pPr>
        <w:ind w:right="80" w:firstLine="751"/>
        <w:spacing w:after="0" w:line="299" w:lineRule="auto"/>
        <w:rPr>
          <w:sz w:val="20"/>
          <w:szCs w:val="20"/>
          <w:color w:val="auto"/>
        </w:rPr>
      </w:pPr>
      <w:r>
        <w:rPr>
          <w:rFonts w:ascii="Times New Roman" w:cs="Times New Roman" w:eastAsia="Times New Roman" w:hAnsi="Times New Roman"/>
          <w:sz w:val="14"/>
          <w:szCs w:val="14"/>
          <w:color w:val="auto"/>
        </w:rPr>
        <w:t>We have limited experience in the marketing, sale, and distribution of pharmaceutical products, and there are significant risks involved in the building and managing of a commercial infrastructure. We have to compete with other pharmaceutical and biotechnology companies to recruit, hire, train, manage, and retain marketing and sales personnel. In the event we are unable to maintain our marketing and sales infrastructure, we may not be able to successfully commercialize any of our existing commercial stage products or future product candidates, which would limit our ability to generate revenue. Factors that may inhibit our efforts to commercialize any of our products on our own include:</w:t>
      </w:r>
    </w:p>
    <w:p>
      <w:pPr>
        <w:spacing w:after="0" w:line="131" w:lineRule="exact"/>
        <w:rPr>
          <w:sz w:val="20"/>
          <w:szCs w:val="20"/>
          <w:color w:val="auto"/>
        </w:rPr>
      </w:pPr>
    </w:p>
    <w:p>
      <w:pPr>
        <w:ind w:left="740" w:hanging="371"/>
        <w:spacing w:after="0"/>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our inability to recruit, train, manage, and retain adequate numbers of effective sales and marketing personnel;</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inability of sales personnel to obtain access to physicians or persuade adequate numbers of physicians to prescribe any of our current or future product candidates;</w:t>
      </w:r>
    </w:p>
    <w:p>
      <w:pPr>
        <w:spacing w:after="0" w:line="212" w:lineRule="exact"/>
        <w:rPr>
          <w:rFonts w:ascii="Times New Roman" w:cs="Times New Roman" w:eastAsia="Times New Roman" w:hAnsi="Times New Roman"/>
          <w:sz w:val="13"/>
          <w:szCs w:val="13"/>
          <w:color w:val="auto"/>
        </w:rPr>
      </w:pPr>
    </w:p>
    <w:p>
      <w:pPr>
        <w:ind w:left="740" w:hanging="371"/>
        <w:spacing w:after="0"/>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our inability to effectively oversee a geographically dispersed sales and marketing team;</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application of federal and state drug distribution and supply chain requirements to our business;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costs associated with training sales and marketing personnel on legal and regulatory compliance matters and monitoring their actions;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an inability to secure adequate coverage and reimbursement by government and private health plans;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clinical indications and labeled claims for which the product is approved;</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limitations or warnings, including distribution or use restrictions, contained in the product’s approved labeling;</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any distribution and use restrictions imposed by the FDA or to which we agree as part of a mandatory REMS or voluntary risk management plan;</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liability for sales or marketing personnel who fail to comply with the applicable legal and regulatory requirements;</w:t>
      </w:r>
    </w:p>
    <w:p>
      <w:pPr>
        <w:spacing w:after="0" w:line="189" w:lineRule="exact"/>
        <w:rPr>
          <w:rFonts w:ascii="Times New Roman" w:cs="Times New Roman" w:eastAsia="Times New Roman" w:hAnsi="Times New Roman"/>
          <w:sz w:val="14"/>
          <w:szCs w:val="14"/>
          <w:color w:val="auto"/>
        </w:rPr>
      </w:pPr>
    </w:p>
    <w:p>
      <w:pPr>
        <w:ind w:left="740" w:hanging="371"/>
        <w:spacing w:after="0" w:line="267" w:lineRule="auto"/>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lack of complementary products to be offered by sales personnel, which may put us at a competitive disadvantage relative to companies with more extensive product lines; and</w:t>
      </w:r>
    </w:p>
    <w:p>
      <w:pPr>
        <w:spacing w:after="0" w:line="150"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unforeseen costs and expenses associated with creating an independent sales and marketing organization or engaging a contract sales organization.</w:t>
      </w:r>
    </w:p>
    <w:p>
      <w:pPr>
        <w:spacing w:after="0" w:line="189" w:lineRule="exact"/>
        <w:rPr>
          <w:sz w:val="20"/>
          <w:szCs w:val="20"/>
          <w:color w:val="auto"/>
        </w:rPr>
      </w:pPr>
    </w:p>
    <w:p>
      <w:pPr>
        <w:ind w:firstLine="751"/>
        <w:spacing w:after="0" w:line="255" w:lineRule="auto"/>
        <w:rPr>
          <w:sz w:val="20"/>
          <w:szCs w:val="20"/>
          <w:color w:val="auto"/>
        </w:rPr>
      </w:pPr>
      <w:r>
        <w:rPr>
          <w:rFonts w:ascii="Times New Roman" w:cs="Times New Roman" w:eastAsia="Times New Roman" w:hAnsi="Times New Roman"/>
          <w:sz w:val="16"/>
          <w:szCs w:val="16"/>
          <w:color w:val="auto"/>
        </w:rPr>
        <w:t>If additional product candidates are approved, we may incur expenses prior to product launch in expanding our sales force and compliant marketing and sales infrastructure. If a commercial launch is delayed as a result of FDA requirements or other reasons, we may incur these expenses prior to being able to realize any revenue from sales of such product candidate(s). Furthermore, our sales force and marketing teams may not be successful in commercializing any of our current or future product candidates.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any of our products do not achieve broad market acceptance, the revenues that we generate from their sales will be limited.</w:t>
      </w:r>
    </w:p>
    <w:p>
      <w:pPr>
        <w:spacing w:after="0" w:line="191" w:lineRule="exact"/>
        <w:rPr>
          <w:sz w:val="20"/>
          <w:szCs w:val="20"/>
          <w:color w:val="auto"/>
        </w:rPr>
      </w:pPr>
    </w:p>
    <w:p>
      <w:pPr>
        <w:ind w:firstLine="751"/>
        <w:spacing w:after="0" w:line="247" w:lineRule="auto"/>
        <w:rPr>
          <w:sz w:val="20"/>
          <w:szCs w:val="20"/>
          <w:color w:val="auto"/>
        </w:rPr>
      </w:pPr>
      <w:r>
        <w:rPr>
          <w:rFonts w:ascii="Times New Roman" w:cs="Times New Roman" w:eastAsia="Times New Roman" w:hAnsi="Times New Roman"/>
          <w:sz w:val="16"/>
          <w:szCs w:val="16"/>
          <w:color w:val="auto"/>
        </w:rPr>
        <w:t>Our products, and, if approved, our product candidates, may not gain acceptance among physicians, patients, third-party payors, and others in the medical community. If any of our products or product candidates, for which we obtain regulatory approval, do not gain an adequate level of market acceptance, we may not generate significant product revenues or become profitable. Market acceptance of any of our products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third-party payors may not consider them cost effective without a significant price concession, which could negatively impact our revenue. Third-party payors may also implement onerous access controls, which could further impede our efforts to effectively transition eligible patients to our therapies.</w:t>
      </w:r>
    </w:p>
    <w:p>
      <w:pPr>
        <w:spacing w:after="0" w:line="166" w:lineRule="exact"/>
        <w:rPr>
          <w:sz w:val="20"/>
          <w:szCs w:val="20"/>
          <w:color w:val="auto"/>
        </w:rPr>
      </w:pPr>
    </w:p>
    <w:p>
      <w:pPr>
        <w:jc w:val="both"/>
        <w:ind w:right="100" w:firstLine="751"/>
        <w:spacing w:after="0" w:line="255" w:lineRule="auto"/>
        <w:rPr>
          <w:sz w:val="20"/>
          <w:szCs w:val="20"/>
          <w:color w:val="auto"/>
        </w:rPr>
      </w:pPr>
      <w:r>
        <w:rPr>
          <w:rFonts w:ascii="Times New Roman" w:cs="Times New Roman" w:eastAsia="Times New Roman" w:hAnsi="Times New Roman"/>
          <w:sz w:val="16"/>
          <w:szCs w:val="16"/>
          <w:color w:val="auto"/>
        </w:rPr>
        <w:t>Efforts to educate the medical community and third-party payors on the benefits of our products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products will depend on a number of factors, including:</w:t>
      </w:r>
    </w:p>
    <w:p>
      <w:pPr>
        <w:spacing w:after="0" w:line="160" w:lineRule="exact"/>
        <w:rPr>
          <w:sz w:val="20"/>
          <w:szCs w:val="20"/>
          <w:color w:val="auto"/>
        </w:rPr>
      </w:pPr>
    </w:p>
    <w:p>
      <w:pPr>
        <w:ind w:left="740" w:hanging="371"/>
        <w:spacing w:after="0"/>
        <w:tabs>
          <w:tab w:leader="none" w:pos="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efficacy of our products;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prevalence and severity of adverse events associated with such product;</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clinical indications for which the product is approved and the approved claims that we may make for the product;</w:t>
      </w:r>
    </w:p>
    <w:p>
      <w:pPr>
        <w:spacing w:after="0" w:line="155" w:lineRule="exact"/>
        <w:rPr>
          <w:rFonts w:ascii="Times New Roman" w:cs="Times New Roman" w:eastAsia="Times New Roman" w:hAnsi="Times New Roman"/>
          <w:sz w:val="14"/>
          <w:szCs w:val="14"/>
          <w:color w:val="auto"/>
        </w:rPr>
      </w:pPr>
    </w:p>
    <w:p>
      <w:pPr>
        <w:ind w:left="740" w:right="300" w:hanging="371"/>
        <w:spacing w:after="0" w:line="211" w:lineRule="exact"/>
        <w:tabs>
          <w:tab w:leader="none" w:pos="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limitations or warnings contained in the product’s FDA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approved labeling, including potential limitations or warnings for such product candidate, that may be more restrictive than other competitive products;</w:t>
      </w:r>
    </w:p>
    <w:p>
      <w:pPr>
        <w:spacing w:after="0" w:line="172" w:lineRule="exact"/>
        <w:rPr>
          <w:rFonts w:ascii="Times New Roman" w:cs="Times New Roman" w:eastAsia="Times New Roman" w:hAnsi="Times New Roman"/>
          <w:sz w:val="14"/>
          <w:szCs w:val="14"/>
          <w:color w:val="auto"/>
        </w:rPr>
      </w:pPr>
    </w:p>
    <w:p>
      <w:pPr>
        <w:ind w:left="740" w:right="380" w:hanging="371"/>
        <w:spacing w:after="0" w:line="267" w:lineRule="auto"/>
        <w:tabs>
          <w:tab w:leader="none" w:pos="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changes in the standard of care for the targeted indications for such product candidate, which could reduce the marketing impact of any claims that we could make following FDA approval, if obtained;</w:t>
      </w:r>
    </w:p>
    <w:p>
      <w:pPr>
        <w:spacing w:after="0" w:line="150"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relative convenience and ease of administration of such product;</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cost of treatment versus economic and clinical benefit in relation to alternative treatments or therapies;</w:t>
      </w:r>
    </w:p>
    <w:p>
      <w:pPr>
        <w:spacing w:after="0" w:line="189" w:lineRule="exact"/>
        <w:rPr>
          <w:rFonts w:ascii="Times New Roman" w:cs="Times New Roman" w:eastAsia="Times New Roman" w:hAnsi="Times New Roman"/>
          <w:sz w:val="14"/>
          <w:szCs w:val="14"/>
          <w:color w:val="auto"/>
        </w:rPr>
      </w:pPr>
    </w:p>
    <w:p>
      <w:pPr>
        <w:ind w:left="740" w:right="500" w:hanging="371"/>
        <w:spacing w:after="0" w:line="267" w:lineRule="auto"/>
        <w:tabs>
          <w:tab w:leader="none" w:pos="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availability of adequate coverage or reimbursement by third parties, such as insurance companies and other healthcare payors, and by government healthcare programs, including Medicare and Medicaid;</w:t>
      </w:r>
    </w:p>
    <w:p>
      <w:pPr>
        <w:spacing w:after="0" w:line="150"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willingness of third-party payors to prefer similar but less expensive products even if not approved for our product’s indication;</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extent and strength of our marketing and distribution of such product;</w:t>
      </w:r>
    </w:p>
    <w:p>
      <w:pPr>
        <w:spacing w:after="0" w:line="189" w:lineRule="exact"/>
        <w:rPr>
          <w:rFonts w:ascii="Times New Roman" w:cs="Times New Roman" w:eastAsia="Times New Roman" w:hAnsi="Times New Roman"/>
          <w:sz w:val="14"/>
          <w:szCs w:val="14"/>
          <w:color w:val="auto"/>
        </w:rPr>
      </w:pPr>
    </w:p>
    <w:p>
      <w:pPr>
        <w:ind w:left="740" w:right="260" w:hanging="371"/>
        <w:spacing w:after="0" w:line="267" w:lineRule="auto"/>
        <w:tabs>
          <w:tab w:leader="none" w:pos="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safety, efficacy, and other potential advantages over, and availability of, alternative treatments already used or that may later be approved for any of our intended indications;</w:t>
      </w:r>
    </w:p>
    <w:p>
      <w:pPr>
        <w:spacing w:after="0" w:line="150" w:lineRule="exact"/>
        <w:rPr>
          <w:rFonts w:ascii="Times New Roman" w:cs="Times New Roman" w:eastAsia="Times New Roman" w:hAnsi="Times New Roman"/>
          <w:sz w:val="14"/>
          <w:szCs w:val="14"/>
          <w:color w:val="auto"/>
        </w:rPr>
      </w:pPr>
    </w:p>
    <w:p>
      <w:pPr>
        <w:ind w:left="740" w:right="40" w:hanging="371"/>
        <w:spacing w:after="0" w:line="267" w:lineRule="auto"/>
        <w:tabs>
          <w:tab w:leader="none" w:pos="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distribution and use restrictions imposed by the FDA with respect to such product or to which we agree as part of a mandatory risk evaluation and mitigation strategy or voluntary risk management plan;</w:t>
      </w:r>
    </w:p>
    <w:p>
      <w:pPr>
        <w:spacing w:after="0" w:line="150"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timing of market introduction of such product, as well as competitive products;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740" w:hanging="371"/>
        <w:spacing w:after="0"/>
        <w:tabs>
          <w:tab w:leader="none" w:pos="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our ability to offer such product candidate for sale at competitive prices, including prices that are competitive with generic products;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willingness of the target patient population to try new therapies and of physicians to prescribe these therapies;</w:t>
      </w:r>
    </w:p>
    <w:p>
      <w:pPr>
        <w:spacing w:after="0" w:line="155" w:lineRule="exact"/>
        <w:rPr>
          <w:rFonts w:ascii="Times New Roman" w:cs="Times New Roman" w:eastAsia="Times New Roman" w:hAnsi="Times New Roman"/>
          <w:sz w:val="14"/>
          <w:szCs w:val="14"/>
          <w:color w:val="auto"/>
        </w:rPr>
      </w:pPr>
    </w:p>
    <w:p>
      <w:pPr>
        <w:ind w:left="740" w:hanging="371"/>
        <w:spacing w:after="0" w:line="184" w:lineRule="exact"/>
        <w:tabs>
          <w:tab w:leader="none" w:pos="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extent and strength of our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manufacturer and supplier support;</w:t>
      </w:r>
    </w:p>
    <w:p>
      <w:pPr>
        <w:spacing w:after="0" w:line="223"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approval of other new products for the same indications;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adverse publicity about the product or favorable publicity about competitive products; and</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potential product liability claims.</w:t>
      </w:r>
    </w:p>
    <w:p>
      <w:pPr>
        <w:spacing w:after="0" w:line="156" w:lineRule="exact"/>
        <w:rPr>
          <w:sz w:val="20"/>
          <w:szCs w:val="20"/>
          <w:color w:val="auto"/>
        </w:rPr>
      </w:pPr>
    </w:p>
    <w:p>
      <w:pPr>
        <w:ind w:right="300" w:firstLine="751"/>
        <w:spacing w:after="0" w:line="197" w:lineRule="exact"/>
        <w:rPr>
          <w:sz w:val="20"/>
          <w:szCs w:val="20"/>
          <w:color w:val="auto"/>
        </w:rPr>
      </w:pPr>
      <w:r>
        <w:rPr>
          <w:rFonts w:ascii="Times New Roman" w:cs="Times New Roman" w:eastAsia="Times New Roman" w:hAnsi="Times New Roman"/>
          <w:sz w:val="16"/>
          <w:szCs w:val="16"/>
          <w:color w:val="auto"/>
        </w:rPr>
        <w:t>Our efforts to educate the medical community and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on the benefits of our products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w:t>
      </w:r>
    </w:p>
    <w:p>
      <w:pPr>
        <w:spacing w:after="0" w:line="173" w:lineRule="exact"/>
        <w:rPr>
          <w:sz w:val="20"/>
          <w:szCs w:val="20"/>
          <w:color w:val="auto"/>
        </w:rPr>
      </w:pPr>
    </w:p>
    <w:p>
      <w:pPr>
        <w:jc w:val="both"/>
        <w:ind w:right="20" w:firstLine="751"/>
        <w:spacing w:after="0" w:line="190" w:lineRule="exact"/>
        <w:rPr>
          <w:sz w:val="20"/>
          <w:szCs w:val="20"/>
          <w:color w:val="auto"/>
        </w:rPr>
      </w:pPr>
      <w:r>
        <w:rPr>
          <w:rFonts w:ascii="Times New Roman" w:cs="Times New Roman" w:eastAsia="Times New Roman" w:hAnsi="Times New Roman"/>
          <w:sz w:val="16"/>
          <w:szCs w:val="16"/>
          <w:color w:val="auto"/>
        </w:rPr>
        <w:t>The potential market opportunities for our products and/or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72" w:lineRule="exact"/>
        <w:rPr>
          <w:sz w:val="20"/>
          <w:szCs w:val="20"/>
          <w:color w:val="auto"/>
        </w:rPr>
      </w:pPr>
    </w:p>
    <w:p>
      <w:pPr>
        <w:ind w:right="84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face potential product liability exposure, and if successful claims are brought against us, we may incur substantial liability and may have to limit our products’ commercialization.</w:t>
      </w:r>
    </w:p>
    <w:p>
      <w:pPr>
        <w:spacing w:after="0" w:line="148" w:lineRule="exact"/>
        <w:rPr>
          <w:sz w:val="20"/>
          <w:szCs w:val="20"/>
          <w:color w:val="auto"/>
        </w:rPr>
      </w:pPr>
    </w:p>
    <w:p>
      <w:pPr>
        <w:ind w:firstLine="751"/>
        <w:spacing w:after="0" w:line="247" w:lineRule="auto"/>
        <w:rPr>
          <w:sz w:val="20"/>
          <w:szCs w:val="20"/>
          <w:color w:val="auto"/>
        </w:rPr>
      </w:pPr>
      <w:r>
        <w:rPr>
          <w:rFonts w:ascii="Times New Roman" w:cs="Times New Roman" w:eastAsia="Times New Roman" w:hAnsi="Times New Roman"/>
          <w:sz w:val="16"/>
          <w:szCs w:val="16"/>
          <w:color w:val="auto"/>
        </w:rPr>
        <w:t>The use of any of our current or future product candidates in clinical trials, and the sale of any of our products exposes us to the risk of product liability claims. We face inherent risk of product liability related to the testing of our product candidates in human clinical trials and face an even greater risk for our commercialized products. For example, we may be sued if any products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products. Even successful defense would require significant financial and management resources. Regardless of merit or eventual outcome, liability claims may result in loss of revenue from including from:</w:t>
      </w:r>
    </w:p>
    <w:p>
      <w:pPr>
        <w:spacing w:after="0" w:line="166" w:lineRule="exact"/>
        <w:rPr>
          <w:sz w:val="20"/>
          <w:szCs w:val="20"/>
          <w:color w:val="auto"/>
        </w:rPr>
      </w:pPr>
    </w:p>
    <w:p>
      <w:pPr>
        <w:ind w:left="740" w:hanging="371"/>
        <w:spacing w:after="0"/>
        <w:tabs>
          <w:tab w:leader="none" w:pos="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decreased demand for our products;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impairment of our business reputation or financial stability;</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costs of related litigation;</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substantial monetary awards to patients or other claimants;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diversion of management attention;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740" w:hanging="371"/>
        <w:spacing w:after="0"/>
        <w:tabs>
          <w:tab w:leader="none" w:pos="7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loss of revenues;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withdrawal of clinical trial participants and potential termination of clinical trial sites or entire clinical programs;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inability to commercialize our product candidates;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significant negative media attention;</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decrease in our stock price;</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initiation of investigations and enforcement actions by regulators; and</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product recalls, withdrawals, or labeling, marketing, or promotional restrictions.</w:t>
      </w:r>
    </w:p>
    <w:p>
      <w:pPr>
        <w:spacing w:after="0" w:line="189" w:lineRule="exact"/>
        <w:rPr>
          <w:sz w:val="20"/>
          <w:szCs w:val="20"/>
          <w:color w:val="auto"/>
        </w:rPr>
      </w:pPr>
    </w:p>
    <w:p>
      <w:pPr>
        <w:ind w:firstLine="751"/>
        <w:spacing w:after="0" w:line="248" w:lineRule="auto"/>
        <w:rPr>
          <w:sz w:val="20"/>
          <w:szCs w:val="20"/>
          <w:color w:val="auto"/>
        </w:rPr>
      </w:pPr>
      <w:r>
        <w:rPr>
          <w:rFonts w:ascii="Times New Roman" w:cs="Times New Roman" w:eastAsia="Times New Roman" w:hAnsi="Times New Roman"/>
          <w:sz w:val="16"/>
          <w:szCs w:val="16"/>
          <w:color w:val="auto"/>
        </w:rPr>
        <w:t>We have obtained limited product liability insurance coverage for our products and our clinical trials.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16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Sunosi is a controlled substance and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spacing w:after="0" w:line="158" w:lineRule="exact"/>
        <w:rPr>
          <w:sz w:val="20"/>
          <w:szCs w:val="20"/>
          <w:color w:val="auto"/>
        </w:rPr>
      </w:pPr>
    </w:p>
    <w:p>
      <w:pPr>
        <w:ind w:firstLine="751"/>
        <w:spacing w:after="0" w:line="287" w:lineRule="auto"/>
        <w:rPr>
          <w:sz w:val="20"/>
          <w:szCs w:val="20"/>
          <w:color w:val="auto"/>
        </w:rPr>
      </w:pPr>
      <w:r>
        <w:rPr>
          <w:rFonts w:ascii="Times New Roman" w:cs="Times New Roman" w:eastAsia="Times New Roman" w:hAnsi="Times New Roman"/>
          <w:sz w:val="14"/>
          <w:szCs w:val="14"/>
          <w:color w:val="auto"/>
        </w:rPr>
        <w:t>Sunosi contains controlled substances as defined in the Federal Controlled Substances Act, or CSA. Controlled substances are subject to a number of requirements and restrictions under the CSA and implementing regulations, including certain registration, security, recordkeeping, reporting, import, export and other requirements administered by the U.S. Drug Enforcement Administration, or DEA. The DEA classifies controlled substances into five schedules: Schedule I, II, III, IV or V substances. Schedule I substances by definition have a high potential for abuse,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further restricted. For example, they may not be refilled without a new prescription. Sunosi is a Schedule IV controlled substance.</w:t>
      </w:r>
    </w:p>
    <w:p>
      <w:pPr>
        <w:spacing w:after="0" w:line="140" w:lineRule="exact"/>
        <w:rPr>
          <w:sz w:val="20"/>
          <w:szCs w:val="20"/>
          <w:color w:val="auto"/>
        </w:rPr>
      </w:pPr>
    </w:p>
    <w:p>
      <w:pPr>
        <w:ind w:right="60" w:firstLine="751"/>
        <w:spacing w:after="0" w:line="251" w:lineRule="auto"/>
        <w:rPr>
          <w:sz w:val="20"/>
          <w:szCs w:val="20"/>
          <w:color w:val="auto"/>
        </w:rPr>
      </w:pPr>
      <w:r>
        <w:rPr>
          <w:rFonts w:ascii="Times New Roman" w:cs="Times New Roman" w:eastAsia="Times New Roman" w:hAnsi="Times New Roman"/>
          <w:sz w:val="16"/>
          <w:szCs w:val="16"/>
          <w:color w:val="auto"/>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164" w:lineRule="exact"/>
        <w:rPr>
          <w:sz w:val="20"/>
          <w:szCs w:val="20"/>
          <w:color w:val="auto"/>
        </w:rPr>
      </w:pPr>
    </w:p>
    <w:p>
      <w:pPr>
        <w:ind w:right="200" w:firstLine="751"/>
        <w:spacing w:after="0" w:line="255" w:lineRule="auto"/>
        <w:rPr>
          <w:sz w:val="20"/>
          <w:szCs w:val="20"/>
          <w:color w:val="auto"/>
        </w:rPr>
      </w:pPr>
      <w:r>
        <w:rPr>
          <w:rFonts w:ascii="Times New Roman" w:cs="Times New Roman" w:eastAsia="Times New Roman" w:hAnsi="Times New Roman"/>
          <w:sz w:val="16"/>
          <w:szCs w:val="16"/>
          <w:color w:val="auto"/>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periodic inspections of certain registered establishments that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6"/>
          <w:szCs w:val="16"/>
          <w:color w:val="auto"/>
        </w:rPr>
        <w:t>handle controlled substances. Obtaining and maintaining the necessary registrations and complying with the regulatory obligations may result in delay of the importation, manufacturing, distribution or clinical research of our products and products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 Any penalties imposed by the DEA to us or our third-party manufacturers which could have a material adverse effect on our business, results of operations, financial condition and growth prospects.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DEPENDENCE ON THIRD PARTIES</w:t>
      </w:r>
    </w:p>
    <w:p>
      <w:pPr>
        <w:spacing w:after="0" w:line="189"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rely, and expect to continue to rely, on third parties to conduct, supervise, and monitor our preclinical studies and clinical trials, and those third parties may not perform satisfactorily, including by failing to meet deadlines for the completion of such trials or failing to comply with regulatory requirements.</w:t>
      </w:r>
    </w:p>
    <w:p>
      <w:pPr>
        <w:spacing w:after="0" w:line="114" w:lineRule="exact"/>
        <w:rPr>
          <w:sz w:val="20"/>
          <w:szCs w:val="20"/>
          <w:color w:val="auto"/>
        </w:rPr>
      </w:pPr>
    </w:p>
    <w:p>
      <w:pPr>
        <w:ind w:firstLine="751"/>
        <w:spacing w:after="0" w:line="194" w:lineRule="exact"/>
        <w:rPr>
          <w:sz w:val="20"/>
          <w:szCs w:val="20"/>
          <w:color w:val="auto"/>
        </w:rPr>
      </w:pPr>
      <w:r>
        <w:rPr>
          <w:rFonts w:ascii="Times New Roman" w:cs="Times New Roman" w:eastAsia="Times New Roman" w:hAnsi="Times New Roman"/>
          <w:sz w:val="16"/>
          <w:szCs w:val="16"/>
          <w:color w:val="auto"/>
        </w:rPr>
        <w:t>We rely on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parties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75" w:lineRule="exact"/>
        <w:rPr>
          <w:sz w:val="20"/>
          <w:szCs w:val="20"/>
          <w:color w:val="auto"/>
        </w:rPr>
      </w:pPr>
    </w:p>
    <w:p>
      <w:pPr>
        <w:ind w:right="60" w:firstLine="751"/>
        <w:spacing w:after="0" w:line="286" w:lineRule="auto"/>
        <w:rPr>
          <w:sz w:val="20"/>
          <w:szCs w:val="20"/>
          <w:color w:val="auto"/>
        </w:rPr>
      </w:pPr>
      <w:r>
        <w:rPr>
          <w:rFonts w:ascii="Times New Roman" w:cs="Times New Roman" w:eastAsia="Times New Roman" w:hAnsi="Times New Roman"/>
          <w:sz w:val="14"/>
          <w:szCs w:val="14"/>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such as GCP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the third parties we engage fail to comply with applicable GCP, we or those third parties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07" w:lineRule="exact"/>
        <w:rPr>
          <w:sz w:val="20"/>
          <w:szCs w:val="20"/>
          <w:color w:val="auto"/>
        </w:rPr>
      </w:pPr>
    </w:p>
    <w:p>
      <w:pPr>
        <w:ind w:right="60" w:firstLine="751"/>
        <w:spacing w:after="0" w:line="197" w:lineRule="exact"/>
        <w:rPr>
          <w:sz w:val="20"/>
          <w:szCs w:val="20"/>
          <w:color w:val="auto"/>
        </w:rPr>
      </w:pPr>
      <w:r>
        <w:rPr>
          <w:rFonts w:ascii="Times New Roman" w:cs="Times New Roman" w:eastAsia="Times New Roman" w:hAnsi="Times New Roman"/>
          <w:sz w:val="16"/>
          <w:szCs w:val="16"/>
          <w:color w:val="auto"/>
        </w:rPr>
        <w:t>In addition, when we submit an NDA for review, we are required to report certain financial interests of our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173" w:lineRule="exact"/>
        <w:rPr>
          <w:sz w:val="20"/>
          <w:szCs w:val="20"/>
          <w:color w:val="auto"/>
        </w:rPr>
      </w:pPr>
    </w:p>
    <w:p>
      <w:pPr>
        <w:ind w:firstLine="751"/>
        <w:spacing w:after="0" w:line="251" w:lineRule="auto"/>
        <w:rPr>
          <w:sz w:val="20"/>
          <w:szCs w:val="20"/>
          <w:color w:val="auto"/>
        </w:rPr>
      </w:pPr>
      <w:r>
        <w:rPr>
          <w:rFonts w:ascii="Times New Roman" w:cs="Times New Roman" w:eastAsia="Times New Roman" w:hAnsi="Times New Roman"/>
          <w:sz w:val="16"/>
          <w:szCs w:val="16"/>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6"/>
          <w:szCs w:val="16"/>
          <w:color w:val="auto"/>
        </w:rPr>
        <w:t>sponsored database, ClinicalTrials.gov, within specified timeframes. Failure to do so or to meet the related submission requirements can result in enforcement actions, including civil monetary penalties and adverse publicity.</w:t>
      </w:r>
    </w:p>
    <w:p>
      <w:pPr>
        <w:spacing w:after="0" w:line="151" w:lineRule="exact"/>
        <w:rPr>
          <w:sz w:val="20"/>
          <w:szCs w:val="20"/>
          <w:color w:val="auto"/>
        </w:rPr>
      </w:pPr>
    </w:p>
    <w:p>
      <w:pPr>
        <w:ind w:firstLine="751"/>
        <w:spacing w:after="0" w:line="246" w:lineRule="auto"/>
        <w:rPr>
          <w:sz w:val="20"/>
          <w:szCs w:val="20"/>
          <w:color w:val="auto"/>
        </w:rPr>
      </w:pPr>
      <w:r>
        <w:rPr>
          <w:rFonts w:ascii="Times New Roman" w:cs="Times New Roman" w:eastAsia="Times New Roman" w:hAnsi="Times New Roman"/>
          <w:sz w:val="16"/>
          <w:szCs w:val="16"/>
          <w:color w:val="auto"/>
        </w:rPr>
        <w:t>Third parties we engage to conduct research may also have relationships with other entities, some of which may be our competitors, for whom they may also be conducting clinical trials or other drug development activities that could harm our competitive position. In addition, these third parties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168" w:lineRule="exact"/>
        <w:rPr>
          <w:sz w:val="20"/>
          <w:szCs w:val="20"/>
          <w:color w:val="auto"/>
        </w:rPr>
      </w:pPr>
    </w:p>
    <w:p>
      <w:pPr>
        <w:ind w:firstLine="751"/>
        <w:spacing w:after="0" w:line="249" w:lineRule="auto"/>
        <w:rPr>
          <w:sz w:val="20"/>
          <w:szCs w:val="20"/>
          <w:color w:val="auto"/>
        </w:rPr>
      </w:pPr>
      <w:r>
        <w:rPr>
          <w:rFonts w:ascii="Times New Roman" w:cs="Times New Roman" w:eastAsia="Times New Roman" w:hAnsi="Times New Roman"/>
          <w:sz w:val="16"/>
          <w:szCs w:val="16"/>
          <w:color w:val="auto"/>
        </w:rPr>
        <w:t>If any of our relationships with these third parties terminates, we may not be able to enter into arrangements with alternative resources or to do so on commercially reasonable terms. Switching or adding additional third parties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these third-party vendors,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64"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58" w:lineRule="exact"/>
        <w:rPr>
          <w:sz w:val="20"/>
          <w:szCs w:val="20"/>
          <w:color w:val="auto"/>
        </w:rPr>
      </w:pPr>
    </w:p>
    <w:p>
      <w:pPr>
        <w:ind w:right="80" w:firstLine="751"/>
        <w:spacing w:after="0" w:line="249" w:lineRule="auto"/>
        <w:rPr>
          <w:sz w:val="20"/>
          <w:szCs w:val="20"/>
          <w:color w:val="auto"/>
        </w:rPr>
      </w:pPr>
      <w:r>
        <w:rPr>
          <w:rFonts w:ascii="Times New Roman" w:cs="Times New Roman" w:eastAsia="Times New Roman" w:hAnsi="Times New Roman"/>
          <w:sz w:val="16"/>
          <w:szCs w:val="16"/>
          <w:color w:val="auto"/>
        </w:rPr>
        <w:t>We do not manufacture any of our products, and we do not currently plan to develop any capacity to do so. We currently outsource all manufacturing of our products to third parties typically without any guarantee that there will be sufficient supplies to fulfill our requirements or that we may obtain such supplies on acceptable terms. Any delays in obtaining adequate supplies with respect to our products may delay or disrupt the development or commercialization of our products. Moreover, we do not yet in all cases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66" w:lineRule="exact"/>
        <w:rPr>
          <w:sz w:val="20"/>
          <w:szCs w:val="20"/>
          <w:color w:val="auto"/>
        </w:rPr>
      </w:pPr>
    </w:p>
    <w:p>
      <w:pPr>
        <w:ind w:right="20" w:firstLine="751"/>
        <w:spacing w:after="0" w:line="192" w:lineRule="exact"/>
        <w:rPr>
          <w:sz w:val="20"/>
          <w:szCs w:val="20"/>
          <w:color w:val="auto"/>
        </w:rPr>
      </w:pPr>
      <w:r>
        <w:rPr>
          <w:rFonts w:ascii="Times New Roman" w:cs="Times New Roman" w:eastAsia="Times New Roman" w:hAnsi="Times New Roman"/>
          <w:sz w:val="14"/>
          <w:szCs w:val="14"/>
          <w:color w:val="auto"/>
        </w:rPr>
        <w:t>We may not succeed in our efforts to establish manufacturing relationships or other alternative arrangements for any of our existing or future products and programs. Our products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for us to meet commercial demand or to advance our clinical trials while we identify and qualify replacement suppliers. If for any reason we are unable to obtain adequate supplies of our products or the drug substances used to manufacture them, it will be more difficult for us to develop our products and compete effectively. Further, even if we do establish such collaborations or arrangements, our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manufacturers may breach, terminate, or not renew these agreements.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right="60" w:firstLine="751"/>
        <w:spacing w:after="0" w:line="193" w:lineRule="exact"/>
        <w:rPr>
          <w:sz w:val="20"/>
          <w:szCs w:val="20"/>
          <w:color w:val="auto"/>
        </w:rPr>
      </w:pPr>
      <w:r>
        <w:rPr>
          <w:rFonts w:ascii="Times New Roman" w:cs="Times New Roman" w:eastAsia="Times New Roman" w:hAnsi="Times New Roman"/>
          <w:sz w:val="16"/>
          <w:szCs w:val="16"/>
          <w:color w:val="auto"/>
        </w:rPr>
        <w:t>Any problems or delays we experience in preparing for commercial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75" w:lineRule="exact"/>
        <w:rPr>
          <w:sz w:val="20"/>
          <w:szCs w:val="20"/>
          <w:color w:val="auto"/>
        </w:rPr>
      </w:pPr>
    </w:p>
    <w:p>
      <w:pPr>
        <w:ind w:firstLine="751"/>
        <w:spacing w:after="0" w:line="189" w:lineRule="exact"/>
        <w:rPr>
          <w:sz w:val="20"/>
          <w:szCs w:val="20"/>
          <w:color w:val="auto"/>
        </w:rPr>
      </w:pPr>
      <w:r>
        <w:rPr>
          <w:rFonts w:ascii="Times New Roman" w:cs="Times New Roman" w:eastAsia="Times New Roman" w:hAnsi="Times New Roman"/>
          <w:sz w:val="16"/>
          <w:szCs w:val="16"/>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174" w:lineRule="exact"/>
        <w:rPr>
          <w:sz w:val="20"/>
          <w:szCs w:val="20"/>
          <w:color w:val="auto"/>
        </w:rPr>
      </w:pPr>
    </w:p>
    <w:p>
      <w:pPr>
        <w:ind w:firstLine="751"/>
        <w:spacing w:after="0" w:line="282" w:lineRule="auto"/>
        <w:rPr>
          <w:sz w:val="20"/>
          <w:szCs w:val="20"/>
          <w:color w:val="auto"/>
        </w:rPr>
      </w:pPr>
      <w:r>
        <w:rPr>
          <w:rFonts w:ascii="Times New Roman" w:cs="Times New Roman" w:eastAsia="Times New Roman" w:hAnsi="Times New Roman"/>
          <w:sz w:val="14"/>
          <w:szCs w:val="14"/>
          <w:color w:val="auto"/>
        </w:rPr>
        <w:t>In addition, all manufacturers of our products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products, other than through our contractual arrangements, we have little control over our manufacturers’ compliance with these regulations and standards. If the FDA or a comparable foreign regulatory authority does not approve these facilities for the manufacture of our products or if it withdraws any such approval in the future, we may need to find alternative manufacturing facilities, which would significantly impact our ability to develop or market our products, or obtain regulatory approval for, our product candidates.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our product candidates or successfully commercialize our products.</w:t>
      </w:r>
    </w:p>
    <w:p>
      <w:pPr>
        <w:spacing w:after="0" w:line="337" w:lineRule="exact"/>
        <w:rPr>
          <w:sz w:val="20"/>
          <w:szCs w:val="20"/>
          <w:color w:val="auto"/>
        </w:rPr>
      </w:pPr>
    </w:p>
    <w:p>
      <w:pPr>
        <w:ind w:right="20" w:firstLine="751"/>
        <w:spacing w:after="0" w:line="255" w:lineRule="auto"/>
        <w:rPr>
          <w:sz w:val="20"/>
          <w:szCs w:val="20"/>
          <w:color w:val="auto"/>
        </w:rPr>
      </w:pPr>
      <w:r>
        <w:rPr>
          <w:rFonts w:ascii="Times New Roman" w:cs="Times New Roman" w:eastAsia="Times New Roman" w:hAnsi="Times New Roman"/>
          <w:sz w:val="16"/>
          <w:szCs w:val="16"/>
          <w:color w:val="auto"/>
        </w:rPr>
        <w:t>Any failure or refusal to supply our products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As an NDA applicant and commercial “virtual manufacturer,” we may rely in many cases on third parties to perform many essential services for our products, including services related to warehousing and inventory control, distribution, government price reporting, customer service, and adverse event reporting. If these third parties fail to perform as expected or to comply with legal and regulatory requirements, our ability to commercialize any of our products will be significantly impacted and we may be subject to regulatory sanctions.</w:t>
      </w:r>
    </w:p>
    <w:p>
      <w:pPr>
        <w:spacing w:after="0" w:line="163" w:lineRule="exact"/>
        <w:rPr>
          <w:sz w:val="20"/>
          <w:szCs w:val="20"/>
          <w:color w:val="auto"/>
        </w:rPr>
      </w:pPr>
    </w:p>
    <w:p>
      <w:pPr>
        <w:ind w:right="120" w:firstLine="751"/>
        <w:spacing w:after="0" w:line="290" w:lineRule="auto"/>
        <w:rPr>
          <w:sz w:val="20"/>
          <w:szCs w:val="20"/>
          <w:color w:val="auto"/>
        </w:rPr>
      </w:pPr>
      <w:r>
        <w:rPr>
          <w:rFonts w:ascii="Times New Roman" w:cs="Times New Roman" w:eastAsia="Times New Roman" w:hAnsi="Times New Roman"/>
          <w:sz w:val="14"/>
          <w:szCs w:val="14"/>
          <w:color w:val="auto"/>
        </w:rPr>
        <w:t>We have retained third-party service providers to perform a variety of functions related to the sale and distribution of our products, key aspects of which are out of our direct control. These service providers provide key services related to warehousing and inventory control, distribution, government price reporting, and customer service, and, as a result, much of our inventory is stored at a single warehouse maintained by one such service provider. We substantially rely on this service provider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40" w:lineRule="exact"/>
        <w:rPr>
          <w:sz w:val="20"/>
          <w:szCs w:val="20"/>
          <w:color w:val="auto"/>
        </w:rPr>
      </w:pPr>
    </w:p>
    <w:p>
      <w:pPr>
        <w:jc w:val="both"/>
        <w:ind w:firstLine="751"/>
        <w:spacing w:after="0" w:line="255" w:lineRule="auto"/>
        <w:rPr>
          <w:sz w:val="20"/>
          <w:szCs w:val="20"/>
          <w:color w:val="auto"/>
        </w:rPr>
      </w:pPr>
      <w:r>
        <w:rPr>
          <w:rFonts w:ascii="Times New Roman" w:cs="Times New Roman" w:eastAsia="Times New Roman" w:hAnsi="Times New Roman"/>
          <w:sz w:val="16"/>
          <w:szCs w:val="16"/>
          <w:color w:val="auto"/>
        </w:rPr>
        <w:t>In addition, we may engage third parties to perform various other services for us relating to adverse event reporting, safety database management, fulfillment of requests for medical information regarding our products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60" w:lineRule="exact"/>
        <w:rPr>
          <w:sz w:val="20"/>
          <w:szCs w:val="20"/>
          <w:color w:val="auto"/>
        </w:rPr>
      </w:pPr>
    </w:p>
    <w:p>
      <w:pPr>
        <w:jc w:val="both"/>
        <w:ind w:right="100" w:firstLine="751"/>
        <w:spacing w:after="0" w:line="255" w:lineRule="auto"/>
        <w:rPr>
          <w:sz w:val="20"/>
          <w:szCs w:val="20"/>
          <w:color w:val="auto"/>
        </w:rPr>
      </w:pPr>
      <w:r>
        <w:rPr>
          <w:rFonts w:ascii="Times New Roman" w:cs="Times New Roman" w:eastAsia="Times New Roman" w:hAnsi="Times New Roman"/>
          <w:sz w:val="16"/>
          <w:szCs w:val="16"/>
          <w:color w:val="auto"/>
        </w:rPr>
        <w:t>Additionally, if a third party errs in calculating government pricing information from transactional data in our financial records, it could impact our discount and rebate liability and potentially cause government programs to overpay providers for our products, which could expose us to significant False Claims Act liability and other civil monetary penalties.</w:t>
      </w:r>
    </w:p>
    <w:p>
      <w:pPr>
        <w:spacing w:after="0" w:line="158" w:lineRule="exact"/>
        <w:rPr>
          <w:sz w:val="20"/>
          <w:szCs w:val="20"/>
          <w:color w:val="auto"/>
        </w:rPr>
      </w:pPr>
    </w:p>
    <w:p>
      <w:pPr>
        <w:ind w:right="80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48" w:lineRule="exact"/>
        <w:rPr>
          <w:sz w:val="20"/>
          <w:szCs w:val="20"/>
          <w:color w:val="auto"/>
        </w:rPr>
      </w:pPr>
    </w:p>
    <w:p>
      <w:pPr>
        <w:ind w:firstLine="751"/>
        <w:spacing w:after="0" w:line="246" w:lineRule="auto"/>
        <w:rPr>
          <w:sz w:val="20"/>
          <w:szCs w:val="20"/>
          <w:color w:val="auto"/>
        </w:rPr>
      </w:pPr>
      <w:r>
        <w:rPr>
          <w:rFonts w:ascii="Times New Roman" w:cs="Times New Roman" w:eastAsia="Times New Roman" w:hAnsi="Times New Roman"/>
          <w:sz w:val="16"/>
          <w:szCs w:val="16"/>
          <w:color w:val="auto"/>
        </w:rPr>
        <w:t>Our business model is to commercialize our product candidates in the United States, and we may either commercialize products outside the United States ourselves or collaborate with pharmaceutical or biotechnology companies, or academic institutions, for the development or commercialization of our product candidates in the rest of the world. For example, we currently commercialize Sunosi in Canada. In February 2023, we announced a licensing transaction with Pharmanovia to market Sunosi in Europe and certain countries in the Middle East / North Africa.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relied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168" w:lineRule="exact"/>
        <w:rPr>
          <w:sz w:val="20"/>
          <w:szCs w:val="20"/>
          <w:color w:val="auto"/>
        </w:rPr>
      </w:pPr>
    </w:p>
    <w:p>
      <w:pPr>
        <w:jc w:val="both"/>
        <w:ind w:right="420" w:firstLine="751"/>
        <w:spacing w:after="0" w:line="255" w:lineRule="auto"/>
        <w:rPr>
          <w:sz w:val="20"/>
          <w:szCs w:val="20"/>
          <w:color w:val="auto"/>
        </w:rPr>
      </w:pPr>
      <w:r>
        <w:rPr>
          <w:rFonts w:ascii="Times New Roman" w:cs="Times New Roman" w:eastAsia="Times New Roman" w:hAnsi="Times New Roman"/>
          <w:sz w:val="16"/>
          <w:szCs w:val="16"/>
          <w:color w:val="auto"/>
        </w:rPr>
        <w:t>We may license the right to market and sell our products under our collaborators’ labeler codes. Alternatively, we may enter into agreements with collaborators to market and sell our products under our own labeler code, in which case errors and omissions by collaborators in capturing and transmitting transactional data may impact the accuracy of our government price reporting.</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200" w:firstLine="751"/>
        <w:spacing w:after="0" w:line="340" w:lineRule="auto"/>
        <w:rPr>
          <w:sz w:val="20"/>
          <w:szCs w:val="20"/>
          <w:color w:val="auto"/>
        </w:rPr>
      </w:pPr>
      <w:r>
        <w:rPr>
          <w:rFonts w:ascii="Times New Roman" w:cs="Times New Roman" w:eastAsia="Times New Roman" w:hAnsi="Times New Roman"/>
          <w:sz w:val="14"/>
          <w:szCs w:val="14"/>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w:t>
      </w:r>
    </w:p>
    <w:p>
      <w:pPr>
        <w:spacing w:after="0" w:line="104" w:lineRule="exact"/>
        <w:rPr>
          <w:sz w:val="20"/>
          <w:szCs w:val="20"/>
          <w:color w:val="auto"/>
        </w:rPr>
      </w:pPr>
    </w:p>
    <w:p>
      <w:pPr>
        <w:ind w:left="740" w:hanging="371"/>
        <w:spacing w:after="0"/>
        <w:tabs>
          <w:tab w:leader="none" w:pos="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collaborators may not perform their obligations as expected;</w:t>
      </w:r>
    </w:p>
    <w:p>
      <w:pPr>
        <w:spacing w:after="0" w:line="189" w:lineRule="exact"/>
        <w:rPr>
          <w:rFonts w:ascii="Times New Roman" w:cs="Times New Roman" w:eastAsia="Times New Roman" w:hAnsi="Times New Roman"/>
          <w:sz w:val="14"/>
          <w:szCs w:val="14"/>
          <w:color w:val="auto"/>
        </w:rPr>
      </w:pPr>
    </w:p>
    <w:p>
      <w:pPr>
        <w:ind w:left="740" w:right="40" w:hanging="371"/>
        <w:spacing w:after="0" w:line="255" w:lineRule="auto"/>
        <w:tabs>
          <w:tab w:leader="none" w:pos="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collaborators may not pursue development and commercialization of any product candidates which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60" w:lineRule="exact"/>
        <w:rPr>
          <w:rFonts w:ascii="Times New Roman" w:cs="Times New Roman" w:eastAsia="Times New Roman" w:hAnsi="Times New Roman"/>
          <w:sz w:val="14"/>
          <w:szCs w:val="14"/>
          <w:color w:val="auto"/>
        </w:rPr>
      </w:pPr>
    </w:p>
    <w:p>
      <w:pPr>
        <w:ind w:left="740" w:right="280" w:hanging="371"/>
        <w:spacing w:after="0" w:line="267" w:lineRule="auto"/>
        <w:tabs>
          <w:tab w:leader="none" w:pos="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50"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collaborators could fail to make timely regulatory submissions for a product candidate;</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collaborators may not comply with all applicable regulatory requirements or may fail to report safety data in accordance with all applicable regulatory requirements;</w:t>
      </w:r>
    </w:p>
    <w:p>
      <w:pPr>
        <w:spacing w:after="0" w:line="212" w:lineRule="exact"/>
        <w:rPr>
          <w:rFonts w:ascii="Times New Roman" w:cs="Times New Roman" w:eastAsia="Times New Roman" w:hAnsi="Times New Roman"/>
          <w:sz w:val="13"/>
          <w:szCs w:val="13"/>
          <w:color w:val="auto"/>
        </w:rPr>
      </w:pPr>
    </w:p>
    <w:p>
      <w:pPr>
        <w:ind w:left="740" w:hanging="371"/>
        <w:spacing w:after="0" w:line="255" w:lineRule="auto"/>
        <w:tabs>
          <w:tab w:leader="none" w:pos="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60" w:lineRule="exact"/>
        <w:rPr>
          <w:rFonts w:ascii="Times New Roman" w:cs="Times New Roman" w:eastAsia="Times New Roman" w:hAnsi="Times New Roman"/>
          <w:sz w:val="14"/>
          <w:szCs w:val="14"/>
          <w:color w:val="auto"/>
        </w:rPr>
      </w:pPr>
    </w:p>
    <w:p>
      <w:pPr>
        <w:ind w:left="740" w:right="220" w:hanging="371"/>
        <w:spacing w:after="0" w:line="267" w:lineRule="auto"/>
        <w:tabs>
          <w:tab w:leader="none" w:pos="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50" w:lineRule="exact"/>
        <w:rPr>
          <w:rFonts w:ascii="Times New Roman" w:cs="Times New Roman" w:eastAsia="Times New Roman" w:hAnsi="Times New Roman"/>
          <w:sz w:val="14"/>
          <w:szCs w:val="14"/>
          <w:color w:val="auto"/>
        </w:rPr>
      </w:pPr>
    </w:p>
    <w:p>
      <w:pPr>
        <w:ind w:left="740" w:right="160" w:hanging="371"/>
        <w:spacing w:after="0" w:line="267" w:lineRule="auto"/>
        <w:tabs>
          <w:tab w:leader="none" w:pos="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50" w:lineRule="exact"/>
        <w:rPr>
          <w:rFonts w:ascii="Times New Roman" w:cs="Times New Roman" w:eastAsia="Times New Roman" w:hAnsi="Times New Roman"/>
          <w:sz w:val="14"/>
          <w:szCs w:val="14"/>
          <w:color w:val="auto"/>
        </w:rPr>
      </w:pPr>
    </w:p>
    <w:p>
      <w:pPr>
        <w:ind w:left="740" w:right="20" w:hanging="371"/>
        <w:spacing w:after="0" w:line="255" w:lineRule="auto"/>
        <w:tabs>
          <w:tab w:leader="none" w:pos="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lead to additional responsibilities for us with respect to product candidates, or result in litigation or arbitration, any of which would be time consuming and expensive;</w:t>
      </w:r>
    </w:p>
    <w:p>
      <w:pPr>
        <w:spacing w:after="0" w:line="160" w:lineRule="exact"/>
        <w:rPr>
          <w:rFonts w:ascii="Times New Roman" w:cs="Times New Roman" w:eastAsia="Times New Roman" w:hAnsi="Times New Roman"/>
          <w:sz w:val="14"/>
          <w:szCs w:val="14"/>
          <w:color w:val="auto"/>
        </w:rPr>
      </w:pPr>
    </w:p>
    <w:p>
      <w:pPr>
        <w:ind w:left="740" w:right="80" w:hanging="371"/>
        <w:spacing w:after="0" w:line="267" w:lineRule="auto"/>
        <w:tabs>
          <w:tab w:leader="none" w:pos="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50"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collaborators may infringe the intellectual property rights of third parties, which may expose us to litigation and potential liability.</w:t>
      </w:r>
    </w:p>
    <w:p>
      <w:pPr>
        <w:spacing w:after="0" w:line="189" w:lineRule="exact"/>
        <w:rPr>
          <w:sz w:val="20"/>
          <w:szCs w:val="20"/>
          <w:color w:val="auto"/>
        </w:rPr>
      </w:pPr>
    </w:p>
    <w:p>
      <w:pPr>
        <w:ind w:right="60" w:firstLine="751"/>
        <w:spacing w:after="0" w:line="251" w:lineRule="auto"/>
        <w:rPr>
          <w:sz w:val="20"/>
          <w:szCs w:val="20"/>
          <w:color w:val="auto"/>
        </w:rPr>
      </w:pPr>
      <w:r>
        <w:rPr>
          <w:rFonts w:ascii="Times New Roman" w:cs="Times New Roman" w:eastAsia="Times New Roman" w:hAnsi="Times New Roman"/>
          <w:sz w:val="16"/>
          <w:szCs w:val="16"/>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64" w:lineRule="exact"/>
        <w:rPr>
          <w:sz w:val="20"/>
          <w:szCs w:val="20"/>
          <w:color w:val="auto"/>
        </w:rPr>
      </w:pPr>
    </w:p>
    <w:p>
      <w:pPr>
        <w:ind w:right="780" w:firstLine="751"/>
        <w:spacing w:after="0" w:line="255" w:lineRule="auto"/>
        <w:rPr>
          <w:sz w:val="20"/>
          <w:szCs w:val="20"/>
          <w:color w:val="auto"/>
        </w:rPr>
      </w:pPr>
      <w:r>
        <w:rPr>
          <w:rFonts w:ascii="Times New Roman" w:cs="Times New Roman" w:eastAsia="Times New Roman" w:hAnsi="Times New Roman"/>
          <w:sz w:val="16"/>
          <w:szCs w:val="16"/>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INTELLECTUAL PROPERTY</w:t>
      </w:r>
    </w:p>
    <w:p>
      <w:pPr>
        <w:spacing w:after="0" w:line="189"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48" w:lineRule="exact"/>
        <w:rPr>
          <w:sz w:val="20"/>
          <w:szCs w:val="20"/>
          <w:color w:val="auto"/>
        </w:rPr>
      </w:pPr>
    </w:p>
    <w:p>
      <w:pPr>
        <w:ind w:right="40" w:firstLine="751"/>
        <w:spacing w:after="0" w:line="247" w:lineRule="auto"/>
        <w:rPr>
          <w:sz w:val="20"/>
          <w:szCs w:val="20"/>
          <w:color w:val="auto"/>
        </w:rPr>
      </w:pPr>
      <w:r>
        <w:rPr>
          <w:rFonts w:ascii="Times New Roman" w:cs="Times New Roman" w:eastAsia="Times New Roman" w:hAnsi="Times New Roman"/>
          <w:sz w:val="16"/>
          <w:szCs w:val="16"/>
          <w:color w:val="auto"/>
        </w:rPr>
        <w:t>Market exclusivity awarded by the FDA upon the approval of an NDA is limited in scope and duration. For example, our New Chemical Entity exclusivity for Sunosi expires on June 17, 2024 with an Orphan Drug Exclusivity relating to the product’s narcolepsy indication expiring on June 17, 2026. For Auvelity, the New Product Exclusivity expires on August 18, 2025. Neither of these expiry dates take into account the effect of the statutory 30-month stay should we timely commence litigation against any generic filer. A generic filer may be permitted to launch a generic version of either of our products following expiry of these exclusivities if our patents do not preclude a generic launch. Patent litigation is inherently uncertain, and we cannot guarantee the outcome of any such proceedings or that we would succeed in stopping the “at risk” launch of a generic version of either of our currently commercialized products during the pendency of litigation following expiry of the 30-month stay. Such a generic launch could materially impact our commercial success.</w:t>
      </w:r>
    </w:p>
    <w:p>
      <w:pPr>
        <w:spacing w:after="0" w:line="168" w:lineRule="exact"/>
        <w:rPr>
          <w:sz w:val="20"/>
          <w:szCs w:val="20"/>
          <w:color w:val="auto"/>
        </w:rPr>
      </w:pPr>
    </w:p>
    <w:p>
      <w:pPr>
        <w:ind w:firstLine="751"/>
        <w:spacing w:after="0" w:line="188" w:lineRule="exact"/>
        <w:rPr>
          <w:sz w:val="20"/>
          <w:szCs w:val="20"/>
          <w:color w:val="auto"/>
        </w:rPr>
      </w:pPr>
      <w:r>
        <w:rPr>
          <w:rFonts w:ascii="Times New Roman" w:cs="Times New Roman" w:eastAsia="Times New Roman" w:hAnsi="Times New Roman"/>
          <w:sz w:val="16"/>
          <w:szCs w:val="16"/>
          <w:color w:val="auto"/>
        </w:rPr>
        <w:t>We seek to protect intellectual property relating to our products and portfolio products by prosecuting patents in the United States and elsewhere. 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and patent applications or in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patents and patent applications.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172" w:lineRule="exact"/>
        <w:rPr>
          <w:sz w:val="20"/>
          <w:szCs w:val="20"/>
          <w:color w:val="auto"/>
        </w:rPr>
      </w:pPr>
    </w:p>
    <w:p>
      <w:pPr>
        <w:ind w:left="740" w:hanging="371"/>
        <w:spacing w:after="0"/>
        <w:tabs>
          <w:tab w:leader="none" w:pos="7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we may not have been the first to conceive of and reduce to practice the inventions covered by each of our pending patent applications and issued patents;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we may not have been the first to file patent applications for these inventions;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others may independently develop similar or alternative technologies or duplicate any of our product candidates or technologies;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it is possible that none of the pending patent applications will result in issued patents;</w:t>
      </w:r>
    </w:p>
    <w:p>
      <w:pPr>
        <w:spacing w:after="0" w:line="189" w:lineRule="exact"/>
        <w:rPr>
          <w:rFonts w:ascii="Times New Roman" w:cs="Times New Roman" w:eastAsia="Times New Roman" w:hAnsi="Times New Roman"/>
          <w:sz w:val="14"/>
          <w:szCs w:val="14"/>
          <w:color w:val="auto"/>
        </w:rPr>
      </w:pPr>
    </w:p>
    <w:p>
      <w:pPr>
        <w:ind w:left="740" w:right="80" w:hanging="371"/>
        <w:spacing w:after="0" w:line="267" w:lineRule="auto"/>
        <w:tabs>
          <w:tab w:leader="none" w:pos="7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issued patents may not cover commercially viable active products, may not provide us with any competitive advantages, or may be successfully challenged by third parties;</w:t>
      </w:r>
    </w:p>
    <w:p>
      <w:pPr>
        <w:spacing w:after="0" w:line="150"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we may not develop additional proprietary technologies that are patentable;</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patents of others may have an adverse effect on our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740" w:right="120" w:hanging="371"/>
        <w:spacing w:after="0" w:line="267" w:lineRule="auto"/>
        <w:tabs>
          <w:tab w:leader="none" w:pos="7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50" w:lineRule="exact"/>
        <w:rPr>
          <w:rFonts w:ascii="Times New Roman" w:cs="Times New Roman" w:eastAsia="Times New Roman" w:hAnsi="Times New Roman"/>
          <w:sz w:val="14"/>
          <w:szCs w:val="14"/>
          <w:color w:val="auto"/>
        </w:rPr>
      </w:pPr>
    </w:p>
    <w:p>
      <w:pPr>
        <w:ind w:left="740" w:right="60" w:hanging="371"/>
        <w:spacing w:after="0" w:line="267" w:lineRule="auto"/>
        <w:tabs>
          <w:tab w:leader="none" w:pos="7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50" w:lineRule="exact"/>
        <w:rPr>
          <w:rFonts w:ascii="Times New Roman" w:cs="Times New Roman" w:eastAsia="Times New Roman" w:hAnsi="Times New Roman"/>
          <w:sz w:val="14"/>
          <w:szCs w:val="14"/>
          <w:color w:val="auto"/>
        </w:rPr>
      </w:pPr>
    </w:p>
    <w:p>
      <w:pPr>
        <w:ind w:left="740" w:right="40" w:hanging="371"/>
        <w:spacing w:after="0" w:line="267" w:lineRule="auto"/>
        <w:tabs>
          <w:tab w:leader="none" w:pos="7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51" w:lineRule="exact"/>
        <w:rPr>
          <w:sz w:val="20"/>
          <w:szCs w:val="20"/>
          <w:color w:val="auto"/>
        </w:rPr>
      </w:pPr>
    </w:p>
    <w:p>
      <w:pPr>
        <w:ind w:firstLine="751"/>
        <w:spacing w:after="0" w:line="245" w:lineRule="auto"/>
        <w:rPr>
          <w:sz w:val="20"/>
          <w:szCs w:val="20"/>
          <w:color w:val="auto"/>
        </w:rPr>
      </w:pPr>
      <w:r>
        <w:rPr>
          <w:rFonts w:ascii="Times New Roman" w:cs="Times New Roman" w:eastAsia="Times New Roman" w:hAnsi="Times New Roman"/>
          <w:sz w:val="16"/>
          <w:szCs w:val="16"/>
          <w:color w:val="auto"/>
        </w:rPr>
        <w:t>Patents have a limited lifespan. In most countries, including the United States, the expiration of a patent is typically 20 years from the date that the application for the patent is filed or 20 years from the earliest non-provisional filing date to which priority is claimed if the patent is granted from a continuing application (e.g., continuation, divisional, or continuation-in-part).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FDA-approved product. The actual length of the extension will depend on the amount of patent term lost while the product was in clinical trials. However, the applicable authorities, including the U.S. Patent and Trademark Office, or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173"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48" w:lineRule="exact"/>
        <w:rPr>
          <w:sz w:val="20"/>
          <w:szCs w:val="20"/>
          <w:color w:val="auto"/>
        </w:rPr>
      </w:pPr>
    </w:p>
    <w:p>
      <w:pPr>
        <w:ind w:firstLine="751"/>
        <w:spacing w:after="0" w:line="247" w:lineRule="auto"/>
        <w:rPr>
          <w:sz w:val="20"/>
          <w:szCs w:val="20"/>
          <w:color w:val="auto"/>
        </w:rPr>
      </w:pPr>
      <w:r>
        <w:rPr>
          <w:rFonts w:ascii="Times New Roman" w:cs="Times New Roman" w:eastAsia="Times New Roman" w:hAnsi="Times New Roman"/>
          <w:sz w:val="16"/>
          <w:szCs w:val="16"/>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Future patent reform legislation in the U.S. and/or in jurisdictions outside the U.S. could potentially further increase the uncertainties and costs surrounding the prosecution of our patent applications and the enforcement or defense of our issued patents.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48" w:lineRule="exact"/>
        <w:rPr>
          <w:sz w:val="20"/>
          <w:szCs w:val="20"/>
          <w:color w:val="auto"/>
        </w:rPr>
      </w:pPr>
    </w:p>
    <w:p>
      <w:pPr>
        <w:jc w:val="both"/>
        <w:ind w:right="20" w:firstLine="751"/>
        <w:spacing w:after="0" w:line="188" w:lineRule="exact"/>
        <w:rPr>
          <w:sz w:val="20"/>
          <w:szCs w:val="20"/>
          <w:color w:val="auto"/>
        </w:rPr>
      </w:pPr>
      <w:r>
        <w:rPr>
          <w:rFonts w:ascii="Times New Roman" w:cs="Times New Roman" w:eastAsia="Times New Roman" w:hAnsi="Times New Roman"/>
          <w:sz w:val="16"/>
          <w:szCs w:val="16"/>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U.S. patent agencies for the patents and patent applications we own and those that we 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7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48" w:lineRule="exact"/>
        <w:rPr>
          <w:sz w:val="20"/>
          <w:szCs w:val="20"/>
          <w:color w:val="auto"/>
        </w:rPr>
      </w:pPr>
    </w:p>
    <w:p>
      <w:pPr>
        <w:ind w:right="60" w:firstLine="751"/>
        <w:spacing w:after="0" w:line="246" w:lineRule="auto"/>
        <w:rPr>
          <w:sz w:val="20"/>
          <w:szCs w:val="20"/>
          <w:color w:val="auto"/>
        </w:rPr>
      </w:pPr>
      <w:r>
        <w:rPr>
          <w:rFonts w:ascii="Times New Roman" w:cs="Times New Roman" w:eastAsia="Times New Roman" w:hAnsi="Times New Roman"/>
          <w:sz w:val="16"/>
          <w:szCs w:val="16"/>
          <w:color w:val="auto"/>
        </w:rPr>
        <w:t>Our ability to develop, manufacture, market, and sell any of our products depends upon our ability to avoid infringing the proprietary rights of third parties, and our commercial success depends upon our ability, and the ability of our collaborators, to develop, manufacture, market, and sell our products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products may infringe. There could also be existing patents of which we are not aware that any of our current or future products may inadvertently infringe.</w:t>
      </w:r>
    </w:p>
    <w:p>
      <w:pPr>
        <w:spacing w:after="0" w:line="16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If a third-party claims that we infringe their intellectual property rights, we could face a number of issues, including:</w:t>
      </w:r>
    </w:p>
    <w:p>
      <w:pPr>
        <w:spacing w:after="0" w:line="189" w:lineRule="exact"/>
        <w:rPr>
          <w:sz w:val="20"/>
          <w:szCs w:val="20"/>
          <w:color w:val="auto"/>
        </w:rPr>
      </w:pPr>
    </w:p>
    <w:p>
      <w:pPr>
        <w:ind w:left="740" w:right="260" w:hanging="371"/>
        <w:spacing w:after="0" w:line="267" w:lineRule="auto"/>
        <w:tabs>
          <w:tab w:leader="none" w:pos="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infringement and other intellectual property claims which, whether meritorious or not, can be expensive and time consuming to litigate and can divert management’s attention from our core business;</w:t>
      </w:r>
    </w:p>
    <w:p>
      <w:pPr>
        <w:spacing w:after="0" w:line="150"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substantial damages for past infringement which we may have to pay if a court decides that our product infringes on a competitor’s patent;</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 court prohibiting us from selling or licensing our product unless the patent holder licenses the patent to us, which it would not be required to do;</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if a license is available from a patent holder, we may have to pay substantial royalties or grant cross licenses to our patents; and</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redesigning our products and processes so they do not infringe, which may not be possible or could require substantial funds and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80" w:firstLine="751"/>
        <w:spacing w:after="0" w:line="189" w:lineRule="exact"/>
        <w:rPr>
          <w:sz w:val="20"/>
          <w:szCs w:val="20"/>
          <w:color w:val="auto"/>
        </w:rPr>
      </w:pPr>
      <w:r>
        <w:rPr>
          <w:rFonts w:ascii="Times New Roman" w:cs="Times New Roman" w:eastAsia="Times New Roman" w:hAnsi="Times New Roman"/>
          <w:sz w:val="16"/>
          <w:szCs w:val="16"/>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involved in lawsuits to protect or enforce our patents or the patents of our licensors, which could be expensive, time consuming, and unsuccessful.</w:t>
      </w:r>
    </w:p>
    <w:p>
      <w:pPr>
        <w:spacing w:after="0" w:line="191" w:lineRule="exact"/>
        <w:rPr>
          <w:sz w:val="20"/>
          <w:szCs w:val="20"/>
          <w:color w:val="auto"/>
        </w:rPr>
      </w:pPr>
    </w:p>
    <w:p>
      <w:pPr>
        <w:ind w:firstLine="751"/>
        <w:spacing w:after="0" w:line="246" w:lineRule="auto"/>
        <w:rPr>
          <w:sz w:val="20"/>
          <w:szCs w:val="20"/>
          <w:color w:val="auto"/>
        </w:rPr>
      </w:pPr>
      <w:r>
        <w:rPr>
          <w:rFonts w:ascii="Times New Roman" w:cs="Times New Roman" w:eastAsia="Times New Roman" w:hAnsi="Times New Roman"/>
          <w:sz w:val="16"/>
          <w:szCs w:val="16"/>
          <w:color w:val="auto"/>
        </w:rPr>
        <w:t>Competitors may infringe our issued patents, our in-licensed patents, or other intellectual property that we own or in-license.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and/or to challenge the validity of the asserted patent(s) before a court or the USPTO (e.g., in post-grant proceedings such as Inter Partes Review before the Patent Trial and Appeal Board (PTAB) of the USPTO). In addition, in a patent infringement or validity proceeding, a decision maker (e.g., a court or the PTAB)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or related proceeding at the USPTO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8" w:lineRule="exact"/>
        <w:rPr>
          <w:sz w:val="20"/>
          <w:szCs w:val="20"/>
          <w:color w:val="auto"/>
        </w:rPr>
      </w:pPr>
    </w:p>
    <w:p>
      <w:pPr>
        <w:ind w:firstLine="751"/>
        <w:spacing w:after="0" w:line="251" w:lineRule="auto"/>
        <w:rPr>
          <w:sz w:val="20"/>
          <w:szCs w:val="20"/>
          <w:color w:val="auto"/>
        </w:rPr>
      </w:pPr>
      <w:r>
        <w:rPr>
          <w:rFonts w:ascii="Times New Roman" w:cs="Times New Roman" w:eastAsia="Times New Roman" w:hAnsi="Times New Roman"/>
          <w:sz w:val="16"/>
          <w:szCs w:val="16"/>
          <w:color w:val="auto"/>
        </w:rPr>
        <w:t>Many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 candidates to market.</w:t>
      </w:r>
    </w:p>
    <w:p>
      <w:pPr>
        <w:spacing w:after="0" w:line="162" w:lineRule="exact"/>
        <w:rPr>
          <w:sz w:val="20"/>
          <w:szCs w:val="20"/>
          <w:color w:val="auto"/>
        </w:rPr>
      </w:pPr>
    </w:p>
    <w:p>
      <w:pPr>
        <w:ind w:right="70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48" w:lineRule="exact"/>
        <w:rPr>
          <w:sz w:val="20"/>
          <w:szCs w:val="20"/>
          <w:color w:val="auto"/>
        </w:rPr>
      </w:pPr>
    </w:p>
    <w:p>
      <w:pPr>
        <w:ind w:right="120" w:firstLine="751"/>
        <w:spacing w:after="0" w:line="247" w:lineRule="auto"/>
        <w:rPr>
          <w:sz w:val="20"/>
          <w:szCs w:val="20"/>
          <w:color w:val="auto"/>
        </w:rPr>
      </w:pPr>
      <w:r>
        <w:rPr>
          <w:rFonts w:ascii="Times New Roman" w:cs="Times New Roman" w:eastAsia="Times New Roman" w:hAnsi="Times New Roman"/>
          <w:sz w:val="16"/>
          <w:szCs w:val="16"/>
          <w:color w:val="auto"/>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firstLine="751"/>
        <w:spacing w:after="0" w:line="282" w:lineRule="auto"/>
        <w:rPr>
          <w:sz w:val="20"/>
          <w:szCs w:val="20"/>
          <w:color w:val="auto"/>
        </w:rPr>
      </w:pPr>
      <w:r>
        <w:rPr>
          <w:rFonts w:ascii="Times New Roman" w:cs="Times New Roman" w:eastAsia="Times New Roman" w:hAnsi="Times New Roman"/>
          <w:sz w:val="14"/>
          <w:szCs w:val="14"/>
          <w:color w:val="auto"/>
        </w:rPr>
        <w:t>In January 2020, we entered into an agreement with Pfizer Inc., or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trial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$97.538,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to seek and maintain regulatory approvals for the compounds and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spacing w:after="0" w:line="337" w:lineRule="exact"/>
        <w:rPr>
          <w:sz w:val="20"/>
          <w:szCs w:val="20"/>
          <w:color w:val="auto"/>
        </w:rPr>
      </w:pPr>
    </w:p>
    <w:p>
      <w:pPr>
        <w:ind w:firstLine="751"/>
        <w:spacing w:after="0" w:line="188" w:lineRule="exact"/>
        <w:rPr>
          <w:sz w:val="20"/>
          <w:szCs w:val="20"/>
          <w:color w:val="auto"/>
        </w:rPr>
      </w:pPr>
      <w:r>
        <w:rPr>
          <w:rFonts w:ascii="Times New Roman" w:cs="Times New Roman" w:eastAsia="Times New Roman" w:hAnsi="Times New Roman"/>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AXS-05, as well as two product candidates that are not currently in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 up, royalty free, perpetual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exclusive license. If Antecip terminates any of the agreements for cause, or if we exercise our right to terminate any of the agreements for convenience, the rights granted to us under such terminated agreement will revert to Antecip. We are dependent upon the license agreements with Antecip and if any of the license agreements with Antecip are terminated for any reason, our business, financial condition, results of operations, and prospects will be materially harmed.</w:t>
      </w:r>
    </w:p>
    <w:p>
      <w:pPr>
        <w:spacing w:after="0" w:line="172" w:lineRule="exact"/>
        <w:rPr>
          <w:sz w:val="20"/>
          <w:szCs w:val="20"/>
          <w:color w:val="auto"/>
        </w:rPr>
      </w:pPr>
    </w:p>
    <w:p>
      <w:pPr>
        <w:ind w:firstLine="751"/>
        <w:spacing w:after="0" w:line="299" w:lineRule="auto"/>
        <w:rPr>
          <w:sz w:val="20"/>
          <w:szCs w:val="20"/>
          <w:color w:val="auto"/>
        </w:rPr>
      </w:pPr>
      <w:r>
        <w:rPr>
          <w:rFonts w:ascii="Times New Roman" w:cs="Times New Roman" w:eastAsia="Times New Roman" w:hAnsi="Times New Roman"/>
          <w:sz w:val="14"/>
          <w:szCs w:val="14"/>
          <w:color w:val="auto"/>
        </w:rPr>
        <w:t>In connection with the acquisition of Sunosi, in addition to the upfront purchase price, we assumed certain liabilities in connection with the acquisition and agreed to make non-refundable, non-creditable royalty payments to Jazz on U.S. net sales. There are no royalty payments due to Jazz for net sales outside of the U.S. In addition, we assumed all of the commitments of Jazz to SK and Aerial. The assumed commitments to SK and Aerial include single-digit tiered royalties and certain sales and development milestones. We are dependent on these agreements, and if we breach these agreements, our business, financial condition, results of operations, and prospects will be materially harmed.</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48" w:lineRule="exact"/>
        <w:rPr>
          <w:sz w:val="20"/>
          <w:szCs w:val="20"/>
          <w:color w:val="auto"/>
        </w:rPr>
      </w:pPr>
    </w:p>
    <w:p>
      <w:pPr>
        <w:ind w:right="140" w:firstLine="751"/>
        <w:spacing w:after="0" w:line="251" w:lineRule="auto"/>
        <w:rPr>
          <w:sz w:val="20"/>
          <w:szCs w:val="20"/>
          <w:color w:val="auto"/>
        </w:rPr>
      </w:pPr>
      <w:r>
        <w:rPr>
          <w:rFonts w:ascii="Times New Roman" w:cs="Times New Roman" w:eastAsia="Times New Roman" w:hAnsi="Times New Roman"/>
          <w:sz w:val="16"/>
          <w:szCs w:val="16"/>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unable to adequately prevent disclosure of trade secrets and other proprietary information.</w:t>
      </w:r>
    </w:p>
    <w:p>
      <w:pPr>
        <w:spacing w:after="0" w:line="158" w:lineRule="exact"/>
        <w:rPr>
          <w:sz w:val="20"/>
          <w:szCs w:val="20"/>
          <w:color w:val="auto"/>
        </w:rPr>
      </w:pPr>
    </w:p>
    <w:p>
      <w:pPr>
        <w:ind w:firstLine="751"/>
        <w:spacing w:after="0" w:line="191" w:lineRule="exact"/>
        <w:rPr>
          <w:sz w:val="20"/>
          <w:szCs w:val="20"/>
          <w:color w:val="auto"/>
        </w:rPr>
      </w:pPr>
      <w:r>
        <w:rPr>
          <w:rFonts w:ascii="Times New Roman" w:cs="Times New Roman" w:eastAsia="Times New Roman" w:hAnsi="Times New Roman"/>
          <w:sz w:val="16"/>
          <w:szCs w:val="16"/>
          <w:color w:val="auto"/>
        </w:rPr>
        <w:t>We rely on trade secrets to protect our proprietary technological advances and know</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 information and may not provide an adequate remedy in the event of unauthorized disclosure of confidential information. Costly and time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or our licensors may not be able to protect our intellectual property rights throughout the world.</w:t>
      </w:r>
    </w:p>
    <w:p>
      <w:pPr>
        <w:spacing w:after="0" w:line="191" w:lineRule="exact"/>
        <w:rPr>
          <w:sz w:val="20"/>
          <w:szCs w:val="20"/>
          <w:color w:val="auto"/>
        </w:rPr>
      </w:pPr>
    </w:p>
    <w:p>
      <w:pPr>
        <w:ind w:right="80" w:firstLine="751"/>
        <w:spacing w:after="0" w:line="247" w:lineRule="auto"/>
        <w:rPr>
          <w:sz w:val="20"/>
          <w:szCs w:val="20"/>
          <w:color w:val="auto"/>
        </w:rPr>
      </w:pPr>
      <w:r>
        <w:rPr>
          <w:rFonts w:ascii="Times New Roman" w:cs="Times New Roman" w:eastAsia="Times New Roman" w:hAnsi="Times New Roman"/>
          <w:sz w:val="16"/>
          <w:szCs w:val="16"/>
          <w:color w:val="auto"/>
        </w:rPr>
        <w:t>Filing, prosecuting, and defending patent applications and patents on products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68" w:lineRule="exact"/>
        <w:rPr>
          <w:sz w:val="20"/>
          <w:szCs w:val="20"/>
          <w:color w:val="auto"/>
        </w:rPr>
      </w:pPr>
    </w:p>
    <w:p>
      <w:pPr>
        <w:ind w:right="60" w:firstLine="751"/>
        <w:spacing w:after="0" w:line="290" w:lineRule="auto"/>
        <w:rPr>
          <w:sz w:val="20"/>
          <w:szCs w:val="20"/>
          <w:color w:val="auto"/>
        </w:rPr>
      </w:pPr>
      <w:r>
        <w:rPr>
          <w:rFonts w:ascii="Times New Roman" w:cs="Times New Roman" w:eastAsia="Times New Roman" w:hAnsi="Times New Roman"/>
          <w:sz w:val="14"/>
          <w:szCs w:val="14"/>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LEGAL AND COMPLIANCE MATTERS</w:t>
      </w:r>
    </w:p>
    <w:p>
      <w:pPr>
        <w:spacing w:after="0" w:line="18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federal, state, and foreign healthcare laws, including fraud and abuse and transparency and health and other data protection, information privacy and security laws, we could face substantial penalties and our business, financial condition, results of operations, and prospects could be adversely affected.</w:t>
      </w:r>
    </w:p>
    <w:p>
      <w:pPr>
        <w:spacing w:after="0" w:line="148" w:lineRule="exact"/>
        <w:rPr>
          <w:sz w:val="20"/>
          <w:szCs w:val="20"/>
          <w:color w:val="auto"/>
        </w:rPr>
      </w:pPr>
    </w:p>
    <w:p>
      <w:pPr>
        <w:ind w:right="60" w:firstLine="751"/>
        <w:spacing w:after="0" w:line="290" w:lineRule="auto"/>
        <w:rPr>
          <w:sz w:val="20"/>
          <w:szCs w:val="20"/>
          <w:color w:val="auto"/>
        </w:rPr>
      </w:pPr>
      <w:r>
        <w:rPr>
          <w:rFonts w:ascii="Times New Roman" w:cs="Times New Roman" w:eastAsia="Times New Roman" w:hAnsi="Times New Roman"/>
          <w:sz w:val="14"/>
          <w:szCs w:val="14"/>
          <w:color w:val="auto"/>
        </w:rPr>
        <w:t>As a pharmaceutical company, we are subject to many federal and state healthcare laws, including those described in the “Business—Government Regulation and Product Approval” section of this Annual Report on Form 10-K, such as the federal Anti-Kickback Statute, the federal civil and criminal False Claims Act, the civil monetary penalties statute, the Medicaid Drug Rebate statute and other price reporting requirements, the Veterans Health Care Act of 1992, the Sunshine Act, the Foreign Corrupt Practices Act of 1977, the Patient Protection and Affordable Care Act of 2010, and similar state and foreign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We are subject to healthcare fraud and abuse laws by both the federal government and the states in which we conduct our business.</w:t>
      </w:r>
    </w:p>
    <w:p>
      <w:pPr>
        <w:spacing w:after="0" w:line="140" w:lineRule="exact"/>
        <w:rPr>
          <w:sz w:val="20"/>
          <w:szCs w:val="20"/>
          <w:color w:val="auto"/>
        </w:rPr>
      </w:pPr>
    </w:p>
    <w:p>
      <w:pPr>
        <w:ind w:right="40" w:firstLine="751"/>
        <w:spacing w:after="0" w:line="288" w:lineRule="auto"/>
        <w:rPr>
          <w:sz w:val="20"/>
          <w:szCs w:val="20"/>
          <w:color w:val="auto"/>
        </w:rPr>
      </w:pPr>
      <w:r>
        <w:rPr>
          <w:rFonts w:ascii="Times New Roman" w:cs="Times New Roman" w:eastAsia="Times New Roman" w:hAnsi="Times New Roman"/>
          <w:sz w:val="14"/>
          <w:szCs w:val="14"/>
          <w:color w:val="auto"/>
        </w:rPr>
        <w:t>There are numerous other laws and legislative and regulatory initiatives at the federal and state levels addressing privacy and security concerns, and some state privacy and security laws apply more broadly than the Health Insurance Portability and Accountability Act (HIPAA) and its implementing regulations. For example, California enacted legislation – the California Consumer Privacy Act, or CCPA – which went into effect in January 2020. The CCPA, among other things, creates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Further, many data privacy and security laws within the U.S. have concurrent jurisdiction, which could subject us to enforcement by multiple agencies under multiple statutes for the same conduct (e.g., FTC enforcement under Section 5, HHS-Office for Civil Rights enforcement under HIPAA, and actions by state Attorneys General for violation of applicable state laws).</w:t>
      </w:r>
    </w:p>
    <w:p>
      <w:pPr>
        <w:spacing w:after="0" w:line="141" w:lineRule="exact"/>
        <w:rPr>
          <w:sz w:val="20"/>
          <w:szCs w:val="20"/>
          <w:color w:val="auto"/>
        </w:rPr>
      </w:pPr>
    </w:p>
    <w:p>
      <w:pPr>
        <w:ind w:firstLine="751"/>
        <w:spacing w:after="0" w:line="284" w:lineRule="auto"/>
        <w:rPr>
          <w:sz w:val="20"/>
          <w:szCs w:val="20"/>
          <w:color w:val="auto"/>
        </w:rPr>
      </w:pPr>
      <w:r>
        <w:rPr>
          <w:rFonts w:ascii="Times New Roman" w:cs="Times New Roman" w:eastAsia="Times New Roman" w:hAnsi="Times New Roman"/>
          <w:sz w:val="14"/>
          <w:szCs w:val="14"/>
          <w:color w:val="auto"/>
        </w:rPr>
        <w:t>In addition, EU member states and other foreign jurisdictions, including Switzerland, have adopted data protection laws and regulations which impose significant compliance obligations.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Moreover,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100" w:firstLine="751"/>
        <w:spacing w:after="0" w:line="290" w:lineRule="auto"/>
        <w:rPr>
          <w:sz w:val="20"/>
          <w:szCs w:val="20"/>
          <w:color w:val="auto"/>
        </w:rPr>
      </w:pPr>
      <w:r>
        <w:rPr>
          <w:rFonts w:ascii="Times New Roman" w:cs="Times New Roman" w:eastAsia="Times New Roman" w:hAnsi="Times New Roman"/>
          <w:sz w:val="14"/>
          <w:szCs w:val="14"/>
          <w:color w:val="auto"/>
        </w:rPr>
        <w:t>If we or our operations are found to be in violation of any federal or state healthcare, data or information privacy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40" w:lineRule="exact"/>
        <w:rPr>
          <w:sz w:val="20"/>
          <w:szCs w:val="20"/>
          <w:color w:val="auto"/>
        </w:rPr>
      </w:pPr>
    </w:p>
    <w:p>
      <w:pPr>
        <w:ind w:right="280" w:firstLine="751"/>
        <w:spacing w:after="0" w:line="309" w:lineRule="auto"/>
        <w:rPr>
          <w:sz w:val="20"/>
          <w:szCs w:val="20"/>
          <w:color w:val="auto"/>
        </w:rPr>
      </w:pPr>
      <w:r>
        <w:rPr>
          <w:rFonts w:ascii="Times New Roman" w:cs="Times New Roman" w:eastAsia="Times New Roman" w:hAnsi="Times New Roman"/>
          <w:sz w:val="14"/>
          <w:szCs w:val="14"/>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23"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If the government or third-party payors fail to provide adequate coverage and payment rates for any of our products, or if health maintenance organization (HMOs) or long-term care facilities choose to use therapies that are less expensive, our revenue and prospects for profitability will be limited.</w:t>
      </w:r>
    </w:p>
    <w:p>
      <w:pPr>
        <w:spacing w:after="0" w:line="148" w:lineRule="exact"/>
        <w:rPr>
          <w:sz w:val="20"/>
          <w:szCs w:val="20"/>
          <w:color w:val="auto"/>
        </w:rPr>
      </w:pPr>
    </w:p>
    <w:p>
      <w:pPr>
        <w:ind w:firstLine="751"/>
        <w:spacing w:after="0" w:line="246" w:lineRule="auto"/>
        <w:rPr>
          <w:sz w:val="20"/>
          <w:szCs w:val="20"/>
          <w:color w:val="auto"/>
        </w:rPr>
      </w:pPr>
      <w:r>
        <w:rPr>
          <w:rFonts w:ascii="Times New Roman" w:cs="Times New Roman" w:eastAsia="Times New Roman" w:hAnsi="Times New Roman"/>
          <w:sz w:val="16"/>
          <w:szCs w:val="16"/>
          <w:color w:val="auto"/>
        </w:rPr>
        <w:t>In both domestic and foreign markets, sales of our products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 coverage decision based upon their internal review of such products. When a medication or other product is not covered, the patient is responsible to pay the full price, which can significantly limit utilization.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40" w:firstLine="751"/>
        <w:spacing w:after="0" w:line="282" w:lineRule="auto"/>
        <w:rPr>
          <w:sz w:val="20"/>
          <w:szCs w:val="20"/>
          <w:color w:val="auto"/>
        </w:rPr>
      </w:pPr>
      <w:r>
        <w:rPr>
          <w:rFonts w:ascii="Times New Roman" w:cs="Times New Roman" w:eastAsia="Times New Roman" w:hAnsi="Times New Roman"/>
          <w:sz w:val="14"/>
          <w:szCs w:val="14"/>
          <w:color w:val="auto"/>
        </w:rPr>
        <w:t>There is significant uncertainty related to third-party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Adverse pricing limitations may hinder our ability or the ability of our collaborators to recoup our or their investment in one or more of our products or product candidates.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low-cost alternatives within the class, particularly if a generic version of the same agent is available in another form.</w:t>
      </w:r>
    </w:p>
    <w:p>
      <w:pPr>
        <w:spacing w:after="0" w:line="334" w:lineRule="exact"/>
        <w:rPr>
          <w:sz w:val="20"/>
          <w:szCs w:val="20"/>
          <w:color w:val="auto"/>
        </w:rPr>
      </w:pPr>
    </w:p>
    <w:p>
      <w:pPr>
        <w:ind w:firstLine="751"/>
        <w:spacing w:after="0" w:line="293" w:lineRule="auto"/>
        <w:rPr>
          <w:sz w:val="20"/>
          <w:szCs w:val="20"/>
          <w:color w:val="auto"/>
        </w:rPr>
      </w:pPr>
      <w:r>
        <w:rPr>
          <w:rFonts w:ascii="Times New Roman" w:cs="Times New Roman" w:eastAsia="Times New Roman" w:hAnsi="Times New Roman"/>
          <w:sz w:val="14"/>
          <w:szCs w:val="14"/>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38" w:lineRule="exact"/>
        <w:rPr>
          <w:sz w:val="20"/>
          <w:szCs w:val="20"/>
          <w:color w:val="auto"/>
        </w:rPr>
      </w:pPr>
    </w:p>
    <w:p>
      <w:pPr>
        <w:ind w:right="100" w:firstLine="751"/>
        <w:spacing w:after="0" w:line="247" w:lineRule="auto"/>
        <w:rPr>
          <w:sz w:val="20"/>
          <w:szCs w:val="20"/>
          <w:color w:val="auto"/>
        </w:rPr>
      </w:pPr>
      <w:r>
        <w:rPr>
          <w:rFonts w:ascii="Times New Roman" w:cs="Times New Roman" w:eastAsia="Times New Roman" w:hAnsi="Times New Roman"/>
          <w:sz w:val="16"/>
          <w:szCs w:val="16"/>
          <w:color w:val="auto"/>
        </w:rPr>
        <w:t>Assuming coverage is approved, the resulting reimbursement payment rates might not be adequate. If payors subject our products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post-marketing studies in order to demonstrate the cost effectiveness of any our products to the satisfaction of hospitals and other target customers and their third-party payors. Such studies might require us to commit a significant amount of management time and financial and other resources. Our products might not ultimately be considered cost effective. Adequate third-party coverage and reimbursement might not be available to enable us to maintain price levels sufficient to realize an appropriate return on investment in product development.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140" w:firstLine="751"/>
        <w:spacing w:after="0" w:line="247" w:lineRule="auto"/>
        <w:rPr>
          <w:sz w:val="20"/>
          <w:szCs w:val="20"/>
          <w:color w:val="auto"/>
        </w:rPr>
      </w:pPr>
      <w:r>
        <w:rPr>
          <w:rFonts w:ascii="Times New Roman" w:cs="Times New Roman" w:eastAsia="Times New Roman" w:hAnsi="Times New Roman"/>
          <w:sz w:val="16"/>
          <w:szCs w:val="16"/>
          <w:color w:val="auto"/>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166" w:lineRule="exact"/>
        <w:rPr>
          <w:sz w:val="20"/>
          <w:szCs w:val="20"/>
          <w:color w:val="auto"/>
        </w:rPr>
      </w:pPr>
    </w:p>
    <w:p>
      <w:pPr>
        <w:ind w:right="20" w:firstLine="751"/>
        <w:spacing w:after="0" w:line="293" w:lineRule="auto"/>
        <w:rPr>
          <w:sz w:val="20"/>
          <w:szCs w:val="20"/>
          <w:color w:val="auto"/>
        </w:rPr>
      </w:pPr>
      <w:r>
        <w:rPr>
          <w:rFonts w:ascii="Times New Roman" w:cs="Times New Roman" w:eastAsia="Times New Roman" w:hAnsi="Times New Roman"/>
          <w:sz w:val="14"/>
          <w:szCs w:val="14"/>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38" w:lineRule="exact"/>
        <w:rPr>
          <w:sz w:val="20"/>
          <w:szCs w:val="20"/>
          <w:color w:val="auto"/>
        </w:rPr>
      </w:pPr>
    </w:p>
    <w:p>
      <w:pPr>
        <w:ind w:right="200" w:firstLine="751"/>
        <w:spacing w:after="0" w:line="248" w:lineRule="auto"/>
        <w:rPr>
          <w:sz w:val="20"/>
          <w:szCs w:val="20"/>
          <w:color w:val="auto"/>
        </w:rPr>
      </w:pPr>
      <w:r>
        <w:rPr>
          <w:rFonts w:ascii="Times New Roman" w:cs="Times New Roman" w:eastAsia="Times New Roman" w:hAnsi="Times New Roman"/>
          <w:sz w:val="16"/>
          <w:szCs w:val="16"/>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66" w:lineRule="exact"/>
        <w:rPr>
          <w:sz w:val="20"/>
          <w:szCs w:val="20"/>
          <w:color w:val="auto"/>
        </w:rPr>
      </w:pPr>
    </w:p>
    <w:p>
      <w:pPr>
        <w:ind w:firstLine="751"/>
        <w:spacing w:after="0" w:line="248" w:lineRule="auto"/>
        <w:rPr>
          <w:sz w:val="20"/>
          <w:szCs w:val="20"/>
          <w:color w:val="auto"/>
        </w:rPr>
      </w:pPr>
      <w:r>
        <w:rPr>
          <w:rFonts w:ascii="Times New Roman" w:cs="Times New Roman" w:eastAsia="Times New Roman" w:hAnsi="Times New Roman"/>
          <w:sz w:val="16"/>
          <w:szCs w:val="16"/>
          <w:color w:val="auto"/>
        </w:rPr>
        <w:t>In addition, increasingly, third-party payors are requiring higher levels of evidence of the benefits and clinical outcomes of new technologies and are challenging the prices charged. We, and our collaborators, cannot be sure that coverage will be available for any product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64"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48" w:lineRule="exact"/>
        <w:rPr>
          <w:sz w:val="20"/>
          <w:szCs w:val="20"/>
          <w:color w:val="auto"/>
        </w:rPr>
      </w:pPr>
    </w:p>
    <w:p>
      <w:pPr>
        <w:ind w:right="120" w:firstLine="751"/>
        <w:spacing w:after="0" w:line="190" w:lineRule="exact"/>
        <w:rPr>
          <w:sz w:val="20"/>
          <w:szCs w:val="20"/>
          <w:color w:val="auto"/>
        </w:rPr>
      </w:pPr>
      <w:r>
        <w:rPr>
          <w:rFonts w:ascii="Times New Roman" w:cs="Times New Roman" w:eastAsia="Times New Roman" w:hAnsi="Times New Roman"/>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approval activities, and affect our ability, or the ability of our collaborators, to profitably sell any products for which we obtain marketing approval. It is unclear what impact these various efforts have and will have on our business operations and resulting financial condition.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120" w:firstLine="751"/>
        <w:spacing w:after="0" w:line="251" w:lineRule="auto"/>
        <w:rPr>
          <w:sz w:val="20"/>
          <w:szCs w:val="20"/>
          <w:color w:val="auto"/>
        </w:rPr>
      </w:pPr>
      <w:r>
        <w:rPr>
          <w:rFonts w:ascii="Times New Roman" w:cs="Times New Roman" w:eastAsia="Times New Roman" w:hAnsi="Times New Roman"/>
          <w:sz w:val="16"/>
          <w:szCs w:val="16"/>
          <w:color w:val="auto"/>
        </w:rPr>
        <w:t>It is unclear how regulations and sub-regulatory policy, which fluctuate continually, may affect interpretation and further implementation of the ACA and its practical effects on our business. We are unable to predict the future course of federal or state healthcare legislation in the United States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w:t>
      </w:r>
    </w:p>
    <w:p>
      <w:pPr>
        <w:spacing w:after="0" w:line="164" w:lineRule="exact"/>
        <w:rPr>
          <w:sz w:val="20"/>
          <w:szCs w:val="20"/>
          <w:color w:val="auto"/>
        </w:rPr>
      </w:pPr>
    </w:p>
    <w:p>
      <w:pPr>
        <w:ind w:right="40" w:firstLine="751"/>
        <w:spacing w:after="0" w:line="285" w:lineRule="auto"/>
        <w:rPr>
          <w:sz w:val="20"/>
          <w:szCs w:val="20"/>
          <w:color w:val="auto"/>
        </w:rPr>
      </w:pPr>
      <w:r>
        <w:rPr>
          <w:rFonts w:ascii="Times New Roman" w:cs="Times New Roman" w:eastAsia="Times New Roman" w:hAnsi="Times New Roman"/>
          <w:sz w:val="14"/>
          <w:szCs w:val="14"/>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We continue to monitor the potential impact of proposals and recently enacted legislation to lower prescription drug costs at the federal and state level. For example, the IRA was recently signed into law by President Biden, which makes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starting in 2026, and Medicare Part B drugs starting in 2028. We are evaluating what effect, if any, the IRA may have on our business.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329" w:lineRule="exact"/>
        <w:rPr>
          <w:sz w:val="20"/>
          <w:szCs w:val="20"/>
          <w:color w:val="auto"/>
        </w:rPr>
      </w:pPr>
    </w:p>
    <w:p>
      <w:pPr>
        <w:ind w:right="100" w:firstLine="751"/>
        <w:spacing w:after="0" w:line="251" w:lineRule="auto"/>
        <w:rPr>
          <w:sz w:val="20"/>
          <w:szCs w:val="20"/>
          <w:color w:val="auto"/>
        </w:rPr>
      </w:pPr>
      <w:r>
        <w:rPr>
          <w:rFonts w:ascii="Times New Roman" w:cs="Times New Roman" w:eastAsia="Times New Roman" w:hAnsi="Times New Roman"/>
          <w:sz w:val="16"/>
          <w:szCs w:val="16"/>
          <w:color w:val="auto"/>
        </w:rPr>
        <w:t>Legislative and regulatory proposals may also be made to expand post 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64" w:lineRule="exact"/>
        <w:rPr>
          <w:sz w:val="20"/>
          <w:szCs w:val="20"/>
          <w:color w:val="auto"/>
        </w:rPr>
      </w:pPr>
    </w:p>
    <w:p>
      <w:pPr>
        <w:ind w:firstLine="751"/>
        <w:spacing w:after="0" w:line="246" w:lineRule="auto"/>
        <w:rPr>
          <w:sz w:val="20"/>
          <w:szCs w:val="20"/>
          <w:color w:val="auto"/>
        </w:rPr>
      </w:pPr>
      <w:r>
        <w:rPr>
          <w:rFonts w:ascii="Times New Roman" w:cs="Times New Roman" w:eastAsia="Times New Roman" w:hAnsi="Times New Roman"/>
          <w:sz w:val="16"/>
          <w:szCs w:val="16"/>
          <w:color w:val="auto"/>
        </w:rPr>
        <w:t>In addition, there have been a number of other legislative and regulatory proposals aimed at changing the pharmaceutical industry. For instance, the enacted Drug Supply Chain Security Act, or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with the FDA indicating it would permit certain exemptions and exclusions, and enforcement discretion on certain aspects due to the COVID-19 pandemic, although this situation may continue to evolve. The distribution of product samples continues to be regulated under the PDMA, and some states also impose regulations on drug sample distribution.</w:t>
      </w:r>
    </w:p>
    <w:p>
      <w:pPr>
        <w:spacing w:after="0" w:line="168" w:lineRule="exact"/>
        <w:rPr>
          <w:sz w:val="20"/>
          <w:szCs w:val="20"/>
          <w:color w:val="auto"/>
        </w:rPr>
      </w:pPr>
    </w:p>
    <w:p>
      <w:pPr>
        <w:ind w:right="20" w:firstLine="751"/>
        <w:spacing w:after="0" w:line="255" w:lineRule="auto"/>
        <w:rPr>
          <w:sz w:val="20"/>
          <w:szCs w:val="20"/>
          <w:color w:val="auto"/>
        </w:rPr>
      </w:pPr>
      <w:r>
        <w:rPr>
          <w:rFonts w:ascii="Times New Roman" w:cs="Times New Roman" w:eastAsia="Times New Roman" w:hAnsi="Times New Roman"/>
          <w:sz w:val="16"/>
          <w:szCs w:val="16"/>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Governments outside the United States tend to impose strict price controls, which may adversely affect our revenues, if any.</w:t>
      </w:r>
    </w:p>
    <w:p>
      <w:pPr>
        <w:spacing w:after="0" w:line="191" w:lineRule="exact"/>
        <w:rPr>
          <w:sz w:val="20"/>
          <w:szCs w:val="20"/>
          <w:color w:val="auto"/>
        </w:rPr>
      </w:pPr>
    </w:p>
    <w:p>
      <w:pPr>
        <w:ind w:right="60" w:firstLine="751"/>
        <w:spacing w:after="0" w:line="189" w:lineRule="exact"/>
        <w:rPr>
          <w:sz w:val="20"/>
          <w:szCs w:val="20"/>
          <w:color w:val="auto"/>
        </w:rPr>
      </w:pPr>
      <w:r>
        <w:rPr>
          <w:rFonts w:ascii="Times New Roman" w:cs="Times New Roman" w:eastAsia="Times New Roman" w:hAnsi="Times New Roman"/>
          <w:sz w:val="16"/>
          <w:szCs w:val="16"/>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effectiveness of our product candidate to other available therapies. There can be no assurance that our products will be considered cost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effective by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that an adequate level of reimbursement will be available, or that the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7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48" w:lineRule="exact"/>
        <w:rPr>
          <w:sz w:val="20"/>
          <w:szCs w:val="20"/>
          <w:color w:val="auto"/>
        </w:rPr>
      </w:pPr>
    </w:p>
    <w:p>
      <w:pPr>
        <w:ind w:right="20" w:firstLine="751"/>
        <w:spacing w:after="0" w:line="246" w:lineRule="auto"/>
        <w:rPr>
          <w:sz w:val="20"/>
          <w:szCs w:val="20"/>
          <w:color w:val="auto"/>
        </w:rPr>
      </w:pPr>
      <w:r>
        <w:rPr>
          <w:rFonts w:ascii="Times New Roman" w:cs="Times New Roman" w:eastAsia="Times New Roman" w:hAnsi="Times New Roman"/>
          <w:sz w:val="16"/>
          <w:szCs w:val="16"/>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134" w:lineRule="exact"/>
        <w:rPr>
          <w:sz w:val="20"/>
          <w:szCs w:val="20"/>
          <w:color w:val="auto"/>
        </w:rPr>
      </w:pPr>
    </w:p>
    <w:p>
      <w:pPr>
        <w:spacing w:after="0" w:line="211" w:lineRule="exact"/>
        <w:rPr>
          <w:sz w:val="20"/>
          <w:szCs w:val="20"/>
          <w:color w:val="auto"/>
        </w:rPr>
      </w:pPr>
      <w:r>
        <w:rPr>
          <w:rFonts w:ascii="Times New Roman" w:cs="Times New Roman" w:eastAsia="Times New Roman" w:hAnsi="Times New Roman"/>
          <w:sz w:val="16"/>
          <w:szCs w:val="16"/>
          <w:b w:val="1"/>
          <w:bCs w:val="1"/>
          <w:i w:val="1"/>
          <w:iCs w:val="1"/>
          <w:color w:val="auto"/>
        </w:rPr>
        <w:t>Our third</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b w:val="1"/>
          <w:bCs w:val="1"/>
          <w:i w:val="1"/>
          <w:iCs w:val="1"/>
          <w:color w:val="auto"/>
        </w:rPr>
        <w:t>party manufacturers may use hazardous materials in the production of our products and if so, they must comply with environmental laws and regulations, which can be expensive and restrict how we or they do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-194310</wp:posOffset>
            </wp:positionV>
            <wp:extent cx="58420"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8420" cy="37465"/>
                    </a:xfrm>
                    <a:prstGeom prst="rect">
                      <a:avLst/>
                    </a:prstGeom>
                    <a:noFill/>
                  </pic:spPr>
                </pic:pic>
              </a:graphicData>
            </a:graphic>
          </wp:anchor>
        </w:drawing>
      </w:r>
    </w:p>
    <w:p>
      <w:pPr>
        <w:spacing w:after="0" w:line="152" w:lineRule="exact"/>
        <w:rPr>
          <w:sz w:val="20"/>
          <w:szCs w:val="20"/>
          <w:color w:val="auto"/>
        </w:rPr>
      </w:pPr>
    </w:p>
    <w:p>
      <w:pPr>
        <w:ind w:firstLine="751"/>
        <w:spacing w:after="0" w:line="189" w:lineRule="exact"/>
        <w:rPr>
          <w:sz w:val="20"/>
          <w:szCs w:val="20"/>
          <w:color w:val="auto"/>
        </w:rPr>
      </w:pPr>
      <w:r>
        <w:rPr>
          <w:rFonts w:ascii="Times New Roman" w:cs="Times New Roman" w:eastAsia="Times New Roman" w:hAnsi="Times New Roman"/>
          <w:sz w:val="16"/>
          <w:szCs w:val="16"/>
          <w:color w:val="auto"/>
        </w:rPr>
        <w:t>Manufacturing activities for the production of our products involve the controlled storage, use, and disposal of hazardous materials, including the components of our products, and other hazardous compounds. Our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74" w:lineRule="exact"/>
        <w:rPr>
          <w:sz w:val="20"/>
          <w:szCs w:val="20"/>
          <w:color w:val="auto"/>
        </w:rPr>
      </w:pPr>
    </w:p>
    <w:p>
      <w:pPr>
        <w:ind w:right="40" w:firstLine="751"/>
        <w:spacing w:after="0" w:line="255" w:lineRule="auto"/>
        <w:rPr>
          <w:sz w:val="20"/>
          <w:szCs w:val="20"/>
          <w:color w:val="auto"/>
        </w:rPr>
      </w:pPr>
      <w:r>
        <w:rPr>
          <w:rFonts w:ascii="Times New Roman" w:cs="Times New Roman" w:eastAsia="Times New Roman" w:hAnsi="Times New Roman"/>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ind w:right="20" w:firstLine="751"/>
        <w:spacing w:after="0" w:line="255" w:lineRule="auto"/>
        <w:rPr>
          <w:sz w:val="20"/>
          <w:szCs w:val="20"/>
          <w:color w:val="auto"/>
        </w:rPr>
      </w:pPr>
      <w:r>
        <w:rPr>
          <w:rFonts w:ascii="Times New Roman" w:cs="Times New Roman" w:eastAsia="Times New Roman" w:hAnsi="Times New Roman"/>
          <w:sz w:val="16"/>
          <w:szCs w:val="16"/>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OPERATIONS</w:t>
      </w:r>
    </w:p>
    <w:p>
      <w:pPr>
        <w:spacing w:after="0" w:line="189" w:lineRule="exact"/>
        <w:rPr>
          <w:sz w:val="20"/>
          <w:szCs w:val="20"/>
          <w:color w:val="auto"/>
        </w:rPr>
      </w:pPr>
    </w:p>
    <w:p>
      <w:pPr>
        <w:ind w:right="5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14" w:lineRule="exact"/>
        <w:rPr>
          <w:sz w:val="20"/>
          <w:szCs w:val="20"/>
          <w:color w:val="auto"/>
        </w:rPr>
      </w:pPr>
    </w:p>
    <w:p>
      <w:pPr>
        <w:ind w:firstLine="751"/>
        <w:spacing w:after="0" w:line="197" w:lineRule="exact"/>
        <w:rPr>
          <w:sz w:val="20"/>
          <w:szCs w:val="20"/>
          <w:color w:val="auto"/>
        </w:rPr>
      </w:pPr>
      <w:r>
        <w:rPr>
          <w:rFonts w:ascii="Times New Roman" w:cs="Times New Roman" w:eastAsia="Times New Roman" w:hAnsi="Times New Roman"/>
          <w:sz w:val="14"/>
          <w:szCs w:val="14"/>
          <w:color w:val="auto"/>
        </w:rPr>
        <w:t>As of February 13, 2024, we had 545 full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time employees. Our management, personnel, systems, and facilities currently in place may not be adequate to support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171" w:lineRule="exact"/>
        <w:rPr>
          <w:sz w:val="20"/>
          <w:szCs w:val="20"/>
          <w:color w:val="auto"/>
        </w:rPr>
      </w:pPr>
    </w:p>
    <w:p>
      <w:pPr>
        <w:ind w:left="740" w:hanging="371"/>
        <w:spacing w:after="0"/>
        <w:tabs>
          <w:tab w:leader="none" w:pos="74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continue the hiring and training of personnel for our commercial organization, and maintain appropriate systems, policies and infrastructure to support that organization;</w:t>
      </w:r>
    </w:p>
    <w:p>
      <w:pPr>
        <w:spacing w:after="0" w:line="212" w:lineRule="exact"/>
        <w:rPr>
          <w:rFonts w:ascii="Times New Roman" w:cs="Times New Roman" w:eastAsia="Times New Roman" w:hAnsi="Times New Roman"/>
          <w:sz w:val="13"/>
          <w:szCs w:val="13"/>
          <w:color w:val="auto"/>
        </w:rPr>
      </w:pPr>
    </w:p>
    <w:p>
      <w:pPr>
        <w:ind w:left="740" w:hanging="371"/>
        <w:spacing w:after="0"/>
        <w:tabs>
          <w:tab w:leader="none" w:pos="74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ensure that our consultants and other service providers successfully carry out their contractual obligations, provide high quality results, and meet expected deadlines;</w:t>
      </w:r>
    </w:p>
    <w:p>
      <w:pPr>
        <w:spacing w:after="0" w:line="212" w:lineRule="exact"/>
        <w:rPr>
          <w:rFonts w:ascii="Times New Roman" w:cs="Times New Roman" w:eastAsia="Times New Roman" w:hAnsi="Times New Roman"/>
          <w:sz w:val="13"/>
          <w:szCs w:val="13"/>
          <w:color w:val="auto"/>
        </w:rPr>
      </w:pPr>
    </w:p>
    <w:p>
      <w:pPr>
        <w:ind w:left="740" w:hanging="371"/>
        <w:spacing w:after="0"/>
        <w:tabs>
          <w:tab w:leader="none" w:pos="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continue to carry out our own contractual obligations to our licensors and other third parties; and</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continue to improve our operational, financial, and management controls, reporting systems, and procedures.</w:t>
      </w:r>
    </w:p>
    <w:p>
      <w:pPr>
        <w:spacing w:after="0" w:line="189" w:lineRule="exact"/>
        <w:rPr>
          <w:rFonts w:ascii="Times New Roman" w:cs="Times New Roman" w:eastAsia="Times New Roman" w:hAnsi="Times New Roman"/>
          <w:sz w:val="14"/>
          <w:szCs w:val="14"/>
          <w:color w:val="auto"/>
        </w:rPr>
      </w:pPr>
    </w:p>
    <w:p>
      <w:pPr>
        <w:ind w:left="7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We may be unable to successfully implement these tasks on a larger scale and, accordingly, may not achieve our development and commercialization goals.</w:t>
      </w:r>
    </w:p>
    <w:p>
      <w:pPr>
        <w:spacing w:after="0" w:line="18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148" w:lineRule="exact"/>
        <w:rPr>
          <w:sz w:val="20"/>
          <w:szCs w:val="20"/>
          <w:color w:val="auto"/>
        </w:rPr>
      </w:pPr>
    </w:p>
    <w:p>
      <w:pPr>
        <w:ind w:right="100" w:firstLine="751"/>
        <w:spacing w:after="0" w:line="248" w:lineRule="auto"/>
        <w:rPr>
          <w:sz w:val="20"/>
          <w:szCs w:val="20"/>
          <w:color w:val="auto"/>
        </w:rPr>
      </w:pPr>
      <w:r>
        <w:rPr>
          <w:rFonts w:ascii="Times New Roman" w:cs="Times New Roman" w:eastAsia="Times New Roman" w:hAnsi="Times New Roman"/>
          <w:sz w:val="16"/>
          <w:szCs w:val="16"/>
          <w:color w:val="auto"/>
        </w:rPr>
        <w:t>As we continue to complete our clinical trials and commercialize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acquire businesses or products, or form strategic alliances in the future, and we may not realize the benefits of such acquisitions or alliances.</w:t>
      </w:r>
    </w:p>
    <w:p>
      <w:pPr>
        <w:spacing w:after="0" w:line="191" w:lineRule="exact"/>
        <w:rPr>
          <w:sz w:val="20"/>
          <w:szCs w:val="20"/>
          <w:color w:val="auto"/>
        </w:rPr>
      </w:pPr>
    </w:p>
    <w:p>
      <w:pPr>
        <w:ind w:right="240" w:firstLine="751"/>
        <w:spacing w:after="0" w:line="249" w:lineRule="auto"/>
        <w:rPr>
          <w:sz w:val="20"/>
          <w:szCs w:val="20"/>
          <w:color w:val="auto"/>
        </w:rPr>
      </w:pPr>
      <w:r>
        <w:rPr>
          <w:rFonts w:ascii="Times New Roman" w:cs="Times New Roman" w:eastAsia="Times New Roman" w:hAnsi="Times New Roman"/>
          <w:sz w:val="16"/>
          <w:szCs w:val="16"/>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manage our business effectively if we are unable to attract and retain key personnel.</w:t>
      </w:r>
    </w:p>
    <w:p>
      <w:pPr>
        <w:spacing w:after="0" w:line="191" w:lineRule="exact"/>
        <w:rPr>
          <w:sz w:val="20"/>
          <w:szCs w:val="20"/>
          <w:color w:val="auto"/>
        </w:rPr>
      </w:pPr>
    </w:p>
    <w:p>
      <w:pPr>
        <w:ind w:right="20" w:firstLine="751"/>
        <w:spacing w:after="0" w:line="247" w:lineRule="auto"/>
        <w:rPr>
          <w:sz w:val="20"/>
          <w:szCs w:val="20"/>
          <w:color w:val="auto"/>
        </w:rPr>
      </w:pPr>
      <w:r>
        <w:rPr>
          <w:rFonts w:ascii="Times New Roman" w:cs="Times New Roman" w:eastAsia="Times New Roman" w:hAnsi="Times New Roman"/>
          <w:sz w:val="16"/>
          <w:szCs w:val="16"/>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66"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48" w:lineRule="exact"/>
        <w:rPr>
          <w:sz w:val="20"/>
          <w:szCs w:val="20"/>
          <w:color w:val="auto"/>
        </w:rPr>
      </w:pPr>
    </w:p>
    <w:p>
      <w:pPr>
        <w:ind w:right="80" w:firstLine="751"/>
        <w:spacing w:after="0" w:line="249" w:lineRule="auto"/>
        <w:rPr>
          <w:sz w:val="20"/>
          <w:szCs w:val="20"/>
          <w:color w:val="auto"/>
        </w:rPr>
      </w:pPr>
      <w:r>
        <w:rPr>
          <w:rFonts w:ascii="Times New Roman" w:cs="Times New Roman" w:eastAsia="Times New Roman" w:hAnsi="Times New Roman"/>
          <w:sz w:val="16"/>
          <w:szCs w:val="16"/>
          <w:color w:val="auto"/>
        </w:rPr>
        <w:t>As a public company, we continue to incur significant legal, accounting and other expenses that we did not incur as a private company. In addition, the Sarbanes-Oxley Act, as well as rules subsequently implemented by the SEC and The Nasdaq Stock Market LLC, or Nasdaq,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66" w:lineRule="exact"/>
        <w:rPr>
          <w:sz w:val="20"/>
          <w:szCs w:val="20"/>
          <w:color w:val="auto"/>
        </w:rPr>
      </w:pPr>
    </w:p>
    <w:p>
      <w:pPr>
        <w:ind w:firstLine="751"/>
        <w:spacing w:after="0" w:line="246" w:lineRule="auto"/>
        <w:rPr>
          <w:sz w:val="20"/>
          <w:szCs w:val="20"/>
          <w:color w:val="auto"/>
        </w:rPr>
      </w:pPr>
      <w:r>
        <w:rPr>
          <w:rFonts w:ascii="Times New Roman" w:cs="Times New Roman" w:eastAsia="Times New Roman" w:hAnsi="Times New Roman"/>
          <w:sz w:val="16"/>
          <w:szCs w:val="16"/>
          <w:color w:val="auto"/>
        </w:rPr>
        <w:t>The Sarbanes-Oxley Act requires, among other things, that we maintain effective internal controls for financial reporting and disclosure controls and procedures. Under Section 404(a) of the Sarbanes-Oxley Act, we are required to furnish a report by management on, among other things, the effectiveness of our internal control over financial reporting. This report must include disclosure of any material weaknesses identified by our management during its periodic assessment of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220" w:firstLine="751"/>
        <w:spacing w:after="0" w:line="247" w:lineRule="auto"/>
        <w:rPr>
          <w:sz w:val="20"/>
          <w:szCs w:val="20"/>
          <w:color w:val="auto"/>
        </w:rPr>
      </w:pPr>
      <w:r>
        <w:rPr>
          <w:rFonts w:ascii="Times New Roman" w:cs="Times New Roman" w:eastAsia="Times New Roman" w:hAnsi="Times New Roman"/>
          <w:sz w:val="16"/>
          <w:szCs w:val="16"/>
          <w:color w:val="auto"/>
        </w:rPr>
        <w:t>During the evaluation and testing process, if we identify one or more material weaknesses in our internal control over financial reporting, we would be required to implement remediation procedures aimed at mitigating the control weakness or weaknesses. Until such remediation procedures succeed in mitigating the control weakness or weaknesses, we would be unable to assert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timely and accurately report our financial condition, results of operations or cash flows. The cost of compliance with Section 404 requires us to incur substantial accounting expense and expend significant management time on compliance related issues as we implement additional corporate governance practices and comply with reporting requirements. Although we currently use the services of a third-party accounting firm to assist us with internal controls, we currently do not have an internal audit group, and we may need to hire additional accounting and financial staff with appropriate public company experience and technical accounting knowledge.</w:t>
      </w:r>
    </w:p>
    <w:p>
      <w:pPr>
        <w:spacing w:after="0" w:line="166" w:lineRule="exact"/>
        <w:rPr>
          <w:sz w:val="20"/>
          <w:szCs w:val="20"/>
          <w:color w:val="auto"/>
        </w:rPr>
      </w:pPr>
    </w:p>
    <w:p>
      <w:pPr>
        <w:ind w:firstLine="751"/>
        <w:spacing w:after="0" w:line="249" w:lineRule="auto"/>
        <w:rPr>
          <w:sz w:val="20"/>
          <w:szCs w:val="20"/>
          <w:color w:val="auto"/>
        </w:rPr>
      </w:pPr>
      <w:r>
        <w:rPr>
          <w:rFonts w:ascii="Times New Roman" w:cs="Times New Roman" w:eastAsia="Times New Roman" w:hAnsi="Times New Roman"/>
          <w:sz w:val="16"/>
          <w:szCs w:val="16"/>
          <w:color w:val="auto"/>
        </w:rPr>
        <w:t>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we could lose investor confidence in the accuracy and completeness of our financial reports, and we could be subject to sanctions or investigations by Nasdaq, the SEC or other regulatory authorities, which would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disclosure controls and procedures may not prevent or detect all errors or acts of fraud.</w:t>
      </w:r>
    </w:p>
    <w:p>
      <w:pPr>
        <w:spacing w:after="0" w:line="191" w:lineRule="exact"/>
        <w:rPr>
          <w:sz w:val="20"/>
          <w:szCs w:val="20"/>
          <w:color w:val="auto"/>
        </w:rPr>
      </w:pPr>
    </w:p>
    <w:p>
      <w:pPr>
        <w:ind w:right="140" w:firstLine="751"/>
        <w:spacing w:after="0" w:line="251" w:lineRule="auto"/>
        <w:rPr>
          <w:sz w:val="20"/>
          <w:szCs w:val="20"/>
          <w:color w:val="auto"/>
        </w:rPr>
      </w:pPr>
      <w:r>
        <w:rPr>
          <w:rFonts w:ascii="Times New Roman" w:cs="Times New Roman" w:eastAsia="Times New Roman" w:hAnsi="Times New Roman"/>
          <w:sz w:val="16"/>
          <w:szCs w:val="16"/>
          <w:color w:val="auto"/>
        </w:rPr>
        <w:t>We are subject to the periodic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64" w:lineRule="exact"/>
        <w:rPr>
          <w:sz w:val="20"/>
          <w:szCs w:val="20"/>
          <w:color w:val="auto"/>
        </w:rPr>
      </w:pPr>
    </w:p>
    <w:p>
      <w:pPr>
        <w:jc w:val="both"/>
        <w:ind w:right="20" w:firstLine="751"/>
        <w:spacing w:after="0" w:line="286" w:lineRule="auto"/>
        <w:rPr>
          <w:sz w:val="20"/>
          <w:szCs w:val="20"/>
          <w:color w:val="auto"/>
        </w:rPr>
      </w:pPr>
      <w:r>
        <w:rPr>
          <w:rFonts w:ascii="Times New Roman" w:cs="Times New Roman" w:eastAsia="Times New Roman" w:hAnsi="Times New Roman"/>
          <w:sz w:val="14"/>
          <w:szCs w:val="14"/>
          <w:color w:val="auto"/>
        </w:rPr>
        <w:t>In addition, as discussed above, the Sarbanes-Oxley Act requires, among other things, that we maintain effective disclosure controls and procedures and internal control over financial reporting. In particular, Section 404 of the Sarbanes-Oxley Act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w:t>
      </w:r>
    </w:p>
    <w:p>
      <w:pPr>
        <w:spacing w:after="0" w:line="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color w:val="auto"/>
        </w:rPr>
        <w:t>Pursuant to Section 404, we are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In the future,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169" w:lineRule="exact"/>
        <w:rPr>
          <w:sz w:val="20"/>
          <w:szCs w:val="20"/>
          <w:color w:val="auto"/>
        </w:rPr>
      </w:pPr>
    </w:p>
    <w:p>
      <w:pPr>
        <w:ind w:right="80" w:firstLine="751"/>
        <w:spacing w:after="0" w:line="255" w:lineRule="auto"/>
        <w:rPr>
          <w:sz w:val="20"/>
          <w:szCs w:val="20"/>
          <w:color w:val="auto"/>
        </w:rPr>
      </w:pPr>
      <w:r>
        <w:rPr>
          <w:rFonts w:ascii="Times New Roman" w:cs="Times New Roman" w:eastAsia="Times New Roman" w:hAnsi="Times New Roman"/>
          <w:sz w:val="16"/>
          <w:szCs w:val="16"/>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and operations would suffer in the event of system failures.</w:t>
      </w:r>
    </w:p>
    <w:p>
      <w:pPr>
        <w:spacing w:after="0" w:line="191" w:lineRule="exact"/>
        <w:rPr>
          <w:sz w:val="20"/>
          <w:szCs w:val="20"/>
          <w:color w:val="auto"/>
        </w:rPr>
      </w:pPr>
    </w:p>
    <w:p>
      <w:pPr>
        <w:ind w:right="60" w:firstLine="751"/>
        <w:spacing w:after="0" w:line="246" w:lineRule="auto"/>
        <w:rPr>
          <w:sz w:val="20"/>
          <w:szCs w:val="20"/>
          <w:color w:val="auto"/>
        </w:rPr>
      </w:pPr>
      <w:r>
        <w:rPr>
          <w:rFonts w:ascii="Times New Roman" w:cs="Times New Roman" w:eastAsia="Times New Roman" w:hAnsi="Times New Roman"/>
          <w:sz w:val="16"/>
          <w:szCs w:val="16"/>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Environmental, social and governance matters may impact our business and reputation.</w:t>
      </w:r>
    </w:p>
    <w:p>
      <w:pPr>
        <w:spacing w:after="0" w:line="191" w:lineRule="exact"/>
        <w:rPr>
          <w:sz w:val="20"/>
          <w:szCs w:val="20"/>
          <w:color w:val="auto"/>
        </w:rPr>
      </w:pPr>
    </w:p>
    <w:p>
      <w:pPr>
        <w:ind w:right="20" w:firstLine="751"/>
        <w:spacing w:after="0" w:line="286" w:lineRule="auto"/>
        <w:rPr>
          <w:sz w:val="20"/>
          <w:szCs w:val="20"/>
          <w:color w:val="auto"/>
        </w:rPr>
      </w:pPr>
      <w:r>
        <w:rPr>
          <w:rFonts w:ascii="Times New Roman" w:cs="Times New Roman" w:eastAsia="Times New Roman" w:hAnsi="Times New Roman"/>
          <w:sz w:val="14"/>
          <w:szCs w:val="14"/>
          <w:color w:val="auto"/>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its ESG performance, we risk negative stockholder reaction, including from proxy advisory services, as well as damage to its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its investors, customers and other stakeholders, we could experience reduced demand for its products, loss of customers, and other negative impacts on our business and results of operations.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OWNERSHIP OF OUR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 active trading market for our common stock may not be sustained.</w:t>
      </w:r>
    </w:p>
    <w:p>
      <w:pPr>
        <w:spacing w:after="0" w:line="191" w:lineRule="exact"/>
        <w:rPr>
          <w:sz w:val="20"/>
          <w:szCs w:val="20"/>
          <w:color w:val="auto"/>
        </w:rPr>
      </w:pPr>
    </w:p>
    <w:p>
      <w:pPr>
        <w:jc w:val="both"/>
        <w:ind w:firstLine="751"/>
        <w:spacing w:after="0" w:line="249" w:lineRule="auto"/>
        <w:rPr>
          <w:sz w:val="20"/>
          <w:szCs w:val="20"/>
          <w:color w:val="auto"/>
        </w:rPr>
      </w:pPr>
      <w:r>
        <w:rPr>
          <w:rFonts w:ascii="Times New Roman" w:cs="Times New Roman" w:eastAsia="Times New Roman" w:hAnsi="Times New Roman"/>
          <w:sz w:val="16"/>
          <w:szCs w:val="16"/>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market price of our common stock may be highly volatile.</w:t>
      </w:r>
    </w:p>
    <w:p>
      <w:pPr>
        <w:spacing w:after="0" w:line="191" w:lineRule="exact"/>
        <w:rPr>
          <w:sz w:val="20"/>
          <w:szCs w:val="20"/>
          <w:color w:val="auto"/>
        </w:rPr>
      </w:pPr>
    </w:p>
    <w:p>
      <w:pPr>
        <w:ind w:right="220" w:firstLine="751"/>
        <w:spacing w:after="0" w:line="251" w:lineRule="auto"/>
        <w:rPr>
          <w:sz w:val="20"/>
          <w:szCs w:val="20"/>
          <w:color w:val="auto"/>
        </w:rPr>
      </w:pPr>
      <w:r>
        <w:rPr>
          <w:rFonts w:ascii="Times New Roman" w:cs="Times New Roman" w:eastAsia="Times New Roman" w:hAnsi="Times New Roman"/>
          <w:sz w:val="16"/>
          <w:szCs w:val="16"/>
          <w:color w:val="auto"/>
        </w:rPr>
        <w:t>The trading price of our common stock is likely to be highly volatile. For example, in 2019, we experienced an extraordinary level of appreciation in our stock price. Such levels of gain are unlikely to continue in the future. Since then we have seen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spacing w:after="0" w:line="164" w:lineRule="exact"/>
        <w:rPr>
          <w:sz w:val="20"/>
          <w:szCs w:val="20"/>
          <w:color w:val="auto"/>
        </w:rPr>
      </w:pPr>
    </w:p>
    <w:p>
      <w:pPr>
        <w:ind w:left="740" w:hanging="371"/>
        <w:spacing w:after="0"/>
        <w:tabs>
          <w:tab w:leader="none" w:pos="7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commercial success of our products;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740" w:hanging="371"/>
        <w:spacing w:after="0"/>
        <w:tabs>
          <w:tab w:leader="none" w:pos="74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delays in the commencement, enrollment, and ultimate completion, of our planned and ongoing Phase 3 clinical trials for our product candidates;</w:t>
      </w:r>
    </w:p>
    <w:p>
      <w:pPr>
        <w:spacing w:after="0" w:line="212" w:lineRule="exact"/>
        <w:rPr>
          <w:rFonts w:ascii="Times New Roman" w:cs="Times New Roman" w:eastAsia="Times New Roman" w:hAnsi="Times New Roman"/>
          <w:sz w:val="13"/>
          <w:szCs w:val="13"/>
          <w:color w:val="auto"/>
        </w:rPr>
      </w:pPr>
    </w:p>
    <w:p>
      <w:pPr>
        <w:ind w:left="740" w:hanging="371"/>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any delay or refusal on the part of the FDA in approving an NDA for any of our current and future product candidates;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operating and stock price performance of other companies that investors deem comparable to ours;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recommendations by securities analysts;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news relating to our industry as a whole and news relating to trends in our markets;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results of clinical trials of any of our current and future product candidates or those of our competitors;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actual or anticipated variations in quarterly or annual operating results;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failure to meet or exceed financial projections we provide to the public, if any;</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failure to meet or exceed the estimates and projections of the investment community, including securities analysts;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introduction of competitive products or technologies;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changes or developments in laws or regulations applicable to our product candidates;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perception of the pharmaceutical industry by the public, legislatures, regulators, and the investment community;</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general economic and market conditions and overall fluctuations in U.S. equity markets;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data or security breaches;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developments concerning our sources of manufacturing supply, warehousing, and inventory control;</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disputes or other developments relating to patents or other proprietary rights;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additions or departures of key scientific or management personnel;</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announcements of investigations or regulatory scrutiny of our operations or lawsuits filed against us;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capital commitments;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investors’ general perception of our company and our business;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announcements and expectations of additional financing efforts, including the issuance of debt, equity or convertible securities;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sales of our common stock, including sales by our directors and officers or significant stockholders;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changes in the market valuations of companies similar to us;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announcements by us or our competitors of significant acquisitions, strategic partnerships, or divestitures;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general conditions or trends in our industry; and</w:t>
      </w:r>
    </w:p>
    <w:p>
      <w:pPr>
        <w:spacing w:after="0" w:line="39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680"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740" w:hanging="371"/>
        <w:spacing w:after="0"/>
        <w:tabs>
          <w:tab w:leader="none" w:pos="7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other factors described in this “Risk Factors” section.</w:t>
      </w:r>
    </w:p>
    <w:p>
      <w:pPr>
        <w:spacing w:after="0" w:line="189" w:lineRule="exact"/>
        <w:rPr>
          <w:sz w:val="20"/>
          <w:szCs w:val="20"/>
          <w:color w:val="auto"/>
        </w:rPr>
      </w:pPr>
    </w:p>
    <w:p>
      <w:pPr>
        <w:ind w:right="180" w:firstLine="751"/>
        <w:spacing w:after="0" w:line="255" w:lineRule="auto"/>
        <w:rPr>
          <w:sz w:val="20"/>
          <w:szCs w:val="20"/>
          <w:color w:val="auto"/>
        </w:rPr>
      </w:pPr>
      <w:r>
        <w:rPr>
          <w:rFonts w:ascii="Times New Roman" w:cs="Times New Roman" w:eastAsia="Times New Roman" w:hAnsi="Times New Roman"/>
          <w:sz w:val="16"/>
          <w:szCs w:val="16"/>
          <w:color w:val="auto"/>
        </w:rPr>
        <w:t>In addition, the stock market in general, and the market for mid-cap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58"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48" w:lineRule="exact"/>
        <w:rPr>
          <w:sz w:val="20"/>
          <w:szCs w:val="20"/>
          <w:color w:val="auto"/>
        </w:rPr>
      </w:pPr>
    </w:p>
    <w:p>
      <w:pPr>
        <w:ind w:firstLine="751"/>
        <w:spacing w:after="0" w:line="299" w:lineRule="auto"/>
        <w:rPr>
          <w:sz w:val="20"/>
          <w:szCs w:val="20"/>
          <w:color w:val="auto"/>
        </w:rPr>
      </w:pPr>
      <w:r>
        <w:rPr>
          <w:rFonts w:ascii="Times New Roman" w:cs="Times New Roman" w:eastAsia="Times New Roman" w:hAnsi="Times New Roman"/>
          <w:sz w:val="14"/>
          <w:szCs w:val="14"/>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quarterly operating results may fluctuate significantly.</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We expect our operating results to be subject to quarterly fluctuations. Our net loss and other operating results will be affected by numerous factors, including:</w:t>
      </w:r>
    </w:p>
    <w:p>
      <w:pPr>
        <w:spacing w:after="0" w:line="189" w:lineRule="exact"/>
        <w:rPr>
          <w:sz w:val="20"/>
          <w:szCs w:val="20"/>
          <w:color w:val="auto"/>
        </w:rPr>
      </w:pPr>
    </w:p>
    <w:p>
      <w:pPr>
        <w:ind w:left="740" w:hanging="371"/>
        <w:spacing w:after="0"/>
        <w:tabs>
          <w:tab w:leader="none" w:pos="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commercial success of our products;</w:t>
      </w:r>
    </w:p>
    <w:p>
      <w:pPr>
        <w:spacing w:after="0" w:line="189" w:lineRule="exact"/>
        <w:rPr>
          <w:rFonts w:ascii="Times New Roman" w:cs="Times New Roman" w:eastAsia="Times New Roman" w:hAnsi="Times New Roman"/>
          <w:sz w:val="14"/>
          <w:szCs w:val="14"/>
          <w:color w:val="auto"/>
        </w:rPr>
      </w:pPr>
    </w:p>
    <w:p>
      <w:pPr>
        <w:ind w:left="740" w:right="80" w:hanging="371"/>
        <w:spacing w:after="0" w:line="267" w:lineRule="auto"/>
        <w:tabs>
          <w:tab w:leader="none" w:pos="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whether the FDA requires us to complete additional, unanticipated studies, tests, or other activities prior to approving any of our current and future product candidates, which may delay any such approval;</w:t>
      </w:r>
    </w:p>
    <w:p>
      <w:pPr>
        <w:spacing w:after="0" w:line="117" w:lineRule="exact"/>
        <w:rPr>
          <w:rFonts w:ascii="Times New Roman" w:cs="Times New Roman" w:eastAsia="Times New Roman" w:hAnsi="Times New Roman"/>
          <w:sz w:val="14"/>
          <w:szCs w:val="14"/>
          <w:color w:val="auto"/>
        </w:rPr>
      </w:pPr>
    </w:p>
    <w:p>
      <w:pPr>
        <w:ind w:left="740" w:right="200" w:hanging="371"/>
        <w:spacing w:after="0" w:line="211" w:lineRule="exact"/>
        <w:tabs>
          <w:tab w:leader="none" w:pos="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our ability to identify and enter into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manufacturing arrangements capable of manufacturing any of our current or future product candidates in commercial quantities;</w:t>
      </w:r>
    </w:p>
    <w:p>
      <w:pPr>
        <w:spacing w:after="0" w:line="172"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our execution of other collaborative, licensing, or similar arrangements and the timing of payments we may make or receive under these arrangements;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variations in the level of expenses related to our future development programs;</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any product liability or intellectual property infringement lawsuit in which we may become involved;</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regulatory developments affecting our current products, or the products of our competitors; and</w:t>
      </w:r>
    </w:p>
    <w:p>
      <w:pPr>
        <w:spacing w:after="0" w:line="189" w:lineRule="exact"/>
        <w:rPr>
          <w:rFonts w:ascii="Times New Roman" w:cs="Times New Roman" w:eastAsia="Times New Roman" w:hAnsi="Times New Roman"/>
          <w:sz w:val="14"/>
          <w:szCs w:val="14"/>
          <w:color w:val="auto"/>
        </w:rPr>
      </w:pPr>
    </w:p>
    <w:p>
      <w:pPr>
        <w:ind w:left="740" w:hanging="371"/>
        <w:spacing w:after="0"/>
        <w:tabs>
          <w:tab w:leader="none" w:pos="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level of underlying demand for our products</w:t>
      </w:r>
    </w:p>
    <w:p>
      <w:pPr>
        <w:spacing w:after="0" w:line="189" w:lineRule="exact"/>
        <w:rPr>
          <w:sz w:val="20"/>
          <w:szCs w:val="20"/>
          <w:color w:val="auto"/>
        </w:rPr>
      </w:pPr>
    </w:p>
    <w:p>
      <w:pPr>
        <w:ind w:right="60" w:firstLine="751"/>
        <w:spacing w:after="0" w:line="255" w:lineRule="auto"/>
        <w:rPr>
          <w:sz w:val="20"/>
          <w:szCs w:val="20"/>
          <w:color w:val="auto"/>
        </w:rPr>
      </w:pPr>
      <w:r>
        <w:rPr>
          <w:rFonts w:ascii="Times New Roman" w:cs="Times New Roman" w:eastAsia="Times New Roman" w:hAnsi="Times New Roman"/>
          <w:sz w:val="16"/>
          <w:szCs w:val="16"/>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680"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48" w:lineRule="exact"/>
        <w:rPr>
          <w:sz w:val="20"/>
          <w:szCs w:val="20"/>
          <w:color w:val="auto"/>
        </w:rPr>
      </w:pPr>
    </w:p>
    <w:p>
      <w:pPr>
        <w:ind w:right="220" w:firstLine="751"/>
        <w:spacing w:after="0" w:line="249" w:lineRule="auto"/>
        <w:rPr>
          <w:sz w:val="20"/>
          <w:szCs w:val="20"/>
          <w:color w:val="auto"/>
        </w:rPr>
      </w:pPr>
      <w:r>
        <w:rPr>
          <w:rFonts w:ascii="Times New Roman" w:cs="Times New Roman" w:eastAsia="Times New Roman" w:hAnsi="Times New Roman"/>
          <w:sz w:val="16"/>
          <w:szCs w:val="16"/>
          <w:color w:val="auto"/>
        </w:rPr>
        <w:t>We may finance our cash needs through a combination of equity offerings, debt financings, grants, and license and development agreements in connection with any collaborations until such time, if ever, as our product sales are sufficient to meet our cash needs.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6" w:lineRule="exact"/>
        <w:rPr>
          <w:sz w:val="20"/>
          <w:szCs w:val="20"/>
          <w:color w:val="auto"/>
        </w:rPr>
      </w:pPr>
    </w:p>
    <w:p>
      <w:pPr>
        <w:ind w:firstLine="751"/>
        <w:spacing w:after="0" w:line="248" w:lineRule="auto"/>
        <w:rPr>
          <w:sz w:val="20"/>
          <w:szCs w:val="20"/>
          <w:color w:val="auto"/>
        </w:rPr>
      </w:pPr>
      <w:r>
        <w:rPr>
          <w:rFonts w:ascii="Times New Roman" w:cs="Times New Roman" w:eastAsia="Times New Roman" w:hAnsi="Times New Roman"/>
          <w:sz w:val="16"/>
          <w:szCs w:val="16"/>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4" w:lineRule="exact"/>
        <w:rPr>
          <w:sz w:val="20"/>
          <w:szCs w:val="20"/>
          <w:color w:val="auto"/>
        </w:rPr>
      </w:pPr>
    </w:p>
    <w:p>
      <w:pPr>
        <w:ind w:right="60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Our principal stockholders and management own a significant percentage of our stock and may be able to exert significant control over matters subject to stockholder approval.</w:t>
      </w:r>
    </w:p>
    <w:p>
      <w:pPr>
        <w:spacing w:after="0" w:line="148" w:lineRule="exact"/>
        <w:rPr>
          <w:sz w:val="20"/>
          <w:szCs w:val="20"/>
          <w:color w:val="auto"/>
        </w:rPr>
      </w:pPr>
    </w:p>
    <w:p>
      <w:pPr>
        <w:ind w:right="160" w:firstLine="751"/>
        <w:spacing w:after="0" w:line="249" w:lineRule="auto"/>
        <w:rPr>
          <w:sz w:val="20"/>
          <w:szCs w:val="20"/>
          <w:color w:val="auto"/>
        </w:rPr>
      </w:pPr>
      <w:r>
        <w:rPr>
          <w:rFonts w:ascii="Times New Roman" w:cs="Times New Roman" w:eastAsia="Times New Roman" w:hAnsi="Times New Roman"/>
          <w:sz w:val="16"/>
          <w:szCs w:val="16"/>
          <w:color w:val="auto"/>
        </w:rPr>
        <w:t>As of February 13, 2024, our executive officers, directors, and 5% stockholders and their affiliates beneficially owned an aggregate of approximately 47%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66" w:lineRule="exact"/>
        <w:rPr>
          <w:sz w:val="20"/>
          <w:szCs w:val="20"/>
          <w:color w:val="auto"/>
        </w:rPr>
      </w:pPr>
    </w:p>
    <w:p>
      <w:pPr>
        <w:ind w:right="140" w:firstLine="751"/>
        <w:spacing w:after="0" w:line="248" w:lineRule="auto"/>
        <w:rPr>
          <w:sz w:val="20"/>
          <w:szCs w:val="20"/>
          <w:color w:val="auto"/>
        </w:rPr>
      </w:pPr>
      <w:r>
        <w:rPr>
          <w:rFonts w:ascii="Times New Roman" w:cs="Times New Roman" w:eastAsia="Times New Roman" w:hAnsi="Times New Roman"/>
          <w:sz w:val="16"/>
          <w:szCs w:val="16"/>
          <w:color w:val="auto"/>
        </w:rPr>
        <w:t>Some of these persons or entities may have interests different than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Sales of a substantial number of shares of our common stock in the public market by our existing stockholders could cause our stock price to fall.</w:t>
      </w:r>
    </w:p>
    <w:p>
      <w:pPr>
        <w:spacing w:after="0" w:line="191" w:lineRule="exact"/>
        <w:rPr>
          <w:sz w:val="20"/>
          <w:szCs w:val="20"/>
          <w:color w:val="auto"/>
        </w:rPr>
      </w:pPr>
    </w:p>
    <w:p>
      <w:pPr>
        <w:jc w:val="both"/>
        <w:ind w:right="160" w:firstLine="751"/>
        <w:spacing w:after="0" w:line="255" w:lineRule="auto"/>
        <w:rPr>
          <w:sz w:val="20"/>
          <w:szCs w:val="20"/>
          <w:color w:val="auto"/>
        </w:rPr>
      </w:pPr>
      <w:r>
        <w:rPr>
          <w:rFonts w:ascii="Times New Roman" w:cs="Times New Roman" w:eastAsia="Times New Roman" w:hAnsi="Times New Roman"/>
          <w:sz w:val="16"/>
          <w:szCs w:val="16"/>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140" w:firstLine="751"/>
        <w:spacing w:after="0" w:line="299" w:lineRule="auto"/>
        <w:rPr>
          <w:sz w:val="20"/>
          <w:szCs w:val="20"/>
          <w:color w:val="auto"/>
        </w:rPr>
      </w:pPr>
      <w:r>
        <w:rPr>
          <w:rFonts w:ascii="Times New Roman" w:cs="Times New Roman" w:eastAsia="Times New Roman" w:hAnsi="Times New Roman"/>
          <w:sz w:val="14"/>
          <w:szCs w:val="14"/>
          <w:color w:val="auto"/>
        </w:rPr>
        <w:t>As of February 13, 2024, we have outstanding 47,374,375 shares of common stock and 9,590,916 shares of common stock equivalents that would increase the number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39,373,446 are freely tradable. The remainder of the outstanding shares of common stock are held by our affiliates and may be considered “control securities” for purposes of Rule 144 under the Securities Act.</w:t>
      </w:r>
    </w:p>
    <w:p>
      <w:pPr>
        <w:spacing w:after="0" w:line="98" w:lineRule="exact"/>
        <w:rPr>
          <w:sz w:val="20"/>
          <w:szCs w:val="20"/>
          <w:color w:val="auto"/>
        </w:rPr>
      </w:pPr>
    </w:p>
    <w:p>
      <w:pPr>
        <w:ind w:right="240" w:firstLine="751"/>
        <w:spacing w:after="0" w:line="199" w:lineRule="exact"/>
        <w:rPr>
          <w:sz w:val="20"/>
          <w:szCs w:val="20"/>
          <w:color w:val="auto"/>
        </w:rPr>
      </w:pPr>
      <w:r>
        <w:rPr>
          <w:rFonts w:ascii="Times New Roman" w:cs="Times New Roman" w:eastAsia="Times New Roman" w:hAnsi="Times New Roman"/>
          <w:sz w:val="14"/>
          <w:szCs w:val="14"/>
          <w:color w:val="auto"/>
        </w:rPr>
        <w:t>In addition, we have filed one or more registration statements on Form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8 registering the issuance of an aggregate of 13,705,956 shares of common stock subject to options or other equity awards issued or reserved for future issuance under our 2015 Omnibus Incentive Compensation Plan and an additional 1,100,000 shares of common stock reserved for future issuance under our 2023 Employee Stock Purchase Plan. Shares registered under registration statements on Form S-8 will be available for sale in the public market subject to vesting arrangements and exercise of options, the lock up agreements described above and the restrictions of Rule 144 in the case of our affiliates.</w:t>
      </w:r>
    </w:p>
    <w:p>
      <w:pPr>
        <w:spacing w:after="0" w:line="17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Our management will have broad discretion in the use of the net proceeds from our capital raises, including the proceeds from sales pursuant to our Sales Agreement, and may not use them effectively.</w:t>
      </w:r>
    </w:p>
    <w:p>
      <w:pPr>
        <w:spacing w:after="0" w:line="148" w:lineRule="exact"/>
        <w:rPr>
          <w:sz w:val="20"/>
          <w:szCs w:val="20"/>
          <w:color w:val="auto"/>
        </w:rPr>
      </w:pPr>
    </w:p>
    <w:p>
      <w:pPr>
        <w:ind w:firstLine="751"/>
        <w:spacing w:after="0" w:line="286" w:lineRule="auto"/>
        <w:rPr>
          <w:sz w:val="20"/>
          <w:szCs w:val="20"/>
          <w:color w:val="auto"/>
        </w:rPr>
      </w:pPr>
      <w:r>
        <w:rPr>
          <w:rFonts w:ascii="Times New Roman" w:cs="Times New Roman" w:eastAsia="Times New Roman" w:hAnsi="Times New Roman"/>
          <w:sz w:val="14"/>
          <w:szCs w:val="14"/>
          <w:color w:val="auto"/>
        </w:rPr>
        <w:t>Our management will have broad discretion in the application of the net proceeds from our capital raises, which we refer to as our Capital Raises, including the proceeds from sales pursuant to our March 2022 “at-the-market” sales agreement with SVB Securities LLC (now known as Leerink Partners LLC, or Leerink), or Leerink, which provides for the sale of up to $250.0 million of our common stock from time to 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use of our net operating loss carryforwards and research tax credits may be limited.</w:t>
      </w:r>
    </w:p>
    <w:p>
      <w:pPr>
        <w:spacing w:after="0" w:line="191" w:lineRule="exact"/>
        <w:rPr>
          <w:sz w:val="20"/>
          <w:szCs w:val="20"/>
          <w:color w:val="auto"/>
        </w:rPr>
      </w:pPr>
    </w:p>
    <w:p>
      <w:pPr>
        <w:ind w:firstLine="751"/>
        <w:spacing w:after="0" w:line="245" w:lineRule="auto"/>
        <w:rPr>
          <w:sz w:val="20"/>
          <w:szCs w:val="20"/>
          <w:color w:val="auto"/>
        </w:rPr>
      </w:pPr>
      <w:r>
        <w:rPr>
          <w:rFonts w:ascii="Times New Roman" w:cs="Times New Roman" w:eastAsia="Times New Roman" w:hAnsi="Times New Roman"/>
          <w:sz w:val="16"/>
          <w:szCs w:val="16"/>
          <w:color w:val="auto"/>
        </w:rPr>
        <w:t>Our net operating loss carryforwards and any future research and development tax credits may expire and not be used. As of December 31, 2023, we had U.S. federal net operating loss, NOL, carryforwards of approximately $547 million and foreign NOL carryforwards of $0.7 million. U.S. federal net operating loss carry forwards amounting to $60 million generated before the 2018 tax year will start expiring beginning 2032, if we have not used them prior to that time, and the net operating losses of approximately $487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The completion of our initial public offering, together with our other public and private Capital Raises, and other transactions that have occurred, may trigger, or may have already triggered, such an ownership change. In addition, since we may need to raise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Because we do not intend to pay dividends on our common stock, returns for our stockholders will be limited to any increase in the value of our stock.</w:t>
      </w:r>
    </w:p>
    <w:p>
      <w:pPr>
        <w:spacing w:after="0" w:line="191" w:lineRule="exact"/>
        <w:rPr>
          <w:sz w:val="20"/>
          <w:szCs w:val="20"/>
          <w:color w:val="auto"/>
        </w:rPr>
      </w:pPr>
    </w:p>
    <w:p>
      <w:pPr>
        <w:ind w:firstLine="751"/>
        <w:spacing w:after="0" w:line="251" w:lineRule="auto"/>
        <w:rPr>
          <w:sz w:val="20"/>
          <w:szCs w:val="20"/>
          <w:color w:val="auto"/>
        </w:rPr>
      </w:pPr>
      <w:r>
        <w:rPr>
          <w:rFonts w:ascii="Times New Roman" w:cs="Times New Roman" w:eastAsia="Times New Roman" w:hAnsi="Times New Roman"/>
          <w:sz w:val="16"/>
          <w:szCs w:val="16"/>
          <w:color w:val="auto"/>
        </w:rPr>
        <w:t>We have never declared or paid any cash dividends on our capital stock. In addition, the terms of our existing credit facility with Hercules preclude us from paying cash dividends without Hercules’ consent.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6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48" w:lineRule="exact"/>
        <w:rPr>
          <w:sz w:val="20"/>
          <w:szCs w:val="20"/>
          <w:color w:val="auto"/>
        </w:rPr>
      </w:pPr>
    </w:p>
    <w:p>
      <w:pPr>
        <w:jc w:val="both"/>
        <w:ind w:right="80" w:firstLine="751"/>
        <w:spacing w:after="0" w:line="248" w:lineRule="auto"/>
        <w:rPr>
          <w:sz w:val="20"/>
          <w:szCs w:val="20"/>
          <w:color w:val="auto"/>
        </w:rPr>
      </w:pPr>
      <w:r>
        <w:rPr>
          <w:rFonts w:ascii="Times New Roman" w:cs="Times New Roman" w:eastAsia="Times New Roman" w:hAnsi="Times New Roman"/>
          <w:sz w:val="16"/>
          <w:szCs w:val="16"/>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will have the authority to issue up to 10,000,000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33" w:lineRule="exact"/>
        <w:rPr>
          <w:sz w:val="20"/>
          <w:szCs w:val="20"/>
          <w:color w:val="auto"/>
        </w:rPr>
      </w:pPr>
    </w:p>
    <w:p>
      <w:pPr>
        <w:ind w:right="100" w:firstLine="751"/>
        <w:spacing w:after="0" w:line="197" w:lineRule="exact"/>
        <w:rPr>
          <w:sz w:val="20"/>
          <w:szCs w:val="20"/>
          <w:color w:val="auto"/>
        </w:rPr>
      </w:pPr>
      <w:r>
        <w:rPr>
          <w:rFonts w:ascii="Times New Roman" w:cs="Times New Roman" w:eastAsia="Times New Roman" w:hAnsi="Times New Roman"/>
          <w:sz w:val="16"/>
          <w:szCs w:val="16"/>
          <w:color w:val="auto"/>
        </w:rPr>
        <w:t>In addition, we are subject to the anti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58" w:lineRule="exact"/>
        <w:rPr>
          <w:sz w:val="20"/>
          <w:szCs w:val="20"/>
          <w:color w:val="auto"/>
        </w:rPr>
      </w:pPr>
    </w:p>
    <w:p>
      <w:pPr>
        <w:ind w:firstLine="751"/>
        <w:spacing w:after="0" w:line="249" w:lineRule="auto"/>
        <w:rPr>
          <w:sz w:val="20"/>
          <w:szCs w:val="20"/>
          <w:color w:val="auto"/>
        </w:rPr>
      </w:pPr>
      <w:r>
        <w:rPr>
          <w:rFonts w:ascii="Times New Roman" w:cs="Times New Roman" w:eastAsia="Times New Roman" w:hAnsi="Times New Roman"/>
          <w:sz w:val="16"/>
          <w:szCs w:val="16"/>
          <w:color w:val="auto"/>
        </w:rPr>
        <w:t>Our amended and restated certificate of incorporation provides that, unless we consent in writing to the selection of an alternate form,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166" w:lineRule="exact"/>
        <w:rPr>
          <w:sz w:val="20"/>
          <w:szCs w:val="20"/>
          <w:color w:val="auto"/>
        </w:rPr>
      </w:pPr>
    </w:p>
    <w:p>
      <w:pPr>
        <w:ind w:right="20" w:firstLine="751"/>
        <w:spacing w:after="0" w:line="245" w:lineRule="auto"/>
        <w:rPr>
          <w:sz w:val="20"/>
          <w:szCs w:val="20"/>
          <w:color w:val="auto"/>
        </w:rPr>
      </w:pPr>
      <w:r>
        <w:rPr>
          <w:rFonts w:ascii="Times New Roman" w:cs="Times New Roman" w:eastAsia="Times New Roman" w:hAnsi="Times New Roman"/>
          <w:sz w:val="16"/>
          <w:szCs w:val="16"/>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75" w:lineRule="exact"/>
        <w:rPr>
          <w:sz w:val="20"/>
          <w:szCs w:val="20"/>
          <w:color w:val="auto"/>
        </w:rPr>
      </w:pPr>
    </w:p>
    <w:p>
      <w:pPr>
        <w:ind w:right="300" w:firstLine="751"/>
        <w:spacing w:after="0" w:line="251" w:lineRule="auto"/>
        <w:rPr>
          <w:sz w:val="20"/>
          <w:szCs w:val="20"/>
          <w:color w:val="auto"/>
        </w:rPr>
      </w:pPr>
      <w:r>
        <w:rPr>
          <w:rFonts w:ascii="Times New Roman" w:cs="Times New Roman" w:eastAsia="Times New Roman" w:hAnsi="Times New Roman"/>
          <w:sz w:val="16"/>
          <w:szCs w:val="16"/>
          <w:color w:val="auto"/>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419100</wp:posOffset>
            </wp:positionV>
            <wp:extent cx="7176135" cy="400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None.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Cybersecurity Governance and Responsibilities</w:t>
      </w:r>
    </w:p>
    <w:p>
      <w:pPr>
        <w:spacing w:after="0" w:line="191" w:lineRule="exact"/>
        <w:rPr>
          <w:sz w:val="20"/>
          <w:szCs w:val="20"/>
          <w:color w:val="auto"/>
        </w:rPr>
      </w:pPr>
    </w:p>
    <w:p>
      <w:pPr>
        <w:ind w:right="100" w:firstLine="751"/>
        <w:spacing w:after="0" w:line="251" w:lineRule="auto"/>
        <w:rPr>
          <w:sz w:val="20"/>
          <w:szCs w:val="20"/>
          <w:color w:val="auto"/>
        </w:rPr>
      </w:pPr>
      <w:r>
        <w:rPr>
          <w:rFonts w:ascii="Times New Roman" w:cs="Times New Roman" w:eastAsia="Times New Roman" w:hAnsi="Times New Roman"/>
          <w:sz w:val="16"/>
          <w:szCs w:val="16"/>
          <w:color w:val="auto"/>
        </w:rPr>
        <w:t>The Board recognizes that cybersecurity represents an important component of the Company's overall enterprise risk management, or ERM. The Company seeks to mitigate cybersecurity risks through a cross-functional approach, including its Cybersecurity Committee, focused on preserving the confidentiality, security, and availability of the information that the Company collects and stores by assessing, identifying, and managing risks from cybersecurity threats and effectively responding to cybersecurity incidents when they occur.</w:t>
      </w:r>
    </w:p>
    <w:p>
      <w:pPr>
        <w:spacing w:after="0" w:line="164" w:lineRule="exact"/>
        <w:rPr>
          <w:sz w:val="20"/>
          <w:szCs w:val="20"/>
          <w:color w:val="auto"/>
        </w:rPr>
      </w:pPr>
    </w:p>
    <w:p>
      <w:pPr>
        <w:ind w:firstLine="751"/>
        <w:spacing w:after="0" w:line="247" w:lineRule="auto"/>
        <w:rPr>
          <w:sz w:val="20"/>
          <w:szCs w:val="20"/>
          <w:color w:val="auto"/>
        </w:rPr>
      </w:pPr>
      <w:r>
        <w:rPr>
          <w:rFonts w:ascii="Times New Roman" w:cs="Times New Roman" w:eastAsia="Times New Roman" w:hAnsi="Times New Roman"/>
          <w:sz w:val="16"/>
          <w:szCs w:val="16"/>
          <w:color w:val="auto"/>
        </w:rPr>
        <w:t>Our Head of Information Technology (IT) oversees overall cybersecurity management, including appropriate risk mitigation strategies, systems, processes, and controls and provides periodic, but at least annually, reports to our Board or the Audit Committee of the Board of Directors, or the Audit Committee. The IT security team has over 40 years of combined technology experience, and over 20 years of experience in safeguarding and monitoring networks and systems, responding to incidents, and reducing the risk of business exposure. The Company’s Cybersecurity Committee is comprised of information technology, finance, legal, human resources, and data privacy employees, including the Head of IT. It meets regularly, but at least annually, to review and provide oversight of the Company’s cybersecurity risks and data security programs, policies, and strategies. Pursuant to internal policies, the Head of IT will notify the Cybersecurity Committee of significant cybersecurity incidents and breaches. The Cybersecurity Committee (along with the Chief Financial Officer and General Counsel) reviews, analyzes, and responds to cybersecurity incidents and breaches. Additional responsibilities and risk mitigation strategies relate to business continuity and business resiliency capabilities.</w:t>
      </w:r>
    </w:p>
    <w:p>
      <w:pPr>
        <w:spacing w:after="0" w:line="166" w:lineRule="exact"/>
        <w:rPr>
          <w:sz w:val="20"/>
          <w:szCs w:val="20"/>
          <w:color w:val="auto"/>
        </w:rPr>
      </w:pPr>
    </w:p>
    <w:p>
      <w:pPr>
        <w:ind w:firstLine="751"/>
        <w:spacing w:after="0" w:line="245" w:lineRule="auto"/>
        <w:rPr>
          <w:sz w:val="20"/>
          <w:szCs w:val="20"/>
          <w:color w:val="auto"/>
        </w:rPr>
      </w:pPr>
      <w:r>
        <w:rPr>
          <w:rFonts w:ascii="Times New Roman" w:cs="Times New Roman" w:eastAsia="Times New Roman" w:hAnsi="Times New Roman"/>
          <w:sz w:val="16"/>
          <w:szCs w:val="16"/>
          <w:color w:val="auto"/>
        </w:rPr>
        <w:t>The Company’s Audit Committee has the responsibility to review and discuss with management the Company’s guidelines, policies, and governance with respect to financial risk exposures and ERM, including with respect to cybersecurity, and to report to the Board annually. The Audit Committee is also responsible for overseeing the integrity and effectiveness of the Company’s disclosure controls and procedures, which are designed to ensure that information related to cybersecurity risks and incidents is recorded, processed, summarized, and reported accurately and on a timely basis, to allow for timely decisions regarding disclosure of any such incidents. Our Audit Committee receives regular presentations and reports on cybersecurity risks from the executive management leadership team, which address recent developments, evolving standards, vulnerability assessments, third-party and independent reviews, the threat environment, technological trends, and information security considerations arising with respect to the Company’s peers and third parties. The Audit Committee is also made aware of any potential material cybersecurity incident as well as ongoing updates regarding any such incident until it has been addressed by the executive management leadership team. On an annual basis, the Board discusses the Company’s approach to cybersecurity risk management with the Audit Committee members and management (including members of the Cybersecurity Committee). Throughout the year, the Board and its committees engage with management to discuss a wide range of enterprise risks related to the Company’s businesses, including cybersecurity, and they confirm the alignment of risk assessment and mitigation with business strategy.</w:t>
      </w:r>
    </w:p>
    <w:p>
      <w:pPr>
        <w:spacing w:after="0" w:line="175" w:lineRule="exact"/>
        <w:rPr>
          <w:sz w:val="20"/>
          <w:szCs w:val="20"/>
          <w:color w:val="auto"/>
        </w:rPr>
      </w:pPr>
    </w:p>
    <w:p>
      <w:pPr>
        <w:ind w:firstLine="751"/>
        <w:spacing w:after="0" w:line="293" w:lineRule="auto"/>
        <w:rPr>
          <w:sz w:val="20"/>
          <w:szCs w:val="20"/>
          <w:color w:val="auto"/>
        </w:rPr>
      </w:pPr>
      <w:r>
        <w:rPr>
          <w:rFonts w:ascii="Times New Roman" w:cs="Times New Roman" w:eastAsia="Times New Roman" w:hAnsi="Times New Roman"/>
          <w:sz w:val="14"/>
          <w:szCs w:val="14"/>
          <w:color w:val="auto"/>
        </w:rPr>
        <w:t>The Company regularly assesses and tests its cybersecurity policies, standards, processes, and practices, including but not limited to audits, tabletop exercises, threat modeling, and penetration and vulnerability testing. The Company regularly engages outside advisors and experts to anticipate future threats and trends and to perform assessments on our cybersecurity measures, including information security maturity assessments, audits, and independent reviews of our information security control environment and operating effectiveness. The results of such assessments, audits, and reviews are reported to the Cybersecurity Committee, Audit Committee and the Board, and the Company adjusts its cybersecurity policies, standards, processes, and practices as necessary based on the information provided by these assessments, audits, and reviews.</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680" w:right="379" w:bottom="1440" w:gutter="0" w:footer="0" w:header="0"/>
        </w:sectPr>
      </w:pPr>
    </w:p>
    <w:bookmarkStart w:id="100" w:name="page101"/>
    <w:bookmarkEnd w:id="100"/>
    <w:p>
      <w:pPr>
        <w:ind w:left="7"/>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56007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Cybersecurity Technical Safeguards</w:t>
      </w:r>
    </w:p>
    <w:p>
      <w:pPr>
        <w:spacing w:after="0" w:line="191" w:lineRule="exact"/>
        <w:rPr>
          <w:sz w:val="20"/>
          <w:szCs w:val="20"/>
          <w:color w:val="auto"/>
        </w:rPr>
      </w:pPr>
    </w:p>
    <w:p>
      <w:pPr>
        <w:ind w:left="7" w:right="40" w:firstLine="751"/>
        <w:spacing w:after="0" w:line="255" w:lineRule="auto"/>
        <w:rPr>
          <w:sz w:val="20"/>
          <w:szCs w:val="20"/>
          <w:color w:val="auto"/>
        </w:rPr>
      </w:pPr>
      <w:r>
        <w:rPr>
          <w:rFonts w:ascii="Times New Roman" w:cs="Times New Roman" w:eastAsia="Times New Roman" w:hAnsi="Times New Roman"/>
          <w:sz w:val="16"/>
          <w:szCs w:val="16"/>
          <w:color w:val="auto"/>
        </w:rPr>
        <w:t>The Company invests in new information and cybersecurity services and technologies. Technical safeguards designed to protect the Company’s information systems from cybersecurity threats include firewalls, continuous intrusion detection and response system(s), data leak prevention, enhanced email protection, antimalware functionality, and access controls, which are evaluated and improved through periodic assessments and cybersecurity threat intelligence.</w:t>
      </w:r>
    </w:p>
    <w:p>
      <w:pPr>
        <w:spacing w:after="0" w:line="1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Cybersecurity Incident Response and Recovery Planning</w:t>
      </w:r>
    </w:p>
    <w:p>
      <w:pPr>
        <w:spacing w:after="0" w:line="191" w:lineRule="exact"/>
        <w:rPr>
          <w:sz w:val="20"/>
          <w:szCs w:val="20"/>
          <w:color w:val="auto"/>
        </w:rPr>
      </w:pPr>
    </w:p>
    <w:p>
      <w:pPr>
        <w:ind w:left="7" w:right="60" w:firstLine="751"/>
        <w:spacing w:after="0" w:line="267" w:lineRule="auto"/>
        <w:rPr>
          <w:sz w:val="20"/>
          <w:szCs w:val="20"/>
          <w:color w:val="auto"/>
        </w:rPr>
      </w:pPr>
      <w:r>
        <w:rPr>
          <w:rFonts w:ascii="Times New Roman" w:cs="Times New Roman" w:eastAsia="Times New Roman" w:hAnsi="Times New Roman"/>
          <w:sz w:val="16"/>
          <w:szCs w:val="16"/>
          <w:color w:val="auto"/>
        </w:rPr>
        <w:t>The Company has established and maintains incident response and data recovery plans that address the Company’s response to a cybersecurity incident, and such plans are tested and evaluated on a regular basis by the Cybersecurity Committee and members of the IT department.</w:t>
      </w:r>
    </w:p>
    <w:p>
      <w:pPr>
        <w:spacing w:after="0" w:line="1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Third-Party Risk Management</w:t>
      </w:r>
    </w:p>
    <w:p>
      <w:pPr>
        <w:spacing w:after="0" w:line="191" w:lineRule="exact"/>
        <w:rPr>
          <w:sz w:val="20"/>
          <w:szCs w:val="20"/>
          <w:color w:val="auto"/>
        </w:rPr>
      </w:pPr>
    </w:p>
    <w:p>
      <w:pPr>
        <w:ind w:left="7" w:right="40" w:firstLine="751"/>
        <w:spacing w:after="0" w:line="255" w:lineRule="auto"/>
        <w:rPr>
          <w:sz w:val="20"/>
          <w:szCs w:val="20"/>
          <w:color w:val="auto"/>
        </w:rPr>
      </w:pPr>
      <w:r>
        <w:rPr>
          <w:rFonts w:ascii="Times New Roman" w:cs="Times New Roman" w:eastAsia="Times New Roman" w:hAnsi="Times New Roman"/>
          <w:sz w:val="16"/>
          <w:szCs w:val="16"/>
          <w:color w:val="auto"/>
        </w:rPr>
        <w:t>The Company maintains a risk-based approach to identifying and overseeing risks from cybersecurity threats presented by third parties, including vendors, service providers, and other external users of the Company's systems as well as the systems of third parties that could adversely impact our business in the event of a cybersecurity incident affecting those third-party systems.</w:t>
      </w:r>
    </w:p>
    <w:p>
      <w:pPr>
        <w:spacing w:after="0" w:line="1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Education and Awareness</w:t>
      </w:r>
    </w:p>
    <w:p>
      <w:pPr>
        <w:spacing w:after="0" w:line="191" w:lineRule="exact"/>
        <w:rPr>
          <w:sz w:val="20"/>
          <w:szCs w:val="20"/>
          <w:color w:val="auto"/>
        </w:rPr>
      </w:pPr>
    </w:p>
    <w:p>
      <w:pPr>
        <w:ind w:left="7" w:right="400" w:firstLine="751"/>
        <w:spacing w:after="0" w:line="267" w:lineRule="auto"/>
        <w:rPr>
          <w:sz w:val="20"/>
          <w:szCs w:val="20"/>
          <w:color w:val="auto"/>
        </w:rPr>
      </w:pPr>
      <w:r>
        <w:rPr>
          <w:rFonts w:ascii="Times New Roman" w:cs="Times New Roman" w:eastAsia="Times New Roman" w:hAnsi="Times New Roman"/>
          <w:sz w:val="16"/>
          <w:szCs w:val="16"/>
          <w:color w:val="auto"/>
        </w:rPr>
        <w:t>The Company provides regular training for personnel regarding cybersecurity threats as a means to equip the Company’s personnel with effective tools to address cybersecurity threats and to communicate the Company’s evolving information security policies, standards, processes, and practices.</w:t>
      </w:r>
    </w:p>
    <w:p>
      <w:pPr>
        <w:spacing w:after="0" w:line="1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Current Cybersecurity Risk Posture</w:t>
      </w:r>
    </w:p>
    <w:p>
      <w:pPr>
        <w:spacing w:after="0" w:line="191" w:lineRule="exact"/>
        <w:rPr>
          <w:sz w:val="20"/>
          <w:szCs w:val="20"/>
          <w:color w:val="auto"/>
        </w:rPr>
      </w:pPr>
    </w:p>
    <w:p>
      <w:pPr>
        <w:ind w:left="7" w:right="20" w:firstLine="751"/>
        <w:spacing w:after="0" w:line="286" w:lineRule="auto"/>
        <w:rPr>
          <w:sz w:val="20"/>
          <w:szCs w:val="20"/>
          <w:color w:val="auto"/>
        </w:rPr>
      </w:pPr>
      <w:r>
        <w:rPr>
          <w:rFonts w:ascii="Times New Roman" w:cs="Times New Roman" w:eastAsia="Times New Roman" w:hAnsi="Times New Roman"/>
          <w:sz w:val="14"/>
          <w:szCs w:val="14"/>
          <w:color w:val="auto"/>
        </w:rPr>
        <w:t>To date, cybersecurity threats, including as a result of any previous cybersecurity incidents, have not materially affected the Company, including its business strategy, results of operations, or financial condition. However, as discussed under “Risk Factors” in Part I, Item 1A of this Annual Report on Form 10-K, cybersecurity threats pose multiple risks to us, including potentially to our results of operations and financial condition. For additional information concerning risks related to cybersecurity, see “Item 1A. Risk Factors</w:t>
      </w:r>
    </w:p>
    <w:p>
      <w:pPr>
        <w:spacing w:after="0" w:line="1" w:lineRule="exact"/>
        <w:rPr>
          <w:sz w:val="20"/>
          <w:szCs w:val="20"/>
          <w:color w:val="auto"/>
        </w:rPr>
      </w:pPr>
    </w:p>
    <w:p>
      <w:pPr>
        <w:ind w:left="87" w:hanging="87"/>
        <w:spacing w:after="0"/>
        <w:tabs>
          <w:tab w:leader="none" w:pos="87"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business and operations would suffer in the event of system failures.</w:t>
      </w:r>
      <w:r>
        <w:rPr>
          <w:rFonts w:ascii="Times New Roman" w:cs="Times New Roman" w:eastAsia="Times New Roman" w:hAnsi="Times New Roman"/>
          <w:sz w:val="16"/>
          <w:szCs w:val="16"/>
          <w:color w:val="auto"/>
        </w:rPr>
        <w:t>”</w:t>
      </w:r>
    </w:p>
    <w:p>
      <w:pPr>
        <w:spacing w:after="0" w:line="17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191" w:lineRule="exact"/>
        <w:rPr>
          <w:sz w:val="20"/>
          <w:szCs w:val="20"/>
          <w:color w:val="auto"/>
        </w:rPr>
      </w:pPr>
    </w:p>
    <w:p>
      <w:pPr>
        <w:ind w:left="7" w:firstLine="751"/>
        <w:spacing w:after="0" w:line="255" w:lineRule="auto"/>
        <w:rPr>
          <w:sz w:val="20"/>
          <w:szCs w:val="20"/>
          <w:color w:val="auto"/>
        </w:rPr>
      </w:pPr>
      <w:r>
        <w:rPr>
          <w:rFonts w:ascii="Times New Roman" w:cs="Times New Roman" w:eastAsia="Times New Roman" w:hAnsi="Times New Roman"/>
          <w:sz w:val="16"/>
          <w:szCs w:val="16"/>
          <w:color w:val="auto"/>
        </w:rPr>
        <w:t>In February 2023, we entered into a ten-year sublease agreement for our corporate and executive offices located at One World Trade Center in New York, New York. The sublease commenced on April 7, 2023, and we have a one-time option to terminate the sublease before the fifth anniversary of the date on which we began paying rent upon the payment of a fee to the sublandlord. We believe that our current facilities are suitable and adequate to meet our current needs.</w:t>
      </w:r>
    </w:p>
    <w:p>
      <w:pPr>
        <w:spacing w:after="0" w:line="1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191" w:lineRule="exact"/>
        <w:rPr>
          <w:sz w:val="20"/>
          <w:szCs w:val="20"/>
          <w:color w:val="auto"/>
        </w:rPr>
      </w:pPr>
    </w:p>
    <w:p>
      <w:pPr>
        <w:ind w:left="7" w:right="800" w:firstLine="751"/>
        <w:spacing w:after="0" w:line="267" w:lineRule="auto"/>
        <w:rPr>
          <w:sz w:val="20"/>
          <w:szCs w:val="20"/>
          <w:color w:val="auto"/>
        </w:rPr>
      </w:pPr>
      <w:r>
        <w:rPr>
          <w:rFonts w:ascii="Times New Roman" w:cs="Times New Roman" w:eastAsia="Times New Roman" w:hAnsi="Times New Roman"/>
          <w:sz w:val="16"/>
          <w:szCs w:val="16"/>
          <w:color w:val="auto"/>
        </w:rPr>
        <w:t>Except as described herein, we, and our subsidiaries, are currently not a party to, and our property is not currently the subject of, any material pending legal proceedings; however, we may also become involved in various claims and legal actions arising in the ordinary course of business.</w:t>
      </w:r>
    </w:p>
    <w:p>
      <w:pPr>
        <w:spacing w:after="0" w:line="200" w:lineRule="exact"/>
        <w:rPr>
          <w:sz w:val="20"/>
          <w:szCs w:val="20"/>
          <w:color w:val="auto"/>
        </w:rPr>
      </w:pPr>
    </w:p>
    <w:p>
      <w:pPr>
        <w:spacing w:after="0" w:line="324"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414655</wp:posOffset>
            </wp:positionV>
            <wp:extent cx="7176135" cy="400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7"/>
          </w:cols>
          <w:pgMar w:left="313" w:top="680"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Securities Class Action</w:t>
      </w:r>
    </w:p>
    <w:p>
      <w:pPr>
        <w:spacing w:after="0" w:line="191" w:lineRule="exact"/>
        <w:rPr>
          <w:sz w:val="20"/>
          <w:szCs w:val="20"/>
          <w:color w:val="auto"/>
        </w:rPr>
      </w:pPr>
    </w:p>
    <w:p>
      <w:pPr>
        <w:ind w:right="40" w:firstLine="751"/>
        <w:spacing w:after="0" w:line="247" w:lineRule="auto"/>
        <w:rPr>
          <w:sz w:val="20"/>
          <w:szCs w:val="20"/>
          <w:color w:val="auto"/>
        </w:rPr>
      </w:pPr>
      <w:r>
        <w:rPr>
          <w:rFonts w:ascii="Times New Roman" w:cs="Times New Roman" w:eastAsia="Times New Roman" w:hAnsi="Times New Roman"/>
          <w:sz w:val="16"/>
          <w:szCs w:val="16"/>
          <w:color w:val="auto"/>
        </w:rPr>
        <w:t>On May 13, 2022, Evy Gru filed a putative class action complaint captioned Gru v. Axsome Therapeutics, Inc., et al. in the U.S. District Court for the Southern District of New York, or the SDNY District Court, against the Company and certain of its current and former officers and one director, which we refer to as the Securities Class Action. The complaint asserts claims under Sections 10(b) and 20(a) of the Exchange Act and Rule 10b-5 promulgated thereunder, and alleges, among other things, that the defendants made false statements and omissions concerning the Company’s Chemistry Manufacturing and Controls practices, and its NDA with the FDA, with respect to one of its product candidates, AXS-07. The plaintiffs sought unspecified damages, fees, interest, and costs. On August 11, 2022, the SDNY District Court appointed co-lead plaintiffs in the Securities Class Action, one of whom later withdrew. On October 7, 2022, the Securities Class Action plaintiffs filed an amended complaint, which contained substantially similar allegations as in the initial complaint. On September 25, 2023, the SDNY District Court granted defendants’ motion to dismiss the amended complaint.</w:t>
      </w:r>
    </w:p>
    <w:p>
      <w:pPr>
        <w:spacing w:after="0" w:line="168" w:lineRule="exact"/>
        <w:rPr>
          <w:sz w:val="20"/>
          <w:szCs w:val="20"/>
          <w:color w:val="auto"/>
        </w:rPr>
      </w:pPr>
    </w:p>
    <w:p>
      <w:pPr>
        <w:ind w:firstLine="751"/>
        <w:spacing w:after="0" w:line="249" w:lineRule="auto"/>
        <w:rPr>
          <w:sz w:val="20"/>
          <w:szCs w:val="20"/>
          <w:color w:val="auto"/>
        </w:rPr>
      </w:pPr>
      <w:r>
        <w:rPr>
          <w:rFonts w:ascii="Times New Roman" w:cs="Times New Roman" w:eastAsia="Times New Roman" w:hAnsi="Times New Roman"/>
          <w:sz w:val="16"/>
          <w:szCs w:val="16"/>
          <w:color w:val="auto"/>
        </w:rPr>
        <w:t xml:space="preserve">On October 13, 2023, plaintiffs’ counsel filed a letter seeking leave to file an amended complaint and to substitute new plaintiffs, which defendants opposed. The SDNY District Court re-opened the lead plaintiff appointment process. Thomas Giblin, Paul Berger, and Paul Sutherland moved jointly to be appointed replacement plaintiffs. On January 22, 2024, the SDNY District Court granted that motion and ordered that the case name be changed to </w:t>
      </w:r>
      <w:r>
        <w:rPr>
          <w:rFonts w:ascii="Times New Roman" w:cs="Times New Roman" w:eastAsia="Times New Roman" w:hAnsi="Times New Roman"/>
          <w:sz w:val="16"/>
          <w:szCs w:val="16"/>
          <w:i w:val="1"/>
          <w:iCs w:val="1"/>
          <w:color w:val="auto"/>
        </w:rPr>
        <w:t>In re Axsome Therapeutics, Inc. Securities Litigation</w:t>
      </w:r>
      <w:r>
        <w:rPr>
          <w:rFonts w:ascii="Times New Roman" w:cs="Times New Roman" w:eastAsia="Times New Roman" w:hAnsi="Times New Roman"/>
          <w:sz w:val="16"/>
          <w:szCs w:val="16"/>
          <w:color w:val="auto"/>
        </w:rPr>
        <w:t>. On January 26, 2024, the replacement plaintiffs renewed their request for leave to file a proposed second amended complaint, and, on February 6, 2024, the SDNY District Court granted that request. Plaintiffs filed the second amended complaint on February 7,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Shareholder Derivative Action</w:t>
      </w:r>
    </w:p>
    <w:p>
      <w:pPr>
        <w:spacing w:after="0" w:line="191" w:lineRule="exact"/>
        <w:rPr>
          <w:sz w:val="20"/>
          <w:szCs w:val="20"/>
          <w:color w:val="auto"/>
        </w:rPr>
      </w:pPr>
    </w:p>
    <w:p>
      <w:pPr>
        <w:ind w:right="80" w:firstLine="751"/>
        <w:spacing w:after="0" w:line="247" w:lineRule="auto"/>
        <w:rPr>
          <w:sz w:val="20"/>
          <w:szCs w:val="20"/>
          <w:color w:val="auto"/>
        </w:rPr>
      </w:pPr>
      <w:r>
        <w:rPr>
          <w:rFonts w:ascii="Times New Roman" w:cs="Times New Roman" w:eastAsia="Times New Roman" w:hAnsi="Times New Roman"/>
          <w:sz w:val="16"/>
          <w:szCs w:val="16"/>
          <w:color w:val="auto"/>
        </w:rPr>
        <w:t>On July 21, 2022, Daniel Engel filed a stockholder derivative complaint captioned Engel v. Herriot Tabuteau, et al. in the SDNY District Court against the Company’s current directors, certain of the Company’s current and former officers, and the Company (as nominal defendant). On January 27, 2023, Kyle Guterba filed a stockholder derivative complaint captioned Guterba v. Tabuteau, et al. in the SDNY District Court against the Company’s current directors, certain of the Company’s current and former officers, and the Company (as nominal defendant). The derivative complaints arise out of similar allegations as those made in the Securities Class Action. The plaintiffs assert claims for breach of fiduciary duties against all of the defendants and for contribution for violations of Section 10(b) and 21D of the Exchange Act. The plaintiffs seek unspecified damages, fees, interest, and costs, as well as corporate governance changes. The Engel and Guterba matters were consolidated on February 28, 2023 and are currently stayed pending further proceedings in the Securities Class Action.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Auvelity Paragraph IV Litigation</w:t>
      </w:r>
    </w:p>
    <w:p>
      <w:pPr>
        <w:spacing w:after="0" w:line="191" w:lineRule="exact"/>
        <w:rPr>
          <w:sz w:val="20"/>
          <w:szCs w:val="20"/>
          <w:color w:val="auto"/>
        </w:rPr>
      </w:pPr>
    </w:p>
    <w:p>
      <w:pPr>
        <w:ind w:right="20" w:firstLine="751"/>
        <w:spacing w:after="0" w:line="299" w:lineRule="auto"/>
        <w:rPr>
          <w:sz w:val="20"/>
          <w:szCs w:val="20"/>
          <w:color w:val="auto"/>
        </w:rPr>
      </w:pPr>
      <w:r>
        <w:rPr>
          <w:rFonts w:ascii="Times New Roman" w:cs="Times New Roman" w:eastAsia="Times New Roman" w:hAnsi="Times New Roman"/>
          <w:sz w:val="14"/>
          <w:szCs w:val="14"/>
          <w:color w:val="auto"/>
        </w:rPr>
        <w:t xml:space="preserve">On March 24, 2023, we commenced a patent infringement action against Teva relating to Teva's ANDA for Auvelity. This action is captioned Axsome Therapeutics, Inc. and Antecip Bioventures II LLC v. Teva Pharmaceuticals, Inc. No. 2:23-CV-01695 in the United States District Court for the District of New Jersey, of the NJ District Court. On December 15, 2023, we commenced a second patent infringement action against Teva relating to Teva’s ANDA. This action is captioned </w:t>
      </w:r>
      <w:r>
        <w:rPr>
          <w:rFonts w:ascii="Times New Roman" w:cs="Times New Roman" w:eastAsia="Times New Roman" w:hAnsi="Times New Roman"/>
          <w:sz w:val="14"/>
          <w:szCs w:val="14"/>
          <w:i w:val="1"/>
          <w:iCs w:val="1"/>
          <w:color w:val="auto"/>
        </w:rPr>
        <w:t>Axsome Therapeutics, Inc., and Antecip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Bioventures II LLC v. Teva Pharmaceuticals, Inc</w:t>
      </w:r>
      <w:r>
        <w:rPr>
          <w:rFonts w:ascii="Times New Roman" w:cs="Times New Roman" w:eastAsia="Times New Roman" w:hAnsi="Times New Roman"/>
          <w:sz w:val="14"/>
          <w:szCs w:val="14"/>
          <w:color w:val="auto"/>
        </w:rPr>
        <w:t>. No. 2:23-cv-23142 in the United States District Court for the District of New Jersey. Both actions are currently pending.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Sunosi Paragraph IV Litigation</w:t>
      </w:r>
    </w:p>
    <w:p>
      <w:pPr>
        <w:spacing w:after="0" w:line="191" w:lineRule="exact"/>
        <w:rPr>
          <w:sz w:val="20"/>
          <w:szCs w:val="20"/>
          <w:color w:val="auto"/>
        </w:rPr>
      </w:pPr>
    </w:p>
    <w:p>
      <w:pPr>
        <w:ind w:right="60" w:firstLine="751"/>
        <w:spacing w:after="0" w:line="248" w:lineRule="auto"/>
        <w:rPr>
          <w:sz w:val="20"/>
          <w:szCs w:val="20"/>
          <w:color w:val="auto"/>
        </w:rPr>
      </w:pPr>
      <w:r>
        <w:rPr>
          <w:rFonts w:ascii="Times New Roman" w:cs="Times New Roman" w:eastAsia="Times New Roman" w:hAnsi="Times New Roman"/>
          <w:sz w:val="16"/>
          <w:szCs w:val="16"/>
          <w:color w:val="auto"/>
        </w:rPr>
        <w:t xml:space="preserve">On September 13, 2023, we commenced a patent infringement action against Hikma and five other drug companies relating to each defendant's ANDA for Sunosi. This action is captioned Axsome Malta Ltd. &amp; Axsome Therapeutics, Inc. v. Alkem Laboratories Ltd., et al. No. 2:23-CV-20354 in the NJ District Court. We commenced related patent infringement actions against certain of the defendants relating to their ANDAs on December 20, 2023, January 11, 2024, and January 18, 2024. Those actions are captioned </w:t>
      </w:r>
      <w:r>
        <w:rPr>
          <w:rFonts w:ascii="Times New Roman" w:cs="Times New Roman" w:eastAsia="Times New Roman" w:hAnsi="Times New Roman"/>
          <w:sz w:val="16"/>
          <w:szCs w:val="16"/>
          <w:i w:val="1"/>
          <w:iCs w:val="1"/>
          <w:color w:val="auto"/>
        </w:rPr>
        <w:t>Axsome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Malta Ltd. &amp; Axsome Therapeutics, Inc. v. Unichem Laboratories Ltd</w:t>
      </w:r>
      <w:r>
        <w:rPr>
          <w:rFonts w:ascii="Times New Roman" w:cs="Times New Roman" w:eastAsia="Times New Roman" w:hAnsi="Times New Roman"/>
          <w:sz w:val="16"/>
          <w:szCs w:val="16"/>
          <w:color w:val="auto"/>
        </w:rPr>
        <w:t>. No. 2:23-cv-23255;</w:t>
      </w:r>
      <w:r>
        <w:rPr>
          <w:rFonts w:ascii="Times New Roman" w:cs="Times New Roman" w:eastAsia="Times New Roman" w:hAnsi="Times New Roman"/>
          <w:sz w:val="16"/>
          <w:szCs w:val="16"/>
          <w:i w:val="1"/>
          <w:iCs w:val="1"/>
          <w:color w:val="auto"/>
        </w:rPr>
        <w:t xml:space="preserve"> Axsome Malta Ltd. &amp; Axsome Therapeutics, Inc. v. Hetero USA, Inc. et al</w:t>
      </w:r>
      <w:r>
        <w:rPr>
          <w:rFonts w:ascii="Times New Roman" w:cs="Times New Roman" w:eastAsia="Times New Roman" w:hAnsi="Times New Roman"/>
          <w:sz w:val="16"/>
          <w:szCs w:val="16"/>
          <w:color w:val="auto"/>
        </w:rPr>
        <w:t xml:space="preserve">. No 2:24-cv-00196; and </w:t>
      </w:r>
      <w:r>
        <w:rPr>
          <w:rFonts w:ascii="Times New Roman" w:cs="Times New Roman" w:eastAsia="Times New Roman" w:hAnsi="Times New Roman"/>
          <w:sz w:val="16"/>
          <w:szCs w:val="16"/>
          <w:i w:val="1"/>
          <w:iCs w:val="1"/>
          <w:color w:val="auto"/>
        </w:rPr>
        <w:t>Axsome Malta Ltd. &amp; Axsome Therapeutics, Inc. v. Aurobindo Pharma USA, Inc. et al</w:t>
      </w:r>
      <w:r>
        <w:rPr>
          <w:rFonts w:ascii="Times New Roman" w:cs="Times New Roman" w:eastAsia="Times New Roman" w:hAnsi="Times New Roman"/>
          <w:sz w:val="16"/>
          <w:szCs w:val="16"/>
          <w:color w:val="auto"/>
        </w:rPr>
        <w:t>. No. 2:24-cv-00309, respectively, all of which are in the District of New Jersey. All actions are currently pending.</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Not applicable.</w:t>
      </w:r>
    </w:p>
    <w:p>
      <w:pPr>
        <w:spacing w:after="0" w:line="376"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680"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 Information</w:t>
      </w:r>
    </w:p>
    <w:p>
      <w:pPr>
        <w:spacing w:after="0" w:line="191" w:lineRule="exact"/>
        <w:rPr>
          <w:sz w:val="20"/>
          <w:szCs w:val="20"/>
          <w:color w:val="auto"/>
        </w:rPr>
      </w:pPr>
    </w:p>
    <w:p>
      <w:pPr>
        <w:ind w:right="160" w:firstLine="751"/>
        <w:spacing w:after="0" w:line="267" w:lineRule="auto"/>
        <w:rPr>
          <w:sz w:val="20"/>
          <w:szCs w:val="20"/>
          <w:color w:val="auto"/>
        </w:rPr>
      </w:pPr>
      <w:r>
        <w:rPr>
          <w:rFonts w:ascii="Times New Roman" w:cs="Times New Roman" w:eastAsia="Times New Roman" w:hAnsi="Times New Roman"/>
          <w:sz w:val="16"/>
          <w:szCs w:val="16"/>
          <w:color w:val="auto"/>
        </w:rPr>
        <w:t>Our common stock has been listed on The Nasdaq Global Market since March 3, 2017, under the symbol “AXSM.” Prior to that, our common stock was listed on The Nasdaq Capital Market since November 19, 2015, under the symbol “AXSM”. Prior to our initial public offering, there was no public market for our common stock.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Common Stock Performance Graph</w:t>
      </w:r>
    </w:p>
    <w:p>
      <w:pPr>
        <w:spacing w:after="0" w:line="191" w:lineRule="exact"/>
        <w:rPr>
          <w:sz w:val="20"/>
          <w:szCs w:val="20"/>
          <w:color w:val="auto"/>
        </w:rPr>
      </w:pPr>
    </w:p>
    <w:p>
      <w:pPr>
        <w:jc w:val="both"/>
        <w:ind w:firstLine="751"/>
        <w:spacing w:after="0" w:line="255" w:lineRule="auto"/>
        <w:rPr>
          <w:sz w:val="20"/>
          <w:szCs w:val="20"/>
          <w:color w:val="auto"/>
        </w:rPr>
      </w:pPr>
      <w:r>
        <w:rPr>
          <w:rFonts w:ascii="Times New Roman" w:cs="Times New Roman" w:eastAsia="Times New Roman" w:hAnsi="Times New Roman"/>
          <w:sz w:val="16"/>
          <w:szCs w:val="16"/>
          <w:color w:val="auto"/>
        </w:rPr>
        <w:t>The graph below matches AXSOME Therapeutics, Inc.'s cumulative 5-Year total shareholder return on common stock with the cumulative total returns of the NASDAQ Composite index and the NASDAQ Biotechnology index. The graph tracks the performance of a $100 investment in our common stock and in each index (with the reinvestment of all dividends) from 12/31/2018 to 12/31/2023.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127000</wp:posOffset>
            </wp:positionV>
            <wp:extent cx="4624070" cy="383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624070" cy="383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Holders</w:t>
      </w:r>
    </w:p>
    <w:p>
      <w:pPr>
        <w:spacing w:after="0" w:line="191" w:lineRule="exact"/>
        <w:rPr>
          <w:sz w:val="20"/>
          <w:szCs w:val="20"/>
          <w:color w:val="auto"/>
        </w:rPr>
      </w:pPr>
    </w:p>
    <w:p>
      <w:pPr>
        <w:jc w:val="both"/>
        <w:ind w:right="220" w:firstLine="751"/>
        <w:spacing w:after="0" w:line="255" w:lineRule="auto"/>
        <w:rPr>
          <w:sz w:val="20"/>
          <w:szCs w:val="20"/>
          <w:color w:val="auto"/>
        </w:rPr>
      </w:pPr>
      <w:r>
        <w:rPr>
          <w:rFonts w:ascii="Times New Roman" w:cs="Times New Roman" w:eastAsia="Times New Roman" w:hAnsi="Times New Roman"/>
          <w:sz w:val="16"/>
          <w:szCs w:val="16"/>
          <w:color w:val="auto"/>
        </w:rPr>
        <w:t>The number of record holders of our common stock as of February 13, 2024, was two. This number of holders of record does not reflect the beneficial holders of our common stock who hold shares in street name through brokerage accounts or other nominees. This number of holders of record also does not include stockholders whose shares may be held in trust by other entities. The actual number of holders of our common stock is therefore greater than this number of record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191" w:lineRule="exact"/>
        <w:rPr>
          <w:sz w:val="20"/>
          <w:szCs w:val="20"/>
          <w:color w:val="auto"/>
        </w:rPr>
      </w:pPr>
    </w:p>
    <w:p>
      <w:pPr>
        <w:ind w:firstLine="751"/>
        <w:spacing w:after="0" w:line="299" w:lineRule="auto"/>
        <w:rPr>
          <w:sz w:val="20"/>
          <w:szCs w:val="20"/>
          <w:color w:val="auto"/>
        </w:rPr>
      </w:pPr>
      <w:r>
        <w:rPr>
          <w:rFonts w:ascii="Times New Roman" w:cs="Times New Roman" w:eastAsia="Times New Roman" w:hAnsi="Times New Roman"/>
          <w:sz w:val="14"/>
          <w:szCs w:val="14"/>
          <w:color w:val="auto"/>
        </w:rPr>
        <w:t>We have never declared or paid any cash dividends on our common stock and do not anticipate paying any cash dividends in the foreseeable future. Any future determination to pay dividends will be at the discretion of our Board, subject to applicable laws, and will depend on a number of factors, including our financial condition, results of operations, capital requirements, contractual restrictions, general business conditions, and any other factors that our Board may deem relevant. In addition, the terms of our existing term loan with Hercules Capital, Inc., or Hercules, precludes us from paying cash dividends without the consent of Hercules, except under certain circumstances.</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191" w:lineRule="exact"/>
        <w:rPr>
          <w:sz w:val="20"/>
          <w:szCs w:val="20"/>
          <w:color w:val="auto"/>
        </w:rPr>
      </w:pPr>
    </w:p>
    <w:p>
      <w:pPr>
        <w:ind w:right="40" w:firstLine="751"/>
        <w:spacing w:after="0" w:line="249" w:lineRule="auto"/>
        <w:rPr>
          <w:sz w:val="20"/>
          <w:szCs w:val="20"/>
          <w:color w:val="auto"/>
        </w:rPr>
      </w:pPr>
      <w:r>
        <w:rPr>
          <w:rFonts w:ascii="Times New Roman" w:cs="Times New Roman" w:eastAsia="Times New Roman" w:hAnsi="Times New Roman"/>
          <w:sz w:val="16"/>
          <w:szCs w:val="16"/>
          <w:color w:val="auto"/>
        </w:rPr>
        <w:t>The following discussion and analysis contain forward-looking statements about our plans and expectations of what may happen in the future. You should read the following discussion and analysis in conjunction with “Item 8. Financial Statements and Supplementary Data,” and our consolidated financial statements beginning on page F-1 of this report.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“Item 1A. Risk Factors.” See also the “Special Cautionary Notice Regarding Forward-Looking Statements” set forth at the beginning of this report.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91" w:lineRule="exact"/>
        <w:rPr>
          <w:sz w:val="20"/>
          <w:szCs w:val="20"/>
          <w:color w:val="auto"/>
        </w:rPr>
      </w:pPr>
    </w:p>
    <w:p>
      <w:pPr>
        <w:ind w:right="20" w:firstLine="751"/>
        <w:spacing w:after="0" w:line="246" w:lineRule="auto"/>
        <w:rPr>
          <w:sz w:val="20"/>
          <w:szCs w:val="20"/>
          <w:color w:val="auto"/>
        </w:rPr>
      </w:pPr>
      <w:r>
        <w:rPr>
          <w:rFonts w:ascii="Times New Roman" w:cs="Times New Roman" w:eastAsia="Times New Roman" w:hAnsi="Times New Roman"/>
          <w:sz w:val="16"/>
          <w:szCs w:val="16"/>
          <w:color w:val="auto"/>
        </w:rPr>
        <w:t>We are a commercial-stage biopharmaceutical company developing and delivering novel therapies for central nervous system (“CNS”) conditions that have limited treatment options. By focusing on this therapeutic area, we are addressing significant and growing markets where current treatment options are limited or inadequate. The Company’s CNS portfolio includes three not yet approved product candidates, AXS-07, AXS-12, and AXS-14, which are being developed for multiple indications, and two approved products - Auvelity® and Sunosi® - both of which are also being developed for further indications. In May 2022, the Company completed the U.S. acquisition of Sunosi from Jazz Pharmaceuticals (“Jazz”), and in November 2022, the Company acquired the ex-U.S. assets of Sunosi from Jazz for certain international markets (collectively, the “Acquisition”). Sunosi is a product approved by the U.S. Food and Drug Administration (the “FDA”) and marketed in the U.S. to improve wakefulness in adult patients with excessive daytime sleepiness (“EDS”) associated with narcolepsy or obstructive sleep apnea, and also approved in Europe in January 2020 by the European Commission. In August 2022, the Company announced the FDA approval, and in October 2022, the U.S. commercial availability, of Auvelity. Auvelity is an indication for the treatment of major depressive disorder in adults. Refer to Part I, Item 1. "Business" for a summary of our clinical programs.</w:t>
      </w:r>
    </w:p>
    <w:p>
      <w:pPr>
        <w:spacing w:after="0" w:line="170" w:lineRule="exact"/>
        <w:rPr>
          <w:sz w:val="20"/>
          <w:szCs w:val="20"/>
          <w:color w:val="auto"/>
        </w:rPr>
      </w:pPr>
    </w:p>
    <w:p>
      <w:pPr>
        <w:ind w:right="160" w:firstLine="751"/>
        <w:spacing w:after="0" w:line="251" w:lineRule="auto"/>
        <w:rPr>
          <w:sz w:val="20"/>
          <w:szCs w:val="20"/>
          <w:color w:val="auto"/>
        </w:rPr>
      </w:pPr>
      <w:r>
        <w:rPr>
          <w:rFonts w:ascii="Times New Roman" w:cs="Times New Roman" w:eastAsia="Times New Roman" w:hAnsi="Times New Roman"/>
          <w:sz w:val="16"/>
          <w:szCs w:val="16"/>
          <w:color w:val="auto"/>
        </w:rPr>
        <w:t>Since our incorporation in January 2012, our operations to date have included organizing and staffing our company, business planning, raising capital, developing our compounds, engaging in other discovery and preclinical activities, and the commercial launches of Sunosi and Auvelity. Subsequent to our IPO, we financed our operations primarily through proceeds from sales of our common stock to equity investors and debt borrowings. For a further discussion, see the section entitled “Liquidity and Capital Resources” below.</w:t>
      </w:r>
    </w:p>
    <w:p>
      <w:pPr>
        <w:spacing w:after="0" w:line="164" w:lineRule="exact"/>
        <w:rPr>
          <w:sz w:val="20"/>
          <w:szCs w:val="20"/>
          <w:color w:val="auto"/>
        </w:rPr>
      </w:pPr>
    </w:p>
    <w:p>
      <w:pPr>
        <w:ind w:right="360" w:firstLine="751"/>
        <w:spacing w:after="0" w:line="267" w:lineRule="auto"/>
        <w:rPr>
          <w:sz w:val="20"/>
          <w:szCs w:val="20"/>
          <w:color w:val="auto"/>
        </w:rPr>
      </w:pPr>
      <w:r>
        <w:rPr>
          <w:rFonts w:ascii="Times New Roman" w:cs="Times New Roman" w:eastAsia="Times New Roman" w:hAnsi="Times New Roman"/>
          <w:sz w:val="16"/>
          <w:szCs w:val="16"/>
          <w:color w:val="auto"/>
        </w:rPr>
        <w:t>Our ability to become profitable depends on our ability to generate revenue. We have recently begun commercial sales of Sunosi and Auvelity but we have limited experience with commercializing these, or any, products.</w:t>
      </w:r>
    </w:p>
    <w:p>
      <w:pPr>
        <w:spacing w:after="0" w:line="151" w:lineRule="exact"/>
        <w:rPr>
          <w:sz w:val="20"/>
          <w:szCs w:val="20"/>
          <w:color w:val="auto"/>
        </w:rPr>
      </w:pPr>
    </w:p>
    <w:p>
      <w:pPr>
        <w:ind w:firstLine="751"/>
        <w:spacing w:after="0" w:line="247" w:lineRule="auto"/>
        <w:rPr>
          <w:sz w:val="20"/>
          <w:szCs w:val="20"/>
          <w:color w:val="auto"/>
        </w:rPr>
      </w:pPr>
      <w:r>
        <w:rPr>
          <w:rFonts w:ascii="Times New Roman" w:cs="Times New Roman" w:eastAsia="Times New Roman" w:hAnsi="Times New Roman"/>
          <w:sz w:val="16"/>
          <w:szCs w:val="16"/>
          <w:color w:val="auto"/>
        </w:rPr>
        <w:t>We have incurred significant operating and net losses since inception. We incurred net losses of $239.2 million and $187.1 million for the years ended December 31, 2023 and 2022, respectively. Our accumulated deficit as of December 31, 2023 was $835.6 million, and we expect to incur significant expenses and continuing operating losses. We expect our expenses to increase in connection with our ongoing activities, as we continue the commercialization of our on-market products and the development and clinical trials of, and seek regulatory approval for, our current product candidates and any other product candidates that we develop or in-license and advance to clinical development. Further, we have incurred and will continue to incur additional costs associated with operating as a public company. Accordingly, we may need additional financing to support our continuing operations. We may seek to fund our operations through public 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Overview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We generated $202.5 million and $50.0 million in net revenue from product sales for the years ended December 31, 2023 and 2022, respectively.</w:t>
      </w:r>
    </w:p>
    <w:p>
      <w:pPr>
        <w:spacing w:after="0" w:line="189" w:lineRule="exact"/>
        <w:rPr>
          <w:sz w:val="20"/>
          <w:szCs w:val="20"/>
          <w:color w:val="auto"/>
        </w:rPr>
      </w:pPr>
    </w:p>
    <w:p>
      <w:pPr>
        <w:ind w:firstLine="751"/>
        <w:spacing w:after="0" w:line="249" w:lineRule="auto"/>
        <w:rPr>
          <w:sz w:val="20"/>
          <w:szCs w:val="20"/>
          <w:color w:val="auto"/>
        </w:rPr>
      </w:pPr>
      <w:r>
        <w:rPr>
          <w:rFonts w:ascii="Times New Roman" w:cs="Times New Roman" w:eastAsia="Times New Roman" w:hAnsi="Times New Roman"/>
          <w:sz w:val="16"/>
          <w:szCs w:val="16"/>
          <w:color w:val="auto"/>
        </w:rPr>
        <w:t>We expect that Sunosi and Auvelity revenues are likely to fluctuate based on demand quarter to quarter. We will not generate revenue from other products unless and until we successfully develop, obtain regulatory approval of, and commercialize one of our current or future product candidates. We have incurred significant operating losses since inception. If we fail to complete the development of our product candidates in a timely manner or obtain regulatory approval for them, our ability to generate future revenue from such product candidates, and our results of operations and financial position, would be materially and adversely affected. If we enter into licensing or collaboration arrangements, such agreements may or may not generate revenue in the future.</w:t>
      </w:r>
    </w:p>
    <w:p>
      <w:pPr>
        <w:spacing w:after="0" w:line="16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Additionally, in the first quarter of 2023, we recorded license revenue of $65.7 million related to the Pharmanovia License Agreement. See below for more detail.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License Agreement with Pharmanovia</w:t>
      </w:r>
    </w:p>
    <w:p>
      <w:pPr>
        <w:spacing w:after="0" w:line="191" w:lineRule="exact"/>
        <w:rPr>
          <w:sz w:val="20"/>
          <w:szCs w:val="20"/>
          <w:color w:val="auto"/>
        </w:rPr>
      </w:pPr>
    </w:p>
    <w:p>
      <w:pPr>
        <w:ind w:right="160" w:firstLine="751"/>
        <w:spacing w:after="0" w:line="255" w:lineRule="auto"/>
        <w:rPr>
          <w:sz w:val="20"/>
          <w:szCs w:val="20"/>
          <w:color w:val="auto"/>
        </w:rPr>
      </w:pPr>
      <w:r>
        <w:rPr>
          <w:rFonts w:ascii="Times New Roman" w:cs="Times New Roman" w:eastAsia="Times New Roman" w:hAnsi="Times New Roman"/>
          <w:sz w:val="16"/>
          <w:szCs w:val="16"/>
          <w:color w:val="auto"/>
        </w:rPr>
        <w:t>In February 2023, we entered into a license agreement (the “Pharmanovia License Agreement”) with Atnahs Pharma UK Limited (“Pharmanovia”) to commercialize and further develop Sunosi® in Europe and certain countries in the Middle East and North Africa (collectively, the “Territory”). Pharmanovia is a UK-based global life cycle management healthcare company that focuses on four core therapeutic areas – Oncology, Endocrinology, Neurology and Cardiovascular.</w:t>
      </w:r>
    </w:p>
    <w:p>
      <w:pPr>
        <w:spacing w:after="0" w:line="160" w:lineRule="exact"/>
        <w:rPr>
          <w:sz w:val="20"/>
          <w:szCs w:val="20"/>
          <w:color w:val="auto"/>
        </w:rPr>
      </w:pPr>
    </w:p>
    <w:p>
      <w:pPr>
        <w:jc w:val="both"/>
        <w:ind w:right="100" w:firstLine="751"/>
        <w:spacing w:after="0" w:line="255" w:lineRule="auto"/>
        <w:rPr>
          <w:sz w:val="20"/>
          <w:szCs w:val="20"/>
          <w:color w:val="auto"/>
        </w:rPr>
      </w:pPr>
      <w:r>
        <w:rPr>
          <w:rFonts w:ascii="Times New Roman" w:cs="Times New Roman" w:eastAsia="Times New Roman" w:hAnsi="Times New Roman"/>
          <w:sz w:val="16"/>
          <w:szCs w:val="16"/>
          <w:color w:val="auto"/>
        </w:rPr>
        <w:t>We received an upfront payment of €62.0 million ($65.7 million) during the first quarter of 2023 and are eligible to receive sales-based and other milestone payments totaling up to €94.5 million. We will receive a royalty percentage in the mid-twenties on net sales of the Licensed Products (as defined in the Pharmanovia License Agreement) in the Territory. For the year ended December 31, 2023, we recognized royalty revenue of $2.4 million related to Pharmanovia’s sales of Sunosi.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w:t>
      </w:r>
    </w:p>
    <w:p>
      <w:pPr>
        <w:spacing w:after="0" w:line="191" w:lineRule="exact"/>
        <w:rPr>
          <w:sz w:val="20"/>
          <w:szCs w:val="20"/>
          <w:color w:val="auto"/>
        </w:rPr>
      </w:pPr>
    </w:p>
    <w:p>
      <w:pPr>
        <w:jc w:val="both"/>
        <w:ind w:right="160" w:firstLine="751"/>
        <w:spacing w:after="0" w:line="255" w:lineRule="auto"/>
        <w:rPr>
          <w:sz w:val="20"/>
          <w:szCs w:val="20"/>
          <w:color w:val="auto"/>
        </w:rPr>
      </w:pPr>
      <w:r>
        <w:rPr>
          <w:rFonts w:ascii="Times New Roman" w:cs="Times New Roman" w:eastAsia="Times New Roman" w:hAnsi="Times New Roman"/>
          <w:sz w:val="16"/>
          <w:szCs w:val="16"/>
          <w:color w:val="auto"/>
        </w:rPr>
        <w:t>Cost of revenue includes direct costs of formulating, manufacturing, and packaging drug product as well as overhead costs consisting of labor, customs, stock-based compensation, shipping, outside inventory management, royalty expense, and other miscellaneous operating costs. In the first quarter of 2023, we recorded a $5.0 million license sharing expense related to the upfront license revenue received.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expenses</w:t>
      </w:r>
    </w:p>
    <w:p>
      <w:pPr>
        <w:spacing w:after="0" w:line="191" w:lineRule="exact"/>
        <w:rPr>
          <w:sz w:val="20"/>
          <w:szCs w:val="20"/>
          <w:color w:val="auto"/>
        </w:rPr>
      </w:pPr>
    </w:p>
    <w:p>
      <w:pPr>
        <w:ind w:right="120" w:firstLine="751"/>
        <w:spacing w:after="0" w:line="255" w:lineRule="auto"/>
        <w:rPr>
          <w:sz w:val="20"/>
          <w:szCs w:val="20"/>
          <w:color w:val="auto"/>
        </w:rPr>
      </w:pPr>
      <w:r>
        <w:rPr>
          <w:rFonts w:ascii="Times New Roman" w:cs="Times New Roman" w:eastAsia="Times New Roman" w:hAnsi="Times New Roman"/>
          <w:sz w:val="16"/>
          <w:szCs w:val="16"/>
          <w:color w:val="auto"/>
        </w:rPr>
        <w:t>Research and development expenses primarily include preclinical studies, clinical trials, manufacturing costs, employee-related expenses, including salaries, benefits, travel, and stock-based compensation expense, contract services, including external research and development expenses incurred under arrangements with third parties, such as contract research organizations (“CROs”), facilities costs, overhead costs, depreciation, and other related costs.</w:t>
      </w: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80"/>
          </w:cols>
          <w:pgMar w:left="320" w:top="680" w:right="3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firstLine="751"/>
        <w:spacing w:after="0" w:line="247" w:lineRule="auto"/>
        <w:rPr>
          <w:sz w:val="20"/>
          <w:szCs w:val="20"/>
          <w:color w:val="auto"/>
        </w:rPr>
      </w:pPr>
      <w:r>
        <w:rPr>
          <w:rFonts w:ascii="Times New Roman" w:cs="Times New Roman" w:eastAsia="Times New Roman" w:hAnsi="Times New Roman"/>
          <w:sz w:val="16"/>
          <w:szCs w:val="16"/>
          <w:color w:val="auto"/>
        </w:rPr>
        <w:t>Research and development activities are central to our business model. We have and will incur substantial costs beyond our present and planned clinical trials in order to file a new drug application (“NDA”), for any of our product candidates. It is difficult to determine with certainty the costs and duration of our current or future clinical trials and preclinical studies, or to what extent we will generate revenue from the commercialization and sale of Sunosi and Auvelity or our product candidates if we obtain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 expenses</w:t>
      </w:r>
    </w:p>
    <w:p>
      <w:pPr>
        <w:spacing w:after="0" w:line="191" w:lineRule="exact"/>
        <w:rPr>
          <w:sz w:val="20"/>
          <w:szCs w:val="20"/>
          <w:color w:val="auto"/>
        </w:rPr>
      </w:pPr>
    </w:p>
    <w:p>
      <w:pPr>
        <w:ind w:right="180" w:firstLine="751"/>
        <w:spacing w:after="0" w:line="251" w:lineRule="auto"/>
        <w:rPr>
          <w:sz w:val="20"/>
          <w:szCs w:val="20"/>
          <w:color w:val="auto"/>
        </w:rPr>
      </w:pPr>
      <w:r>
        <w:rPr>
          <w:rFonts w:ascii="Times New Roman" w:cs="Times New Roman" w:eastAsia="Times New Roman" w:hAnsi="Times New Roman"/>
          <w:sz w:val="16"/>
          <w:szCs w:val="16"/>
          <w:color w:val="auto"/>
        </w:rPr>
        <w:t>Selling, general and administrative expenses primarily consist of salaries and related costs for personnel in executive, commercial, finance, and operational functions, including stock-based compensation and travel expenses. Also included in selling, general and administrative expenses are marketing costs, other commercial costs, pre-commercialization costs, facility-related costs, insurance expense, professional fees for legal and accounting services, and patent filing and prosecution costs. Selling, general and administrative expenses are expensed when incurred.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 net</w:t>
      </w:r>
    </w:p>
    <w:p>
      <w:pPr>
        <w:spacing w:after="0" w:line="191" w:lineRule="exact"/>
        <w:rPr>
          <w:sz w:val="20"/>
          <w:szCs w:val="20"/>
          <w:color w:val="auto"/>
        </w:rPr>
      </w:pPr>
    </w:p>
    <w:p>
      <w:pPr>
        <w:ind w:right="20" w:firstLine="751"/>
        <w:spacing w:after="0" w:line="255" w:lineRule="auto"/>
        <w:rPr>
          <w:sz w:val="20"/>
          <w:szCs w:val="20"/>
          <w:color w:val="auto"/>
        </w:rPr>
      </w:pPr>
      <w:r>
        <w:rPr>
          <w:rFonts w:ascii="Times New Roman" w:cs="Times New Roman" w:eastAsia="Times New Roman" w:hAnsi="Times New Roman"/>
          <w:sz w:val="16"/>
          <w:szCs w:val="16"/>
          <w:color w:val="auto"/>
        </w:rPr>
        <w:t>Interest expense, net, primarily consists of cash interest and non-cash costs related to our term loans (see “Liquidity and Capital Resources” below for a further discussion). We amortize these costs over the term of our debt agreements as interest expense in our consolidated statement of operations. Interest expense, net also includes interest income earned on cash and cash equivalents.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Intangible asset</w:t>
      </w:r>
    </w:p>
    <w:p>
      <w:pPr>
        <w:spacing w:after="0" w:line="191" w:lineRule="exact"/>
        <w:rPr>
          <w:sz w:val="20"/>
          <w:szCs w:val="20"/>
          <w:color w:val="auto"/>
        </w:rPr>
      </w:pPr>
    </w:p>
    <w:p>
      <w:pPr>
        <w:ind w:right="440" w:firstLine="751"/>
        <w:spacing w:after="0" w:line="267" w:lineRule="auto"/>
        <w:rPr>
          <w:sz w:val="20"/>
          <w:szCs w:val="20"/>
          <w:color w:val="auto"/>
        </w:rPr>
      </w:pPr>
      <w:r>
        <w:rPr>
          <w:rFonts w:ascii="Times New Roman" w:cs="Times New Roman" w:eastAsia="Times New Roman" w:hAnsi="Times New Roman"/>
          <w:sz w:val="16"/>
          <w:szCs w:val="16"/>
          <w:color w:val="auto"/>
        </w:rPr>
        <w:t>The intangible asset is amortized using the straight-line method over its estimated period of benefit of ten years. We evaluate recoverability of the intangible asset periodically by considering events or changes in circumstances that may warrant revised estimates of useful life or that indicate the asset may be impaired.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in contingent consideration</w:t>
      </w:r>
    </w:p>
    <w:p>
      <w:pPr>
        <w:spacing w:after="0" w:line="191" w:lineRule="exact"/>
        <w:rPr>
          <w:sz w:val="20"/>
          <w:szCs w:val="20"/>
          <w:color w:val="auto"/>
        </w:rPr>
      </w:pPr>
    </w:p>
    <w:p>
      <w:pPr>
        <w:ind w:right="120" w:firstLine="751"/>
        <w:spacing w:after="0" w:line="249" w:lineRule="auto"/>
        <w:rPr>
          <w:sz w:val="20"/>
          <w:szCs w:val="20"/>
          <w:color w:val="auto"/>
        </w:rPr>
      </w:pPr>
      <w:r>
        <w:rPr>
          <w:rFonts w:ascii="Times New Roman" w:cs="Times New Roman" w:eastAsia="Times New Roman" w:hAnsi="Times New Roman"/>
          <w:sz w:val="16"/>
          <w:szCs w:val="16"/>
          <w:color w:val="auto"/>
        </w:rPr>
        <w:t>Consideration paid in a business combination may include potential future payments that are contingent upon the acquired business achieving certain milestones in the future (“contingent consideration”). The royalty payments due to Jazz are a high single-digit royalty on our U.S. net sales of Sunosi in the current indication and a mid single-digit royalty on our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We estimate the fair value of the contingent consideration as of the acquisition date and reporting periods thereafter using the estimated future cash outflows based on future sales.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Significant Judgments and Estimates</w:t>
      </w:r>
    </w:p>
    <w:p>
      <w:pPr>
        <w:spacing w:after="0" w:line="191" w:lineRule="exact"/>
        <w:rPr>
          <w:sz w:val="20"/>
          <w:szCs w:val="20"/>
          <w:color w:val="auto"/>
        </w:rPr>
      </w:pPr>
    </w:p>
    <w:p>
      <w:pPr>
        <w:ind w:firstLine="751"/>
        <w:spacing w:after="0" w:line="249" w:lineRule="auto"/>
        <w:rPr>
          <w:sz w:val="20"/>
          <w:szCs w:val="20"/>
          <w:color w:val="auto"/>
        </w:rPr>
      </w:pPr>
      <w:r>
        <w:rPr>
          <w:rFonts w:ascii="Times New Roman" w:cs="Times New Roman" w:eastAsia="Times New Roman" w:hAnsi="Times New Roman"/>
          <w:sz w:val="16"/>
          <w:szCs w:val="16"/>
          <w:color w:val="auto"/>
        </w:rPr>
        <w:t>This discussion and analysis of our financial condition and results of operations is based on our consolidated financial statements, which have been prepared in accordance with generally accepted accounting principles in the United States of America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66" w:lineRule="exact"/>
        <w:rPr>
          <w:sz w:val="20"/>
          <w:szCs w:val="20"/>
          <w:color w:val="auto"/>
        </w:rPr>
      </w:pPr>
    </w:p>
    <w:p>
      <w:pPr>
        <w:ind w:right="40" w:firstLine="751"/>
        <w:spacing w:after="0" w:line="248" w:lineRule="auto"/>
        <w:rPr>
          <w:sz w:val="20"/>
          <w:szCs w:val="20"/>
          <w:color w:val="auto"/>
        </w:rPr>
      </w:pPr>
      <w:r>
        <w:rPr>
          <w:rFonts w:ascii="Times New Roman" w:cs="Times New Roman" w:eastAsia="Times New Roman" w:hAnsi="Times New Roman"/>
          <w:sz w:val="16"/>
          <w:szCs w:val="16"/>
          <w:color w:val="auto"/>
        </w:rPr>
        <w:t>Management considers many factors in developing the estimates and assumptions that are used in the preparation of our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166" w:lineRule="exact"/>
        <w:rPr>
          <w:sz w:val="20"/>
          <w:szCs w:val="20"/>
          <w:color w:val="auto"/>
        </w:rPr>
      </w:pPr>
    </w:p>
    <w:p>
      <w:pPr>
        <w:ind w:right="340" w:firstLine="751"/>
        <w:spacing w:after="0" w:line="267" w:lineRule="auto"/>
        <w:rPr>
          <w:sz w:val="20"/>
          <w:szCs w:val="20"/>
          <w:color w:val="auto"/>
        </w:rPr>
      </w:pPr>
      <w:r>
        <w:rPr>
          <w:rFonts w:ascii="Times New Roman" w:cs="Times New Roman" w:eastAsia="Times New Roman" w:hAnsi="Times New Roman"/>
          <w:sz w:val="16"/>
          <w:szCs w:val="16"/>
          <w:color w:val="auto"/>
        </w:rPr>
        <w:t>While our significant accounting policies are more fully described in Note 2 to our audited consolidated financial statements appearing elsewhere in this report, we believe the following accounting policies are critical to the judgments and estimates we use in the preparation of our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91" w:lineRule="exact"/>
        <w:rPr>
          <w:sz w:val="20"/>
          <w:szCs w:val="20"/>
          <w:color w:val="auto"/>
        </w:rPr>
      </w:pPr>
    </w:p>
    <w:p>
      <w:pPr>
        <w:ind w:firstLine="751"/>
        <w:spacing w:after="0" w:line="247" w:lineRule="auto"/>
        <w:rPr>
          <w:sz w:val="20"/>
          <w:szCs w:val="20"/>
          <w:color w:val="auto"/>
        </w:rPr>
      </w:pPr>
      <w:r>
        <w:rPr>
          <w:rFonts w:ascii="Times New Roman" w:cs="Times New Roman" w:eastAsia="Times New Roman" w:hAnsi="Times New Roman"/>
          <w:sz w:val="16"/>
          <w:szCs w:val="16"/>
          <w:color w:val="auto"/>
        </w:rPr>
        <w:t>Revenues from product sales are recorded at the net sales price, which includes estimates of variable consideration that result from: invoice discounts for prompt payment and distribution service fees, government rebates, Pharmacy Benefit Managers (“PBMs”) and Managed Care Organization rebates, chargebacks, discounts and fees, product returns and costs of co-pay assistance programs for patients. Reserves are established for the estimates of variable consideration based on the amounts earned or to be claimed on the related sales. The reserves are classified as reductions to Accounts receivable, net or accrued expenses and other current liabilities. The Company's estimates of variable consideration and determination of whether to include estimated amounts in the transaction price are based largely on an assessment of its anticipated performance and all information (historical, current, and forecasted) that is reasonably available. These reserves reflect our best estimate of the amount of consideration to which we are entitled to based on the terms of the contracts.</w:t>
      </w:r>
    </w:p>
    <w:p>
      <w:pPr>
        <w:spacing w:after="0" w:line="168" w:lineRule="exact"/>
        <w:rPr>
          <w:sz w:val="20"/>
          <w:szCs w:val="20"/>
          <w:color w:val="auto"/>
        </w:rPr>
      </w:pPr>
    </w:p>
    <w:p>
      <w:pPr>
        <w:ind w:firstLine="751"/>
        <w:spacing w:after="0" w:line="287" w:lineRule="auto"/>
        <w:rPr>
          <w:sz w:val="20"/>
          <w:szCs w:val="20"/>
          <w:color w:val="auto"/>
        </w:rPr>
      </w:pPr>
      <w:r>
        <w:rPr>
          <w:rFonts w:ascii="Times New Roman" w:cs="Times New Roman" w:eastAsia="Times New Roman" w:hAnsi="Times New Roman"/>
          <w:sz w:val="14"/>
          <w:szCs w:val="14"/>
          <w:color w:val="auto"/>
        </w:rPr>
        <w:t>We make significant estimates and judgments that materially affect our recognition of net product revenue. Claims by third parties for rebates, chargebacks and discounts frequently are submitted to us significantly after the related sales, potentially resulting in adjustments in the period in which the new information becomes known. Rebates apply to: Medicaid, managed care, and supplemental rebates to all applicable states as defined by the statutory government pricing calculation requirements under the Medicaid Drug Rebate Program. Tricare rebates to the TRICARE third-party administrator are based on the statutory calculation defined in the agreement with the Defense Health Agency. Part D and Commercial Managed Care rebates are paid based on the contracts with PBMs and Managed Care Organizations. Rebates are paid to these entities upon receipt of an invoice from the contracted entity, which is based on the utilization of the product by the members of the contracted entity We estimate these rebates and records such estimates in the same period the related product sales is recognized, resulting in a reduction to product sales as well as a component of accrued expenses and other current liabilities. We will adjust our estimates based on new information, including information regarding actual rebates, chargebacks and discounts for our products, as it becomes available.</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License revenue</w:t>
      </w:r>
    </w:p>
    <w:p>
      <w:pPr>
        <w:spacing w:after="0" w:line="191" w:lineRule="exact"/>
        <w:rPr>
          <w:sz w:val="20"/>
          <w:szCs w:val="20"/>
          <w:color w:val="auto"/>
        </w:rPr>
      </w:pPr>
    </w:p>
    <w:p>
      <w:pPr>
        <w:ind w:right="340" w:firstLine="751"/>
        <w:spacing w:after="0" w:line="255" w:lineRule="auto"/>
        <w:rPr>
          <w:sz w:val="20"/>
          <w:szCs w:val="20"/>
          <w:color w:val="auto"/>
        </w:rPr>
      </w:pPr>
      <w:r>
        <w:rPr>
          <w:rFonts w:ascii="Times New Roman" w:cs="Times New Roman" w:eastAsia="Times New Roman" w:hAnsi="Times New Roman"/>
          <w:sz w:val="16"/>
          <w:szCs w:val="16"/>
          <w:color w:val="auto"/>
        </w:rPr>
        <w:t>We generate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spacing w:after="0" w:line="160" w:lineRule="exact"/>
        <w:rPr>
          <w:sz w:val="20"/>
          <w:szCs w:val="20"/>
          <w:color w:val="auto"/>
        </w:rPr>
      </w:pPr>
    </w:p>
    <w:p>
      <w:pPr>
        <w:ind w:firstLine="751"/>
        <w:spacing w:after="0" w:line="248" w:lineRule="auto"/>
        <w:rPr>
          <w:sz w:val="20"/>
          <w:szCs w:val="20"/>
          <w:color w:val="auto"/>
        </w:rPr>
      </w:pPr>
      <w:r>
        <w:rPr>
          <w:rFonts w:ascii="Times New Roman" w:cs="Times New Roman" w:eastAsia="Times New Roman" w:hAnsi="Times New Roman"/>
          <w:sz w:val="16"/>
          <w:szCs w:val="16"/>
          <w:color w:val="auto"/>
        </w:rPr>
        <w:t>If a license to the intellectual property is determined to be distinct from the other performance obligations identified in the arrangement, we recognize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us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166" w:lineRule="exact"/>
        <w:rPr>
          <w:sz w:val="20"/>
          <w:szCs w:val="20"/>
          <w:color w:val="auto"/>
        </w:rPr>
      </w:pPr>
    </w:p>
    <w:p>
      <w:pPr>
        <w:ind w:right="20" w:firstLine="751"/>
        <w:spacing w:after="0" w:line="247" w:lineRule="auto"/>
        <w:rPr>
          <w:sz w:val="20"/>
          <w:szCs w:val="20"/>
          <w:color w:val="auto"/>
        </w:rPr>
      </w:pPr>
      <w:r>
        <w:rPr>
          <w:rFonts w:ascii="Times New Roman" w:cs="Times New Roman" w:eastAsia="Times New Roman" w:hAnsi="Times New Roman"/>
          <w:sz w:val="16"/>
          <w:szCs w:val="16"/>
          <w:color w:val="auto"/>
        </w:rPr>
        <w:t>Contingent milestones at contract inception are estimated to the extent that it is probable that a significant revenue reversal would not occur and included in the transaction price using the most likely amount method. Milestone payments that are not within our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we recognize revenue as or when the performance obligations under the contract are satisfied. At the end of each reporting period, we re-evaluate the probability of achieving development or sales-based milestone payments that a significant revenue reversal would not occur and, if necessary, adjust the estimate of the overall transaction price. Any such adjustments are recorded on a cumulative catch-up basis, which would affect license and other revenue, as well as earnings, in the period of adjustment.</w:t>
      </w:r>
    </w:p>
    <w:p>
      <w:pPr>
        <w:spacing w:after="0" w:line="168" w:lineRule="exact"/>
        <w:rPr>
          <w:sz w:val="20"/>
          <w:szCs w:val="20"/>
          <w:color w:val="auto"/>
        </w:rPr>
      </w:pPr>
    </w:p>
    <w:p>
      <w:pPr>
        <w:ind w:right="80" w:firstLine="751"/>
        <w:spacing w:after="0" w:line="255" w:lineRule="auto"/>
        <w:rPr>
          <w:sz w:val="20"/>
          <w:szCs w:val="20"/>
          <w:color w:val="auto"/>
        </w:rPr>
      </w:pPr>
      <w:r>
        <w:rPr>
          <w:rFonts w:ascii="Times New Roman" w:cs="Times New Roman" w:eastAsia="Times New Roman" w:hAnsi="Times New Roman"/>
          <w:sz w:val="16"/>
          <w:szCs w:val="16"/>
          <w:color w:val="auto"/>
        </w:rPr>
        <w:t>For arrangements that include sales-based royalties, including sales-based milestone payments, and a license of intellectual property that is deemed to be the predominant item to which the royalties relate, revenue is recognized at the later of (i) when the related sales occur, or (ii) when the performance obligation to which some or all of the royalties have been allocated has been satisfied (or partially satisfied).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expenses</w:t>
      </w:r>
    </w:p>
    <w:p>
      <w:pPr>
        <w:spacing w:after="0" w:line="191" w:lineRule="exact"/>
        <w:rPr>
          <w:sz w:val="20"/>
          <w:szCs w:val="20"/>
          <w:color w:val="auto"/>
        </w:rPr>
      </w:pPr>
    </w:p>
    <w:p>
      <w:pPr>
        <w:ind w:right="20" w:firstLine="751"/>
        <w:spacing w:after="0" w:line="247" w:lineRule="auto"/>
        <w:rPr>
          <w:sz w:val="20"/>
          <w:szCs w:val="20"/>
          <w:color w:val="auto"/>
        </w:rPr>
      </w:pPr>
      <w:r>
        <w:rPr>
          <w:rFonts w:ascii="Times New Roman" w:cs="Times New Roman" w:eastAsia="Times New Roman" w:hAnsi="Times New Roman"/>
          <w:sz w:val="16"/>
          <w:szCs w:val="16"/>
          <w:color w:val="auto"/>
        </w:rPr>
        <w:t>Research and development costs are expensed as incurred. Research and development expenses consist primarily of personnel costs for our research and development employees, costs incurred to third-party service providers for the conduct of research, preclinical and clinical studies, laboratory supplies, product license fees, consulting and other related expenses. We estimate research, preclinical and clinical study expenses based on services performed, pursuant to contracts with third-party research and development organizations that conduct and manage research, preclinical and clinical activities on our behalf. We estimate these expenses based on reviewing contracts, vendor agreements,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we will adjust the accrual accordingly. Payments associated with licensing agreements to acquire licenses to develop, use, manufacture and commercialize products that have not reached technological feasibility and do not have alternative future use are expensed as incurred.</w:t>
      </w: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Goodwill</w:t>
      </w:r>
    </w:p>
    <w:p>
      <w:pPr>
        <w:spacing w:after="0" w:line="191" w:lineRule="exact"/>
        <w:rPr>
          <w:sz w:val="20"/>
          <w:szCs w:val="20"/>
          <w:color w:val="auto"/>
        </w:rPr>
      </w:pPr>
    </w:p>
    <w:p>
      <w:pPr>
        <w:ind w:firstLine="751"/>
        <w:spacing w:after="0" w:line="286" w:lineRule="auto"/>
        <w:rPr>
          <w:sz w:val="20"/>
          <w:szCs w:val="20"/>
          <w:color w:val="auto"/>
        </w:rPr>
      </w:pPr>
      <w:r>
        <w:rPr>
          <w:rFonts w:ascii="Times New Roman" w:cs="Times New Roman" w:eastAsia="Times New Roman" w:hAnsi="Times New Roman"/>
          <w:sz w:val="14"/>
          <w:szCs w:val="14"/>
          <w:color w:val="auto"/>
        </w:rPr>
        <w:t>Goodwill is deemed to have an indefinite life and therefore not amortized. We test the carrying amounts of goodwill for recoverability on an annual basis or more frequently if events or changes in circumstances indicate that the asset might be impaired. When reviewing goodwill for impairment, we first evaluate the qualitative factors to determine whether it is more likely than not that the fair value of a reporting unit is less than its carrying amount. The qualitative assessment involves consideration of factors including macroeconomic conditions, conditions specific to the industry, external cost factors that could have a significant effect on earnings or cash flows, all of which requires significant judgment. If the qualitative factors determine it is necessary to complete a goodwill impairment test, the fair value of the relevant reporting unit is determined and compared to its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our consolidated statements of operations. As of December 31, 2023, the Company has determined that it has one reporting unit. We have not identified any events or changes in circumstances that indicate the existence of potential impairment of goodwill during the year ended December 31, 2023.</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Intangible asset</w:t>
      </w:r>
    </w:p>
    <w:p>
      <w:pPr>
        <w:spacing w:after="0" w:line="191" w:lineRule="exact"/>
        <w:rPr>
          <w:sz w:val="20"/>
          <w:szCs w:val="20"/>
          <w:color w:val="auto"/>
        </w:rPr>
      </w:pPr>
    </w:p>
    <w:p>
      <w:pPr>
        <w:ind w:right="260" w:firstLine="751"/>
        <w:spacing w:after="0" w:line="248" w:lineRule="auto"/>
        <w:rPr>
          <w:sz w:val="20"/>
          <w:szCs w:val="20"/>
          <w:color w:val="auto"/>
        </w:rPr>
      </w:pPr>
      <w:r>
        <w:rPr>
          <w:rFonts w:ascii="Times New Roman" w:cs="Times New Roman" w:eastAsia="Times New Roman" w:hAnsi="Times New Roman"/>
          <w:sz w:val="16"/>
          <w:szCs w:val="16"/>
          <w:color w:val="auto"/>
        </w:rPr>
        <w:t>The intangible asset is amortized using the straight-line method over its estimated period of benefit of ten years. We evaluate recoverability of the intangible asset periodically by considering events or changes in circumstances that may warrant revised estimates of useful lives or that indicate the asset may be impaired. When impairment indicators are present, we assess the undiscounted projected cash flow for the asset and compare this estimated amount to carrying amount. If the carrying amount is greater, we record an impairment loss for the amount equal to the excess carrying amount over fair value. Due to the nature of estimating project cash flows for an asset, there is significant judgment involved in determining the fair value of an intangible asset. We have not identified any events or changes in circumstances that indicate the existence of potential impairment of the intangible asset during the year ended December 31, 2023.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Contingent consideration</w:t>
      </w:r>
    </w:p>
    <w:p>
      <w:pPr>
        <w:spacing w:after="0" w:line="191" w:lineRule="exact"/>
        <w:rPr>
          <w:sz w:val="20"/>
          <w:szCs w:val="20"/>
          <w:color w:val="auto"/>
        </w:rPr>
      </w:pPr>
    </w:p>
    <w:p>
      <w:pPr>
        <w:ind w:right="40" w:firstLine="751"/>
        <w:spacing w:after="0" w:line="247" w:lineRule="auto"/>
        <w:rPr>
          <w:sz w:val="20"/>
          <w:szCs w:val="20"/>
          <w:color w:val="auto"/>
        </w:rPr>
      </w:pPr>
      <w:r>
        <w:rPr>
          <w:rFonts w:ascii="Times New Roman" w:cs="Times New Roman" w:eastAsia="Times New Roman" w:hAnsi="Times New Roman"/>
          <w:sz w:val="16"/>
          <w:szCs w:val="16"/>
          <w:color w:val="auto"/>
        </w:rPr>
        <w:t>Consideration paid in a business combination may include contingent consideration. In connection with the acquisition of Sunosi, we have obligations to make royalty payments to Jazz in the high single-digits on the Company's U.S. net sales of Sunosi in the current indication and a mid single-digit royalty on the Company's U.S. net sales of Sunosi for future indications. We estimate fair value of contingent consideration liabilities using the probability weighted income approach as of the date of acquisition, with subsequent changes in fair value recorded in the consolidated statements of operations during such period a change is recognized. During each reporting period, significant assumptions are required in determining fair value, including estimating the future sales of Sunosi in current and future indications, timing of regulatory and commercial milestone achievements, probability of technical and regulatory success rates, and discount rates. Significant judgment is used in assessing the appropriateness of these assumptions as one or more may involve inputs that are not observable in the market. Accordingly, changes in the assumptions may have a material impact on the change in fair value of contingent consideration liabilities recorded in any given period.</w:t>
      </w:r>
    </w:p>
    <w:p>
      <w:pPr>
        <w:spacing w:after="0" w:line="166" w:lineRule="exact"/>
        <w:rPr>
          <w:sz w:val="20"/>
          <w:szCs w:val="20"/>
          <w:color w:val="auto"/>
        </w:rPr>
      </w:pPr>
    </w:p>
    <w:p>
      <w:pPr>
        <w:ind w:right="120" w:firstLine="751"/>
        <w:spacing w:after="0" w:line="255" w:lineRule="auto"/>
        <w:rPr>
          <w:sz w:val="20"/>
          <w:szCs w:val="20"/>
          <w:color w:val="auto"/>
        </w:rPr>
      </w:pPr>
      <w:r>
        <w:rPr>
          <w:rFonts w:ascii="Times New Roman" w:cs="Times New Roman" w:eastAsia="Times New Roman" w:hAnsi="Times New Roman"/>
          <w:sz w:val="16"/>
          <w:szCs w:val="16"/>
          <w:color w:val="auto"/>
        </w:rPr>
        <w:t>The fair value measurement of the contingent consideration is sensitive to the change in discount rates. As of December 31, 2023, if the discount rate increases or decreases by approximately 1%, the fair value of the contingent consideration would range from $72.4 million to $83.7 million. As of December 31, 2023, if the revenue discount rate increases or decreases by approximately 1%, the fair value of the contingent consideration would range from $73.5 million to $82.4 million.</w:t>
      </w: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680" w:right="3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91" w:lineRule="exact"/>
        <w:rPr>
          <w:sz w:val="20"/>
          <w:szCs w:val="20"/>
          <w:color w:val="auto"/>
        </w:rPr>
      </w:pPr>
    </w:p>
    <w:p>
      <w:pPr>
        <w:ind w:right="20" w:firstLine="751"/>
        <w:spacing w:after="0" w:line="293" w:lineRule="auto"/>
        <w:rPr>
          <w:sz w:val="20"/>
          <w:szCs w:val="20"/>
          <w:color w:val="auto"/>
        </w:rPr>
      </w:pPr>
      <w:r>
        <w:rPr>
          <w:rFonts w:ascii="Times New Roman" w:cs="Times New Roman" w:eastAsia="Times New Roman" w:hAnsi="Times New Roman"/>
          <w:sz w:val="14"/>
          <w:szCs w:val="14"/>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38" w:lineRule="exact"/>
        <w:rPr>
          <w:sz w:val="20"/>
          <w:szCs w:val="20"/>
          <w:color w:val="auto"/>
        </w:rPr>
      </w:pPr>
    </w:p>
    <w:p>
      <w:pPr>
        <w:ind w:right="340" w:firstLine="751"/>
        <w:spacing w:after="0" w:line="255" w:lineRule="auto"/>
        <w:rPr>
          <w:sz w:val="20"/>
          <w:szCs w:val="20"/>
          <w:color w:val="auto"/>
        </w:rPr>
      </w:pPr>
      <w:r>
        <w:rPr>
          <w:rFonts w:ascii="Times New Roman" w:cs="Times New Roman" w:eastAsia="Times New Roman" w:hAnsi="Times New Roman"/>
          <w:sz w:val="16"/>
          <w:szCs w:val="16"/>
          <w:color w:val="auto"/>
        </w:rPr>
        <w:t>We recognize the tax benefit from an uncertain tax position only if it is more likely than not to be sustained upon examination based on the technical merits of the position as well as consideration of the available facts and circumstances. When uncertain tax positions exist, we recognize the tax benefit of tax positions to the extent that the benefit will more likely than not be realized. As of December 31, 2023, we do not believe any material uncertain tax positions are present.</w:t>
      </w:r>
    </w:p>
    <w:p>
      <w:pPr>
        <w:spacing w:after="0" w:line="160" w:lineRule="exact"/>
        <w:rPr>
          <w:sz w:val="20"/>
          <w:szCs w:val="20"/>
          <w:color w:val="auto"/>
        </w:rPr>
      </w:pPr>
    </w:p>
    <w:p>
      <w:pPr>
        <w:jc w:val="both"/>
        <w:ind w:firstLine="751"/>
        <w:spacing w:after="0" w:line="255" w:lineRule="auto"/>
        <w:rPr>
          <w:sz w:val="20"/>
          <w:szCs w:val="20"/>
          <w:color w:val="auto"/>
        </w:rPr>
      </w:pPr>
      <w:r>
        <w:rPr>
          <w:rFonts w:ascii="Times New Roman" w:cs="Times New Roman" w:eastAsia="Times New Roman" w:hAnsi="Times New Roman"/>
          <w:sz w:val="16"/>
          <w:szCs w:val="16"/>
          <w:color w:val="auto"/>
        </w:rPr>
        <w:t>As of December 31, 2023, we had U.S. federal net operating loss, or NOL carryforwards of approximately $547 million and foreign NOL carryforwards of $0.7 million. U.S. federal NOLs amounting to $60 million generated before the 2018 tax year will start expiring beginning 2032, and the NOLs of approximately $487 million generated in 2018 and later have an indefinite carryforward period.</w:t>
      </w:r>
    </w:p>
    <w:p>
      <w:pPr>
        <w:spacing w:after="0" w:line="160" w:lineRule="exact"/>
        <w:rPr>
          <w:sz w:val="20"/>
          <w:szCs w:val="20"/>
          <w:color w:val="auto"/>
        </w:rPr>
      </w:pPr>
    </w:p>
    <w:p>
      <w:pPr>
        <w:ind w:right="60" w:firstLine="751"/>
        <w:spacing w:after="0" w:line="255" w:lineRule="auto"/>
        <w:rPr>
          <w:sz w:val="20"/>
          <w:szCs w:val="20"/>
          <w:color w:val="auto"/>
        </w:rPr>
      </w:pPr>
      <w:r>
        <w:rPr>
          <w:rFonts w:ascii="Times New Roman" w:cs="Times New Roman" w:eastAsia="Times New Roman" w:hAnsi="Times New Roman"/>
          <w:sz w:val="16"/>
          <w:szCs w:val="16"/>
          <w:color w:val="auto"/>
        </w:rPr>
        <w:t>Utilization of the NOLs may be subject to a substantial annual limitation due to ownership change limitations provided by the Internal Revenue Code of 1986, as amended. The annual limitation for net operating losses incurred before the 2018 tax year may result in expiration before we can use them. We have recorded a valuation allowance on all of our deferred tax assets.</w:t>
      </w:r>
    </w:p>
    <w:p>
      <w:pPr>
        <w:spacing w:after="0" w:line="127"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b w:val="1"/>
          <w:bCs w:val="1"/>
          <w:i w:val="1"/>
          <w:iCs w:val="1"/>
          <w:color w:val="auto"/>
        </w:rPr>
        <w:t>Stock</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-43180</wp:posOffset>
            </wp:positionV>
            <wp:extent cx="58420"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420" cy="37465"/>
                    </a:xfrm>
                    <a:prstGeom prst="rect">
                      <a:avLst/>
                    </a:prstGeom>
                    <a:noFill/>
                  </pic:spPr>
                </pic:pic>
              </a:graphicData>
            </a:graphic>
          </wp:anchor>
        </w:drawing>
      </w:r>
    </w:p>
    <w:p>
      <w:pPr>
        <w:spacing w:after="0" w:line="203" w:lineRule="exact"/>
        <w:rPr>
          <w:sz w:val="20"/>
          <w:szCs w:val="20"/>
          <w:color w:val="auto"/>
        </w:rPr>
      </w:pPr>
    </w:p>
    <w:p>
      <w:pPr>
        <w:ind w:right="60" w:firstLine="751"/>
        <w:spacing w:after="0" w:line="249" w:lineRule="auto"/>
        <w:rPr>
          <w:sz w:val="20"/>
          <w:szCs w:val="20"/>
          <w:color w:val="auto"/>
        </w:rPr>
      </w:pPr>
      <w:r>
        <w:rPr>
          <w:rFonts w:ascii="Times New Roman" w:cs="Times New Roman" w:eastAsia="Times New Roman" w:hAnsi="Times New Roman"/>
          <w:sz w:val="16"/>
          <w:szCs w:val="16"/>
          <w:color w:val="auto"/>
        </w:rPr>
        <w:t>For issued stock options, we estimate the grant date fair value of each option using the Black-Scholes option pricing model. The Black-Scholes model requires management to make assumptions, including expected volatility of our common stock, the risk-free interest rate, the expected term of the option, the fair value of our common stock, expected dividend yield, and the exercise price. Certain assumptions utilized in the Black-Scholes calculation involve a number of variables, uncertainties, and application of management judgment that are inherently subjective. Significant changes in these assumptions can materially affect the fair value and ultimately the amount of stock-based compensation expense that is recognized.</w:t>
      </w:r>
    </w:p>
    <w:p>
      <w:pPr>
        <w:spacing w:after="0" w:line="166" w:lineRule="exact"/>
        <w:rPr>
          <w:sz w:val="20"/>
          <w:szCs w:val="20"/>
          <w:color w:val="auto"/>
        </w:rPr>
      </w:pPr>
    </w:p>
    <w:p>
      <w:pPr>
        <w:ind w:right="320" w:firstLine="751"/>
        <w:spacing w:after="0" w:line="309" w:lineRule="auto"/>
        <w:rPr>
          <w:sz w:val="20"/>
          <w:szCs w:val="20"/>
          <w:color w:val="auto"/>
        </w:rPr>
      </w:pPr>
      <w:r>
        <w:rPr>
          <w:rFonts w:ascii="Times New Roman" w:cs="Times New Roman" w:eastAsia="Times New Roman" w:hAnsi="Times New Roman"/>
          <w:sz w:val="14"/>
          <w:szCs w:val="14"/>
          <w:color w:val="auto"/>
        </w:rPr>
        <w:t>We recognize the grant date fair value of the stock options over the requisite service period, which is generally the vesting term. For awards only subject to service-based vesting conditions, we elected to recognize stock-based compensation expense on a straight-line basis. For awards subject to performance-based vesting conditions, we recognize stock-based compensation expense using the accelerated attribution method when the achievement of the performance condition becomes probable.</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Years Ended December 31, 2023 and 2022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our results of operations for the years ended December 31, 2023 and 2022 (in thousands, except share and per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3"/>
        </w:trPr>
        <w:tc>
          <w:tcPr>
            <w:tcW w:w="76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2"/>
                <w:szCs w:val="12"/>
                <w:b w:val="1"/>
                <w:bCs w:val="1"/>
                <w:color w:val="auto"/>
              </w:rPr>
              <w:t>2023</w:t>
            </w:r>
          </w:p>
        </w:tc>
        <w:tc>
          <w:tcPr>
            <w:tcW w:w="3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2"/>
                <w:szCs w:val="12"/>
                <w:color w:val="auto"/>
              </w:rPr>
            </w:pPr>
          </w:p>
        </w:tc>
      </w:tr>
      <w:tr>
        <w:trPr>
          <w:trHeight w:val="202"/>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6"/>
        </w:trPr>
        <w:tc>
          <w:tcPr>
            <w:tcW w:w="7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Product sales, net</w:t>
            </w:r>
          </w:p>
        </w:tc>
        <w:tc>
          <w:tcPr>
            <w:tcW w:w="3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202,460</w:t>
            </w:r>
          </w:p>
        </w:tc>
        <w:tc>
          <w:tcPr>
            <w:tcW w:w="300" w:type="dxa"/>
            <w:vAlign w:val="bottom"/>
          </w:tcPr>
          <w:p>
            <w:pPr>
              <w:spacing w:after="0"/>
              <w:rPr>
                <w:sz w:val="17"/>
                <w:szCs w:val="17"/>
                <w:color w:val="auto"/>
              </w:rPr>
            </w:pPr>
          </w:p>
        </w:tc>
        <w:tc>
          <w:tcPr>
            <w:tcW w:w="58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50,037</w:t>
            </w:r>
          </w:p>
        </w:tc>
        <w:tc>
          <w:tcPr>
            <w:tcW w:w="100" w:type="dxa"/>
            <w:vAlign w:val="bottom"/>
          </w:tcPr>
          <w:p>
            <w:pPr>
              <w:spacing w:after="0"/>
              <w:rPr>
                <w:sz w:val="17"/>
                <w:szCs w:val="17"/>
                <w:color w:val="auto"/>
              </w:rPr>
            </w:pPr>
          </w:p>
        </w:tc>
      </w:tr>
      <w:tr>
        <w:trPr>
          <w:trHeight w:val="214"/>
        </w:trPr>
        <w:tc>
          <w:tcPr>
            <w:tcW w:w="7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License revenue</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65,735</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7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Royalty revenue</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270,600</w:t>
            </w:r>
          </w:p>
        </w:tc>
        <w:tc>
          <w:tcPr>
            <w:tcW w:w="3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50,037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7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Cost of revenue (excluding amortization and depreciation)</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26,065</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5,198</w:t>
            </w:r>
          </w:p>
        </w:tc>
        <w:tc>
          <w:tcPr>
            <w:tcW w:w="100" w:type="dxa"/>
            <w:vAlign w:val="bottom"/>
            <w:shd w:val="clear" w:color="auto" w:fill="CFF0FC"/>
          </w:tcPr>
          <w:p>
            <w:pPr>
              <w:spacing w:after="0"/>
              <w:rPr>
                <w:sz w:val="18"/>
                <w:szCs w:val="18"/>
                <w:color w:val="auto"/>
              </w:rPr>
            </w:pPr>
          </w:p>
        </w:tc>
      </w:tr>
      <w:tr>
        <w:trPr>
          <w:trHeight w:val="206"/>
        </w:trPr>
        <w:tc>
          <w:tcPr>
            <w:tcW w:w="7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97,944</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57,947</w:t>
            </w:r>
          </w:p>
        </w:tc>
        <w:tc>
          <w:tcPr>
            <w:tcW w:w="100" w:type="dxa"/>
            <w:vAlign w:val="bottom"/>
          </w:tcPr>
          <w:p>
            <w:pPr>
              <w:spacing w:after="0"/>
              <w:rPr>
                <w:sz w:val="17"/>
                <w:szCs w:val="17"/>
                <w:color w:val="auto"/>
              </w:rPr>
            </w:pPr>
          </w:p>
        </w:tc>
      </w:tr>
      <w:tr>
        <w:trPr>
          <w:trHeight w:val="214"/>
        </w:trPr>
        <w:tc>
          <w:tcPr>
            <w:tcW w:w="7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323,123</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159,254</w:t>
            </w:r>
          </w:p>
        </w:tc>
        <w:tc>
          <w:tcPr>
            <w:tcW w:w="100" w:type="dxa"/>
            <w:vAlign w:val="bottom"/>
            <w:shd w:val="clear" w:color="auto" w:fill="CFF0FC"/>
          </w:tcPr>
          <w:p>
            <w:pPr>
              <w:spacing w:after="0"/>
              <w:rPr>
                <w:sz w:val="18"/>
                <w:szCs w:val="18"/>
                <w:color w:val="auto"/>
              </w:rPr>
            </w:pPr>
          </w:p>
        </w:tc>
      </w:tr>
      <w:tr>
        <w:trPr>
          <w:trHeight w:val="206"/>
        </w:trPr>
        <w:tc>
          <w:tcPr>
            <w:tcW w:w="7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in fair value of contingent consideration</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48,918</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3,298</w:t>
            </w:r>
          </w:p>
        </w:tc>
        <w:tc>
          <w:tcPr>
            <w:tcW w:w="100" w:type="dxa"/>
            <w:vAlign w:val="bottom"/>
          </w:tcPr>
          <w:p>
            <w:pPr>
              <w:spacing w:after="0"/>
              <w:rPr>
                <w:sz w:val="17"/>
                <w:szCs w:val="17"/>
                <w:color w:val="auto"/>
              </w:rPr>
            </w:pPr>
          </w:p>
        </w:tc>
      </w:tr>
      <w:tr>
        <w:trPr>
          <w:trHeight w:val="210"/>
        </w:trPr>
        <w:tc>
          <w:tcPr>
            <w:tcW w:w="7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6,375</w:t>
            </w:r>
          </w:p>
        </w:tc>
        <w:tc>
          <w:tcPr>
            <w:tcW w:w="3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502,425</w:t>
            </w:r>
          </w:p>
        </w:tc>
        <w:tc>
          <w:tcPr>
            <w:tcW w:w="3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229,836</w:t>
            </w:r>
          </w:p>
        </w:tc>
        <w:tc>
          <w:tcPr>
            <w:tcW w:w="100" w:type="dxa"/>
            <w:vAlign w:val="bottom"/>
          </w:tcPr>
          <w:p>
            <w:pPr>
              <w:spacing w:after="0"/>
              <w:rPr>
                <w:sz w:val="17"/>
                <w:szCs w:val="17"/>
                <w:color w:val="auto"/>
              </w:rPr>
            </w:pPr>
          </w:p>
        </w:tc>
      </w:tr>
      <w:tr>
        <w:trPr>
          <w:trHeight w:val="22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(231,825 )</w:t>
            </w:r>
          </w:p>
        </w:tc>
        <w:tc>
          <w:tcPr>
            <w:tcW w:w="5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(179,799 )</w:t>
            </w:r>
          </w:p>
        </w:tc>
      </w:tr>
      <w:tr>
        <w:trPr>
          <w:trHeight w:val="227"/>
        </w:trPr>
        <w:tc>
          <w:tcPr>
            <w:tcW w:w="7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 net</w:t>
            </w:r>
          </w:p>
        </w:tc>
        <w:tc>
          <w:tcPr>
            <w:tcW w:w="360" w:type="dxa"/>
            <w:vAlign w:val="bottom"/>
          </w:tcPr>
          <w:p>
            <w:pPr>
              <w:spacing w:after="0"/>
              <w:rPr>
                <w:sz w:val="19"/>
                <w:szCs w:val="19"/>
                <w:color w:val="auto"/>
              </w:rPr>
            </w:pPr>
          </w:p>
        </w:tc>
        <w:tc>
          <w:tcPr>
            <w:tcW w:w="148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(6,453 )</w:t>
            </w:r>
          </w:p>
        </w:tc>
        <w:tc>
          <w:tcPr>
            <w:tcW w:w="5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(7,335 )</w:t>
            </w:r>
          </w:p>
        </w:tc>
      </w:tr>
      <w:tr>
        <w:trPr>
          <w:trHeight w:val="24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(238,278 )</w:t>
            </w:r>
          </w:p>
        </w:tc>
        <w:tc>
          <w:tcPr>
            <w:tcW w:w="5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(187,134 )</w:t>
            </w:r>
          </w:p>
        </w:tc>
      </w:tr>
      <w:tr>
        <w:trPr>
          <w:trHeight w:val="216"/>
        </w:trPr>
        <w:tc>
          <w:tcPr>
            <w:tcW w:w="7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tax expense</w:t>
            </w:r>
          </w:p>
        </w:tc>
        <w:tc>
          <w:tcPr>
            <w:tcW w:w="360" w:type="dxa"/>
            <w:vAlign w:val="bottom"/>
          </w:tcPr>
          <w:p>
            <w:pPr>
              <w:spacing w:after="0"/>
              <w:rPr>
                <w:sz w:val="18"/>
                <w:szCs w:val="18"/>
                <w:color w:val="auto"/>
              </w:rPr>
            </w:pPr>
          </w:p>
        </w:tc>
        <w:tc>
          <w:tcPr>
            <w:tcW w:w="148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(960 )</w:t>
            </w:r>
          </w:p>
        </w:tc>
        <w:tc>
          <w:tcPr>
            <w:tcW w:w="580" w:type="dxa"/>
            <w:vAlign w:val="bottom"/>
          </w:tcPr>
          <w:p>
            <w:pPr>
              <w:spacing w:after="0"/>
              <w:rPr>
                <w:sz w:val="18"/>
                <w:szCs w:val="18"/>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r>
      <w:tr>
        <w:trPr>
          <w:trHeight w:val="244"/>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Borders>
              <w:top w:val="single" w:sz="8" w:color="auto"/>
              <w:bottom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(239,238</w:t>
            </w:r>
          </w:p>
        </w:tc>
        <w:tc>
          <w:tcPr>
            <w:tcW w:w="300" w:type="dxa"/>
            <w:vAlign w:val="bottom"/>
            <w:tcBorders>
              <w:bottom w:val="single" w:sz="8" w:color="CFF0FC"/>
            </w:tcBorders>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FF0FC"/>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(187,134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85"/>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common share, basic and diluted</w:t>
            </w:r>
          </w:p>
        </w:tc>
        <w:tc>
          <w:tcPr>
            <w:tcW w:w="3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(5.27 )</w:t>
            </w:r>
          </w:p>
        </w:tc>
        <w:tc>
          <w:tcPr>
            <w:tcW w:w="58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(4.60 )</w:t>
            </w:r>
          </w:p>
        </w:tc>
      </w:tr>
      <w:tr>
        <w:trPr>
          <w:trHeight w:val="20"/>
        </w:trPr>
        <w:tc>
          <w:tcPr>
            <w:tcW w:w="7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basic and diluted</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45,425,212</w:t>
            </w:r>
          </w:p>
        </w:tc>
        <w:tc>
          <w:tcPr>
            <w:tcW w:w="3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40,655,941</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5812790</wp:posOffset>
            </wp:positionH>
            <wp:positionV relativeFrom="paragraph">
              <wp:posOffset>-2014855</wp:posOffset>
            </wp:positionV>
            <wp:extent cx="74295"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-2014855</wp:posOffset>
            </wp:positionV>
            <wp:extent cx="6667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-1207135</wp:posOffset>
            </wp:positionV>
            <wp:extent cx="74295"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-1207135</wp:posOffset>
            </wp:positionV>
            <wp:extent cx="66675"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-332740</wp:posOffset>
            </wp:positionV>
            <wp:extent cx="7429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-318135</wp:posOffset>
            </wp:positionV>
            <wp:extent cx="74295"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-332740</wp:posOffset>
            </wp:positionV>
            <wp:extent cx="66675"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-318135</wp:posOffset>
            </wp:positionV>
            <wp:extent cx="66675"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-21590</wp:posOffset>
            </wp:positionV>
            <wp:extent cx="74295"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-6985</wp:posOffset>
            </wp:positionV>
            <wp:extent cx="74295"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-21590</wp:posOffset>
            </wp:positionV>
            <wp:extent cx="66675"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-6985</wp:posOffset>
            </wp:positionV>
            <wp:extent cx="66675"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6675" cy="7620"/>
                    </a:xfrm>
                    <a:prstGeom prst="rect">
                      <a:avLst/>
                    </a:prstGeom>
                    <a:noFill/>
                  </pic:spPr>
                </pic:pic>
              </a:graphicData>
            </a:graphic>
          </wp:anchor>
        </w:drawing>
      </w:r>
    </w:p>
    <w:p>
      <w:pPr>
        <w:spacing w:after="0" w:line="148" w:lineRule="exact"/>
        <w:rPr>
          <w:sz w:val="20"/>
          <w:szCs w:val="20"/>
          <w:color w:val="auto"/>
        </w:rPr>
      </w:pPr>
    </w:p>
    <w:p>
      <w:pPr>
        <w:ind w:firstLine="751"/>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Product sales, net. </w:t>
      </w:r>
      <w:r>
        <w:rPr>
          <w:rFonts w:ascii="Times New Roman" w:cs="Times New Roman" w:eastAsia="Times New Roman" w:hAnsi="Times New Roman"/>
          <w:sz w:val="16"/>
          <w:szCs w:val="16"/>
          <w:color w:val="auto"/>
        </w:rPr>
        <w:t>Auvelity was launched on October 19, 2022 and had U.S. net sales of $130.1 million and $5.2 million for the years ended December 31, 2023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2022, respectively. The increase in Auvelity sales was primarily due to an increase in sales volume and the timing of the Auvelity approval and launch. Sales of Sunosi began in the U.S. in May 2022 and in certain international markets in November 2022. Sunosi product sales were $72.4 million and $44.9 million for the years ended December 31, 2023 and 2022, respectively. The increase in Sunosi sales was primarily due to an increase in sales volume and the timing of the Acquisition.</w:t>
      </w:r>
    </w:p>
    <w:p>
      <w:pPr>
        <w:spacing w:after="0" w:line="161" w:lineRule="exact"/>
        <w:rPr>
          <w:sz w:val="20"/>
          <w:szCs w:val="20"/>
          <w:color w:val="auto"/>
        </w:rPr>
      </w:pPr>
    </w:p>
    <w:p>
      <w:pPr>
        <w:ind w:firstLine="751"/>
        <w:spacing w:after="0" w:line="343" w:lineRule="auto"/>
        <w:rPr>
          <w:sz w:val="20"/>
          <w:szCs w:val="20"/>
          <w:color w:val="auto"/>
        </w:rPr>
      </w:pPr>
      <w:r>
        <w:rPr>
          <w:rFonts w:ascii="Times New Roman" w:cs="Times New Roman" w:eastAsia="Times New Roman" w:hAnsi="Times New Roman"/>
          <w:sz w:val="14"/>
          <w:szCs w:val="14"/>
          <w:i w:val="1"/>
          <w:iCs w:val="1"/>
          <w:color w:val="auto"/>
        </w:rPr>
        <w:t xml:space="preserve">License revenue. </w:t>
      </w:r>
      <w:r>
        <w:rPr>
          <w:rFonts w:ascii="Times New Roman" w:cs="Times New Roman" w:eastAsia="Times New Roman" w:hAnsi="Times New Roman"/>
          <w:sz w:val="14"/>
          <w:szCs w:val="14"/>
          <w:color w:val="auto"/>
        </w:rPr>
        <w:t>In February 2023, we entered into the Pharmanovia License Agreement to commercialize Sunosi in certain ex-U.S. markets. For the year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2023, we recognized the upfront payment of $65.7 million from Pharmanovia as license revenue. We did not have license revenue for the comparable period in 2022.</w:t>
      </w:r>
    </w:p>
    <w:p>
      <w:pPr>
        <w:spacing w:after="0" w:line="100" w:lineRule="exact"/>
        <w:rPr>
          <w:sz w:val="20"/>
          <w:szCs w:val="20"/>
          <w:color w:val="auto"/>
        </w:rPr>
      </w:pPr>
    </w:p>
    <w:p>
      <w:pPr>
        <w:ind w:right="20" w:firstLine="751"/>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Royalty revenue. </w:t>
      </w:r>
      <w:r>
        <w:rPr>
          <w:rFonts w:ascii="Times New Roman" w:cs="Times New Roman" w:eastAsia="Times New Roman" w:hAnsi="Times New Roman"/>
          <w:sz w:val="16"/>
          <w:szCs w:val="16"/>
          <w:color w:val="auto"/>
        </w:rPr>
        <w:t>In connection with the Pharmanovia License Agreement, we recognized royalty revenue of $2.4 million for the year ended December 31, 2023 related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sales of Sunosi by Pharmanovia. We did not have royalty revenue for the comparable period in 2022.</w:t>
      </w:r>
    </w:p>
    <w:p>
      <w:pPr>
        <w:spacing w:after="0" w:line="146" w:lineRule="exact"/>
        <w:rPr>
          <w:sz w:val="20"/>
          <w:szCs w:val="20"/>
          <w:color w:val="auto"/>
        </w:rPr>
      </w:pPr>
    </w:p>
    <w:p>
      <w:pPr>
        <w:jc w:val="both"/>
        <w:ind w:right="220" w:firstLine="751"/>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Cost of revenue. </w:t>
      </w:r>
      <w:r>
        <w:rPr>
          <w:rFonts w:ascii="Times New Roman" w:cs="Times New Roman" w:eastAsia="Times New Roman" w:hAnsi="Times New Roman"/>
          <w:sz w:val="16"/>
          <w:szCs w:val="16"/>
          <w:color w:val="auto"/>
        </w:rPr>
        <w:t>Cost of revenue was $26.1 million for the year ended December 31, 2023, as compared to $5.2 million for the year ended December 31, 2022.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increase is in line with the increase in sales for Auvelity and Sunosi. Auvelity was launched in the fourth quarter of 2022 and Sunosi was acquired in the second quarter of 2022. Additionally, in the first quarter of 2023, we recognized a $5.0 million license sharing expense related to the Pharmanovia License Agreement.</w:t>
      </w: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680" w:right="3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200" w:firstLine="751"/>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Research and development. </w:t>
      </w:r>
      <w:r>
        <w:rPr>
          <w:rFonts w:ascii="Times New Roman" w:cs="Times New Roman" w:eastAsia="Times New Roman" w:hAnsi="Times New Roman"/>
          <w:sz w:val="16"/>
          <w:szCs w:val="16"/>
          <w:color w:val="auto"/>
        </w:rPr>
        <w:t>The following table summarizes our research and development expenses for our primary products for the years ended December 31, 2023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2022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7740" w:type="dxa"/>
            <w:vAlign w:val="bottom"/>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2"/>
                <w:szCs w:val="12"/>
                <w:color w:val="auto"/>
              </w:rPr>
            </w:pPr>
          </w:p>
        </w:tc>
      </w:tr>
      <w:tr>
        <w:trPr>
          <w:trHeight w:val="202"/>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Solriamfetol</w:t>
            </w:r>
          </w:p>
        </w:tc>
        <w:tc>
          <w:tcPr>
            <w:tcW w:w="960" w:type="dxa"/>
            <w:vAlign w:val="bottom"/>
            <w:shd w:val="clear" w:color="auto" w:fill="CFF0FC"/>
          </w:tcPr>
          <w:p>
            <w:pPr>
              <w:jc w:val="right"/>
              <w:ind w:right="807"/>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18,232</w:t>
            </w:r>
          </w:p>
        </w:tc>
        <w:tc>
          <w:tcPr>
            <w:tcW w:w="88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120" w:type="dxa"/>
            <w:vAlign w:val="bottom"/>
            <w:shd w:val="clear" w:color="auto" w:fill="CFF0FC"/>
          </w:tcPr>
          <w:p>
            <w:pPr>
              <w:spacing w:after="0"/>
              <w:rPr>
                <w:sz w:val="17"/>
                <w:szCs w:val="17"/>
                <w:color w:val="auto"/>
              </w:rPr>
            </w:pPr>
          </w:p>
        </w:tc>
      </w:tr>
      <w:tr>
        <w:trPr>
          <w:trHeight w:val="206"/>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AXS-05</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34,011</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23,949</w:t>
            </w:r>
          </w:p>
        </w:tc>
        <w:tc>
          <w:tcPr>
            <w:tcW w:w="120" w:type="dxa"/>
            <w:vAlign w:val="bottom"/>
          </w:tcPr>
          <w:p>
            <w:pPr>
              <w:spacing w:after="0"/>
              <w:rPr>
                <w:sz w:val="17"/>
                <w:szCs w:val="17"/>
                <w:color w:val="auto"/>
              </w:rPr>
            </w:pPr>
          </w:p>
        </w:tc>
      </w:tr>
      <w:tr>
        <w:trPr>
          <w:trHeight w:val="214"/>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AXS-07</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8,101</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9,061</w:t>
            </w:r>
          </w:p>
        </w:tc>
        <w:tc>
          <w:tcPr>
            <w:tcW w:w="120" w:type="dxa"/>
            <w:vAlign w:val="bottom"/>
            <w:shd w:val="clear" w:color="auto" w:fill="CFF0FC"/>
          </w:tcPr>
          <w:p>
            <w:pPr>
              <w:spacing w:after="0"/>
              <w:rPr>
                <w:sz w:val="18"/>
                <w:szCs w:val="18"/>
                <w:color w:val="auto"/>
              </w:rPr>
            </w:pPr>
          </w:p>
        </w:tc>
      </w:tr>
      <w:tr>
        <w:trPr>
          <w:trHeight w:val="206"/>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AXS-12</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10,431</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7,091</w:t>
            </w:r>
          </w:p>
        </w:tc>
        <w:tc>
          <w:tcPr>
            <w:tcW w:w="120" w:type="dxa"/>
            <w:vAlign w:val="bottom"/>
          </w:tcPr>
          <w:p>
            <w:pPr>
              <w:spacing w:after="0"/>
              <w:rPr>
                <w:sz w:val="17"/>
                <w:szCs w:val="17"/>
                <w:color w:val="auto"/>
              </w:rPr>
            </w:pPr>
          </w:p>
        </w:tc>
      </w:tr>
      <w:tr>
        <w:trPr>
          <w:trHeight w:val="214"/>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AXS-14</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7,091</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20" w:type="dxa"/>
            <w:vAlign w:val="bottom"/>
            <w:shd w:val="clear" w:color="auto" w:fill="CFF0FC"/>
          </w:tcPr>
          <w:p>
            <w:pPr>
              <w:spacing w:after="0"/>
              <w:rPr>
                <w:sz w:val="18"/>
                <w:szCs w:val="18"/>
                <w:color w:val="auto"/>
              </w:rPr>
            </w:pPr>
          </w:p>
        </w:tc>
      </w:tr>
      <w:tr>
        <w:trPr>
          <w:trHeight w:val="206"/>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research and development (*)</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5,998</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4,078</w:t>
            </w:r>
          </w:p>
        </w:tc>
        <w:tc>
          <w:tcPr>
            <w:tcW w:w="120" w:type="dxa"/>
            <w:vAlign w:val="bottom"/>
          </w:tcPr>
          <w:p>
            <w:pPr>
              <w:spacing w:after="0"/>
              <w:rPr>
                <w:sz w:val="17"/>
                <w:szCs w:val="17"/>
                <w:color w:val="auto"/>
              </w:rPr>
            </w:pPr>
          </w:p>
        </w:tc>
      </w:tr>
      <w:tr>
        <w:trPr>
          <w:trHeight w:val="210"/>
        </w:trPr>
        <w:tc>
          <w:tcPr>
            <w:tcW w:w="77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14,080</w:t>
            </w:r>
          </w:p>
        </w:tc>
        <w:tc>
          <w:tcPr>
            <w:tcW w:w="3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8,604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2"/>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960" w:type="dxa"/>
            <w:vAlign w:val="bottom"/>
          </w:tcPr>
          <w:p>
            <w:pPr>
              <w:jc w:val="right"/>
              <w:ind w:right="807"/>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97,944</w:t>
            </w: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57,947</w:t>
            </w:r>
          </w:p>
        </w:tc>
        <w:tc>
          <w:tcPr>
            <w:tcW w:w="12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5909310</wp:posOffset>
            </wp:positionH>
            <wp:positionV relativeFrom="paragraph">
              <wp:posOffset>-162560</wp:posOffset>
            </wp:positionV>
            <wp:extent cx="7429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-162560</wp:posOffset>
            </wp:positionV>
            <wp:extent cx="66675"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6675" cy="762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Other research and development expenses primarily consist of costs related to other product candidates, facilities and overhead costs.</w:t>
      </w:r>
    </w:p>
    <w:p>
      <w:pPr>
        <w:spacing w:after="0" w:line="180" w:lineRule="exact"/>
        <w:rPr>
          <w:sz w:val="20"/>
          <w:szCs w:val="20"/>
          <w:color w:val="auto"/>
        </w:rPr>
      </w:pPr>
    </w:p>
    <w:p>
      <w:pPr>
        <w:ind w:right="20" w:firstLine="751"/>
        <w:spacing w:after="0" w:line="249" w:lineRule="auto"/>
        <w:rPr>
          <w:sz w:val="20"/>
          <w:szCs w:val="20"/>
          <w:color w:val="auto"/>
        </w:rPr>
      </w:pPr>
      <w:r>
        <w:rPr>
          <w:rFonts w:ascii="Times New Roman" w:cs="Times New Roman" w:eastAsia="Times New Roman" w:hAnsi="Times New Roman"/>
          <w:sz w:val="16"/>
          <w:szCs w:val="16"/>
          <w:color w:val="auto"/>
        </w:rPr>
        <w:t>Research and development expenses increased by $40.0 million for the year ended December 31, 2023, as compared to the year ended December 31, 2022. The increase was primarily related to the FOCUS trial of solriamfetol in ADHD, the advancement of ongoing trials of AXS-05 and AXS-12, chemistry, manufacturing, and controls (CMC) costs associated with the anticipated NDAs for AXS-07 and AXS-14, post-marketing commitments for Auvelity and Sunosi, and higher personnel costs, including non-cash stock-based compensation. We expect research and development costs to increase as we continue to conduct non-clinical and pre-clinical testing, conduct ongoing and planned clinical trials, and manufacture drug products in anticipation of FDA approvals for the further development of our current and future product candidates.</w:t>
      </w:r>
    </w:p>
    <w:p>
      <w:pPr>
        <w:spacing w:after="0" w:line="164" w:lineRule="exact"/>
        <w:rPr>
          <w:sz w:val="20"/>
          <w:szCs w:val="20"/>
          <w:color w:val="auto"/>
        </w:rPr>
      </w:pPr>
    </w:p>
    <w:p>
      <w:pPr>
        <w:ind w:right="260" w:firstLine="751"/>
        <w:spacing w:after="0" w:line="300" w:lineRule="auto"/>
        <w:rPr>
          <w:sz w:val="20"/>
          <w:szCs w:val="20"/>
          <w:color w:val="auto"/>
        </w:rPr>
      </w:pPr>
      <w:r>
        <w:rPr>
          <w:rFonts w:ascii="Times New Roman" w:cs="Times New Roman" w:eastAsia="Times New Roman" w:hAnsi="Times New Roman"/>
          <w:sz w:val="14"/>
          <w:szCs w:val="14"/>
          <w:i w:val="1"/>
          <w:iCs w:val="1"/>
          <w:color w:val="auto"/>
        </w:rPr>
        <w:t xml:space="preserve">Selling, general and administrative. </w:t>
      </w:r>
      <w:r>
        <w:rPr>
          <w:rFonts w:ascii="Times New Roman" w:cs="Times New Roman" w:eastAsia="Times New Roman" w:hAnsi="Times New Roman"/>
          <w:sz w:val="14"/>
          <w:szCs w:val="14"/>
          <w:color w:val="auto"/>
        </w:rPr>
        <w:t>Selling, general and administrative expenses were $323.1 million for the year ended December 31, 2023, as compared to $159.3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million for the year ended December 31, 2022. The increase was primarily related to commercialization activities for Auvelity and Sunosi, including sales force and marketing expenses and higher personnel costs related to organizational growth, including non-cash stock-based compensation. We expect selling, general and administrative expenses to increase as we expand marketing, promotional, and advertising for our products and continue our increased efforts to educate physicians and expand market access.</w:t>
      </w:r>
    </w:p>
    <w:p>
      <w:pPr>
        <w:spacing w:after="0" w:line="129" w:lineRule="exact"/>
        <w:rPr>
          <w:sz w:val="20"/>
          <w:szCs w:val="20"/>
          <w:color w:val="auto"/>
        </w:rPr>
      </w:pPr>
    </w:p>
    <w:p>
      <w:pPr>
        <w:jc w:val="both"/>
        <w:ind w:right="280" w:firstLine="751"/>
        <w:spacing w:after="0" w:line="310" w:lineRule="auto"/>
        <w:rPr>
          <w:sz w:val="20"/>
          <w:szCs w:val="20"/>
          <w:color w:val="auto"/>
        </w:rPr>
      </w:pPr>
      <w:r>
        <w:rPr>
          <w:rFonts w:ascii="Times New Roman" w:cs="Times New Roman" w:eastAsia="Times New Roman" w:hAnsi="Times New Roman"/>
          <w:sz w:val="14"/>
          <w:szCs w:val="14"/>
          <w:i w:val="1"/>
          <w:iCs w:val="1"/>
          <w:color w:val="auto"/>
        </w:rPr>
        <w:t xml:space="preserve">Loss in Fair Value of Contingent Consideration. </w:t>
      </w:r>
      <w:r>
        <w:rPr>
          <w:rFonts w:ascii="Times New Roman" w:cs="Times New Roman" w:eastAsia="Times New Roman" w:hAnsi="Times New Roman"/>
          <w:sz w:val="14"/>
          <w:szCs w:val="14"/>
          <w:color w:val="auto"/>
        </w:rPr>
        <w:t>The $48.9 million change for the year ended December 31, 2023, as compared to a $3.3 million change for the year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ended December 31, 2022 is primarily related to the change in significant assumptions required in estimating the fair value of contingent consideration, including probability of technical and regulatory success, future sales estimates, number of indications, discount rates, and timing of the achievement of regulatory and commercial milestones.</w:t>
      </w:r>
    </w:p>
    <w:p>
      <w:pPr>
        <w:spacing w:after="0" w:line="123" w:lineRule="exact"/>
        <w:rPr>
          <w:sz w:val="20"/>
          <w:szCs w:val="20"/>
          <w:color w:val="auto"/>
        </w:rPr>
      </w:pPr>
    </w:p>
    <w:p>
      <w:pPr>
        <w:ind w:right="300" w:firstLine="751"/>
        <w:spacing w:after="0" w:line="257" w:lineRule="auto"/>
        <w:rPr>
          <w:sz w:val="20"/>
          <w:szCs w:val="20"/>
          <w:color w:val="auto"/>
        </w:rPr>
      </w:pPr>
      <w:r>
        <w:rPr>
          <w:rFonts w:ascii="Times New Roman" w:cs="Times New Roman" w:eastAsia="Times New Roman" w:hAnsi="Times New Roman"/>
          <w:sz w:val="16"/>
          <w:szCs w:val="16"/>
          <w:i w:val="1"/>
          <w:iCs w:val="1"/>
          <w:color w:val="auto"/>
        </w:rPr>
        <w:t>Intangible asset amortization</w:t>
      </w:r>
      <w:r>
        <w:rPr>
          <w:rFonts w:ascii="Times New Roman" w:cs="Times New Roman" w:eastAsia="Times New Roman" w:hAnsi="Times New Roman"/>
          <w:sz w:val="16"/>
          <w:szCs w:val="16"/>
          <w:color w:val="auto"/>
        </w:rPr>
        <w:t>. As part of the purchase price allocation for the part of the Acquisition that closed on May 9, 2022, we determined that the identifiable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intangible asset is developed technology. We amortize the intangible asset over its useful life of 10 years. Intangible asset amortization was $6.4 million for the year ended December 31, 2023 and $4.1 million for the year ended December 31, 2022. The increase is related to the timing of the Acquisition.</w:t>
      </w:r>
    </w:p>
    <w:p>
      <w:pPr>
        <w:spacing w:after="0" w:line="156" w:lineRule="exact"/>
        <w:rPr>
          <w:sz w:val="20"/>
          <w:szCs w:val="20"/>
          <w:color w:val="auto"/>
        </w:rPr>
      </w:pPr>
    </w:p>
    <w:p>
      <w:pPr>
        <w:ind w:right="100" w:firstLine="751"/>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Interest expense, net. </w:t>
      </w:r>
      <w:r>
        <w:rPr>
          <w:rFonts w:ascii="Times New Roman" w:cs="Times New Roman" w:eastAsia="Times New Roman" w:hAnsi="Times New Roman"/>
          <w:sz w:val="16"/>
          <w:szCs w:val="16"/>
          <w:color w:val="auto"/>
        </w:rPr>
        <w:t>Interest expense, net, was $6.5 million for the year ended December 31, 2023 as compared to $7.3 million for the year ended December 31, 2022.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decrease was mainly due to interest income on higher cash balances, offset by interest expense, issuance costs, and fees related to the Loan and Security Agreement, as amended (the “Loan Agreement”) with Hercules Capital, Inc. (“Hercules”).</w:t>
      </w:r>
    </w:p>
    <w:p>
      <w:pPr>
        <w:spacing w:after="0" w:line="156" w:lineRule="exact"/>
        <w:rPr>
          <w:sz w:val="20"/>
          <w:szCs w:val="20"/>
          <w:color w:val="auto"/>
        </w:rPr>
      </w:pPr>
    </w:p>
    <w:p>
      <w:pPr>
        <w:ind w:right="320" w:firstLine="751"/>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Income tax expense. </w:t>
      </w:r>
      <w:r>
        <w:rPr>
          <w:rFonts w:ascii="Times New Roman" w:cs="Times New Roman" w:eastAsia="Times New Roman" w:hAnsi="Times New Roman"/>
          <w:sz w:val="16"/>
          <w:szCs w:val="16"/>
          <w:color w:val="auto"/>
        </w:rPr>
        <w:t>Tax expense was $1.0 million for the year ended December 31, 2023 due to income from foreign jurisdictions in relation to the license revenue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from the Pharmanovia License Agreement. We did not record any income tax expense in 2022.</w:t>
      </w:r>
    </w:p>
    <w:p>
      <w:pPr>
        <w:spacing w:after="0" w:line="146" w:lineRule="exact"/>
        <w:rPr>
          <w:sz w:val="20"/>
          <w:szCs w:val="20"/>
          <w:color w:val="auto"/>
        </w:rPr>
      </w:pPr>
    </w:p>
    <w:p>
      <w:pPr>
        <w:ind w:right="60" w:firstLine="751"/>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Net loss. </w:t>
      </w:r>
      <w:r>
        <w:rPr>
          <w:rFonts w:ascii="Times New Roman" w:cs="Times New Roman" w:eastAsia="Times New Roman" w:hAnsi="Times New Roman"/>
          <w:sz w:val="16"/>
          <w:szCs w:val="16"/>
          <w:color w:val="auto"/>
        </w:rPr>
        <w:t>Net loss for the year ended December 31, 2023 was $239.2 million as compared to $187.1 million for the same period in 2022. The increase was primarily due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higher selling, general and administrative expenses related to commercial activities related to Sunosi and Auvelity, including sales force and marketing spend, and higher personnel costs, including non-cash stock compensation expense.</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91" w:lineRule="exact"/>
        <w:rPr>
          <w:sz w:val="20"/>
          <w:szCs w:val="20"/>
          <w:color w:val="auto"/>
        </w:rPr>
      </w:pPr>
    </w:p>
    <w:p>
      <w:pPr>
        <w:ind w:right="340" w:firstLine="751"/>
        <w:spacing w:after="0" w:line="267" w:lineRule="auto"/>
        <w:rPr>
          <w:sz w:val="20"/>
          <w:szCs w:val="20"/>
          <w:color w:val="auto"/>
        </w:rPr>
      </w:pPr>
      <w:r>
        <w:rPr>
          <w:rFonts w:ascii="Times New Roman" w:cs="Times New Roman" w:eastAsia="Times New Roman" w:hAnsi="Times New Roman"/>
          <w:sz w:val="16"/>
          <w:szCs w:val="16"/>
          <w:color w:val="auto"/>
        </w:rPr>
        <w:t>Since our inception through December 31, 2023, we have financed our operations primarily through proceeds from equity offerings, debt borrowings, and proceeds from product sales. See discussion below.</w:t>
      </w:r>
    </w:p>
    <w:p>
      <w:pPr>
        <w:spacing w:after="0" w:line="151" w:lineRule="exact"/>
        <w:rPr>
          <w:sz w:val="20"/>
          <w:szCs w:val="20"/>
          <w:color w:val="auto"/>
        </w:rPr>
      </w:pPr>
    </w:p>
    <w:p>
      <w:pPr>
        <w:ind w:firstLine="751"/>
        <w:spacing w:after="0" w:line="249" w:lineRule="auto"/>
        <w:rPr>
          <w:sz w:val="20"/>
          <w:szCs w:val="20"/>
          <w:color w:val="auto"/>
        </w:rPr>
      </w:pPr>
      <w:r>
        <w:rPr>
          <w:rFonts w:ascii="Times New Roman" w:cs="Times New Roman" w:eastAsia="Times New Roman" w:hAnsi="Times New Roman"/>
          <w:sz w:val="16"/>
          <w:szCs w:val="16"/>
          <w:color w:val="auto"/>
        </w:rPr>
        <w:t>On December 2, 2022, we filed an automatic shelf registration statement with U.S. Securities and Exchange Commission (the “SEC”) for the issuance of common stock, preferred stock, warrants, rights, debt securities, and units up to an unlimited amount, (the “2022 Shelf Registration Statement”). It was declared effective by the SEC upon filing. In the future, we may conduct additional offerings of one or more of these securities utilizing the 2022 Shelf Registration Statement in such amounts, prices and terms to be announced when and if the securities are offered. At the time any of our securities covered by the 2022 Shelf Registration Statement are offered for sale, a prospectus supplement will be prepared and filed with the SEC containing specific information about the terms of any such offering.</w:t>
      </w:r>
    </w:p>
    <w:p>
      <w:pPr>
        <w:spacing w:after="0" w:line="166" w:lineRule="exact"/>
        <w:rPr>
          <w:sz w:val="20"/>
          <w:szCs w:val="20"/>
          <w:color w:val="auto"/>
        </w:rPr>
      </w:pPr>
    </w:p>
    <w:p>
      <w:pPr>
        <w:ind w:right="100" w:firstLine="751"/>
        <w:spacing w:after="0" w:line="249" w:lineRule="auto"/>
        <w:rPr>
          <w:sz w:val="20"/>
          <w:szCs w:val="20"/>
          <w:color w:val="auto"/>
        </w:rPr>
      </w:pPr>
      <w:r>
        <w:rPr>
          <w:rFonts w:ascii="Times New Roman" w:cs="Times New Roman" w:eastAsia="Times New Roman" w:hAnsi="Times New Roman"/>
          <w:sz w:val="16"/>
          <w:szCs w:val="16"/>
          <w:color w:val="auto"/>
        </w:rPr>
        <w:t>In December 2019, we entered into a sales agreement (the “December 2019 Sales Agreement”), with SVB Securities LLC (now known as Leerink Partners LLC) (“Leerink”), pursuant to which we may sell up to $80 million in shares of our common stock from time to time through Leerink, acting as our sales agent, in one or more at-the-market offerings utilizing an automatic shelf registration statement we filed with the SEC on December 5, 2019 for the issuance of common stock, preferred stock, warrants, rights, debt securities, and units up to an unlimited amount (the “2019 Shelf Registration Statement”). Leerink is entitled to receive a commission of 3.0% of the gross proceeds for any shares sold under the December 2019 Sales Agreement.</w:t>
      </w:r>
    </w:p>
    <w:p>
      <w:pPr>
        <w:spacing w:after="0" w:line="166" w:lineRule="exact"/>
        <w:rPr>
          <w:sz w:val="20"/>
          <w:szCs w:val="20"/>
          <w:color w:val="auto"/>
        </w:rPr>
      </w:pPr>
    </w:p>
    <w:p>
      <w:pPr>
        <w:ind w:right="60" w:firstLine="751"/>
        <w:spacing w:after="0" w:line="249" w:lineRule="auto"/>
        <w:rPr>
          <w:sz w:val="20"/>
          <w:szCs w:val="20"/>
          <w:color w:val="auto"/>
        </w:rPr>
      </w:pPr>
      <w:r>
        <w:rPr>
          <w:rFonts w:ascii="Times New Roman" w:cs="Times New Roman" w:eastAsia="Times New Roman" w:hAnsi="Times New Roman"/>
          <w:sz w:val="16"/>
          <w:szCs w:val="16"/>
          <w:color w:val="auto"/>
        </w:rPr>
        <w:t>In March 2022, we entered into a sales agreement (the “March 2022 Sales Agreement”) with Leerink, pursuant to which we may sell up to $200 million in shares of our common stock from time to time through Leerink, acting as our sales agent, in one or more at-the-market offerings utilizing the 2019 Shelf Registration Statement. Leerink is entitled to receive a commission of up to 3.0% of the gross proceeds for any shares sold under the March 2022 Sales Agreement. The March 2022 Sales Agreement supersedes the December 2019 Sales Agreement, by and between the Company and Leerink. The Company exhausted sales of its shares of the Company’s common stock under its prior at-the-market offering program.</w:t>
      </w:r>
    </w:p>
    <w:p>
      <w:pPr>
        <w:spacing w:after="0" w:line="166" w:lineRule="exact"/>
        <w:rPr>
          <w:sz w:val="20"/>
          <w:szCs w:val="20"/>
          <w:color w:val="auto"/>
        </w:rPr>
      </w:pPr>
    </w:p>
    <w:p>
      <w:pPr>
        <w:ind w:right="20" w:firstLine="751"/>
        <w:spacing w:after="0" w:line="267" w:lineRule="auto"/>
        <w:rPr>
          <w:sz w:val="20"/>
          <w:szCs w:val="20"/>
          <w:color w:val="auto"/>
        </w:rPr>
      </w:pPr>
      <w:r>
        <w:rPr>
          <w:rFonts w:ascii="Times New Roman" w:cs="Times New Roman" w:eastAsia="Times New Roman" w:hAnsi="Times New Roman"/>
          <w:sz w:val="16"/>
          <w:szCs w:val="16"/>
          <w:color w:val="auto"/>
        </w:rPr>
        <w:t>In August 2022, we filed a prospectus supplement to the 2019 Shelf Registration Statement for the issuance and sale, if any, of up to an additional $250 million in shares of our common stock. Leerink is entitled to receive a commission of up to 3.0% of the gross proceeds for any shares sold under the March 2022 Sales Agreement.</w:t>
      </w:r>
    </w:p>
    <w:p>
      <w:pPr>
        <w:spacing w:after="0" w:line="151" w:lineRule="exact"/>
        <w:rPr>
          <w:sz w:val="20"/>
          <w:szCs w:val="20"/>
          <w:color w:val="auto"/>
        </w:rPr>
      </w:pPr>
    </w:p>
    <w:p>
      <w:pPr>
        <w:ind w:right="20" w:firstLine="751"/>
        <w:spacing w:after="0" w:line="309" w:lineRule="auto"/>
        <w:rPr>
          <w:sz w:val="20"/>
          <w:szCs w:val="20"/>
          <w:color w:val="auto"/>
        </w:rPr>
      </w:pPr>
      <w:r>
        <w:rPr>
          <w:rFonts w:ascii="Times New Roman" w:cs="Times New Roman" w:eastAsia="Times New Roman" w:hAnsi="Times New Roman"/>
          <w:sz w:val="14"/>
          <w:szCs w:val="14"/>
          <w:color w:val="auto"/>
        </w:rPr>
        <w:t>In December 2022, in connection with the 2022 Shelf Registration Statement, we filed a new sales agreement prospectus to replace the prior prospectus supplement filed in August 2022 associated with the expired 2019 Shelf Registration Statement. The new sales agreement prospectus covered the issuance and sale by us of up to the same $250 million of our common stock that may be issued and sold from time to time through Leerink, as the Company’s sales agent, under the March 2022 Sales Agreement.</w:t>
      </w:r>
    </w:p>
    <w:p>
      <w:pPr>
        <w:spacing w:after="0" w:line="1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We did not utilize the March 2022 Sales Agreement with Leerink during the year ended December 31, 2023.</w:t>
      </w:r>
    </w:p>
    <w:p>
      <w:pPr>
        <w:spacing w:after="0" w:line="189" w:lineRule="exact"/>
        <w:rPr>
          <w:sz w:val="20"/>
          <w:szCs w:val="20"/>
          <w:color w:val="auto"/>
        </w:rPr>
      </w:pPr>
    </w:p>
    <w:p>
      <w:pPr>
        <w:ind w:right="240" w:firstLine="751"/>
        <w:spacing w:after="0" w:line="293" w:lineRule="auto"/>
        <w:rPr>
          <w:sz w:val="20"/>
          <w:szCs w:val="20"/>
          <w:color w:val="auto"/>
        </w:rPr>
      </w:pPr>
      <w:r>
        <w:rPr>
          <w:rFonts w:ascii="Times New Roman" w:cs="Times New Roman" w:eastAsia="Times New Roman" w:hAnsi="Times New Roman"/>
          <w:sz w:val="14"/>
          <w:szCs w:val="14"/>
          <w:color w:val="auto"/>
        </w:rPr>
        <w:t>In January 2023, we entered into a Third Amendment to the Loan Agreement with Hercules. The Third Amendment increases the size of the Term Loan Advance (as defined in the Loan Agreement) to $350.0 million, reduces the interest rate, and extends the maturity and interest-only period of the Loan Agreement. The Company drew down upon Tranche 1C of the loan facility under the Loan Agreement (the “Hercules Loan Facility”), and as of December 31, 2023, the Company had approximately $180 million outstanding and $135 million remaining under the Hercules Loan Facility. We allowed Tranche 1D (as defined in the Loan Agreement) to expire undrawn. See the “Contractual Obligations and Commitments – January 2023 Third Amendment to the Loan and Security Agreement – Hercules” section below for more information.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60" w:firstLine="751"/>
        <w:spacing w:after="0" w:line="249" w:lineRule="auto"/>
        <w:rPr>
          <w:sz w:val="20"/>
          <w:szCs w:val="20"/>
          <w:color w:val="auto"/>
        </w:rPr>
      </w:pPr>
      <w:r>
        <w:rPr>
          <w:rFonts w:ascii="Times New Roman" w:cs="Times New Roman" w:eastAsia="Times New Roman" w:hAnsi="Times New Roman"/>
          <w:sz w:val="16"/>
          <w:szCs w:val="16"/>
          <w:color w:val="auto"/>
        </w:rPr>
        <w:t>In May 2023, we entered into a Waiver and Fourth Amendment to the Loan Agreement to, among other things, increase the amount of Cash (as defined in the Loan Agreement) that could be held by Axsome Malta Ltd. (the “Malta Subsidiary”), outside of the United States from $3.0 million to $15.0 million for a 45-day period after the closing of the Fourth Amendment and to $10.0 million thereafter. The Fourth Amendment also waived any purported default with respect to the amount of cash held by the Malta Subsidiary prior to the date of the Fourth Amendment. In August 2023, Hercules granted us a waiver to the Fourth Amendment, permitting the Malta Subsidiary to hold up to $12.5 million in Cash outside of the United States until December 31, 2023.</w:t>
      </w:r>
    </w:p>
    <w:p>
      <w:pPr>
        <w:spacing w:after="0" w:line="166" w:lineRule="exact"/>
        <w:rPr>
          <w:sz w:val="20"/>
          <w:szCs w:val="20"/>
          <w:color w:val="auto"/>
        </w:rPr>
      </w:pPr>
    </w:p>
    <w:p>
      <w:pPr>
        <w:ind w:right="100" w:firstLine="751"/>
        <w:spacing w:after="0" w:line="251" w:lineRule="auto"/>
        <w:rPr>
          <w:sz w:val="20"/>
          <w:szCs w:val="20"/>
          <w:color w:val="auto"/>
        </w:rPr>
      </w:pPr>
      <w:r>
        <w:rPr>
          <w:rFonts w:ascii="Times New Roman" w:cs="Times New Roman" w:eastAsia="Times New Roman" w:hAnsi="Times New Roman"/>
          <w:sz w:val="16"/>
          <w:szCs w:val="16"/>
          <w:color w:val="auto"/>
        </w:rPr>
        <w:t>In June 2023, we completed an underwritten public offering of our common stock and sold 3.0 million shares of our common stock at a public offering price of $75.00 per share. Net proceeds were $211.3 million, net of underwriting discounts and commissions of $13.5 million and other offering costs of $0.2 million. Additionally, in connection with this public offering, in July 2023, the underwriters fully exercised their option to purchase 450,000 additional shares of our common stock, at a public offering price of $75.00 per share. The net proceeds were $31.7 million, net of underwriting discounts and commissions of $2.0 million and other minimal offering costs.</w:t>
      </w:r>
    </w:p>
    <w:p>
      <w:pPr>
        <w:spacing w:after="0" w:line="164" w:lineRule="exact"/>
        <w:rPr>
          <w:sz w:val="20"/>
          <w:szCs w:val="20"/>
          <w:color w:val="auto"/>
        </w:rPr>
      </w:pPr>
    </w:p>
    <w:p>
      <w:pPr>
        <w:ind w:right="140" w:firstLine="751"/>
        <w:spacing w:after="0" w:line="255" w:lineRule="auto"/>
        <w:rPr>
          <w:sz w:val="20"/>
          <w:szCs w:val="20"/>
          <w:color w:val="auto"/>
        </w:rPr>
      </w:pPr>
      <w:r>
        <w:rPr>
          <w:rFonts w:ascii="Times New Roman" w:cs="Times New Roman" w:eastAsia="Times New Roman" w:hAnsi="Times New Roman"/>
          <w:sz w:val="16"/>
          <w:szCs w:val="16"/>
          <w:color w:val="auto"/>
        </w:rPr>
        <w:t>In the future, we may conduct additional offerings of one or more of the securities covered by the 2022 Shelf Registration Statement in such amounts, prices and terms to be announced when and if the securities are offered. At the time any of our securities covered by the 2022 Shelf Registration Statement are offered for sale, a prospectus supplement will be prepared and filed with the SEC containing specific information about the terms of any such offering.</w:t>
      </w:r>
    </w:p>
    <w:p>
      <w:pPr>
        <w:spacing w:after="0" w:line="160" w:lineRule="exact"/>
        <w:rPr>
          <w:sz w:val="20"/>
          <w:szCs w:val="20"/>
          <w:color w:val="auto"/>
        </w:rPr>
      </w:pPr>
    </w:p>
    <w:p>
      <w:pPr>
        <w:ind w:right="120" w:firstLine="751"/>
        <w:spacing w:after="0" w:line="255" w:lineRule="auto"/>
        <w:rPr>
          <w:sz w:val="20"/>
          <w:szCs w:val="20"/>
          <w:color w:val="auto"/>
        </w:rPr>
      </w:pPr>
      <w:r>
        <w:rPr>
          <w:rFonts w:ascii="Times New Roman" w:cs="Times New Roman" w:eastAsia="Times New Roman" w:hAnsi="Times New Roman"/>
          <w:sz w:val="16"/>
          <w:szCs w:val="16"/>
          <w:color w:val="auto"/>
        </w:rPr>
        <w:t>We believe that our current available cash is sufficient to fund anticipated operations into cash flow positivity, based on the current operating plan. Because the process of commercializing products and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following table summarizes our primary sources and uses of cash for the periods indicated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7740" w:type="dxa"/>
            <w:vAlign w:val="bottom"/>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6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2"/>
                <w:szCs w:val="12"/>
                <w:color w:val="auto"/>
              </w:rPr>
            </w:pPr>
          </w:p>
        </w:tc>
      </w:tr>
      <w:tr>
        <w:trPr>
          <w:trHeight w:val="202"/>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6"/>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activities</w:t>
            </w:r>
          </w:p>
        </w:tc>
        <w:tc>
          <w:tcPr>
            <w:tcW w:w="940" w:type="dxa"/>
            <w:vAlign w:val="bottom"/>
          </w:tcPr>
          <w:p>
            <w:pPr>
              <w:jc w:val="right"/>
              <w:ind w:right="787"/>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8"/>
              </w:rPr>
              <w:t>(145,080 )</w:t>
            </w:r>
          </w:p>
        </w:tc>
        <w:tc>
          <w:tcPr>
            <w:tcW w:w="58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(116,511 )</w:t>
            </w:r>
          </w:p>
        </w:tc>
      </w:tr>
      <w:tr>
        <w:trPr>
          <w:trHeight w:val="214"/>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Investing activities</w:t>
            </w:r>
          </w:p>
        </w:tc>
        <w:tc>
          <w:tcPr>
            <w:tcW w:w="9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(582 )</w:t>
            </w:r>
          </w:p>
        </w:tc>
        <w:tc>
          <w:tcPr>
            <w:tcW w:w="5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(53,702 )</w:t>
            </w:r>
          </w:p>
        </w:tc>
      </w:tr>
      <w:tr>
        <w:trPr>
          <w:trHeight w:val="206"/>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Financing activities</w:t>
            </w: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331,013</w:t>
            </w:r>
          </w:p>
        </w:tc>
        <w:tc>
          <w:tcPr>
            <w:tcW w:w="3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284,582</w:t>
            </w:r>
          </w:p>
        </w:tc>
        <w:tc>
          <w:tcPr>
            <w:tcW w:w="120" w:type="dxa"/>
            <w:vAlign w:val="bottom"/>
          </w:tcPr>
          <w:p>
            <w:pPr>
              <w:spacing w:after="0"/>
              <w:rPr>
                <w:sz w:val="17"/>
                <w:szCs w:val="17"/>
                <w:color w:val="auto"/>
              </w:rPr>
            </w:pPr>
          </w:p>
        </w:tc>
      </w:tr>
      <w:tr>
        <w:trPr>
          <w:trHeight w:val="242"/>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(decrease) in cash</w:t>
            </w: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185,351</w:t>
            </w:r>
          </w:p>
        </w:tc>
        <w:tc>
          <w:tcPr>
            <w:tcW w:w="3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114,369</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5909310</wp:posOffset>
            </wp:positionH>
            <wp:positionV relativeFrom="paragraph">
              <wp:posOffset>-21590</wp:posOffset>
            </wp:positionV>
            <wp:extent cx="74295"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-6985</wp:posOffset>
            </wp:positionV>
            <wp:extent cx="74295"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-21590</wp:posOffset>
            </wp:positionV>
            <wp:extent cx="66675"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-6985</wp:posOffset>
            </wp:positionV>
            <wp:extent cx="66675"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6675" cy="7620"/>
                    </a:xfrm>
                    <a:prstGeom prst="rect">
                      <a:avLst/>
                    </a:prstGeom>
                    <a:noFill/>
                  </pic:spPr>
                </pic:pic>
              </a:graphicData>
            </a:graphic>
          </wp:anchor>
        </w:drawing>
      </w:r>
    </w:p>
    <w:p>
      <w:pPr>
        <w:spacing w:after="0" w:line="148" w:lineRule="exact"/>
        <w:rPr>
          <w:sz w:val="20"/>
          <w:szCs w:val="20"/>
          <w:color w:val="auto"/>
        </w:rPr>
      </w:pPr>
    </w:p>
    <w:p>
      <w:pPr>
        <w:ind w:right="180" w:firstLine="751"/>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Operating Activities. </w:t>
      </w:r>
      <w:r>
        <w:rPr>
          <w:rFonts w:ascii="Times New Roman" w:cs="Times New Roman" w:eastAsia="Times New Roman" w:hAnsi="Times New Roman"/>
          <w:sz w:val="16"/>
          <w:szCs w:val="16"/>
          <w:color w:val="auto"/>
        </w:rPr>
        <w:t>Cash used in operating activities for the year ended December 31, 2023 was $145.1 million as compared to $116.5 million for the year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December 31, 2022. The overall cash used in operating activities for the year ended December 31, 2023 was favorably impacted by the upfront payment of $65.7 million received from Pharmanovia and net product revenues from Auvelity and Sunosi, offset by cash used in commercial and clinical activities.</w:t>
      </w:r>
    </w:p>
    <w:p>
      <w:pPr>
        <w:spacing w:after="0" w:line="156" w:lineRule="exact"/>
        <w:rPr>
          <w:sz w:val="20"/>
          <w:szCs w:val="20"/>
          <w:color w:val="auto"/>
        </w:rPr>
      </w:pPr>
    </w:p>
    <w:p>
      <w:pPr>
        <w:ind w:right="680" w:firstLine="751"/>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Investing Activities. </w:t>
      </w:r>
      <w:r>
        <w:rPr>
          <w:rFonts w:ascii="Times New Roman" w:cs="Times New Roman" w:eastAsia="Times New Roman" w:hAnsi="Times New Roman"/>
          <w:sz w:val="16"/>
          <w:szCs w:val="16"/>
          <w:color w:val="auto"/>
        </w:rPr>
        <w:t>Cash used in investing activities for the year ended December 31, 2023 was $0.6 million, as compared to $53.7 million for the year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December 31, 2022. In the second quarter of 2022, we made an upfront payment of $53.0 million to acquire Sunosi.</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firstLine="751"/>
        <w:spacing w:after="0" w:line="247" w:lineRule="auto"/>
        <w:rPr>
          <w:sz w:val="20"/>
          <w:szCs w:val="20"/>
          <w:color w:val="auto"/>
        </w:rPr>
      </w:pPr>
      <w:r>
        <w:rPr>
          <w:rFonts w:ascii="Times New Roman" w:cs="Times New Roman" w:eastAsia="Times New Roman" w:hAnsi="Times New Roman"/>
          <w:sz w:val="16"/>
          <w:szCs w:val="16"/>
          <w:i w:val="1"/>
          <w:iCs w:val="1"/>
          <w:color w:val="auto"/>
        </w:rPr>
        <w:t xml:space="preserve">Financing Activities. </w:t>
      </w:r>
      <w:r>
        <w:rPr>
          <w:rFonts w:ascii="Times New Roman" w:cs="Times New Roman" w:eastAsia="Times New Roman" w:hAnsi="Times New Roman"/>
          <w:sz w:val="16"/>
          <w:szCs w:val="16"/>
          <w:color w:val="auto"/>
        </w:rPr>
        <w:t>Cash provided by financing activities was $331.0 million for the year ended December 31, 2023, which included net proceeds related to the June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2023 public offering of $211.3 million and additional net proceeds of $31.7 million as the underwriters fully exercised their option to purchase additional shares, net proceeds of $83.6 million from draw-downs related to the Loan Agreement with Hercules, and proceeds of $12.4 million from the issuance of common stock upon the exercise of employee stock options, offset by payments of contingent consideration and tax withholdings on stock awards for a total of $8.0 million. Cash provided by financing activities was $284.6 million for the year ended December 31, 2022, which included net proceeds of $231.8 million from the sale of common stock through the March 2022 Sales Agreement with Leerink, net proceeds of $45.0 million from the draw down related to the Second Amendment to the Loan Agreement with Hercules, the purchase of 152,487 shares of our common stock for a total consideration of $5.0 million by Hercules, and proceeds from the issuance of common stock upon exercise of employee stock options of $6.3 million, offset by payment of contingent consideration and tax withholdings on stock awards for a total of $3.0 million.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Funding requirements</w:t>
      </w:r>
    </w:p>
    <w:p>
      <w:pPr>
        <w:spacing w:after="0" w:line="191" w:lineRule="exact"/>
        <w:rPr>
          <w:sz w:val="20"/>
          <w:szCs w:val="20"/>
          <w:color w:val="auto"/>
        </w:rPr>
      </w:pPr>
    </w:p>
    <w:p>
      <w:pPr>
        <w:ind w:right="20" w:firstLine="751"/>
        <w:spacing w:after="0" w:line="309" w:lineRule="auto"/>
        <w:rPr>
          <w:sz w:val="20"/>
          <w:szCs w:val="20"/>
          <w:color w:val="auto"/>
        </w:rPr>
      </w:pPr>
      <w:r>
        <w:rPr>
          <w:rFonts w:ascii="Times New Roman" w:cs="Times New Roman" w:eastAsia="Times New Roman" w:hAnsi="Times New Roman"/>
          <w:sz w:val="14"/>
          <w:szCs w:val="14"/>
          <w:color w:val="auto"/>
        </w:rPr>
        <w:t>We have not achieved profitability since our inception, and we expect to continue to have losses as we continue the development of, and seek regulatory approvals for, our product candidates, and begin to commercialize any additional approved products while further investing in Auvelity and Sunosi. We are subject to all of the risks pertinent to the development of new product candidates, and we may encounter unforeseen expenses, difficulties, complications, delays, and other unknown factors that may harm our business.</w:t>
      </w:r>
    </w:p>
    <w:p>
      <w:pPr>
        <w:spacing w:after="0" w:line="125" w:lineRule="exact"/>
        <w:rPr>
          <w:sz w:val="20"/>
          <w:szCs w:val="20"/>
          <w:color w:val="auto"/>
        </w:rPr>
      </w:pPr>
    </w:p>
    <w:p>
      <w:pPr>
        <w:ind w:right="320" w:firstLine="751"/>
        <w:spacing w:after="0" w:line="249" w:lineRule="auto"/>
        <w:rPr>
          <w:sz w:val="20"/>
          <w:szCs w:val="20"/>
          <w:color w:val="auto"/>
        </w:rPr>
      </w:pPr>
      <w:r>
        <w:rPr>
          <w:rFonts w:ascii="Times New Roman" w:cs="Times New Roman" w:eastAsia="Times New Roman" w:hAnsi="Times New Roman"/>
          <w:sz w:val="16"/>
          <w:szCs w:val="16"/>
          <w:color w:val="auto"/>
        </w:rPr>
        <w:t>We may need to raise additional financing in the future to fund our operations. In the event that we need additional financing, we may incur additional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66" w:lineRule="exact"/>
        <w:rPr>
          <w:sz w:val="20"/>
          <w:szCs w:val="20"/>
          <w:color w:val="auto"/>
        </w:rPr>
      </w:pPr>
    </w:p>
    <w:p>
      <w:pPr>
        <w:ind w:left="740" w:hanging="371"/>
        <w:spacing w:after="0"/>
        <w:tabs>
          <w:tab w:leader="none" w:pos="7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rate of progress, results, and cost of our clinical studies and other related activities;</w:t>
      </w:r>
    </w:p>
    <w:p>
      <w:pPr>
        <w:spacing w:after="0" w:line="189" w:lineRule="exact"/>
        <w:rPr>
          <w:rFonts w:ascii="Times New Roman" w:cs="Times New Roman" w:eastAsia="Times New Roman" w:hAnsi="Times New Roman"/>
          <w:sz w:val="16"/>
          <w:szCs w:val="16"/>
          <w:color w:val="auto"/>
        </w:rPr>
      </w:pPr>
    </w:p>
    <w:p>
      <w:pPr>
        <w:ind w:left="740" w:hanging="371"/>
        <w:spacing w:after="0"/>
        <w:tabs>
          <w:tab w:leader="none" w:pos="7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enter into collaborative agreements for the development and commercialization of our product candidates;</w:t>
      </w:r>
    </w:p>
    <w:p>
      <w:pPr>
        <w:spacing w:after="0" w:line="189" w:lineRule="exact"/>
        <w:rPr>
          <w:rFonts w:ascii="Times New Roman" w:cs="Times New Roman" w:eastAsia="Times New Roman" w:hAnsi="Times New Roman"/>
          <w:sz w:val="16"/>
          <w:szCs w:val="16"/>
          <w:color w:val="auto"/>
        </w:rPr>
      </w:pPr>
    </w:p>
    <w:p>
      <w:pPr>
        <w:ind w:left="740" w:hanging="371"/>
        <w:spacing w:after="0"/>
        <w:tabs>
          <w:tab w:leader="none" w:pos="7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development requirements of any other product candidates that we pursue;</w:t>
      </w:r>
    </w:p>
    <w:p>
      <w:pPr>
        <w:spacing w:after="0" w:line="189" w:lineRule="exact"/>
        <w:rPr>
          <w:rFonts w:ascii="Times New Roman" w:cs="Times New Roman" w:eastAsia="Times New Roman" w:hAnsi="Times New Roman"/>
          <w:sz w:val="16"/>
          <w:szCs w:val="16"/>
          <w:color w:val="auto"/>
        </w:rPr>
      </w:pPr>
    </w:p>
    <w:p>
      <w:pPr>
        <w:ind w:left="740" w:hanging="371"/>
        <w:spacing w:after="0"/>
        <w:tabs>
          <w:tab w:leader="none" w:pos="7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timing, and outcome of regulatory reviews of our product candidates;</w:t>
      </w:r>
    </w:p>
    <w:p>
      <w:pPr>
        <w:spacing w:after="0" w:line="189" w:lineRule="exact"/>
        <w:rPr>
          <w:rFonts w:ascii="Times New Roman" w:cs="Times New Roman" w:eastAsia="Times New Roman" w:hAnsi="Times New Roman"/>
          <w:sz w:val="16"/>
          <w:szCs w:val="16"/>
          <w:color w:val="auto"/>
        </w:rPr>
      </w:pPr>
    </w:p>
    <w:p>
      <w:pPr>
        <w:ind w:left="740" w:right="460" w:hanging="371"/>
        <w:spacing w:after="0" w:line="267" w:lineRule="auto"/>
        <w:tabs>
          <w:tab w:leader="none" w:pos="7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our commercialization activities, including product manufacturing, marketing, sales, and distribution, for any of our products and product candidates for which we receive marketing approval;</w:t>
      </w:r>
    </w:p>
    <w:p>
      <w:pPr>
        <w:spacing w:after="0" w:line="150" w:lineRule="exact"/>
        <w:rPr>
          <w:rFonts w:ascii="Times New Roman" w:cs="Times New Roman" w:eastAsia="Times New Roman" w:hAnsi="Times New Roman"/>
          <w:sz w:val="16"/>
          <w:szCs w:val="16"/>
          <w:color w:val="auto"/>
        </w:rPr>
      </w:pPr>
    </w:p>
    <w:p>
      <w:pPr>
        <w:ind w:left="740" w:hanging="371"/>
        <w:spacing w:after="0"/>
        <w:tabs>
          <w:tab w:leader="none" w:pos="7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product liability or other lawsuits related to our product candidates;</w:t>
      </w:r>
    </w:p>
    <w:p>
      <w:pPr>
        <w:spacing w:after="0" w:line="189" w:lineRule="exact"/>
        <w:rPr>
          <w:rFonts w:ascii="Times New Roman" w:cs="Times New Roman" w:eastAsia="Times New Roman" w:hAnsi="Times New Roman"/>
          <w:sz w:val="16"/>
          <w:szCs w:val="16"/>
          <w:color w:val="auto"/>
        </w:rPr>
      </w:pPr>
    </w:p>
    <w:p>
      <w:pPr>
        <w:ind w:left="740" w:hanging="371"/>
        <w:spacing w:after="0"/>
        <w:tabs>
          <w:tab w:leader="none" w:pos="7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expenses needed to attract and retain skilled personnel;</w:t>
      </w:r>
    </w:p>
    <w:p>
      <w:pPr>
        <w:spacing w:after="0" w:line="189" w:lineRule="exact"/>
        <w:rPr>
          <w:rFonts w:ascii="Times New Roman" w:cs="Times New Roman" w:eastAsia="Times New Roman" w:hAnsi="Times New Roman"/>
          <w:sz w:val="16"/>
          <w:szCs w:val="16"/>
          <w:color w:val="auto"/>
        </w:rPr>
      </w:pPr>
    </w:p>
    <w:p>
      <w:pPr>
        <w:ind w:left="740" w:hanging="371"/>
        <w:spacing w:after="0"/>
        <w:tabs>
          <w:tab w:leader="none" w:pos="7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general and administrative expenses related to being a public company;</w:t>
      </w:r>
    </w:p>
    <w:p>
      <w:pPr>
        <w:spacing w:after="0" w:line="189" w:lineRule="exact"/>
        <w:rPr>
          <w:rFonts w:ascii="Times New Roman" w:cs="Times New Roman" w:eastAsia="Times New Roman" w:hAnsi="Times New Roman"/>
          <w:sz w:val="16"/>
          <w:szCs w:val="16"/>
          <w:color w:val="auto"/>
        </w:rPr>
      </w:pPr>
    </w:p>
    <w:p>
      <w:pPr>
        <w:ind w:left="740" w:hanging="371"/>
        <w:spacing w:after="0"/>
        <w:tabs>
          <w:tab w:leader="none" w:pos="7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revenue received from commercial sales of our products; and</w:t>
      </w:r>
    </w:p>
    <w:p>
      <w:pPr>
        <w:spacing w:after="0" w:line="189" w:lineRule="exact"/>
        <w:rPr>
          <w:rFonts w:ascii="Times New Roman" w:cs="Times New Roman" w:eastAsia="Times New Roman" w:hAnsi="Times New Roman"/>
          <w:sz w:val="16"/>
          <w:szCs w:val="16"/>
          <w:color w:val="auto"/>
        </w:rPr>
      </w:pPr>
    </w:p>
    <w:p>
      <w:pPr>
        <w:ind w:left="740" w:right="280" w:hanging="371"/>
        <w:spacing w:after="0" w:line="207" w:lineRule="exact"/>
        <w:tabs>
          <w:tab w:leader="none" w:pos="7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claims.</w:t>
      </w:r>
    </w:p>
    <w:p>
      <w:pPr>
        <w:spacing w:after="0" w:line="147" w:lineRule="exact"/>
        <w:rPr>
          <w:rFonts w:ascii="Times New Roman" w:cs="Times New Roman" w:eastAsia="Times New Roman" w:hAnsi="Times New Roman"/>
          <w:sz w:val="16"/>
          <w:szCs w:val="16"/>
          <w:color w:val="auto"/>
        </w:rPr>
      </w:pPr>
    </w:p>
    <w:p>
      <w:pPr>
        <w:ind w:left="7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see “Risk Factors” for additional risks associated with our substantial capital requirements.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 and Commitments</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following is a summary of our contractual obligations as of December 31, 2023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Payments due by year</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40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2"/>
                <w:szCs w:val="12"/>
                <w:b w:val="1"/>
                <w:bCs w:val="1"/>
                <w:color w:val="auto"/>
              </w:rPr>
              <w:t>2025 - 2026</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2"/>
                <w:szCs w:val="12"/>
                <w:b w:val="1"/>
                <w:bCs w:val="1"/>
                <w:color w:val="auto"/>
              </w:rPr>
              <w:t>2027 - 2028</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Thereafter</w:t>
            </w:r>
          </w:p>
        </w:tc>
        <w:tc>
          <w:tcPr>
            <w:tcW w:w="120" w:type="dxa"/>
            <w:vAlign w:val="bottom"/>
          </w:tcPr>
          <w:p>
            <w:pPr>
              <w:spacing w:after="0"/>
              <w:rPr>
                <w:sz w:val="12"/>
                <w:szCs w:val="12"/>
                <w:color w:val="auto"/>
              </w:rPr>
            </w:pPr>
          </w:p>
        </w:tc>
      </w:tr>
      <w:tr>
        <w:trPr>
          <w:trHeight w:val="202"/>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 loan</w:t>
            </w: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269,525</w:t>
            </w:r>
          </w:p>
        </w:tc>
        <w:tc>
          <w:tcPr>
            <w:tcW w:w="56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19,581</w:t>
            </w:r>
          </w:p>
        </w:tc>
        <w:tc>
          <w:tcPr>
            <w:tcW w:w="460" w:type="dxa"/>
            <w:vAlign w:val="bottom"/>
            <w:gridSpan w:val="3"/>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39,055</w:t>
            </w:r>
          </w:p>
        </w:tc>
        <w:tc>
          <w:tcPr>
            <w:tcW w:w="4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210,889</w:t>
            </w:r>
          </w:p>
        </w:tc>
        <w:tc>
          <w:tcPr>
            <w:tcW w:w="46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Lease commitments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11,418</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4,453</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5,725</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r>
      <w:tr>
        <w:trPr>
          <w:trHeight w:val="242"/>
        </w:trPr>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contractual obligations</w:t>
            </w:r>
          </w:p>
        </w:tc>
        <w:tc>
          <w:tcPr>
            <w:tcW w:w="280" w:type="dxa"/>
            <w:vAlign w:val="bottom"/>
            <w:tcBorders>
              <w:bottom w:val="single" w:sz="8" w:color="auto"/>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280,943</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20,821</w:t>
            </w:r>
          </w:p>
        </w:tc>
        <w:tc>
          <w:tcPr>
            <w:tcW w:w="260" w:type="dxa"/>
            <w:vAlign w:val="bottom"/>
            <w:tcBorders>
              <w:bottom w:val="single" w:sz="8" w:color="CFF0FC"/>
            </w:tcBorders>
            <w:gridSpan w:val="2"/>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43,508</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216,614</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3330575</wp:posOffset>
            </wp:positionH>
            <wp:positionV relativeFrom="paragraph">
              <wp:posOffset>-21590</wp:posOffset>
            </wp:positionV>
            <wp:extent cx="74295"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-6985</wp:posOffset>
            </wp:positionV>
            <wp:extent cx="74295"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-21590</wp:posOffset>
            </wp:positionV>
            <wp:extent cx="74295"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-6985</wp:posOffset>
            </wp:positionV>
            <wp:extent cx="74295"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-21590</wp:posOffset>
            </wp:positionV>
            <wp:extent cx="74295"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-6985</wp:posOffset>
            </wp:positionV>
            <wp:extent cx="74295"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-21590</wp:posOffset>
            </wp:positionV>
            <wp:extent cx="66675"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-6985</wp:posOffset>
            </wp:positionV>
            <wp:extent cx="66675"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-21590</wp:posOffset>
            </wp:positionV>
            <wp:extent cx="66675"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-6985</wp:posOffset>
            </wp:positionV>
            <wp:extent cx="66675"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6675" cy="762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License agreement with Pfizer</w:t>
      </w:r>
    </w:p>
    <w:p>
      <w:pPr>
        <w:spacing w:after="0" w:line="191" w:lineRule="exact"/>
        <w:rPr>
          <w:sz w:val="20"/>
          <w:szCs w:val="20"/>
          <w:color w:val="auto"/>
        </w:rPr>
      </w:pPr>
    </w:p>
    <w:p>
      <w:pPr>
        <w:ind w:right="80" w:firstLine="751"/>
        <w:spacing w:after="0" w:line="299" w:lineRule="auto"/>
        <w:rPr>
          <w:sz w:val="20"/>
          <w:szCs w:val="20"/>
          <w:color w:val="auto"/>
        </w:rPr>
      </w:pPr>
      <w:r>
        <w:rPr>
          <w:rFonts w:ascii="Times New Roman" w:cs="Times New Roman" w:eastAsia="Times New Roman" w:hAnsi="Times New Roman"/>
          <w:sz w:val="14"/>
          <w:szCs w:val="14"/>
          <w:color w:val="auto"/>
        </w:rPr>
        <w:t>In January 2020, we entered into a license agreement with Pfizer Inc. (“Pfizer”). Under the terms of our exclusive license agreement with Pfizer, Pfizer received 82,019 shares of our common stock having a stated value of $8.0 million, based on the average closing price of our common stock for the ten prior trading days of $97.54, in consideration for the license and rights. Pfizer also received an upfront cash payment of $3.0 million. We determined that the fair value of each share of common stock granted to Pfizer on the closing date of January 9, 2020 was $87.24, based on the closing price of our common stock on that date. As a result, the fair value of the stock issued was $7.2 million.</w:t>
      </w:r>
    </w:p>
    <w:p>
      <w:pPr>
        <w:spacing w:after="0" w:line="131" w:lineRule="exact"/>
        <w:rPr>
          <w:sz w:val="20"/>
          <w:szCs w:val="20"/>
          <w:color w:val="auto"/>
        </w:rPr>
      </w:pPr>
    </w:p>
    <w:p>
      <w:pPr>
        <w:jc w:val="both"/>
        <w:ind w:right="140" w:firstLine="751"/>
        <w:spacing w:after="0" w:line="255" w:lineRule="auto"/>
        <w:rPr>
          <w:sz w:val="20"/>
          <w:szCs w:val="20"/>
          <w:color w:val="auto"/>
        </w:rPr>
      </w:pPr>
      <w:r>
        <w:rPr>
          <w:rFonts w:ascii="Times New Roman" w:cs="Times New Roman" w:eastAsia="Times New Roman" w:hAnsi="Times New Roman"/>
          <w:sz w:val="16"/>
          <w:szCs w:val="16"/>
          <w:color w:val="auto"/>
        </w:rPr>
        <w:t>Pfizer can also receive up to $323 million upon the achievement of certain regulatory and sales milestones as well as tiered mid-single to low double-digit royalties on future sales of any such approved clinical products containing compounds reboxetine esreboxetine. Pfizer will also have a right of first negotiation on any potential future strategic transactions involving AXS-12 and AXS-14.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License agreements with Antecip Bioventures</w:t>
      </w:r>
    </w:p>
    <w:p>
      <w:pPr>
        <w:spacing w:after="0" w:line="191" w:lineRule="exact"/>
        <w:rPr>
          <w:sz w:val="20"/>
          <w:szCs w:val="20"/>
          <w:color w:val="auto"/>
        </w:rPr>
      </w:pPr>
    </w:p>
    <w:p>
      <w:pPr>
        <w:ind w:right="60" w:firstLine="751"/>
        <w:spacing w:after="0" w:line="309" w:lineRule="auto"/>
        <w:rPr>
          <w:sz w:val="20"/>
          <w:szCs w:val="20"/>
          <w:color w:val="auto"/>
        </w:rPr>
      </w:pPr>
      <w:r>
        <w:rPr>
          <w:rFonts w:ascii="Times New Roman" w:cs="Times New Roman" w:eastAsia="Times New Roman" w:hAnsi="Times New Roman"/>
          <w:sz w:val="14"/>
          <w:szCs w:val="14"/>
          <w:color w:val="auto"/>
        </w:rPr>
        <w:t>Under three exclusive license agreements with Antecip Bioventures II LLC (“Antecip”), an entity owned by our Chief Executive Officer and Chairman of the Board, Herriot Tabuteau, M.D., we are obligated to make specified royalty payments ranging from 1.5% to 4.5%, subject to up to a 50% reduction depending on required payments to third parties, on net sales of our products containing the licensed technology of Auvelity (AXS-05) and certain other products not currently under active development.</w:t>
      </w:r>
    </w:p>
    <w:p>
      <w:pPr>
        <w:spacing w:after="0" w:line="125" w:lineRule="exact"/>
        <w:rPr>
          <w:sz w:val="20"/>
          <w:szCs w:val="20"/>
          <w:color w:val="auto"/>
        </w:rPr>
      </w:pPr>
    </w:p>
    <w:p>
      <w:pPr>
        <w:ind w:right="60" w:firstLine="751"/>
        <w:spacing w:after="0" w:line="267" w:lineRule="auto"/>
        <w:rPr>
          <w:sz w:val="20"/>
          <w:szCs w:val="20"/>
          <w:color w:val="auto"/>
        </w:rPr>
      </w:pPr>
      <w:r>
        <w:rPr>
          <w:rFonts w:ascii="Times New Roman" w:cs="Times New Roman" w:eastAsia="Times New Roman" w:hAnsi="Times New Roman"/>
          <w:sz w:val="16"/>
          <w:szCs w:val="16"/>
          <w:color w:val="auto"/>
        </w:rPr>
        <w:t>In connection with the Loan Agreement (see below), Antecip consented to the collateral assignment of one of our license agreements with Antecip, among other things, under a direct agreement with us, Antecip and Hercules.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May 2023 Fourth Amendment to the Loan and Security Agreement - Hercules</w:t>
      </w:r>
    </w:p>
    <w:p>
      <w:pPr>
        <w:spacing w:after="0" w:line="191" w:lineRule="exact"/>
        <w:rPr>
          <w:sz w:val="20"/>
          <w:szCs w:val="20"/>
          <w:color w:val="auto"/>
        </w:rPr>
      </w:pPr>
    </w:p>
    <w:p>
      <w:pPr>
        <w:ind w:right="140" w:firstLine="751"/>
        <w:spacing w:after="0" w:line="249" w:lineRule="auto"/>
        <w:rPr>
          <w:sz w:val="20"/>
          <w:szCs w:val="20"/>
          <w:color w:val="auto"/>
        </w:rPr>
      </w:pPr>
      <w:r>
        <w:rPr>
          <w:rFonts w:ascii="Times New Roman" w:cs="Times New Roman" w:eastAsia="Times New Roman" w:hAnsi="Times New Roman"/>
          <w:sz w:val="16"/>
          <w:szCs w:val="16"/>
          <w:color w:val="auto"/>
        </w:rPr>
        <w:t>On May 8, 2023, we entered into the Waiver and Fourth Amendment to the Loan Agreement with Hercules. The Fourth Amendment increased the amount of Cash (as defined in the Loan Agreement) that could be held by the Malta Subsidiary outside of the United States from $3.0 million to $15.0 million for a 45-day period after the closing of the Fourth Amendment and to $10.0 million thereafter. The Fourth Amendment also waived any purported default with respect to the amount of cash held by the Malta Subsidiary prior to the date of the Fourth Amendment. In August 2023, Hercules granted Axsome a waiver to the Fourth Amendment, permitting the Malta Subsidiary to hold up to $12.5 million in Cash outside of the United States until December 31, 2023.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January 2023 Third Amendment to the Loan and Security Agreement – Hercules</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On January 9, 2023, we entered into the Third Amendment to the Loan Agreement with Hercules.</w:t>
      </w:r>
    </w:p>
    <w:p>
      <w:pPr>
        <w:spacing w:after="0" w:line="18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Third Amendment amended the terms of the Loan Agreement to, among other things: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1020" w:hanging="517"/>
        <w:spacing w:after="0" w:line="267" w:lineRule="auto"/>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Extend the maturity date to January 1, 2028, unless the Company meets certain revenue targets as described in the Loan Agreement, in which case the Company can extend the maturity date to January 1, 2029;</w:t>
      </w:r>
    </w:p>
    <w:p>
      <w:pPr>
        <w:spacing w:after="0" w:line="57" w:lineRule="exact"/>
        <w:rPr>
          <w:rFonts w:ascii="Times New Roman" w:cs="Times New Roman" w:eastAsia="Times New Roman" w:hAnsi="Times New Roman"/>
          <w:sz w:val="16"/>
          <w:szCs w:val="16"/>
          <w:color w:val="auto"/>
        </w:rPr>
      </w:pPr>
    </w:p>
    <w:p>
      <w:pPr>
        <w:ind w:left="1020" w:hanging="517"/>
        <w:spacing w:after="0"/>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the aggregate principal amount under the Loan Agreement from $300.0 million to $350.0 million;</w:t>
      </w:r>
    </w:p>
    <w:p>
      <w:pPr>
        <w:spacing w:after="0" w:line="96" w:lineRule="exact"/>
        <w:rPr>
          <w:rFonts w:ascii="Times New Roman" w:cs="Times New Roman" w:eastAsia="Times New Roman" w:hAnsi="Times New Roman"/>
          <w:sz w:val="16"/>
          <w:szCs w:val="16"/>
          <w:color w:val="auto"/>
        </w:rPr>
      </w:pPr>
    </w:p>
    <w:p>
      <w:pPr>
        <w:ind w:left="1020" w:right="80" w:hanging="517"/>
        <w:spacing w:after="0" w:line="248" w:lineRule="auto"/>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in the Loan Agreement, change the Term Loan Advance (as defined in the Loan Agreement) amounts and dates available under the Tranche 1 Advance (as defined in the Loan Agreement) through Tranche 5 Advance (as defined in the Loan Agreement), including increasing the Tranche 1 Advance from one tranche of $95.0 million to five sub-tranches of $95.0 million, $55.0 million, $30.0 million, $35.0 million and $35.0 million, respectively, changing the Tranche 2 Advance (as defined in the Loan Agreement) from three sub-tranches of $35.0 million, $35.0 million and $30.0 million to one tranche of $25.0 million, changing the Tranche 3 Advance (as defined in the Loan Agreement) from two sub-tranches of $15.0 million and $5.0 million to one tranche of $75.0 million, and removing the Tranche 4 Advance (as defined in the Loan Agreement) and Tranche 5 Advance entirely;</w:t>
      </w:r>
    </w:p>
    <w:p>
      <w:pPr>
        <w:spacing w:after="0" w:line="72" w:lineRule="exact"/>
        <w:rPr>
          <w:rFonts w:ascii="Times New Roman" w:cs="Times New Roman" w:eastAsia="Times New Roman" w:hAnsi="Times New Roman"/>
          <w:sz w:val="16"/>
          <w:szCs w:val="16"/>
          <w:color w:val="auto"/>
        </w:rPr>
      </w:pPr>
    </w:p>
    <w:p>
      <w:pPr>
        <w:ind w:left="1020" w:right="260" w:hanging="517"/>
        <w:spacing w:after="0" w:line="267" w:lineRule="auto"/>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Revise the interest rate applicable to extensions of credit under the Loan Agreement to equal (a) if the prime rate is greater than or equal to 7.00%, the greater of either (i) the prime rate plus 2.20%, and (ii) 9.95%, but in no event greater than 10.70%, and (b) if the prime rate is less than 7.00%, 9.70%;</w:t>
      </w:r>
    </w:p>
    <w:p>
      <w:pPr>
        <w:spacing w:after="0" w:line="57" w:lineRule="exact"/>
        <w:rPr>
          <w:rFonts w:ascii="Times New Roman" w:cs="Times New Roman" w:eastAsia="Times New Roman" w:hAnsi="Times New Roman"/>
          <w:sz w:val="16"/>
          <w:szCs w:val="16"/>
          <w:color w:val="auto"/>
        </w:rPr>
      </w:pPr>
    </w:p>
    <w:p>
      <w:pPr>
        <w:ind w:left="1020" w:hanging="517"/>
        <w:spacing w:after="0"/>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the minimum cash requirement of the Company to $30.0 million; and</w:t>
      </w:r>
    </w:p>
    <w:p>
      <w:pPr>
        <w:spacing w:after="0" w:line="96" w:lineRule="exact"/>
        <w:rPr>
          <w:rFonts w:ascii="Times New Roman" w:cs="Times New Roman" w:eastAsia="Times New Roman" w:hAnsi="Times New Roman"/>
          <w:sz w:val="16"/>
          <w:szCs w:val="16"/>
          <w:color w:val="auto"/>
        </w:rPr>
      </w:pPr>
    </w:p>
    <w:p>
      <w:pPr>
        <w:ind w:left="1020" w:right="80" w:hanging="517"/>
        <w:spacing w:after="0" w:line="255" w:lineRule="auto"/>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the Company to pay a facility fee equal to 0.75% of the amount of principal actually funded pursuant to the Tranche 1B Advance (as defined in the Loan Agreement), Tranche 1C Advance (as defined in the Loan Agreement), Tranche 1D Advance (as defined in the Loan Agreement), Tranche 1E Advance (as defined in the Loan Agreement), Tranche 2 Advance and Tranche 3 Advance.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allowed Tranche 1D to expire undrawn.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Royalty Agreements</w:t>
      </w:r>
    </w:p>
    <w:p>
      <w:pPr>
        <w:spacing w:after="0" w:line="191" w:lineRule="exact"/>
        <w:rPr>
          <w:sz w:val="20"/>
          <w:szCs w:val="20"/>
          <w:color w:val="auto"/>
        </w:rPr>
      </w:pPr>
    </w:p>
    <w:p>
      <w:pPr>
        <w:ind w:right="60" w:firstLine="751"/>
        <w:spacing w:after="0" w:line="251" w:lineRule="auto"/>
        <w:rPr>
          <w:sz w:val="20"/>
          <w:szCs w:val="20"/>
          <w:color w:val="auto"/>
        </w:rPr>
      </w:pPr>
      <w:r>
        <w:rPr>
          <w:rFonts w:ascii="Times New Roman" w:cs="Times New Roman" w:eastAsia="Times New Roman" w:hAnsi="Times New Roman"/>
          <w:sz w:val="16"/>
          <w:szCs w:val="16"/>
          <w:color w:val="auto"/>
        </w:rPr>
        <w:t>Pursuant to the Asset Purchase Agreement, dated as of March 25, 2022 (the “Purchase Agreement”), we agreed to make non-refundable, non-creditable royalty payments to Jazz equal to a (A) high single-digit royalty for any Current Indication or (B) mid single-digit royalty for any Future Indication, of Net Sales in the U.S. Territory made during the applicable Royalty Term (in each case, as those terms are defined in the Purchase Agreement). There are no royalty payments due to Jazz for Net Sales outside of the U.S. Territory.</w:t>
      </w:r>
    </w:p>
    <w:p>
      <w:pPr>
        <w:spacing w:after="0" w:line="164" w:lineRule="exact"/>
        <w:rPr>
          <w:sz w:val="20"/>
          <w:szCs w:val="20"/>
          <w:color w:val="auto"/>
        </w:rPr>
      </w:pPr>
    </w:p>
    <w:p>
      <w:pPr>
        <w:ind w:firstLine="751"/>
        <w:spacing w:after="0" w:line="251" w:lineRule="auto"/>
        <w:rPr>
          <w:sz w:val="20"/>
          <w:szCs w:val="20"/>
          <w:color w:val="auto"/>
        </w:rPr>
      </w:pPr>
      <w:r>
        <w:rPr>
          <w:rFonts w:ascii="Times New Roman" w:cs="Times New Roman" w:eastAsia="Times New Roman" w:hAnsi="Times New Roman"/>
          <w:sz w:val="16"/>
          <w:szCs w:val="16"/>
          <w:color w:val="auto"/>
        </w:rPr>
        <w:t>At the initial closing, we assumed all of the commitments of Jazz to SK Biopharmaceuticals Co. Ltd. (“SK”) and Aerial Biopharma, LLC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our sales of Sunosi, and we are committed to pay up to $165.0 million based on revenue milestones and $1.0 million based on development milestones.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World Trade Center Lease</w:t>
      </w:r>
    </w:p>
    <w:p>
      <w:pPr>
        <w:spacing w:after="0" w:line="191" w:lineRule="exact"/>
        <w:rPr>
          <w:sz w:val="20"/>
          <w:szCs w:val="20"/>
          <w:color w:val="auto"/>
        </w:rPr>
      </w:pPr>
    </w:p>
    <w:p>
      <w:pPr>
        <w:ind w:right="100" w:firstLine="790"/>
        <w:spacing w:after="0" w:line="293" w:lineRule="auto"/>
        <w:rPr>
          <w:sz w:val="20"/>
          <w:szCs w:val="20"/>
          <w:color w:val="auto"/>
        </w:rPr>
      </w:pPr>
      <w:r>
        <w:rPr>
          <w:rFonts w:ascii="Times New Roman" w:cs="Times New Roman" w:eastAsia="Times New Roman" w:hAnsi="Times New Roman"/>
          <w:sz w:val="14"/>
          <w:szCs w:val="14"/>
          <w:color w:val="auto"/>
        </w:rPr>
        <w:t>On February 21, 2023, we entered into a sublease with Advance Magazine Publishers d/b/a Conde Nast (the “Sublandlord”) for the entirety of the twenty-second floor of One Word Trade Center in New York, NY (the “Sublease”). This space is utilized by the Company for its corporate and executive offices. The Sublease commenced on April 7, 2023 and will run for ten (10) years. Upon the payment of a fee to the Sublandlord, the Company has a one-time option to terminate the Sublease before the fifth anniversary of the date on which we began paying rent. The Company is responsible for base rent under the Sublease and certain additional customary variable costs such as an allocable portion of building taxes and operating expenses. In connection with the Sublease, the Company received certain rent and work concessions from the Sublandlord.</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Shelf Registration Statement</w:t>
      </w:r>
    </w:p>
    <w:p>
      <w:pPr>
        <w:spacing w:after="0" w:line="191" w:lineRule="exact"/>
        <w:rPr>
          <w:sz w:val="20"/>
          <w:szCs w:val="20"/>
          <w:color w:val="auto"/>
        </w:rPr>
      </w:pPr>
    </w:p>
    <w:p>
      <w:pPr>
        <w:ind w:firstLine="751"/>
        <w:spacing w:after="0" w:line="255" w:lineRule="auto"/>
        <w:rPr>
          <w:sz w:val="20"/>
          <w:szCs w:val="20"/>
          <w:color w:val="auto"/>
        </w:rPr>
      </w:pPr>
      <w:r>
        <w:rPr>
          <w:rFonts w:ascii="Times New Roman" w:cs="Times New Roman" w:eastAsia="Times New Roman" w:hAnsi="Times New Roman"/>
          <w:sz w:val="16"/>
          <w:szCs w:val="16"/>
          <w:color w:val="auto"/>
        </w:rPr>
        <w:t>On December 2, 2022, we filed the 2022 Shelf Registration Statement on Form S-3ASR (File No. 333-235372) with the SEC for the issuance of common stock, preferred stock, warrants, rights, debt securities, and units, which became effective immediately upon filing. At the time any of the securities covered by the 2022 Shelf Registration Statement are offered for sale, we prepare and file a prospectus supplement with the SEC containing specific information about the terms of any such offering.</w:t>
      </w:r>
    </w:p>
    <w:p>
      <w:pPr>
        <w:spacing w:after="0" w:line="127"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b w:val="1"/>
          <w:bCs w:val="1"/>
          <w:color w:val="auto"/>
        </w:rPr>
        <w:t>Off</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Balance Sheet Arrangements</w:t>
      </w:r>
    </w:p>
    <w:p>
      <w:pPr>
        <w:spacing w:after="0" w:line="189" w:lineRule="exact"/>
        <w:rPr>
          <w:sz w:val="20"/>
          <w:szCs w:val="20"/>
          <w:color w:val="auto"/>
        </w:rPr>
      </w:pPr>
    </w:p>
    <w:p>
      <w:pPr>
        <w:ind w:left="740"/>
        <w:spacing w:after="0" w:line="184" w:lineRule="exact"/>
        <w:rPr>
          <w:sz w:val="20"/>
          <w:szCs w:val="20"/>
          <w:color w:val="auto"/>
        </w:rPr>
      </w:pPr>
      <w:r>
        <w:rPr>
          <w:rFonts w:ascii="Times New Roman" w:cs="Times New Roman" w:eastAsia="Times New Roman" w:hAnsi="Times New Roman"/>
          <w:sz w:val="16"/>
          <w:szCs w:val="16"/>
          <w:color w:val="auto"/>
        </w:rPr>
        <w:t>We did not have during the periods presented, and we do not currently have, any off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balance sheet arrangements, as defined by applicable SEC regulations.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91" w:lineRule="exact"/>
        <w:rPr>
          <w:sz w:val="20"/>
          <w:szCs w:val="20"/>
          <w:color w:val="auto"/>
        </w:rPr>
      </w:pPr>
    </w:p>
    <w:p>
      <w:pPr>
        <w:ind w:firstLine="751"/>
        <w:spacing w:after="0" w:line="267" w:lineRule="auto"/>
        <w:rPr>
          <w:sz w:val="20"/>
          <w:szCs w:val="20"/>
          <w:color w:val="auto"/>
        </w:rPr>
      </w:pPr>
      <w:r>
        <w:rPr>
          <w:rFonts w:ascii="Times New Roman" w:cs="Times New Roman" w:eastAsia="Times New Roman" w:hAnsi="Times New Roman"/>
          <w:sz w:val="16"/>
          <w:szCs w:val="16"/>
          <w:color w:val="auto"/>
        </w:rPr>
        <w:t>Refer to Note 2 – Summary of Significant Accounting Policies to our consolidated financial statements included in Part IV, Exhibits and Financial Statement Schedules, of this Annual Report on Form 10-K for a discussion of recently issued accounting pronouncements.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Rate Risk</w:t>
      </w:r>
    </w:p>
    <w:p>
      <w:pPr>
        <w:spacing w:after="0" w:line="191" w:lineRule="exact"/>
        <w:rPr>
          <w:sz w:val="20"/>
          <w:szCs w:val="20"/>
          <w:color w:val="auto"/>
        </w:rPr>
      </w:pPr>
    </w:p>
    <w:p>
      <w:pPr>
        <w:ind w:firstLine="751"/>
        <w:spacing w:after="0" w:line="190" w:lineRule="exact"/>
        <w:rPr>
          <w:sz w:val="20"/>
          <w:szCs w:val="20"/>
          <w:color w:val="auto"/>
        </w:rPr>
      </w:pPr>
      <w:r>
        <w:rPr>
          <w:rFonts w:ascii="Times New Roman" w:cs="Times New Roman" w:eastAsia="Times New Roman" w:hAnsi="Times New Roman"/>
          <w:sz w:val="14"/>
          <w:szCs w:val="14"/>
          <w:color w:val="auto"/>
        </w:rPr>
        <w:t>We are exposed to market risks in the ordinary course of our business. These market risks are principally limited to interest rate fluctuations. We had cash of $386.2 million as of December 31, 2023. The primary objective of our investment activities is to preserve principal and liquidity while maximizing income without significantly increasing risk. We do not enter into investments for trading or speculative purposes. Due to the 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nature of our investment portfolio and debt agreement, which use short term interest rates and the prime rate, respectively, we do not believe an immediate 100 basis point increase in interest rates would have a material effect on the fair market value of our portfolio, and, accordingly, we do not expect our operating results or cash flows to be materially affected by a sudden change in market interest rates.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Currency Exchange Risk</w:t>
      </w:r>
    </w:p>
    <w:p>
      <w:pPr>
        <w:spacing w:after="0" w:line="191" w:lineRule="exact"/>
        <w:rPr>
          <w:sz w:val="20"/>
          <w:szCs w:val="20"/>
          <w:color w:val="auto"/>
        </w:rPr>
      </w:pPr>
    </w:p>
    <w:p>
      <w:pPr>
        <w:ind w:right="200" w:firstLine="751"/>
        <w:spacing w:after="0" w:line="299" w:lineRule="auto"/>
        <w:rPr>
          <w:sz w:val="20"/>
          <w:szCs w:val="20"/>
          <w:color w:val="auto"/>
        </w:rPr>
      </w:pPr>
      <w:r>
        <w:rPr>
          <w:rFonts w:ascii="Times New Roman" w:cs="Times New Roman" w:eastAsia="Times New Roman" w:hAnsi="Times New Roman"/>
          <w:sz w:val="14"/>
          <w:szCs w:val="14"/>
          <w:color w:val="auto"/>
        </w:rPr>
        <w:t>We contract with vendors and third-party manufactures located in Europe and certain invoices are denominated in foreign currencies. Royalty revenues from Pharmanovia are derived from their sales of Sunosi in ex-U.S markets and those sales are denominated in Euros. We are therefore subject to fluctuations in foreign currency rates for the Euro, Swiss Franc, and British Pound, in connection with these agreements, and recognize foreign exchange gains or losses in our statement of operations. We have not historically hedged our foreign currency exchange rate risk. To date, we have not incurred any material effects from foreign currency changes on these transactions.</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We do not believe a 10% change in these currencies on December 31, 2023 would have had a material effect on our results of operations or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Inflation Risk</w:t>
      </w:r>
    </w:p>
    <w:p>
      <w:pPr>
        <w:spacing w:after="0" w:line="191" w:lineRule="exact"/>
        <w:rPr>
          <w:sz w:val="20"/>
          <w:szCs w:val="20"/>
          <w:color w:val="auto"/>
        </w:rPr>
      </w:pPr>
    </w:p>
    <w:p>
      <w:pPr>
        <w:ind w:right="40" w:firstLine="751"/>
        <w:spacing w:after="0" w:line="267" w:lineRule="auto"/>
        <w:rPr>
          <w:sz w:val="20"/>
          <w:szCs w:val="20"/>
          <w:color w:val="auto"/>
        </w:rPr>
      </w:pPr>
      <w:r>
        <w:rPr>
          <w:rFonts w:ascii="Times New Roman" w:cs="Times New Roman" w:eastAsia="Times New Roman" w:hAnsi="Times New Roman"/>
          <w:sz w:val="16"/>
          <w:szCs w:val="16"/>
          <w:color w:val="auto"/>
        </w:rPr>
        <w:t>Inflation generally affects us by increasing our cost of labor and pricing of contracts. We do not believe that inflation has had a material effect on our business, financial condition, or results of operations during the year ended December 31,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Our consolidated financial statements and the notes thereto, included in Part IV, Item 15(a), part 1, are incorporated by reference into this Item 8.</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DISCLOSURE.</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None.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189" w:lineRule="exact"/>
        <w:rPr>
          <w:sz w:val="20"/>
          <w:szCs w:val="20"/>
          <w:color w:val="auto"/>
        </w:rPr>
      </w:pPr>
    </w:p>
    <w:p>
      <w:pPr>
        <w:ind w:firstLine="751"/>
        <w:spacing w:after="0" w:line="246" w:lineRule="auto"/>
        <w:rPr>
          <w:sz w:val="20"/>
          <w:szCs w:val="20"/>
          <w:color w:val="auto"/>
        </w:rPr>
      </w:pPr>
      <w:r>
        <w:rPr>
          <w:rFonts w:ascii="Times New Roman" w:cs="Times New Roman" w:eastAsia="Times New Roman" w:hAnsi="Times New Roman"/>
          <w:sz w:val="16"/>
          <w:szCs w:val="16"/>
          <w:i w:val="1"/>
          <w:iCs w:val="1"/>
          <w:color w:val="auto"/>
        </w:rPr>
        <w:t xml:space="preserve">Evaluation of Disclosure Controls and Procedures. </w:t>
      </w:r>
      <w:r>
        <w:rPr>
          <w:rFonts w:ascii="Times New Roman" w:cs="Times New Roman" w:eastAsia="Times New Roman" w:hAnsi="Times New Roman"/>
          <w:sz w:val="16"/>
          <w:szCs w:val="16"/>
          <w:color w:val="auto"/>
        </w:rPr>
        <w:t>Our management, with the participation of our principal executive officer and principal financial officer, evaluated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effectiveness of our disclosure controls and procedures as of December 31, 2023. The term "disclosure controls and procedures," as defined in Rules 13a-15(e) and 15d-15(e) under the Exchange Act, mean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a company in the reports that it files or submits under the Exchange Act is accumulated and communicated to management, including our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2023, our principal executive officer and principal financial officer concluded that, as of such date, our disclosure controls and procedures were effective.</w:t>
      </w:r>
    </w:p>
    <w:p>
      <w:pPr>
        <w:spacing w:after="0" w:line="168" w:lineRule="exact"/>
        <w:rPr>
          <w:sz w:val="20"/>
          <w:szCs w:val="20"/>
          <w:color w:val="auto"/>
        </w:rPr>
      </w:pPr>
    </w:p>
    <w:p>
      <w:pPr>
        <w:ind w:right="80" w:firstLine="751"/>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Management’s Annual Report on Internal Controls over Financial Reporting. </w:t>
      </w:r>
      <w:r>
        <w:rPr>
          <w:rFonts w:ascii="Times New Roman" w:cs="Times New Roman" w:eastAsia="Times New Roman" w:hAnsi="Times New Roman"/>
          <w:sz w:val="16"/>
          <w:szCs w:val="16"/>
          <w:color w:val="auto"/>
        </w:rPr>
        <w:t>Our management is responsible for establishing and maintaining adequate internal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controls over financial reporting (as defined in Rule 13a-15(f) or Rule 15d-15(f) under the Exchange Act). Our management assessed the effectiveness of our internal controls over financial reporting as of December 31, 2023. In making this assessment, our management used the criteria established in Internal Control – Integrated Framework (2013) issued by the Committee of Sponsoring Organizations of the Treadway Commission, or COSO Framework. Our management has concluded that, as of December 31, 2023, our internal control over financial reporting was effective based on these criteria.</w:t>
      </w:r>
    </w:p>
    <w:p>
      <w:pPr>
        <w:spacing w:after="0" w:line="164" w:lineRule="exact"/>
        <w:rPr>
          <w:sz w:val="20"/>
          <w:szCs w:val="20"/>
          <w:color w:val="auto"/>
        </w:rPr>
      </w:pPr>
    </w:p>
    <w:p>
      <w:pPr>
        <w:ind w:right="160" w:firstLine="751"/>
        <w:spacing w:after="0" w:line="267" w:lineRule="auto"/>
        <w:rPr>
          <w:sz w:val="20"/>
          <w:szCs w:val="20"/>
          <w:color w:val="auto"/>
        </w:rPr>
      </w:pPr>
      <w:r>
        <w:rPr>
          <w:rFonts w:ascii="Times New Roman" w:cs="Times New Roman" w:eastAsia="Times New Roman" w:hAnsi="Times New Roman"/>
          <w:sz w:val="16"/>
          <w:szCs w:val="16"/>
          <w:color w:val="auto"/>
        </w:rPr>
        <w:t>The independent registered public accounting firm, Deloitte &amp; Touche LLP, has issued an attestation report on our internal control over financial reporting. The report on the audit of internal control over financial reporting is included in this Annual Report on Form 10-K.</w:t>
      </w:r>
    </w:p>
    <w:p>
      <w:pPr>
        <w:spacing w:after="0" w:line="149" w:lineRule="exact"/>
        <w:rPr>
          <w:sz w:val="20"/>
          <w:szCs w:val="20"/>
          <w:color w:val="auto"/>
        </w:rPr>
      </w:pPr>
    </w:p>
    <w:p>
      <w:pPr>
        <w:ind w:right="140" w:firstLine="751"/>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Inherent Limitations on Effectiveness of Controls. </w:t>
      </w:r>
      <w:r>
        <w:rPr>
          <w:rFonts w:ascii="Times New Roman" w:cs="Times New Roman" w:eastAsia="Times New Roman" w:hAnsi="Times New Roman"/>
          <w:sz w:val="16"/>
          <w:szCs w:val="16"/>
          <w:color w:val="auto"/>
        </w:rPr>
        <w:t>Our management, including our principal executive officer and principal financial officer, does not expect that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internal controls over financial reporting and procedures will prevent all errors and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62" w:lineRule="exact"/>
        <w:rPr>
          <w:sz w:val="20"/>
          <w:szCs w:val="20"/>
          <w:color w:val="auto"/>
        </w:rPr>
      </w:pPr>
    </w:p>
    <w:p>
      <w:pPr>
        <w:ind w:right="420" w:firstLine="751"/>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Changes in Internal Controls over Financial Reporting. </w:t>
      </w:r>
      <w:r>
        <w:rPr>
          <w:rFonts w:ascii="Times New Roman" w:cs="Times New Roman" w:eastAsia="Times New Roman" w:hAnsi="Times New Roman"/>
          <w:sz w:val="16"/>
          <w:szCs w:val="16"/>
          <w:color w:val="auto"/>
        </w:rPr>
        <w:t>There has been no change in our internal controls over financial reporting that occurred during the period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covered by this report that has materially affected, or is reasonably likely to materially affect, our internal control over financial reporting.</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22" w:name="page123"/>
    <w:bookmarkEnd w:id="122"/>
    <w:p>
      <w:pPr>
        <w:ind w:left="20"/>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0</wp:posOffset>
            </wp:positionV>
            <wp:extent cx="560070"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191" w:lineRule="exact"/>
        <w:rPr>
          <w:sz w:val="20"/>
          <w:szCs w:val="20"/>
          <w:color w:val="auto"/>
        </w:rPr>
      </w:pPr>
    </w:p>
    <w:p>
      <w:pPr>
        <w:jc w:val="both"/>
        <w:ind w:left="20" w:right="240" w:firstLine="751"/>
        <w:spacing w:after="0" w:line="255" w:lineRule="auto"/>
        <w:rPr>
          <w:sz w:val="20"/>
          <w:szCs w:val="20"/>
          <w:color w:val="auto"/>
        </w:rPr>
      </w:pPr>
      <w:r>
        <w:rPr>
          <w:rFonts w:ascii="Times New Roman" w:cs="Times New Roman" w:eastAsia="Times New Roman" w:hAnsi="Times New Roman"/>
          <w:sz w:val="16"/>
          <w:szCs w:val="16"/>
          <w:color w:val="auto"/>
        </w:rPr>
        <w:t>During the fourth quarter of 2023, the following Rule 10b5-1 trading arrangements (as defined in Item 408(a)(1)(i) of Regulation S-K) and non-Rule 10b5-1 trading arrangements (as defined in Item 408(c) of Regulation S-K) intended to satisfy the affirmative defense of Rule 10b5-1(c) of the Exchange Act were adopted or terminated by our directors and/or executive officers:</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177"/>
        </w:trPr>
        <w:tc>
          <w:tcPr>
            <w:tcW w:w="2300" w:type="dxa"/>
            <w:vAlign w:val="bottom"/>
            <w:tcBorders>
              <w:top w:val="single" w:sz="8" w:color="auto"/>
              <w:left w:val="single" w:sz="8" w:color="auto"/>
              <w:right w:val="single" w:sz="8" w:color="auto"/>
            </w:tcBorders>
          </w:tcPr>
          <w:p>
            <w:pPr>
              <w:ind w:left="120"/>
              <w:spacing w:after="0" w:line="178" w:lineRule="exact"/>
              <w:rPr>
                <w:sz w:val="20"/>
                <w:szCs w:val="20"/>
                <w:color w:val="auto"/>
              </w:rPr>
            </w:pPr>
            <w:r>
              <w:rPr>
                <w:rFonts w:ascii="Times New Roman" w:cs="Times New Roman" w:eastAsia="Times New Roman" w:hAnsi="Times New Roman"/>
                <w:sz w:val="16"/>
                <w:szCs w:val="16"/>
                <w:b w:val="1"/>
                <w:bCs w:val="1"/>
                <w:color w:val="auto"/>
              </w:rPr>
              <w:t>Name</w:t>
            </w:r>
          </w:p>
        </w:tc>
        <w:tc>
          <w:tcPr>
            <w:tcW w:w="2000" w:type="dxa"/>
            <w:vAlign w:val="bottom"/>
            <w:tcBorders>
              <w:top w:val="single" w:sz="8" w:color="auto"/>
              <w:right w:val="single" w:sz="8" w:color="auto"/>
            </w:tcBorders>
          </w:tcPr>
          <w:p>
            <w:pPr>
              <w:ind w:left="60"/>
              <w:spacing w:after="0" w:line="178" w:lineRule="exact"/>
              <w:rPr>
                <w:sz w:val="20"/>
                <w:szCs w:val="20"/>
                <w:color w:val="auto"/>
              </w:rPr>
            </w:pPr>
            <w:r>
              <w:rPr>
                <w:rFonts w:ascii="Times New Roman" w:cs="Times New Roman" w:eastAsia="Times New Roman" w:hAnsi="Times New Roman"/>
                <w:sz w:val="16"/>
                <w:szCs w:val="16"/>
                <w:b w:val="1"/>
                <w:bCs w:val="1"/>
                <w:color w:val="auto"/>
              </w:rPr>
              <w:t>Title</w:t>
            </w:r>
          </w:p>
        </w:tc>
        <w:tc>
          <w:tcPr>
            <w:tcW w:w="2480" w:type="dxa"/>
            <w:vAlign w:val="bottom"/>
            <w:tcBorders>
              <w:top w:val="single" w:sz="8" w:color="auto"/>
              <w:right w:val="single" w:sz="8" w:color="auto"/>
            </w:tcBorders>
          </w:tcPr>
          <w:p>
            <w:pPr>
              <w:ind w:left="80"/>
              <w:spacing w:after="0" w:line="178" w:lineRule="exact"/>
              <w:rPr>
                <w:sz w:val="20"/>
                <w:szCs w:val="20"/>
                <w:color w:val="auto"/>
              </w:rPr>
            </w:pPr>
            <w:r>
              <w:rPr>
                <w:rFonts w:ascii="Times New Roman" w:cs="Times New Roman" w:eastAsia="Times New Roman" w:hAnsi="Times New Roman"/>
                <w:sz w:val="16"/>
                <w:szCs w:val="16"/>
                <w:b w:val="1"/>
                <w:bCs w:val="1"/>
                <w:color w:val="auto"/>
              </w:rPr>
              <w:t>Date of Adoption of Rule 10b5-1</w:t>
            </w:r>
          </w:p>
        </w:tc>
        <w:tc>
          <w:tcPr>
            <w:tcW w:w="2260" w:type="dxa"/>
            <w:vAlign w:val="bottom"/>
            <w:tcBorders>
              <w:top w:val="single" w:sz="8" w:color="auto"/>
              <w:right w:val="single" w:sz="8" w:color="auto"/>
            </w:tcBorders>
          </w:tcPr>
          <w:p>
            <w:pPr>
              <w:ind w:left="80"/>
              <w:spacing w:after="0" w:line="178" w:lineRule="exact"/>
              <w:rPr>
                <w:sz w:val="20"/>
                <w:szCs w:val="20"/>
                <w:color w:val="auto"/>
              </w:rPr>
            </w:pPr>
            <w:r>
              <w:rPr>
                <w:rFonts w:ascii="Times New Roman" w:cs="Times New Roman" w:eastAsia="Times New Roman" w:hAnsi="Times New Roman"/>
                <w:sz w:val="16"/>
                <w:szCs w:val="16"/>
                <w:b w:val="1"/>
                <w:bCs w:val="1"/>
                <w:color w:val="auto"/>
              </w:rPr>
              <w:t>Scheduled Expiration Date of</w:t>
            </w:r>
          </w:p>
        </w:tc>
        <w:tc>
          <w:tcPr>
            <w:tcW w:w="2240" w:type="dxa"/>
            <w:vAlign w:val="bottom"/>
            <w:tcBorders>
              <w:top w:val="single" w:sz="8" w:color="auto"/>
              <w:right w:val="single" w:sz="8" w:color="auto"/>
            </w:tcBorders>
          </w:tcPr>
          <w:p>
            <w:pPr>
              <w:ind w:left="80"/>
              <w:spacing w:after="0" w:line="178" w:lineRule="exact"/>
              <w:rPr>
                <w:sz w:val="20"/>
                <w:szCs w:val="20"/>
                <w:color w:val="auto"/>
              </w:rPr>
            </w:pPr>
            <w:r>
              <w:rPr>
                <w:rFonts w:ascii="Times New Roman" w:cs="Times New Roman" w:eastAsia="Times New Roman" w:hAnsi="Times New Roman"/>
                <w:sz w:val="16"/>
                <w:szCs w:val="16"/>
                <w:b w:val="1"/>
                <w:bCs w:val="1"/>
                <w:color w:val="auto"/>
              </w:rPr>
              <w:t>Aggregate Number of</w:t>
            </w:r>
          </w:p>
        </w:tc>
      </w:tr>
      <w:tr>
        <w:trPr>
          <w:trHeight w:val="205"/>
        </w:trPr>
        <w:tc>
          <w:tcPr>
            <w:tcW w:w="23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6"/>
                <w:szCs w:val="16"/>
                <w:b w:val="1"/>
                <w:bCs w:val="1"/>
                <w:color w:val="auto"/>
              </w:rPr>
              <w:t>Trading Arrangement</w:t>
            </w:r>
            <w:r>
              <w:rPr>
                <w:rFonts w:ascii="Times New Roman" w:cs="Times New Roman" w:eastAsia="Times New Roman" w:hAnsi="Times New Roman"/>
                <w:sz w:val="20"/>
                <w:szCs w:val="20"/>
                <w:b w:val="1"/>
                <w:bCs w:val="1"/>
                <w:color w:val="auto"/>
                <w:vertAlign w:val="superscript"/>
              </w:rPr>
              <w:t>(1)</w:t>
            </w: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Rule 10b5-1 Trading</w:t>
            </w: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Securities to Be Sold</w:t>
            </w:r>
          </w:p>
        </w:tc>
      </w:tr>
      <w:tr>
        <w:trPr>
          <w:trHeight w:val="249"/>
        </w:trPr>
        <w:tc>
          <w:tcPr>
            <w:tcW w:w="2300" w:type="dxa"/>
            <w:vAlign w:val="bottom"/>
            <w:tcBorders>
              <w:left w:val="single" w:sz="8" w:color="auto"/>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c>
          <w:tcPr>
            <w:tcW w:w="248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2240" w:type="dxa"/>
            <w:vAlign w:val="bottom"/>
            <w:tcBorders>
              <w:bottom w:val="single" w:sz="8" w:color="auto"/>
              <w:right w:val="single" w:sz="8" w:color="auto"/>
            </w:tcBorders>
          </w:tcPr>
          <w:p>
            <w:pPr>
              <w:spacing w:after="0"/>
              <w:rPr>
                <w:sz w:val="21"/>
                <w:szCs w:val="21"/>
                <w:color w:val="auto"/>
              </w:rPr>
            </w:pPr>
          </w:p>
        </w:tc>
      </w:tr>
      <w:tr>
        <w:trPr>
          <w:trHeight w:val="153"/>
        </w:trPr>
        <w:tc>
          <w:tcPr>
            <w:tcW w:w="2300" w:type="dxa"/>
            <w:vAlign w:val="bottom"/>
            <w:tcBorders>
              <w:left w:val="single" w:sz="8" w:color="auto"/>
              <w:right w:val="single" w:sz="8" w:color="auto"/>
            </w:tcBorders>
          </w:tcPr>
          <w:p>
            <w:pPr>
              <w:ind w:left="120"/>
              <w:spacing w:after="0" w:line="154" w:lineRule="exact"/>
              <w:rPr>
                <w:sz w:val="20"/>
                <w:szCs w:val="20"/>
                <w:color w:val="auto"/>
              </w:rPr>
            </w:pPr>
            <w:r>
              <w:rPr>
                <w:rFonts w:ascii="Times New Roman" w:cs="Times New Roman" w:eastAsia="Times New Roman" w:hAnsi="Times New Roman"/>
                <w:sz w:val="16"/>
                <w:szCs w:val="16"/>
                <w:color w:val="auto"/>
              </w:rPr>
              <w:t>Roger Jeffs</w:t>
            </w:r>
          </w:p>
        </w:tc>
        <w:tc>
          <w:tcPr>
            <w:tcW w:w="2000" w:type="dxa"/>
            <w:vAlign w:val="bottom"/>
            <w:tcBorders>
              <w:right w:val="single" w:sz="8" w:color="auto"/>
            </w:tcBorders>
          </w:tcPr>
          <w:p>
            <w:pPr>
              <w:ind w:left="60"/>
              <w:spacing w:after="0" w:line="154" w:lineRule="exact"/>
              <w:rPr>
                <w:sz w:val="20"/>
                <w:szCs w:val="20"/>
                <w:color w:val="auto"/>
              </w:rPr>
            </w:pPr>
            <w:r>
              <w:rPr>
                <w:rFonts w:ascii="Times New Roman" w:cs="Times New Roman" w:eastAsia="Times New Roman" w:hAnsi="Times New Roman"/>
                <w:sz w:val="16"/>
                <w:szCs w:val="16"/>
                <w:color w:val="auto"/>
              </w:rPr>
              <w:t>Director</w:t>
            </w:r>
          </w:p>
        </w:tc>
        <w:tc>
          <w:tcPr>
            <w:tcW w:w="2480" w:type="dxa"/>
            <w:vAlign w:val="bottom"/>
            <w:tcBorders>
              <w:right w:val="single" w:sz="8" w:color="auto"/>
            </w:tcBorders>
          </w:tcPr>
          <w:p>
            <w:pPr>
              <w:ind w:left="80"/>
              <w:spacing w:after="0" w:line="154" w:lineRule="exact"/>
              <w:rPr>
                <w:sz w:val="20"/>
                <w:szCs w:val="20"/>
                <w:color w:val="auto"/>
              </w:rPr>
            </w:pPr>
            <w:r>
              <w:rPr>
                <w:rFonts w:ascii="Times New Roman" w:cs="Times New Roman" w:eastAsia="Times New Roman" w:hAnsi="Times New Roman"/>
                <w:sz w:val="13"/>
                <w:szCs w:val="13"/>
                <w:color w:val="auto"/>
              </w:rPr>
              <w:t>December 14, 2023</w:t>
            </w:r>
            <w:r>
              <w:rPr>
                <w:rFonts w:ascii="Times New Roman" w:cs="Times New Roman" w:eastAsia="Times New Roman" w:hAnsi="Times New Roman"/>
                <w:sz w:val="17"/>
                <w:szCs w:val="17"/>
                <w:color w:val="auto"/>
                <w:vertAlign w:val="superscript"/>
              </w:rPr>
              <w:t>(2)</w:t>
            </w:r>
          </w:p>
        </w:tc>
        <w:tc>
          <w:tcPr>
            <w:tcW w:w="2260" w:type="dxa"/>
            <w:vAlign w:val="bottom"/>
            <w:tcBorders>
              <w:right w:val="single" w:sz="8" w:color="auto"/>
            </w:tcBorders>
          </w:tcPr>
          <w:p>
            <w:pPr>
              <w:ind w:left="80"/>
              <w:spacing w:after="0" w:line="154" w:lineRule="exact"/>
              <w:rPr>
                <w:sz w:val="20"/>
                <w:szCs w:val="20"/>
                <w:color w:val="auto"/>
              </w:rPr>
            </w:pPr>
            <w:r>
              <w:rPr>
                <w:rFonts w:ascii="Times New Roman" w:cs="Times New Roman" w:eastAsia="Times New Roman" w:hAnsi="Times New Roman"/>
                <w:sz w:val="16"/>
                <w:szCs w:val="16"/>
                <w:color w:val="auto"/>
              </w:rPr>
              <w:t>September 16, 2024</w:t>
            </w:r>
          </w:p>
        </w:tc>
        <w:tc>
          <w:tcPr>
            <w:tcW w:w="2240" w:type="dxa"/>
            <w:vAlign w:val="bottom"/>
            <w:tcBorders>
              <w:right w:val="single" w:sz="8" w:color="auto"/>
            </w:tcBorders>
          </w:tcPr>
          <w:p>
            <w:pPr>
              <w:ind w:left="80"/>
              <w:spacing w:after="0" w:line="154" w:lineRule="exact"/>
              <w:rPr>
                <w:sz w:val="20"/>
                <w:szCs w:val="20"/>
                <w:color w:val="auto"/>
              </w:rPr>
            </w:pPr>
            <w:r>
              <w:rPr>
                <w:rFonts w:ascii="Times New Roman" w:cs="Times New Roman" w:eastAsia="Times New Roman" w:hAnsi="Times New Roman"/>
                <w:sz w:val="16"/>
                <w:szCs w:val="16"/>
                <w:color w:val="auto"/>
              </w:rPr>
              <w:t>Up to 32,323 shares of common</w:t>
            </w:r>
          </w:p>
        </w:tc>
      </w:tr>
      <w:tr>
        <w:trPr>
          <w:trHeight w:val="187"/>
        </w:trPr>
        <w:tc>
          <w:tcPr>
            <w:tcW w:w="2300" w:type="dxa"/>
            <w:vAlign w:val="bottom"/>
            <w:tcBorders>
              <w:left w:val="single" w:sz="8" w:color="auto"/>
              <w:right w:val="single" w:sz="8" w:color="auto"/>
            </w:tcBorders>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stock pursuant to the exercise of</w:t>
            </w:r>
          </w:p>
        </w:tc>
      </w:tr>
      <w:tr>
        <w:trPr>
          <w:trHeight w:val="209"/>
        </w:trPr>
        <w:tc>
          <w:tcPr>
            <w:tcW w:w="2300" w:type="dxa"/>
            <w:vAlign w:val="bottom"/>
            <w:tcBorders>
              <w:left w:val="single" w:sz="8" w:color="auto"/>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c>
          <w:tcPr>
            <w:tcW w:w="248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non-qualified stock options</w:t>
            </w:r>
          </w:p>
        </w:tc>
      </w:tr>
      <w:tr>
        <w:trPr>
          <w:trHeight w:val="180"/>
        </w:trPr>
        <w:tc>
          <w:tcPr>
            <w:tcW w:w="2300" w:type="dxa"/>
            <w:vAlign w:val="bottom"/>
            <w:tcBorders>
              <w:left w:val="single" w:sz="8" w:color="auto"/>
              <w:right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color w:val="auto"/>
              </w:rPr>
              <w:t>Mark Saad</w:t>
            </w:r>
          </w:p>
        </w:tc>
        <w:tc>
          <w:tcPr>
            <w:tcW w:w="20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Director</w:t>
            </w:r>
          </w:p>
        </w:tc>
        <w:tc>
          <w:tcPr>
            <w:tcW w:w="2480" w:type="dxa"/>
            <w:vAlign w:val="bottom"/>
            <w:tcBorders>
              <w:right w:val="single" w:sz="8" w:color="auto"/>
            </w:tcBorders>
          </w:tcPr>
          <w:p>
            <w:pPr>
              <w:ind w:left="80"/>
              <w:spacing w:after="0" w:line="180" w:lineRule="exact"/>
              <w:rPr>
                <w:sz w:val="20"/>
                <w:szCs w:val="20"/>
                <w:color w:val="auto"/>
              </w:rPr>
            </w:pPr>
            <w:r>
              <w:rPr>
                <w:rFonts w:ascii="Times New Roman" w:cs="Times New Roman" w:eastAsia="Times New Roman" w:hAnsi="Times New Roman"/>
                <w:sz w:val="16"/>
                <w:szCs w:val="16"/>
                <w:color w:val="auto"/>
              </w:rPr>
              <w:t>December 14, 2023</w:t>
            </w:r>
            <w:r>
              <w:rPr>
                <w:rFonts w:ascii="Times New Roman" w:cs="Times New Roman" w:eastAsia="Times New Roman" w:hAnsi="Times New Roman"/>
                <w:sz w:val="20"/>
                <w:szCs w:val="20"/>
                <w:color w:val="auto"/>
                <w:vertAlign w:val="superscript"/>
              </w:rPr>
              <w:t>(2)</w:t>
            </w:r>
          </w:p>
        </w:tc>
        <w:tc>
          <w:tcPr>
            <w:tcW w:w="2260" w:type="dxa"/>
            <w:vAlign w:val="bottom"/>
            <w:tcBorders>
              <w:right w:val="single" w:sz="8" w:color="auto"/>
            </w:tcBorders>
          </w:tcPr>
          <w:p>
            <w:pPr>
              <w:ind w:left="80"/>
              <w:spacing w:after="0" w:line="180" w:lineRule="exact"/>
              <w:rPr>
                <w:sz w:val="20"/>
                <w:szCs w:val="20"/>
                <w:color w:val="auto"/>
              </w:rPr>
            </w:pPr>
            <w:r>
              <w:rPr>
                <w:rFonts w:ascii="Times New Roman" w:cs="Times New Roman" w:eastAsia="Times New Roman" w:hAnsi="Times New Roman"/>
                <w:sz w:val="16"/>
                <w:szCs w:val="16"/>
                <w:color w:val="auto"/>
              </w:rPr>
              <w:t>November 19, 2025</w:t>
            </w:r>
          </w:p>
        </w:tc>
        <w:tc>
          <w:tcPr>
            <w:tcW w:w="2240" w:type="dxa"/>
            <w:vAlign w:val="bottom"/>
            <w:tcBorders>
              <w:right w:val="single" w:sz="8" w:color="auto"/>
            </w:tcBorders>
          </w:tcPr>
          <w:p>
            <w:pPr>
              <w:ind w:left="80"/>
              <w:spacing w:after="0" w:line="180" w:lineRule="exact"/>
              <w:rPr>
                <w:sz w:val="20"/>
                <w:szCs w:val="20"/>
                <w:color w:val="auto"/>
              </w:rPr>
            </w:pPr>
            <w:r>
              <w:rPr>
                <w:rFonts w:ascii="Times New Roman" w:cs="Times New Roman" w:eastAsia="Times New Roman" w:hAnsi="Times New Roman"/>
                <w:sz w:val="16"/>
                <w:szCs w:val="16"/>
                <w:color w:val="auto"/>
              </w:rPr>
              <w:t>Up to 89,699 shares of common</w:t>
            </w:r>
          </w:p>
        </w:tc>
      </w:tr>
      <w:tr>
        <w:trPr>
          <w:trHeight w:val="187"/>
        </w:trPr>
        <w:tc>
          <w:tcPr>
            <w:tcW w:w="2300" w:type="dxa"/>
            <w:vAlign w:val="bottom"/>
            <w:tcBorders>
              <w:left w:val="single" w:sz="8" w:color="auto"/>
              <w:right w:val="single" w:sz="8" w:color="auto"/>
            </w:tcBorders>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stock pursuant to the exercise of</w:t>
            </w:r>
          </w:p>
        </w:tc>
      </w:tr>
      <w:tr>
        <w:trPr>
          <w:trHeight w:val="209"/>
        </w:trPr>
        <w:tc>
          <w:tcPr>
            <w:tcW w:w="2300" w:type="dxa"/>
            <w:vAlign w:val="bottom"/>
            <w:tcBorders>
              <w:left w:val="single" w:sz="8" w:color="auto"/>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c>
          <w:tcPr>
            <w:tcW w:w="248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non-qualified stock options</w:t>
            </w:r>
          </w:p>
        </w:tc>
      </w:tr>
    </w:tbl>
    <w:p>
      <w:pPr>
        <w:spacing w:after="0" w:line="77" w:lineRule="exact"/>
        <w:rPr>
          <w:sz w:val="20"/>
          <w:szCs w:val="20"/>
          <w:color w:val="auto"/>
        </w:rPr>
      </w:pPr>
    </w:p>
    <w:p>
      <w:pPr>
        <w:ind w:left="240" w:hanging="227"/>
        <w:spacing w:after="0"/>
        <w:tabs>
          <w:tab w:leader="none" w:pos="2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 of adoption of Rule 10b5-1 trading arrangements is in accordance with both the Company’s insider trading policy and applicable SEC rules and regulations.</w:t>
      </w:r>
    </w:p>
    <w:p>
      <w:pPr>
        <w:spacing w:after="0" w:line="18" w:lineRule="exact"/>
        <w:rPr>
          <w:rFonts w:ascii="Times New Roman" w:cs="Times New Roman" w:eastAsia="Times New Roman" w:hAnsi="Times New Roman"/>
          <w:sz w:val="16"/>
          <w:szCs w:val="16"/>
          <w:color w:val="auto"/>
        </w:rPr>
      </w:pPr>
    </w:p>
    <w:p>
      <w:pPr>
        <w:ind w:left="20" w:right="80" w:hanging="7"/>
        <w:spacing w:after="0" w:line="247" w:lineRule="auto"/>
        <w:tabs>
          <w:tab w:leader="none" w:pos="2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first trade pursuant to the Rule 10b5-1 trading arrangement will be, in accordance with both the Company’s insider trading policy and applicable SEC rules and regulations, on a date after the date of adoption of the Rule 10b5-1 trading arrangement.</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During the fourth quarter of 2023, the Company did not adopt or terminate a Rule 10b5-1 trading arrangement (as defined in Item 408(a)(1)(i) of Regulation S-K).</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None.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414655</wp:posOffset>
            </wp:positionV>
            <wp:extent cx="7176135" cy="400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191" w:lineRule="exact"/>
        <w:rPr>
          <w:sz w:val="20"/>
          <w:szCs w:val="20"/>
          <w:color w:val="auto"/>
        </w:rPr>
      </w:pPr>
    </w:p>
    <w:p>
      <w:pPr>
        <w:ind w:firstLine="751"/>
        <w:spacing w:after="0" w:line="267" w:lineRule="auto"/>
        <w:rPr>
          <w:sz w:val="20"/>
          <w:szCs w:val="20"/>
          <w:color w:val="auto"/>
        </w:rPr>
      </w:pPr>
      <w:r>
        <w:rPr>
          <w:rFonts w:ascii="Times New Roman" w:cs="Times New Roman" w:eastAsia="Times New Roman" w:hAnsi="Times New Roman"/>
          <w:sz w:val="16"/>
          <w:szCs w:val="16"/>
          <w:color w:val="auto"/>
        </w:rPr>
        <w:t>The information required by this Item is incorporated herein by reference from our Proxy Statement for our 2024 Annual Meeting of Stockholders or will be included in an amendment to this Annual Report on Form 10-K.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191" w:lineRule="exact"/>
        <w:rPr>
          <w:sz w:val="20"/>
          <w:szCs w:val="20"/>
          <w:color w:val="auto"/>
        </w:rPr>
      </w:pPr>
    </w:p>
    <w:p>
      <w:pPr>
        <w:ind w:firstLine="751"/>
        <w:spacing w:after="0" w:line="267" w:lineRule="auto"/>
        <w:rPr>
          <w:sz w:val="20"/>
          <w:szCs w:val="20"/>
          <w:color w:val="auto"/>
        </w:rPr>
      </w:pPr>
      <w:r>
        <w:rPr>
          <w:rFonts w:ascii="Times New Roman" w:cs="Times New Roman" w:eastAsia="Times New Roman" w:hAnsi="Times New Roman"/>
          <w:sz w:val="16"/>
          <w:szCs w:val="16"/>
          <w:color w:val="auto"/>
        </w:rPr>
        <w:t>The information required by this Item is incorporated herein by reference from our Proxy Statement for our 2024 Annual Meeting of Stockholders or will be included in an amendment to this Annual Report on Form 10-K.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191" w:lineRule="exact"/>
        <w:rPr>
          <w:sz w:val="20"/>
          <w:szCs w:val="20"/>
          <w:color w:val="auto"/>
        </w:rPr>
      </w:pPr>
    </w:p>
    <w:p>
      <w:pPr>
        <w:ind w:firstLine="751"/>
        <w:spacing w:after="0" w:line="267" w:lineRule="auto"/>
        <w:rPr>
          <w:sz w:val="20"/>
          <w:szCs w:val="20"/>
          <w:color w:val="auto"/>
        </w:rPr>
      </w:pPr>
      <w:r>
        <w:rPr>
          <w:rFonts w:ascii="Times New Roman" w:cs="Times New Roman" w:eastAsia="Times New Roman" w:hAnsi="Times New Roman"/>
          <w:sz w:val="16"/>
          <w:szCs w:val="16"/>
          <w:color w:val="auto"/>
        </w:rPr>
        <w:t>The information required by this Item is incorporated herein by reference from our Proxy Statement for our 2024 Annual Meeting of Stockholders or will be included in an amendment to this Annual Report on Form 10-K.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191" w:lineRule="exact"/>
        <w:rPr>
          <w:sz w:val="20"/>
          <w:szCs w:val="20"/>
          <w:color w:val="auto"/>
        </w:rPr>
      </w:pPr>
    </w:p>
    <w:p>
      <w:pPr>
        <w:ind w:firstLine="751"/>
        <w:spacing w:after="0" w:line="267" w:lineRule="auto"/>
        <w:rPr>
          <w:sz w:val="20"/>
          <w:szCs w:val="20"/>
          <w:color w:val="auto"/>
        </w:rPr>
      </w:pPr>
      <w:r>
        <w:rPr>
          <w:rFonts w:ascii="Times New Roman" w:cs="Times New Roman" w:eastAsia="Times New Roman" w:hAnsi="Times New Roman"/>
          <w:sz w:val="16"/>
          <w:szCs w:val="16"/>
          <w:color w:val="auto"/>
        </w:rPr>
        <w:t>The information required by this Item is incorporated herein by reference from our Proxy Statement for our 2024 Annual Meeting of Stockholders or will be included in an amendment to this Annual Report on Form 10-K.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ACCOUNTANT FEES AND SERVICES.</w:t>
      </w:r>
    </w:p>
    <w:p>
      <w:pPr>
        <w:spacing w:after="0" w:line="191" w:lineRule="exact"/>
        <w:rPr>
          <w:sz w:val="20"/>
          <w:szCs w:val="20"/>
          <w:color w:val="auto"/>
        </w:rPr>
      </w:pPr>
    </w:p>
    <w:p>
      <w:pPr>
        <w:ind w:firstLine="751"/>
        <w:spacing w:after="0" w:line="267" w:lineRule="auto"/>
        <w:rPr>
          <w:sz w:val="20"/>
          <w:szCs w:val="20"/>
          <w:color w:val="auto"/>
        </w:rPr>
      </w:pPr>
      <w:r>
        <w:rPr>
          <w:rFonts w:ascii="Times New Roman" w:cs="Times New Roman" w:eastAsia="Times New Roman" w:hAnsi="Times New Roman"/>
          <w:sz w:val="16"/>
          <w:szCs w:val="16"/>
          <w:color w:val="auto"/>
        </w:rPr>
        <w:t>The information required by this Item is incorporated herein by reference from our Proxy Statement for our 2024 Annual Meeting of Stockholders or will be included in an amendment to this Annual Report on Form 10-K.</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580" w:type="dxa"/>
            <w:vAlign w:val="bottom"/>
            <w:gridSpan w:val="5"/>
          </w:tcPr>
          <w:p>
            <w:pPr>
              <w:ind w:left="1200"/>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73"/>
        </w:trPr>
        <w:tc>
          <w:tcPr>
            <w:tcW w:w="1070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ITEM 15. EXHIBITS and FINANCIAL STATEMENT SCHEDULES.</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3"/>
        </w:trPr>
        <w:tc>
          <w:tcPr>
            <w:tcW w:w="100" w:type="dxa"/>
            <w:vAlign w:val="bottom"/>
          </w:tcPr>
          <w:p>
            <w:pPr>
              <w:spacing w:after="0"/>
              <w:rPr>
                <w:sz w:val="24"/>
                <w:szCs w:val="24"/>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 1.</w:t>
            </w:r>
          </w:p>
        </w:tc>
        <w:tc>
          <w:tcPr>
            <w:tcW w:w="984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Consolidated Financial Statements</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3"/>
        </w:trPr>
        <w:tc>
          <w:tcPr>
            <w:tcW w:w="100" w:type="dxa"/>
            <w:vAlign w:val="bottom"/>
          </w:tcPr>
          <w:p>
            <w:pPr>
              <w:spacing w:after="0"/>
              <w:rPr>
                <w:sz w:val="24"/>
                <w:szCs w:val="24"/>
                <w:color w:val="auto"/>
              </w:rPr>
            </w:pPr>
          </w:p>
        </w:tc>
        <w:tc>
          <w:tcPr>
            <w:tcW w:w="10600" w:type="dxa"/>
            <w:vAlign w:val="bottom"/>
            <w:gridSpan w:val="8"/>
          </w:tcPr>
          <w:p>
            <w:pPr>
              <w:ind w:left="640"/>
              <w:spacing w:after="0"/>
              <w:rPr>
                <w:sz w:val="20"/>
                <w:szCs w:val="20"/>
                <w:color w:val="auto"/>
              </w:rPr>
            </w:pPr>
            <w:r>
              <w:rPr>
                <w:rFonts w:ascii="Times New Roman" w:cs="Times New Roman" w:eastAsia="Times New Roman" w:hAnsi="Times New Roman"/>
                <w:sz w:val="16"/>
                <w:szCs w:val="16"/>
                <w:color w:val="auto"/>
              </w:rPr>
              <w:t>The following consolidated financial statements of Axsome Therapeutics, Inc. are filed as part of this report.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84"/>
        </w:trPr>
        <w:tc>
          <w:tcPr>
            <w:tcW w:w="1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Contents</w:t>
            </w:r>
          </w:p>
        </w:tc>
        <w:tc>
          <w:tcPr>
            <w:tcW w:w="2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0"/>
        </w:trPr>
        <w:tc>
          <w:tcPr>
            <w:tcW w:w="10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18"/>
        </w:trPr>
        <w:tc>
          <w:tcPr>
            <w:tcW w:w="100" w:type="dxa"/>
            <w:vAlign w:val="bottom"/>
          </w:tcPr>
          <w:p>
            <w:pPr>
              <w:spacing w:after="0"/>
              <w:rPr>
                <w:sz w:val="24"/>
                <w:szCs w:val="24"/>
                <w:color w:val="auto"/>
              </w:rPr>
            </w:pPr>
          </w:p>
        </w:tc>
        <w:tc>
          <w:tcPr>
            <w:tcW w:w="106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Reports of Independent Registered Public Accounting Firm (PCAOB ID: 34) (PCAOB ID: 42)</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89"/>
              </w:rPr>
              <w:t>F-1</w:t>
            </w:r>
          </w:p>
        </w:tc>
      </w:tr>
      <w:tr>
        <w:trPr>
          <w:trHeight w:val="20"/>
        </w:trPr>
        <w:tc>
          <w:tcPr>
            <w:tcW w:w="100" w:type="dxa"/>
            <w:vAlign w:val="bottom"/>
          </w:tcPr>
          <w:p>
            <w:pPr>
              <w:spacing w:after="0" w:line="20" w:lineRule="exact"/>
              <w:rPr>
                <w:sz w:val="1"/>
                <w:szCs w:val="1"/>
                <w:color w:val="auto"/>
              </w:rPr>
            </w:pPr>
          </w:p>
        </w:tc>
        <w:tc>
          <w:tcPr>
            <w:tcW w:w="29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18"/>
        </w:trPr>
        <w:tc>
          <w:tcPr>
            <w:tcW w:w="100" w:type="dxa"/>
            <w:vAlign w:val="bottom"/>
          </w:tcPr>
          <w:p>
            <w:pPr>
              <w:spacing w:after="0"/>
              <w:rPr>
                <w:sz w:val="24"/>
                <w:szCs w:val="24"/>
                <w:color w:val="auto"/>
              </w:rPr>
            </w:pPr>
          </w:p>
        </w:tc>
        <w:tc>
          <w:tcPr>
            <w:tcW w:w="106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Balance Sheets as of December 31, 2023 and 2022</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89"/>
              </w:rPr>
              <w:t>F-5</w:t>
            </w: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29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18"/>
        </w:trPr>
        <w:tc>
          <w:tcPr>
            <w:tcW w:w="100" w:type="dxa"/>
            <w:vAlign w:val="bottom"/>
          </w:tcPr>
          <w:p>
            <w:pPr>
              <w:spacing w:after="0"/>
              <w:rPr>
                <w:sz w:val="24"/>
                <w:szCs w:val="24"/>
                <w:color w:val="auto"/>
              </w:rPr>
            </w:pPr>
          </w:p>
        </w:tc>
        <w:tc>
          <w:tcPr>
            <w:tcW w:w="106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Operations for the Years Ended December 31, 2023, 2022, and 2021</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89"/>
              </w:rPr>
              <w:t>F-6</w:t>
            </w: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2960" w:type="dxa"/>
            <w:vAlign w:val="bottom"/>
            <w:tcBorders>
              <w:right w:val="single" w:sz="8" w:color="0000FF"/>
            </w:tcBorders>
            <w:gridSpan w:val="2"/>
            <w:shd w:val="clear" w:color="auto" w:fill="0000FF"/>
          </w:tcPr>
          <w:p>
            <w:pPr>
              <w:spacing w:after="0" w:line="20" w:lineRule="exact"/>
              <w:rPr>
                <w:sz w:val="1"/>
                <w:szCs w:val="1"/>
                <w:color w:val="auto"/>
              </w:rPr>
            </w:pPr>
          </w:p>
        </w:tc>
        <w:tc>
          <w:tcPr>
            <w:tcW w:w="304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18"/>
        </w:trPr>
        <w:tc>
          <w:tcPr>
            <w:tcW w:w="100" w:type="dxa"/>
            <w:vAlign w:val="bottom"/>
          </w:tcPr>
          <w:p>
            <w:pPr>
              <w:spacing w:after="0"/>
              <w:rPr>
                <w:sz w:val="24"/>
                <w:szCs w:val="24"/>
                <w:color w:val="auto"/>
              </w:rPr>
            </w:pPr>
          </w:p>
        </w:tc>
        <w:tc>
          <w:tcPr>
            <w:tcW w:w="106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 for the Years Ended December 31, 2023, 2022, and 2021</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89"/>
              </w:rPr>
              <w:t>F-7</w:t>
            </w: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2960" w:type="dxa"/>
            <w:vAlign w:val="bottom"/>
            <w:tcBorders>
              <w:right w:val="single" w:sz="8" w:color="0000FF"/>
            </w:tcBorders>
            <w:gridSpan w:val="2"/>
            <w:shd w:val="clear" w:color="auto" w:fill="0000FF"/>
          </w:tcPr>
          <w:p>
            <w:pPr>
              <w:spacing w:after="0" w:line="20" w:lineRule="exact"/>
              <w:rPr>
                <w:sz w:val="1"/>
                <w:szCs w:val="1"/>
                <w:color w:val="auto"/>
              </w:rPr>
            </w:pPr>
          </w:p>
        </w:tc>
        <w:tc>
          <w:tcPr>
            <w:tcW w:w="308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18"/>
        </w:trPr>
        <w:tc>
          <w:tcPr>
            <w:tcW w:w="100" w:type="dxa"/>
            <w:vAlign w:val="bottom"/>
          </w:tcPr>
          <w:p>
            <w:pPr>
              <w:spacing w:after="0"/>
              <w:rPr>
                <w:sz w:val="24"/>
                <w:szCs w:val="24"/>
                <w:color w:val="auto"/>
              </w:rPr>
            </w:pPr>
          </w:p>
        </w:tc>
        <w:tc>
          <w:tcPr>
            <w:tcW w:w="106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the Years Ended December 31, 2023, 2022, and 2021</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89"/>
              </w:rPr>
              <w:t>F-8</w:t>
            </w: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2960" w:type="dxa"/>
            <w:vAlign w:val="bottom"/>
            <w:tcBorders>
              <w:right w:val="single" w:sz="8" w:color="0000FF"/>
            </w:tcBorders>
            <w:gridSpan w:val="2"/>
            <w:shd w:val="clear" w:color="auto" w:fill="0000FF"/>
          </w:tcPr>
          <w:p>
            <w:pPr>
              <w:spacing w:after="0" w:line="20" w:lineRule="exact"/>
              <w:rPr>
                <w:sz w:val="1"/>
                <w:szCs w:val="1"/>
                <w:color w:val="auto"/>
              </w:rPr>
            </w:pPr>
          </w:p>
        </w:tc>
        <w:tc>
          <w:tcPr>
            <w:tcW w:w="3080" w:type="dxa"/>
            <w:vAlign w:val="bottom"/>
            <w:gridSpan w:val="4"/>
            <w:shd w:val="clear" w:color="auto" w:fill="0000FF"/>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18"/>
        </w:trPr>
        <w:tc>
          <w:tcPr>
            <w:tcW w:w="100" w:type="dxa"/>
            <w:vAlign w:val="bottom"/>
          </w:tcPr>
          <w:p>
            <w:pPr>
              <w:spacing w:after="0"/>
              <w:rPr>
                <w:sz w:val="24"/>
                <w:szCs w:val="24"/>
                <w:color w:val="auto"/>
              </w:rPr>
            </w:pPr>
          </w:p>
        </w:tc>
        <w:tc>
          <w:tcPr>
            <w:tcW w:w="106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Notes to the Consolidated Financial Statements</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89"/>
              </w:rPr>
              <w:t>F-9</w:t>
            </w:r>
          </w:p>
        </w:tc>
      </w:tr>
      <w:tr>
        <w:trPr>
          <w:trHeight w:val="20"/>
        </w:trPr>
        <w:tc>
          <w:tcPr>
            <w:tcW w:w="1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0" w:type="dxa"/>
            <w:vAlign w:val="bottom"/>
            <w:tcBorders>
              <w:right w:val="single" w:sz="8" w:color="0000EE"/>
            </w:tcBorders>
            <w:shd w:val="clear" w:color="auto" w:fill="0000FF"/>
          </w:tcPr>
          <w:p>
            <w:pPr>
              <w:spacing w:after="0" w:line="20" w:lineRule="exact"/>
              <w:rPr>
                <w:sz w:val="1"/>
                <w:szCs w:val="1"/>
                <w:color w:val="auto"/>
              </w:rPr>
            </w:pPr>
          </w:p>
        </w:tc>
        <w:tc>
          <w:tcPr>
            <w:tcW w:w="764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4"/>
        </w:trPr>
        <w:tc>
          <w:tcPr>
            <w:tcW w:w="100" w:type="dxa"/>
            <w:vAlign w:val="bottom"/>
          </w:tcPr>
          <w:p>
            <w:pPr>
              <w:spacing w:after="0"/>
              <w:rPr>
                <w:sz w:val="24"/>
                <w:szCs w:val="24"/>
                <w:color w:val="auto"/>
              </w:rPr>
            </w:pPr>
          </w:p>
        </w:tc>
        <w:tc>
          <w:tcPr>
            <w:tcW w:w="76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w w:val="82"/>
              </w:rPr>
              <w:t>2.</w:t>
            </w:r>
          </w:p>
        </w:tc>
        <w:tc>
          <w:tcPr>
            <w:tcW w:w="9840" w:type="dxa"/>
            <w:vAlign w:val="bottom"/>
            <w:gridSpan w:val="7"/>
          </w:tcPr>
          <w:p>
            <w:pPr>
              <w:ind w:left="200"/>
              <w:spacing w:after="0"/>
              <w:rPr>
                <w:sz w:val="20"/>
                <w:szCs w:val="20"/>
                <w:color w:val="auto"/>
              </w:rPr>
            </w:pPr>
            <w:r>
              <w:rPr>
                <w:rFonts w:ascii="Times New Roman" w:cs="Times New Roman" w:eastAsia="Times New Roman" w:hAnsi="Times New Roman"/>
                <w:sz w:val="16"/>
                <w:szCs w:val="16"/>
                <w:b w:val="1"/>
                <w:bCs w:val="1"/>
                <w:color w:val="auto"/>
              </w:rPr>
              <w:t>Consolidated Financial Statement Schedules</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71" w:lineRule="exact"/>
        <w:rPr>
          <w:sz w:val="20"/>
          <w:szCs w:val="20"/>
          <w:color w:val="auto"/>
        </w:rPr>
      </w:pPr>
    </w:p>
    <w:p>
      <w:pPr>
        <w:ind w:firstLine="751"/>
        <w:spacing w:after="0" w:line="255" w:lineRule="auto"/>
        <w:rPr>
          <w:sz w:val="20"/>
          <w:szCs w:val="20"/>
          <w:color w:val="auto"/>
        </w:rPr>
      </w:pPr>
      <w:r>
        <w:rPr>
          <w:rFonts w:ascii="Times New Roman" w:cs="Times New Roman" w:eastAsia="Times New Roman" w:hAnsi="Times New Roman"/>
          <w:sz w:val="16"/>
          <w:szCs w:val="16"/>
          <w:color w:val="auto"/>
        </w:rPr>
        <w:t>The financial statement schedule entitled “Schedule II – Valuation and Qualifying Accounts” has been omitted since the information required is included in the consolidated financial statements and notes thereto. Other schedules are omitted because they are not applicable, or the required information is shown in the Financial Statements or notes thereto.</w:t>
      </w:r>
    </w:p>
    <w:p>
      <w:pPr>
        <w:spacing w:after="0" w:line="158" w:lineRule="exact"/>
        <w:rPr>
          <w:sz w:val="20"/>
          <w:szCs w:val="20"/>
          <w:color w:val="auto"/>
        </w:rPr>
      </w:pPr>
    </w:p>
    <w:p>
      <w:pPr>
        <w:ind w:left="1060" w:hanging="316"/>
        <w:spacing w:after="0"/>
        <w:tabs>
          <w:tab w:leader="none" w:pos="1060" w:val="left"/>
        </w:tabs>
        <w:numPr>
          <w:ilvl w:val="0"/>
          <w:numId w:val="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Exhibits</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list of exhibits filed with this report is set forth in the Exhibit Index following the signature page and is incorporated herein by reference.</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9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2"/>
                <w:szCs w:val="12"/>
                <w:b w:val="1"/>
                <w:bCs w:val="1"/>
                <w:color w:val="auto"/>
              </w:rPr>
              <w:t>Page</w:t>
            </w:r>
          </w:p>
        </w:tc>
        <w:tc>
          <w:tcPr>
            <w:tcW w:w="60" w:type="dxa"/>
            <w:vAlign w:val="bottom"/>
          </w:tcPr>
          <w:p>
            <w:pPr>
              <w:spacing w:after="0"/>
              <w:rPr>
                <w:sz w:val="13"/>
                <w:szCs w:val="13"/>
                <w:color w:val="auto"/>
              </w:rPr>
            </w:pPr>
          </w:p>
        </w:tc>
      </w:tr>
      <w:tr>
        <w:trPr>
          <w:trHeight w:val="178"/>
        </w:trPr>
        <w:tc>
          <w:tcPr>
            <w:tcW w:w="40" w:type="dxa"/>
            <w:vAlign w:val="bottom"/>
          </w:tcPr>
          <w:p>
            <w:pPr>
              <w:spacing w:after="0"/>
              <w:rPr>
                <w:sz w:val="15"/>
                <w:szCs w:val="15"/>
                <w:color w:val="auto"/>
              </w:rPr>
            </w:pPr>
          </w:p>
        </w:tc>
        <w:tc>
          <w:tcPr>
            <w:tcW w:w="3720" w:type="dxa"/>
            <w:vAlign w:val="bottom"/>
            <w:tcBorders>
              <w:bottom w:val="single" w:sz="8" w:color="0000FF"/>
            </w:tcBorders>
            <w:gridSpan w:val="2"/>
          </w:tcPr>
          <w:p>
            <w:pPr>
              <w:spacing w:after="0" w:line="178" w:lineRule="exact"/>
              <w:rPr>
                <w:sz w:val="20"/>
                <w:szCs w:val="20"/>
                <w:color w:val="auto"/>
              </w:rPr>
            </w:pPr>
            <w:r>
              <w:rPr>
                <w:rFonts w:ascii="Times New Roman" w:cs="Times New Roman" w:eastAsia="Times New Roman" w:hAnsi="Times New Roman"/>
                <w:sz w:val="16"/>
                <w:szCs w:val="16"/>
                <w:color w:val="0000FF"/>
                <w:w w:val="97"/>
              </w:rPr>
              <w:t>Reports of Independent Registered Public Accounting Firm</w:t>
            </w:r>
          </w:p>
        </w:tc>
        <w:tc>
          <w:tcPr>
            <w:tcW w:w="6540" w:type="dxa"/>
            <w:vAlign w:val="bottom"/>
            <w:gridSpan w:val="5"/>
          </w:tcPr>
          <w:p>
            <w:pPr>
              <w:spacing w:after="0"/>
              <w:rPr>
                <w:sz w:val="15"/>
                <w:szCs w:val="15"/>
                <w:color w:val="auto"/>
              </w:rPr>
            </w:pPr>
          </w:p>
        </w:tc>
        <w:tc>
          <w:tcPr>
            <w:tcW w:w="960" w:type="dxa"/>
            <w:vAlign w:val="bottom"/>
            <w:gridSpan w:val="2"/>
          </w:tcPr>
          <w:p>
            <w:pPr>
              <w:ind w:left="680"/>
              <w:spacing w:after="0" w:line="178" w:lineRule="exact"/>
              <w:rPr>
                <w:sz w:val="20"/>
                <w:szCs w:val="20"/>
                <w:color w:val="auto"/>
              </w:rPr>
            </w:pPr>
            <w:r>
              <w:rPr>
                <w:rFonts w:ascii="Times New Roman" w:cs="Times New Roman" w:eastAsia="Times New Roman" w:hAnsi="Times New Roman"/>
                <w:sz w:val="16"/>
                <w:szCs w:val="16"/>
                <w:color w:val="auto"/>
              </w:rPr>
              <w:t>F-1</w:t>
            </w:r>
          </w:p>
        </w:tc>
      </w:tr>
      <w:tr>
        <w:trPr>
          <w:trHeight w:val="190"/>
        </w:trPr>
        <w:tc>
          <w:tcPr>
            <w:tcW w:w="40" w:type="dxa"/>
            <w:vAlign w:val="bottom"/>
          </w:tcPr>
          <w:p>
            <w:pPr>
              <w:spacing w:after="0"/>
              <w:rPr>
                <w:sz w:val="16"/>
                <w:szCs w:val="16"/>
                <w:color w:val="auto"/>
              </w:rPr>
            </w:pPr>
          </w:p>
        </w:tc>
        <w:tc>
          <w:tcPr>
            <w:tcW w:w="102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Consolidated Balance Sheets as of December 31, 2023 and 2022</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F-5</w:t>
            </w:r>
          </w:p>
        </w:tc>
      </w:tr>
      <w:tr>
        <w:trPr>
          <w:trHeight w:val="20"/>
        </w:trPr>
        <w:tc>
          <w:tcPr>
            <w:tcW w:w="4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300" w:type="dxa"/>
            <w:vAlign w:val="bottom"/>
            <w:tcBorders>
              <w:right w:val="single" w:sz="8" w:color="0000EE"/>
            </w:tcBorders>
            <w:gridSpan w:val="2"/>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59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7"/>
              </w:rPr>
              <w:t>Consolidated Statements of Operations for the years ended December 31, 2023, 2022, and 2021</w:t>
            </w:r>
          </w:p>
        </w:tc>
        <w:tc>
          <w:tcPr>
            <w:tcW w:w="4280" w:type="dxa"/>
            <w:vAlign w:val="bottom"/>
            <w:gridSpan w:val="3"/>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F-6</w:t>
            </w:r>
          </w:p>
        </w:tc>
      </w:tr>
      <w:tr>
        <w:trPr>
          <w:trHeight w:val="190"/>
        </w:trPr>
        <w:tc>
          <w:tcPr>
            <w:tcW w:w="40" w:type="dxa"/>
            <w:vAlign w:val="bottom"/>
          </w:tcPr>
          <w:p>
            <w:pPr>
              <w:spacing w:after="0"/>
              <w:rPr>
                <w:sz w:val="16"/>
                <w:szCs w:val="16"/>
                <w:color w:val="auto"/>
              </w:rPr>
            </w:pPr>
          </w:p>
        </w:tc>
        <w:tc>
          <w:tcPr>
            <w:tcW w:w="102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 for the years ended December 31, 2023, 2022, and 2021</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F-7</w:t>
            </w:r>
          </w:p>
        </w:tc>
      </w:tr>
      <w:tr>
        <w:trPr>
          <w:trHeight w:val="190"/>
        </w:trPr>
        <w:tc>
          <w:tcPr>
            <w:tcW w:w="40" w:type="dxa"/>
            <w:vAlign w:val="bottom"/>
          </w:tcPr>
          <w:p>
            <w:pPr>
              <w:spacing w:after="0"/>
              <w:rPr>
                <w:sz w:val="16"/>
                <w:szCs w:val="16"/>
                <w:color w:val="auto"/>
              </w:rPr>
            </w:pPr>
          </w:p>
        </w:tc>
        <w:tc>
          <w:tcPr>
            <w:tcW w:w="60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7"/>
              </w:rPr>
              <w:t>Consolidated Statements of Cash Flows for the years ended December 31, 2023, 2022, and 2021</w:t>
            </w:r>
          </w:p>
        </w:tc>
        <w:tc>
          <w:tcPr>
            <w:tcW w:w="580" w:type="dxa"/>
            <w:vAlign w:val="bottom"/>
            <w:tcBorders>
              <w:top w:val="single" w:sz="8" w:color="0000FF"/>
            </w:tcBorders>
          </w:tcPr>
          <w:p>
            <w:pPr>
              <w:spacing w:after="0"/>
              <w:rPr>
                <w:sz w:val="16"/>
                <w:szCs w:val="16"/>
                <w:color w:val="auto"/>
              </w:rPr>
            </w:pPr>
          </w:p>
        </w:tc>
        <w:tc>
          <w:tcPr>
            <w:tcW w:w="366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F-8</w:t>
            </w:r>
          </w:p>
        </w:tc>
      </w:tr>
      <w:tr>
        <w:trPr>
          <w:trHeight w:val="190"/>
        </w:trPr>
        <w:tc>
          <w:tcPr>
            <w:tcW w:w="40" w:type="dxa"/>
            <w:vAlign w:val="bottom"/>
          </w:tcPr>
          <w:p>
            <w:pPr>
              <w:spacing w:after="0"/>
              <w:rPr>
                <w:sz w:val="16"/>
                <w:szCs w:val="16"/>
                <w:color w:val="auto"/>
              </w:rPr>
            </w:pPr>
          </w:p>
        </w:tc>
        <w:tc>
          <w:tcPr>
            <w:tcW w:w="27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7"/>
              </w:rPr>
              <w:t>Notes to Consolidated Financial Statements</w:t>
            </w:r>
          </w:p>
        </w:tc>
        <w:tc>
          <w:tcPr>
            <w:tcW w:w="7520" w:type="dxa"/>
            <w:vAlign w:val="bottom"/>
            <w:gridSpan w:val="6"/>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F-9</w:t>
            </w:r>
          </w:p>
        </w:tc>
      </w:tr>
      <w:tr>
        <w:trPr>
          <w:trHeight w:val="773"/>
        </w:trPr>
        <w:tc>
          <w:tcPr>
            <w:tcW w:w="60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126</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58"/>
        </w:trPr>
        <w:tc>
          <w:tcPr>
            <w:tcW w:w="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3660" w:firstLine="3684"/>
        <w:spacing w:after="0" w:line="366" w:lineRule="auto"/>
        <w:rPr>
          <w:sz w:val="20"/>
          <w:szCs w:val="20"/>
          <w:color w:val="auto"/>
        </w:rPr>
      </w:pPr>
      <w:r>
        <w:rPr>
          <w:rFonts w:ascii="Times New Roman" w:cs="Times New Roman" w:eastAsia="Times New Roman" w:hAnsi="Times New Roman"/>
          <w:sz w:val="16"/>
          <w:szCs w:val="16"/>
          <w:b w:val="1"/>
          <w:bCs w:val="1"/>
          <w:color w:val="auto"/>
        </w:rPr>
        <w:t xml:space="preserve">Report of Independent Registered Public Accounting Firm </w:t>
      </w:r>
      <w:r>
        <w:rPr>
          <w:rFonts w:ascii="Times New Roman" w:cs="Times New Roman" w:eastAsia="Times New Roman" w:hAnsi="Times New Roman"/>
          <w:sz w:val="16"/>
          <w:szCs w:val="16"/>
          <w:color w:val="auto"/>
        </w:rPr>
        <w:t xml:space="preserve">To the shareholders and the Board of Directors of Axsome Therapeutics, Inc. </w:t>
      </w:r>
      <w:r>
        <w:rPr>
          <w:rFonts w:ascii="Times New Roman" w:cs="Times New Roman" w:eastAsia="Times New Roman" w:hAnsi="Times New Roman"/>
          <w:sz w:val="16"/>
          <w:szCs w:val="16"/>
          <w:b w:val="1"/>
          <w:bCs w:val="1"/>
          <w:color w:val="auto"/>
        </w:rPr>
        <w:t>Opinion on the Financial Statements</w:t>
      </w:r>
    </w:p>
    <w:p>
      <w:pPr>
        <w:ind w:right="140"/>
        <w:spacing w:after="0" w:line="299"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 of Axsome Therapeutics, Inc. and subsidiaries (the "Company") as of December 31, 2023, the related consolidated statement of operations, consolidated statement of stockholders’ equity, and cash flows for the year ended December 31, 2023, and the related notes (collectively referred to as the "financial statements"). In our opinion, the financial statements present fairly, in all material respects, the financial position of the Company as of December 31, 2023, and the results of its operations and its cash flows for the period ended December 31, 2023, in conformity with accounting principles generally accepted in the United States of America.</w:t>
      </w:r>
    </w:p>
    <w:p>
      <w:pPr>
        <w:spacing w:after="0" w:line="38" w:lineRule="exact"/>
        <w:rPr>
          <w:sz w:val="20"/>
          <w:szCs w:val="20"/>
          <w:color w:val="auto"/>
        </w:rPr>
      </w:pPr>
    </w:p>
    <w:p>
      <w:pPr>
        <w:ind w:right="180"/>
        <w:spacing w:after="0" w:line="309" w:lineRule="auto"/>
        <w:rPr>
          <w:sz w:val="20"/>
          <w:szCs w:val="20"/>
          <w:color w:val="auto"/>
        </w:rPr>
      </w:pPr>
      <w:r>
        <w:rPr>
          <w:rFonts w:ascii="Times New Roman" w:cs="Times New Roman" w:eastAsia="Times New Roman" w:hAnsi="Times New Roman"/>
          <w:sz w:val="14"/>
          <w:szCs w:val="14"/>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 and our report dated February 23, 2024, expressed an unqualified opinion on the Company's internal control over financial reporting.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9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9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69" w:lineRule="exact"/>
        <w:rPr>
          <w:sz w:val="20"/>
          <w:szCs w:val="20"/>
          <w:color w:val="auto"/>
        </w:rPr>
      </w:pPr>
    </w:p>
    <w:p>
      <w:pPr>
        <w:ind w:right="3980"/>
        <w:spacing w:after="0" w:line="366" w:lineRule="auto"/>
        <w:rPr>
          <w:sz w:val="20"/>
          <w:szCs w:val="20"/>
          <w:color w:val="auto"/>
        </w:rPr>
      </w:pPr>
      <w:r>
        <w:rPr>
          <w:rFonts w:ascii="Times New Roman" w:cs="Times New Roman" w:eastAsia="Times New Roman" w:hAnsi="Times New Roman"/>
          <w:sz w:val="16"/>
          <w:szCs w:val="16"/>
          <w:b w:val="1"/>
          <w:bCs w:val="1"/>
          <w:color w:val="auto"/>
        </w:rPr>
        <w:t xml:space="preserve">Reserves for Variable Consideration - Commercial Managed Care— </w:t>
      </w:r>
      <w:r>
        <w:rPr>
          <w:rFonts w:ascii="Times New Roman" w:cs="Times New Roman" w:eastAsia="Times New Roman" w:hAnsi="Times New Roman"/>
          <w:sz w:val="16"/>
          <w:szCs w:val="16"/>
          <w:b w:val="1"/>
          <w:bCs w:val="1"/>
          <w:i w:val="1"/>
          <w:iCs w:val="1"/>
          <w:color w:val="auto"/>
        </w:rPr>
        <w:t>Refer to Note 2 to the financial statements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Critical Audit Matter Description</w:t>
      </w:r>
    </w:p>
    <w:p>
      <w:pPr>
        <w:spacing w:after="0" w:line="1"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6"/>
          <w:szCs w:val="16"/>
          <w:color w:val="auto"/>
        </w:rPr>
        <w:t>As more fully disclosed in Note 2 to the financial statements, the Company records revenues net of provisions for rebates, discounts, and other incentives and returns, which are established at the time of sale. These reductions are attributed to various commercial arrangements, managed healthcare organizations, and government programs that mandate various reductions from list price. Chargebacks and cash discounts are reflected as a reduction to receivables and settled through the issuance of credits to the customer. All other rebates, discounts and adjustments, are reflected as a liability and settled through cash payments.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The provision related to Commercial Managed Care rebate programs (the “Commercial rebate accruals”) involve the use of significant assumptions and judgments in their calculation. These significant assumptions and judgments include consideration of prior payment history, customer segment utilization mix data, changes to product price, expected patient usage, claims submission time lags, and inventory levels in the distribution channel.</w:t>
      </w:r>
    </w:p>
    <w:p>
      <w:pPr>
        <w:spacing w:after="0" w:line="67" w:lineRule="exact"/>
        <w:rPr>
          <w:sz w:val="20"/>
          <w:szCs w:val="20"/>
          <w:color w:val="auto"/>
        </w:rPr>
      </w:pPr>
    </w:p>
    <w:p>
      <w:pPr>
        <w:ind w:right="560"/>
        <w:spacing w:after="0" w:line="267" w:lineRule="auto"/>
        <w:rPr>
          <w:sz w:val="20"/>
          <w:szCs w:val="20"/>
          <w:color w:val="auto"/>
        </w:rPr>
      </w:pPr>
      <w:r>
        <w:rPr>
          <w:rFonts w:ascii="Times New Roman" w:cs="Times New Roman" w:eastAsia="Times New Roman" w:hAnsi="Times New Roman"/>
          <w:sz w:val="16"/>
          <w:szCs w:val="16"/>
          <w:color w:val="auto"/>
        </w:rPr>
        <w:t>Given the complexity involved in determining the significant assumptions used in calculating the Commercial rebate accruals, auditing these estimates involved especially subjective judgment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How the Critical Audit Matter Was Addressed in the Audit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audit procedures related to Commercial rebate accruals included the following, among others:</w:t>
      </w:r>
    </w:p>
    <w:p>
      <w:pPr>
        <w:spacing w:after="0" w:line="96" w:lineRule="exact"/>
        <w:rPr>
          <w:sz w:val="20"/>
          <w:szCs w:val="20"/>
          <w:color w:val="auto"/>
        </w:rPr>
      </w:pPr>
    </w:p>
    <w:p>
      <w:pPr>
        <w:ind w:left="1020" w:hanging="517"/>
        <w:spacing w:after="0"/>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appropriateness and consistency of the Company’s methods and assumptions used to calculate Commercial rebate accruals.</w:t>
      </w:r>
    </w:p>
    <w:p>
      <w:pPr>
        <w:spacing w:after="0" w:line="96" w:lineRule="exact"/>
        <w:rPr>
          <w:rFonts w:ascii="Times New Roman" w:cs="Times New Roman" w:eastAsia="Times New Roman" w:hAnsi="Times New Roman"/>
          <w:sz w:val="16"/>
          <w:szCs w:val="16"/>
          <w:color w:val="auto"/>
        </w:rPr>
      </w:pPr>
    </w:p>
    <w:p>
      <w:pPr>
        <w:ind w:left="1020" w:right="360" w:hanging="517"/>
        <w:spacing w:after="0" w:line="267" w:lineRule="auto"/>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effectiveness of internal controls over the review of the Company’s estimation model, including underlying assumptions and key inputs into the Company’s process to calculate Commercial rebate accruals.</w:t>
      </w:r>
    </w:p>
    <w:p>
      <w:pPr>
        <w:spacing w:after="0" w:line="57" w:lineRule="exact"/>
        <w:rPr>
          <w:rFonts w:ascii="Times New Roman" w:cs="Times New Roman" w:eastAsia="Times New Roman" w:hAnsi="Times New Roman"/>
          <w:sz w:val="16"/>
          <w:szCs w:val="16"/>
          <w:color w:val="auto"/>
        </w:rPr>
      </w:pPr>
    </w:p>
    <w:p>
      <w:pPr>
        <w:ind w:left="1020" w:hanging="517"/>
        <w:spacing w:after="0"/>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mathematical accuracy of Commercial rebate accruals.</w:t>
      </w:r>
    </w:p>
    <w:p>
      <w:pPr>
        <w:spacing w:after="0" w:line="96" w:lineRule="exact"/>
        <w:rPr>
          <w:rFonts w:ascii="Times New Roman" w:cs="Times New Roman" w:eastAsia="Times New Roman" w:hAnsi="Times New Roman"/>
          <w:sz w:val="16"/>
          <w:szCs w:val="16"/>
          <w:color w:val="auto"/>
        </w:rPr>
      </w:pPr>
    </w:p>
    <w:p>
      <w:pPr>
        <w:ind w:left="1020" w:hanging="517"/>
        <w:spacing w:after="0"/>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significant assumptions and key inputs used to calculate Commercial rebate accruals.</w:t>
      </w:r>
    </w:p>
    <w:p>
      <w:pPr>
        <w:spacing w:after="0" w:line="96" w:lineRule="exact"/>
        <w:rPr>
          <w:rFonts w:ascii="Times New Roman" w:cs="Times New Roman" w:eastAsia="Times New Roman" w:hAnsi="Times New Roman"/>
          <w:sz w:val="16"/>
          <w:szCs w:val="16"/>
          <w:color w:val="auto"/>
        </w:rPr>
      </w:pPr>
    </w:p>
    <w:p>
      <w:pPr>
        <w:ind w:left="1020" w:hanging="517"/>
        <w:spacing w:after="0"/>
        <w:tabs>
          <w:tab w:leader="none" w:pos="10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the Company’s ability to estimate Commercial rebate accruals accurately by comparing actual amounts incurred for Commercial rebate accruals.</w:t>
      </w:r>
    </w:p>
    <w:p>
      <w:pPr>
        <w:spacing w:after="0" w:line="119" w:lineRule="exact"/>
        <w:rPr>
          <w:rFonts w:ascii="Times New Roman" w:cs="Times New Roman" w:eastAsia="Times New Roman" w:hAnsi="Times New Roman"/>
          <w:sz w:val="14"/>
          <w:szCs w:val="14"/>
          <w:color w:val="auto"/>
        </w:rPr>
      </w:pPr>
    </w:p>
    <w:p>
      <w:pPr>
        <w:ind w:left="1020" w:right="280" w:hanging="517"/>
        <w:spacing w:after="0" w:line="267" w:lineRule="auto"/>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overall reasonableness of the Commercial rebate accruals recorded at period end by developing an expectation for comparison to actual recorded balances.</w:t>
      </w:r>
    </w:p>
    <w:p>
      <w:pPr>
        <w:spacing w:after="0" w:line="57" w:lineRule="exact"/>
        <w:rPr>
          <w:rFonts w:ascii="Times New Roman" w:cs="Times New Roman" w:eastAsia="Times New Roman" w:hAnsi="Times New Roman"/>
          <w:sz w:val="16"/>
          <w:szCs w:val="16"/>
          <w:color w:val="auto"/>
        </w:rPr>
      </w:pPr>
    </w:p>
    <w:p>
      <w:pPr>
        <w:ind w:left="1020" w:hanging="517"/>
        <w:spacing w:after="0"/>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involved audit professionals with industry and quantitative analytics experience to assist us in performing our auditing procedures.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Morristown, New Jersey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23, 2024</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2023.</w:t>
      </w: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80"/>
          </w:cols>
          <w:pgMar w:left="320" w:top="680" w:right="399" w:bottom="1440" w:gutter="0" w:footer="0" w:header="0"/>
        </w:sectPr>
      </w:pPr>
    </w:p>
    <w:bookmarkStart w:id="128" w:name="page129"/>
    <w:bookmarkEnd w:id="128"/>
    <w:p>
      <w:pPr>
        <w:ind w:left="7"/>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56007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7" w:right="3640" w:firstLine="3684"/>
        <w:spacing w:after="0" w:line="366" w:lineRule="auto"/>
        <w:rPr>
          <w:sz w:val="20"/>
          <w:szCs w:val="20"/>
          <w:color w:val="auto"/>
        </w:rPr>
      </w:pPr>
      <w:r>
        <w:rPr>
          <w:rFonts w:ascii="Times New Roman" w:cs="Times New Roman" w:eastAsia="Times New Roman" w:hAnsi="Times New Roman"/>
          <w:sz w:val="16"/>
          <w:szCs w:val="16"/>
          <w:b w:val="1"/>
          <w:bCs w:val="1"/>
          <w:color w:val="auto"/>
        </w:rPr>
        <w:t xml:space="preserve">Report of Independent Registered Public Accounting Firm </w:t>
      </w:r>
      <w:r>
        <w:rPr>
          <w:rFonts w:ascii="Times New Roman" w:cs="Times New Roman" w:eastAsia="Times New Roman" w:hAnsi="Times New Roman"/>
          <w:sz w:val="16"/>
          <w:szCs w:val="16"/>
          <w:color w:val="auto"/>
        </w:rPr>
        <w:t xml:space="preserve">To the shareholders and the Board of Directors of Axsome Therapeutics, Inc. </w:t>
      </w:r>
      <w:r>
        <w:rPr>
          <w:rFonts w:ascii="Times New Roman" w:cs="Times New Roman" w:eastAsia="Times New Roman" w:hAnsi="Times New Roman"/>
          <w:sz w:val="16"/>
          <w:szCs w:val="16"/>
          <w:b w:val="1"/>
          <w:bCs w:val="1"/>
          <w:color w:val="auto"/>
        </w:rPr>
        <w:t>Opinion on Internal Control over Financial Reporting</w:t>
      </w:r>
    </w:p>
    <w:p>
      <w:pPr>
        <w:ind w:left="7"/>
        <w:spacing w:after="0" w:line="251" w:lineRule="auto"/>
        <w:rPr>
          <w:sz w:val="20"/>
          <w:szCs w:val="20"/>
          <w:color w:val="auto"/>
        </w:rPr>
      </w:pPr>
      <w:r>
        <w:rPr>
          <w:rFonts w:ascii="Times New Roman" w:cs="Times New Roman" w:eastAsia="Times New Roman" w:hAnsi="Times New Roman"/>
          <w:sz w:val="16"/>
          <w:szCs w:val="16"/>
          <w:color w:val="auto"/>
        </w:rPr>
        <w:t xml:space="preserve">We have audited the internal control over financial reporting of Axsome Therapeutics, Inc. and subsidiaries (the “Company”) as of December 31, 2023,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6"/>
          <w:szCs w:val="16"/>
          <w:i w:val="1"/>
          <w:iCs w:val="1"/>
          <w:color w:val="auto"/>
        </w:rPr>
        <w:t>Internal Control — Integrated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Framework (2013) </w:t>
      </w:r>
      <w:r>
        <w:rPr>
          <w:rFonts w:ascii="Times New Roman" w:cs="Times New Roman" w:eastAsia="Times New Roman" w:hAnsi="Times New Roman"/>
          <w:sz w:val="16"/>
          <w:szCs w:val="16"/>
          <w:color w:val="auto"/>
        </w:rPr>
        <w:t>issued by COSO.</w:t>
      </w:r>
    </w:p>
    <w:p>
      <w:pPr>
        <w:spacing w:after="0" w:line="71" w:lineRule="exact"/>
        <w:rPr>
          <w:sz w:val="20"/>
          <w:szCs w:val="20"/>
          <w:color w:val="auto"/>
        </w:rPr>
      </w:pPr>
    </w:p>
    <w:p>
      <w:pPr>
        <w:ind w:left="7" w:right="140"/>
        <w:spacing w:after="0" w:line="267" w:lineRule="auto"/>
        <w:rPr>
          <w:sz w:val="20"/>
          <w:szCs w:val="20"/>
          <w:color w:val="auto"/>
        </w:rPr>
      </w:pPr>
      <w:r>
        <w:rPr>
          <w:rFonts w:ascii="Times New Roman" w:cs="Times New Roman" w:eastAsia="Times New Roman" w:hAnsi="Times New Roman"/>
          <w:sz w:val="16"/>
          <w:szCs w:val="16"/>
          <w:color w:val="auto"/>
        </w:rPr>
        <w:t>We have also audited, in accordance with the standards of the Public Company Accounting Oversight Board (United States) (PCAOB), the consolidated financial statements as of and for the year ended December 31, 2023, of the Company and our report dated February 23, 2024, expressed an unqualified opinion on those financial statements.</w:t>
      </w:r>
    </w:p>
    <w:p>
      <w:pPr>
        <w:spacing w:after="0" w:line="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98" w:lineRule="exact"/>
        <w:rPr>
          <w:sz w:val="20"/>
          <w:szCs w:val="20"/>
          <w:color w:val="auto"/>
        </w:rPr>
      </w:pPr>
    </w:p>
    <w:p>
      <w:pPr>
        <w:ind w:left="7" w:right="20"/>
        <w:spacing w:after="0" w:line="299"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8" w:lineRule="exact"/>
        <w:rPr>
          <w:sz w:val="20"/>
          <w:szCs w:val="20"/>
          <w:color w:val="auto"/>
        </w:rPr>
      </w:pPr>
    </w:p>
    <w:p>
      <w:pPr>
        <w:ind w:left="7" w:right="40"/>
        <w:spacing w:after="0" w:line="251"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98" w:lineRule="exact"/>
        <w:rPr>
          <w:sz w:val="20"/>
          <w:szCs w:val="20"/>
          <w:color w:val="auto"/>
        </w:rPr>
      </w:pPr>
    </w:p>
    <w:p>
      <w:pPr>
        <w:ind w:left="7"/>
        <w:spacing w:after="0" w:line="286"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spacing w:after="0" w:line="1" w:lineRule="exact"/>
        <w:rPr>
          <w:sz w:val="20"/>
          <w:szCs w:val="20"/>
          <w:color w:val="auto"/>
        </w:rPr>
      </w:pPr>
    </w:p>
    <w:p>
      <w:pPr>
        <w:ind w:left="7" w:right="80" w:hanging="7"/>
        <w:spacing w:after="0" w:line="244" w:lineRule="auto"/>
        <w:tabs>
          <w:tab w:leader="none" w:pos="227"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6" w:lineRule="exact"/>
        <w:rPr>
          <w:sz w:val="20"/>
          <w:szCs w:val="20"/>
          <w:color w:val="auto"/>
        </w:rPr>
      </w:pPr>
    </w:p>
    <w:p>
      <w:pPr>
        <w:ind w:left="7" w:right="160"/>
        <w:spacing w:after="0" w:line="255"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37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Morristown, New Jersey</w:t>
      </w:r>
    </w:p>
    <w:p>
      <w:pPr>
        <w:spacing w:after="0" w:line="9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February 23, 2024</w:t>
      </w:r>
    </w:p>
    <w:p>
      <w:pPr>
        <w:spacing w:after="0" w:line="376"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414655</wp:posOffset>
            </wp:positionV>
            <wp:extent cx="7176135" cy="400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7"/>
          </w:cols>
          <w:pgMar w:left="313" w:top="680"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3600" w:firstLine="3684"/>
        <w:spacing w:after="0" w:line="366" w:lineRule="auto"/>
        <w:rPr>
          <w:sz w:val="20"/>
          <w:szCs w:val="20"/>
          <w:color w:val="auto"/>
        </w:rPr>
      </w:pPr>
      <w:r>
        <w:rPr>
          <w:rFonts w:ascii="Times New Roman" w:cs="Times New Roman" w:eastAsia="Times New Roman" w:hAnsi="Times New Roman"/>
          <w:sz w:val="16"/>
          <w:szCs w:val="16"/>
          <w:b w:val="1"/>
          <w:bCs w:val="1"/>
          <w:color w:val="auto"/>
        </w:rPr>
        <w:t xml:space="preserve">Report of Independent Registered Public Accounting Firm </w:t>
      </w:r>
      <w:r>
        <w:rPr>
          <w:rFonts w:ascii="Times New Roman" w:cs="Times New Roman" w:eastAsia="Times New Roman" w:hAnsi="Times New Roman"/>
          <w:sz w:val="16"/>
          <w:szCs w:val="16"/>
          <w:color w:val="auto"/>
        </w:rPr>
        <w:t xml:space="preserve">To the Shareholders and the Board of Directors of Axsome Therapeutics, Inc. </w:t>
      </w:r>
      <w:r>
        <w:rPr>
          <w:rFonts w:ascii="Times New Roman" w:cs="Times New Roman" w:eastAsia="Times New Roman" w:hAnsi="Times New Roman"/>
          <w:sz w:val="16"/>
          <w:szCs w:val="16"/>
          <w:b w:val="1"/>
          <w:bCs w:val="1"/>
          <w:color w:val="auto"/>
        </w:rPr>
        <w:t>Opinion on the Financial Statements</w:t>
      </w:r>
    </w:p>
    <w:p>
      <w:pPr>
        <w:spacing w:after="0" w:line="299"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 of Axsome Therapeutics, Inc. (the “Company”) as of December 31, 2022, the related consolidated statements of operations, stockholders’ equity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the results of its operations and its cash flows for each of the two years in the period ended December 31, 2022, in conformity with U.S. generally accepted accounting principles.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98"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from 2014 to 2023.</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27, 2023</w:t>
      </w: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80"/>
          </w:cols>
          <w:pgMar w:left="320" w:top="680" w:right="3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463"/>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ind w:right="443"/>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62"/>
        </w:trPr>
        <w:tc>
          <w:tcPr>
            <w:tcW w:w="7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202"/>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0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4"/>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386,193</w:t>
            </w:r>
          </w:p>
        </w:tc>
        <w:tc>
          <w:tcPr>
            <w:tcW w:w="42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200,842</w:t>
            </w:r>
          </w:p>
        </w:tc>
      </w:tr>
      <w:tr>
        <w:trPr>
          <w:trHeight w:val="206"/>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receivables, net</w:t>
            </w:r>
          </w:p>
        </w:tc>
        <w:tc>
          <w:tcPr>
            <w:tcW w:w="240" w:type="dxa"/>
            <w:vAlign w:val="bottom"/>
          </w:tcPr>
          <w:p>
            <w:pPr>
              <w:spacing w:after="0"/>
              <w:rPr>
                <w:sz w:val="17"/>
                <w:szCs w:val="17"/>
                <w:color w:val="auto"/>
              </w:rPr>
            </w:pPr>
          </w:p>
        </w:tc>
        <w:tc>
          <w:tcPr>
            <w:tcW w:w="14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94,820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37,699</w:t>
            </w:r>
          </w:p>
        </w:tc>
      </w:tr>
      <w:tr>
        <w:trPr>
          <w:trHeight w:val="214"/>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Inventories, net</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15,135</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4,320</w:t>
            </w:r>
          </w:p>
        </w:tc>
      </w:tr>
      <w:tr>
        <w:trPr>
          <w:trHeight w:val="206"/>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8,115</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2,781</w:t>
            </w:r>
          </w:p>
        </w:tc>
      </w:tr>
      <w:tr>
        <w:trPr>
          <w:trHeight w:val="205"/>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504,263</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245,642</w:t>
            </w:r>
          </w:p>
        </w:tc>
      </w:tr>
      <w:tr>
        <w:trPr>
          <w:trHeight w:val="20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Equipment, net</w:t>
            </w:r>
          </w:p>
        </w:tc>
        <w:tc>
          <w:tcPr>
            <w:tcW w:w="240" w:type="dxa"/>
            <w:vAlign w:val="bottom"/>
          </w:tcPr>
          <w:p>
            <w:pPr>
              <w:spacing w:after="0"/>
              <w:rPr>
                <w:sz w:val="17"/>
                <w:szCs w:val="17"/>
                <w:color w:val="auto"/>
              </w:rPr>
            </w:pPr>
          </w:p>
        </w:tc>
        <w:tc>
          <w:tcPr>
            <w:tcW w:w="14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846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722</w:t>
            </w:r>
          </w:p>
        </w:tc>
      </w:tr>
      <w:tr>
        <w:trPr>
          <w:trHeight w:val="21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Right-of-use asset - operating lease</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6,772</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420</w:t>
            </w:r>
          </w:p>
        </w:tc>
      </w:tr>
      <w:tr>
        <w:trPr>
          <w:trHeight w:val="20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7"/>
                <w:szCs w:val="17"/>
                <w:color w:val="auto"/>
              </w:rPr>
            </w:pPr>
          </w:p>
        </w:tc>
        <w:tc>
          <w:tcPr>
            <w:tcW w:w="14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12,042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10,310</w:t>
            </w:r>
          </w:p>
        </w:tc>
      </w:tr>
      <w:tr>
        <w:trPr>
          <w:trHeight w:val="21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 net</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53,286</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59,661</w:t>
            </w:r>
          </w:p>
        </w:tc>
      </w:tr>
      <w:tr>
        <w:trPr>
          <w:trHeight w:val="20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Non-current inventory and other assets</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11,027</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14,721</w:t>
            </w:r>
          </w:p>
        </w:tc>
      </w:tr>
      <w:tr>
        <w:trPr>
          <w:trHeight w:val="242"/>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588,236</w:t>
            </w:r>
          </w:p>
        </w:tc>
        <w:tc>
          <w:tcPr>
            <w:tcW w:w="42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331,476</w:t>
            </w:r>
          </w:p>
        </w:tc>
      </w:tr>
      <w:tr>
        <w:trPr>
          <w:trHeight w:val="186"/>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1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06"/>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40,679</w:t>
            </w:r>
          </w:p>
        </w:tc>
        <w:tc>
          <w:tcPr>
            <w:tcW w:w="42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38,605</w:t>
            </w:r>
          </w:p>
        </w:tc>
      </w:tr>
      <w:tr>
        <w:trPr>
          <w:trHeight w:val="214"/>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90,501</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51,631</w:t>
            </w:r>
          </w:p>
        </w:tc>
      </w:tr>
      <w:tr>
        <w:trPr>
          <w:trHeight w:val="206"/>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240" w:type="dxa"/>
            <w:vAlign w:val="bottom"/>
          </w:tcPr>
          <w:p>
            <w:pPr>
              <w:spacing w:after="0"/>
              <w:rPr>
                <w:sz w:val="17"/>
                <w:szCs w:val="17"/>
                <w:color w:val="auto"/>
              </w:rPr>
            </w:pPr>
          </w:p>
        </w:tc>
        <w:tc>
          <w:tcPr>
            <w:tcW w:w="14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1,267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425</w:t>
            </w:r>
          </w:p>
        </w:tc>
      </w:tr>
      <w:tr>
        <w:trPr>
          <w:trHeight w:val="210"/>
        </w:trPr>
        <w:tc>
          <w:tcPr>
            <w:tcW w:w="77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Contingent consideration, current</w:t>
            </w: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6,407</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5,900</w:t>
            </w:r>
          </w:p>
        </w:tc>
      </w:tr>
      <w:tr>
        <w:trPr>
          <w:trHeight w:val="202"/>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4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138,854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96,561</w:t>
            </w:r>
          </w:p>
        </w:tc>
      </w:tr>
      <w:tr>
        <w:trPr>
          <w:trHeight w:val="21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Contingent consideration, non-current</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73,300</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31,100</w:t>
            </w:r>
          </w:p>
        </w:tc>
      </w:tr>
      <w:tr>
        <w:trPr>
          <w:trHeight w:val="20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Loan payable, long-term</w:t>
            </w:r>
          </w:p>
        </w:tc>
        <w:tc>
          <w:tcPr>
            <w:tcW w:w="240" w:type="dxa"/>
            <w:vAlign w:val="bottom"/>
          </w:tcPr>
          <w:p>
            <w:pPr>
              <w:spacing w:after="0"/>
              <w:rPr>
                <w:sz w:val="17"/>
                <w:szCs w:val="17"/>
                <w:color w:val="auto"/>
              </w:rPr>
            </w:pPr>
          </w:p>
        </w:tc>
        <w:tc>
          <w:tcPr>
            <w:tcW w:w="14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178,070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94,259</w:t>
            </w: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liability, long-term</w:t>
            </w: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7,035</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Pr>
          <w:p>
            <w:pPr>
              <w:spacing w:after="0"/>
              <w:rPr>
                <w:sz w:val="17"/>
                <w:szCs w:val="17"/>
                <w:color w:val="auto"/>
              </w:rPr>
            </w:pPr>
          </w:p>
        </w:tc>
        <w:tc>
          <w:tcPr>
            <w:tcW w:w="14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397,259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221,920</w:t>
            </w:r>
          </w:p>
        </w:tc>
      </w:tr>
      <w:tr>
        <w:trPr>
          <w:trHeight w:val="21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06"/>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Preferred stock, $0.0001 par value per share (10,000,000 shares authorized, none issued and outstanding)</w:t>
            </w:r>
          </w:p>
        </w:tc>
        <w:tc>
          <w:tcPr>
            <w:tcW w:w="240" w:type="dxa"/>
            <w:vAlign w:val="bottom"/>
          </w:tcPr>
          <w:p>
            <w:pPr>
              <w:spacing w:after="0"/>
              <w:rPr>
                <w:sz w:val="17"/>
                <w:szCs w:val="17"/>
                <w:color w:val="auto"/>
              </w:rPr>
            </w:pPr>
          </w:p>
        </w:tc>
        <w:tc>
          <w:tcPr>
            <w:tcW w:w="14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r>
      <w:tr>
        <w:trPr>
          <w:trHeight w:val="186"/>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Common stock, $0.0001 par value per share (150,000,000 shares authorized, 47,351,363 and 43,498,617 shares</w:t>
            </w: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r>
      <w:tr>
        <w:trPr>
          <w:trHeight w:val="215"/>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issued and outstanding at December 31, 2023 and December 31, 2022, respectively)</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4</w:t>
            </w:r>
          </w:p>
        </w:tc>
      </w:tr>
      <w:tr>
        <w:trPr>
          <w:trHeight w:val="206"/>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7"/>
                <w:szCs w:val="17"/>
                <w:color w:val="auto"/>
              </w:rPr>
            </w:pPr>
          </w:p>
        </w:tc>
        <w:tc>
          <w:tcPr>
            <w:tcW w:w="14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1,026,543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705,885</w:t>
            </w:r>
          </w:p>
        </w:tc>
      </w:tr>
      <w:tr>
        <w:trPr>
          <w:trHeight w:val="210"/>
        </w:trPr>
        <w:tc>
          <w:tcPr>
            <w:tcW w:w="77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(835,571 )</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(596,333 )</w:t>
            </w:r>
          </w:p>
        </w:tc>
      </w:tr>
      <w:tr>
        <w:trPr>
          <w:trHeight w:val="202"/>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190,977</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109,556</w:t>
            </w:r>
          </w:p>
        </w:tc>
      </w:tr>
      <w:tr>
        <w:trPr>
          <w:trHeight w:val="242"/>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588,236</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331,476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5982970</wp:posOffset>
            </wp:positionH>
            <wp:positionV relativeFrom="paragraph">
              <wp:posOffset>-2592705</wp:posOffset>
            </wp:positionV>
            <wp:extent cx="111125"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11125" cy="7620"/>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-2578100</wp:posOffset>
            </wp:positionV>
            <wp:extent cx="111125"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11125" cy="7620"/>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-1770380</wp:posOffset>
            </wp:positionV>
            <wp:extent cx="111125"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1125" cy="7620"/>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-1229360</wp:posOffset>
            </wp:positionV>
            <wp:extent cx="111125"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11125" cy="7620"/>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-302895</wp:posOffset>
            </wp:positionV>
            <wp:extent cx="111125"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1125" cy="7620"/>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-21590</wp:posOffset>
            </wp:positionV>
            <wp:extent cx="111125"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11125" cy="7620"/>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-6985</wp:posOffset>
            </wp:positionV>
            <wp:extent cx="111125"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11125" cy="7620"/>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consolidated financial statements.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2"/>
                <w:szCs w:val="12"/>
                <w:b w:val="1"/>
                <w:bCs w:val="1"/>
                <w:color w:val="auto"/>
              </w:rPr>
              <w:t>2023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2"/>
                <w:szCs w:val="12"/>
                <w:b w:val="1"/>
                <w:bCs w:val="1"/>
                <w:color w:val="auto"/>
              </w:rPr>
              <w:t>2022</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2"/>
                <w:szCs w:val="12"/>
                <w:b w:val="1"/>
                <w:bCs w:val="1"/>
                <w:color w:val="auto"/>
              </w:rPr>
              <w:t>2021</w:t>
            </w:r>
          </w:p>
        </w:tc>
        <w:tc>
          <w:tcPr>
            <w:tcW w:w="120" w:type="dxa"/>
            <w:vAlign w:val="bottom"/>
          </w:tcPr>
          <w:p>
            <w:pPr>
              <w:spacing w:after="0"/>
              <w:rPr>
                <w:sz w:val="12"/>
                <w:szCs w:val="12"/>
                <w:color w:val="auto"/>
              </w:rPr>
            </w:pPr>
          </w:p>
        </w:tc>
      </w:tr>
      <w:tr>
        <w:trPr>
          <w:trHeight w:val="202"/>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6"/>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Product sales, net</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202,460</w:t>
            </w:r>
          </w:p>
        </w:tc>
        <w:tc>
          <w:tcPr>
            <w:tcW w:w="160" w:type="dxa"/>
            <w:vAlign w:val="bottom"/>
          </w:tcPr>
          <w:p>
            <w:pPr>
              <w:spacing w:after="0"/>
              <w:rPr>
                <w:sz w:val="17"/>
                <w:szCs w:val="17"/>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50,037</w:t>
            </w:r>
          </w:p>
        </w:tc>
        <w:tc>
          <w:tcPr>
            <w:tcW w:w="26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License revenue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65,735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Royalty revenue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2"/>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270,600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50,037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4"/>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Cost of revenue (excluding amortization and depreciation)</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26,065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57,947</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58,061</w:t>
            </w:r>
          </w:p>
        </w:tc>
        <w:tc>
          <w:tcPr>
            <w:tcW w:w="120" w:type="dxa"/>
            <w:vAlign w:val="bottom"/>
          </w:tcPr>
          <w:p>
            <w:pPr>
              <w:spacing w:after="0"/>
              <w:rPr>
                <w:sz w:val="17"/>
                <w:szCs w:val="17"/>
                <w:color w:val="auto"/>
              </w:rPr>
            </w:pPr>
          </w:p>
        </w:tc>
      </w:tr>
      <w:tr>
        <w:trPr>
          <w:trHeight w:val="214"/>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323,123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159,254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66,646</w:t>
            </w:r>
          </w:p>
        </w:tc>
        <w:tc>
          <w:tcPr>
            <w:tcW w:w="120" w:type="dxa"/>
            <w:vAlign w:val="bottom"/>
            <w:shd w:val="clear" w:color="auto" w:fill="CFF0FC"/>
          </w:tcPr>
          <w:p>
            <w:pPr>
              <w:spacing w:after="0"/>
              <w:rPr>
                <w:sz w:val="18"/>
                <w:szCs w:val="18"/>
                <w:color w:val="auto"/>
              </w:rPr>
            </w:pPr>
          </w:p>
        </w:tc>
      </w:tr>
      <w:tr>
        <w:trPr>
          <w:trHeight w:val="206"/>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in fair value of contingent consideration</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4,139</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502,425</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229,836</w:t>
            </w: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124,707</w:t>
            </w:r>
          </w:p>
        </w:tc>
        <w:tc>
          <w:tcPr>
            <w:tcW w:w="120" w:type="dxa"/>
            <w:vAlign w:val="bottom"/>
            <w:tcBorders>
              <w:top w:val="single" w:sz="8" w:color="CFF0FC"/>
            </w:tcBorders>
          </w:tcPr>
          <w:p>
            <w:pPr>
              <w:spacing w:after="0"/>
              <w:rPr>
                <w:sz w:val="17"/>
                <w:szCs w:val="17"/>
                <w:color w:val="auto"/>
              </w:rPr>
            </w:pPr>
          </w:p>
        </w:tc>
      </w:tr>
      <w:tr>
        <w:trPr>
          <w:trHeight w:val="20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(231,825 )</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(179,799 )</w:t>
            </w:r>
          </w:p>
        </w:tc>
        <w:tc>
          <w:tcPr>
            <w:tcW w:w="3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(124,707 )</w:t>
            </w:r>
          </w:p>
        </w:tc>
      </w:tr>
      <w:tr>
        <w:trPr>
          <w:trHeight w:val="206"/>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 net</w:t>
            </w:r>
          </w:p>
        </w:tc>
        <w:tc>
          <w:tcPr>
            <w:tcW w:w="3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(6,453 )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(7,335 )</w:t>
            </w:r>
          </w:p>
        </w:tc>
        <w:tc>
          <w:tcPr>
            <w:tcW w:w="3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(5,696 )</w:t>
            </w:r>
          </w:p>
        </w:tc>
      </w:tr>
      <w:tr>
        <w:trPr>
          <w:trHeight w:val="214"/>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(238,278 )</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(187,134 )</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(130,403 )</w:t>
            </w:r>
          </w:p>
        </w:tc>
      </w:tr>
      <w:tr>
        <w:trPr>
          <w:trHeight w:val="206"/>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(960 )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(239,238 )</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(187,134 )</w:t>
            </w:r>
          </w:p>
        </w:tc>
        <w:tc>
          <w:tcPr>
            <w:tcW w:w="32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(130,403 )</w:t>
            </w: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85"/>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common share, basic and diluted</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(5.27 )</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(4.60 )</w:t>
            </w: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(3.47 )</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5"/>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basic and diluted</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45,425,212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40,655,941</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37,618,599</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5057140</wp:posOffset>
            </wp:positionH>
            <wp:positionV relativeFrom="paragraph">
              <wp:posOffset>-1962785</wp:posOffset>
            </wp:positionV>
            <wp:extent cx="74295"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-1962785</wp:posOffset>
            </wp:positionV>
            <wp:extent cx="74295"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-1962785</wp:posOffset>
            </wp:positionV>
            <wp:extent cx="66675"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5057140</wp:posOffset>
            </wp:positionH>
            <wp:positionV relativeFrom="paragraph">
              <wp:posOffset>-1155065</wp:posOffset>
            </wp:positionV>
            <wp:extent cx="74295"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-1155065</wp:posOffset>
            </wp:positionV>
            <wp:extent cx="74295"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-1155065</wp:posOffset>
            </wp:positionV>
            <wp:extent cx="66675"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5057140</wp:posOffset>
            </wp:positionH>
            <wp:positionV relativeFrom="paragraph">
              <wp:posOffset>-332740</wp:posOffset>
            </wp:positionV>
            <wp:extent cx="74295"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5057140</wp:posOffset>
            </wp:positionH>
            <wp:positionV relativeFrom="paragraph">
              <wp:posOffset>-318135</wp:posOffset>
            </wp:positionV>
            <wp:extent cx="74295"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-332740</wp:posOffset>
            </wp:positionV>
            <wp:extent cx="74295"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-318135</wp:posOffset>
            </wp:positionV>
            <wp:extent cx="74295"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-332740</wp:posOffset>
            </wp:positionV>
            <wp:extent cx="66675"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-318135</wp:posOffset>
            </wp:positionV>
            <wp:extent cx="66675"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5057140</wp:posOffset>
            </wp:positionH>
            <wp:positionV relativeFrom="paragraph">
              <wp:posOffset>-21590</wp:posOffset>
            </wp:positionV>
            <wp:extent cx="74295"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5057140</wp:posOffset>
            </wp:positionH>
            <wp:positionV relativeFrom="paragraph">
              <wp:posOffset>-6985</wp:posOffset>
            </wp:positionV>
            <wp:extent cx="74295"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-21590</wp:posOffset>
            </wp:positionV>
            <wp:extent cx="74295"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-6985</wp:posOffset>
            </wp:positionV>
            <wp:extent cx="74295"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-21590</wp:posOffset>
            </wp:positionV>
            <wp:extent cx="66675"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-6985</wp:posOffset>
            </wp:positionV>
            <wp:extent cx="66675"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6675" cy="762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consolidated financial statements.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20" w:type="dxa"/>
            <w:vAlign w:val="bottom"/>
          </w:tcPr>
          <w:p>
            <w:pPr>
              <w:spacing w:after="0"/>
              <w:rPr>
                <w:sz w:val="12"/>
                <w:szCs w:val="12"/>
                <w:color w:val="auto"/>
              </w:rPr>
            </w:pPr>
          </w:p>
        </w:tc>
        <w:tc>
          <w:tcPr>
            <w:tcW w:w="2100" w:type="dxa"/>
            <w:vAlign w:val="bottom"/>
            <w:gridSpan w:val="3"/>
            <w:vMerge w:val="restart"/>
          </w:tcPr>
          <w:p>
            <w:pPr>
              <w:jc w:val="right"/>
              <w:ind w:right="478"/>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Additional paid-in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163"/>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164"/>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50"/>
        </w:trPr>
        <w:tc>
          <w:tcPr>
            <w:tcW w:w="5120" w:type="dxa"/>
            <w:vAlign w:val="bottom"/>
          </w:tcPr>
          <w:p>
            <w:pPr>
              <w:spacing w:after="0"/>
              <w:rPr>
                <w:sz w:val="13"/>
                <w:szCs w:val="13"/>
                <w:color w:val="auto"/>
              </w:rPr>
            </w:pPr>
          </w:p>
        </w:tc>
        <w:tc>
          <w:tcPr>
            <w:tcW w:w="210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164"/>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43"/>
        </w:trPr>
        <w:tc>
          <w:tcPr>
            <w:tcW w:w="5120" w:type="dxa"/>
            <w:vAlign w:val="bottom"/>
          </w:tcPr>
          <w:p>
            <w:pPr>
              <w:spacing w:after="0"/>
              <w:rPr>
                <w:sz w:val="12"/>
                <w:szCs w:val="12"/>
                <w:color w:val="auto"/>
              </w:rPr>
            </w:pPr>
          </w:p>
        </w:tc>
        <w:tc>
          <w:tcPr>
            <w:tcW w:w="11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3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02"/>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11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37,374,088</w:t>
            </w:r>
          </w:p>
        </w:tc>
        <w:tc>
          <w:tcPr>
            <w:tcW w:w="920" w:type="dxa"/>
            <w:vAlign w:val="bottom"/>
            <w:gridSpan w:val="2"/>
            <w:shd w:val="clear" w:color="auto" w:fill="CFF0FC"/>
          </w:tcPr>
          <w:p>
            <w:pPr>
              <w:jc w:val="right"/>
              <w:ind w:right="63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4</w:t>
            </w:r>
          </w:p>
        </w:tc>
        <w:tc>
          <w:tcPr>
            <w:tcW w:w="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392,585</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(278,796 )</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113,793</w:t>
            </w:r>
          </w:p>
        </w:tc>
        <w:tc>
          <w:tcPr>
            <w:tcW w:w="0" w:type="dxa"/>
            <w:vAlign w:val="bottom"/>
          </w:tcPr>
          <w:p>
            <w:pPr>
              <w:spacing w:after="0"/>
              <w:rPr>
                <w:sz w:val="1"/>
                <w:szCs w:val="1"/>
                <w:color w:val="auto"/>
              </w:rPr>
            </w:pPr>
          </w:p>
        </w:tc>
      </w:tr>
      <w:tr>
        <w:trPr>
          <w:trHeight w:val="206"/>
        </w:trPr>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20,803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20,803</w:t>
            </w:r>
          </w:p>
        </w:tc>
        <w:tc>
          <w:tcPr>
            <w:tcW w:w="0" w:type="dxa"/>
            <w:vAlign w:val="bottom"/>
          </w:tcPr>
          <w:p>
            <w:pPr>
              <w:spacing w:after="0"/>
              <w:rPr>
                <w:sz w:val="1"/>
                <w:szCs w:val="1"/>
                <w:color w:val="auto"/>
              </w:rPr>
            </w:pPr>
          </w:p>
        </w:tc>
      </w:tr>
      <w:tr>
        <w:trPr>
          <w:trHeight w:val="214"/>
        </w:trPr>
        <w:tc>
          <w:tcPr>
            <w:tcW w:w="5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Issuance of common stock upon exercise of options</w:t>
            </w:r>
          </w:p>
        </w:tc>
        <w:tc>
          <w:tcPr>
            <w:tcW w:w="11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326,219</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4,402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4,402</w:t>
            </w:r>
          </w:p>
        </w:tc>
        <w:tc>
          <w:tcPr>
            <w:tcW w:w="0" w:type="dxa"/>
            <w:vAlign w:val="bottom"/>
          </w:tcPr>
          <w:p>
            <w:pPr>
              <w:spacing w:after="0"/>
              <w:rPr>
                <w:sz w:val="1"/>
                <w:szCs w:val="1"/>
                <w:color w:val="auto"/>
              </w:rPr>
            </w:pPr>
          </w:p>
        </w:tc>
      </w:tr>
      <w:tr>
        <w:trPr>
          <w:trHeight w:val="206"/>
        </w:trPr>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Issuance of common stock upon vesting of RSUs</w:t>
            </w: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6,191</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5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Issuance of common stock upon financing</w:t>
            </w:r>
          </w:p>
        </w:tc>
        <w:tc>
          <w:tcPr>
            <w:tcW w:w="11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110,296</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7,212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7,212</w:t>
            </w:r>
          </w:p>
        </w:tc>
        <w:tc>
          <w:tcPr>
            <w:tcW w:w="0" w:type="dxa"/>
            <w:vAlign w:val="bottom"/>
          </w:tcPr>
          <w:p>
            <w:pPr>
              <w:spacing w:after="0"/>
              <w:rPr>
                <w:sz w:val="1"/>
                <w:szCs w:val="1"/>
                <w:color w:val="auto"/>
              </w:rPr>
            </w:pPr>
          </w:p>
        </w:tc>
      </w:tr>
      <w:tr>
        <w:trPr>
          <w:trHeight w:val="206"/>
        </w:trPr>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 tendered for withholding taxes</w:t>
            </w: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(176 )</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118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(130,403 )</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(130,403 )</w:t>
            </w:r>
          </w:p>
        </w:tc>
        <w:tc>
          <w:tcPr>
            <w:tcW w:w="0" w:type="dxa"/>
            <w:vAlign w:val="bottom"/>
          </w:tcPr>
          <w:p>
            <w:pPr>
              <w:spacing w:after="0"/>
              <w:rPr>
                <w:sz w:val="1"/>
                <w:szCs w:val="1"/>
                <w:color w:val="auto"/>
              </w:rPr>
            </w:pPr>
          </w:p>
        </w:tc>
      </w:tr>
      <w:tr>
        <w:trPr>
          <w:trHeight w:val="202"/>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37,816,794</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424,826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(409,199 )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15,631</w:t>
            </w:r>
          </w:p>
        </w:tc>
        <w:tc>
          <w:tcPr>
            <w:tcW w:w="0" w:type="dxa"/>
            <w:vAlign w:val="bottom"/>
          </w:tcPr>
          <w:p>
            <w:pPr>
              <w:spacing w:after="0"/>
              <w:rPr>
                <w:sz w:val="1"/>
                <w:szCs w:val="1"/>
                <w:color w:val="auto"/>
              </w:rPr>
            </w:pPr>
          </w:p>
        </w:tc>
      </w:tr>
      <w:tr>
        <w:trPr>
          <w:trHeight w:val="214"/>
        </w:trPr>
        <w:tc>
          <w:tcPr>
            <w:tcW w:w="5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37,726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37,726</w:t>
            </w:r>
          </w:p>
        </w:tc>
        <w:tc>
          <w:tcPr>
            <w:tcW w:w="0" w:type="dxa"/>
            <w:vAlign w:val="bottom"/>
          </w:tcPr>
          <w:p>
            <w:pPr>
              <w:spacing w:after="0"/>
              <w:rPr>
                <w:sz w:val="1"/>
                <w:szCs w:val="1"/>
                <w:color w:val="auto"/>
              </w:rPr>
            </w:pPr>
          </w:p>
        </w:tc>
      </w:tr>
      <w:tr>
        <w:trPr>
          <w:trHeight w:val="206"/>
        </w:trPr>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Issuance of common stock upon exercise of options</w:t>
            </w: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340,149</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6,251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6,251</w:t>
            </w:r>
          </w:p>
        </w:tc>
        <w:tc>
          <w:tcPr>
            <w:tcW w:w="0" w:type="dxa"/>
            <w:vAlign w:val="bottom"/>
          </w:tcPr>
          <w:p>
            <w:pPr>
              <w:spacing w:after="0"/>
              <w:rPr>
                <w:sz w:val="1"/>
                <w:szCs w:val="1"/>
                <w:color w:val="auto"/>
              </w:rPr>
            </w:pPr>
          </w:p>
        </w:tc>
      </w:tr>
      <w:tr>
        <w:trPr>
          <w:trHeight w:val="214"/>
        </w:trPr>
        <w:tc>
          <w:tcPr>
            <w:tcW w:w="5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Issuance of common stock upon vesting of RSUs</w:t>
            </w:r>
          </w:p>
        </w:tc>
        <w:tc>
          <w:tcPr>
            <w:tcW w:w="11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21,214</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Issuance of common stock upon financing</w:t>
            </w: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5,320,460</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236,788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236,788</w:t>
            </w:r>
          </w:p>
        </w:tc>
        <w:tc>
          <w:tcPr>
            <w:tcW w:w="0" w:type="dxa"/>
            <w:vAlign w:val="bottom"/>
          </w:tcPr>
          <w:p>
            <w:pPr>
              <w:spacing w:after="0"/>
              <w:rPr>
                <w:sz w:val="1"/>
                <w:szCs w:val="1"/>
                <w:color w:val="auto"/>
              </w:rPr>
            </w:pPr>
          </w:p>
        </w:tc>
      </w:tr>
      <w:tr>
        <w:trPr>
          <w:trHeight w:val="214"/>
        </w:trPr>
        <w:tc>
          <w:tcPr>
            <w:tcW w:w="5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Issuance of warrants</w:t>
            </w:r>
          </w:p>
        </w:tc>
        <w:tc>
          <w:tcPr>
            <w:tcW w:w="11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826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826</w:t>
            </w:r>
          </w:p>
        </w:tc>
        <w:tc>
          <w:tcPr>
            <w:tcW w:w="0" w:type="dxa"/>
            <w:vAlign w:val="bottom"/>
          </w:tcPr>
          <w:p>
            <w:pPr>
              <w:spacing w:after="0"/>
              <w:rPr>
                <w:sz w:val="1"/>
                <w:szCs w:val="1"/>
                <w:color w:val="auto"/>
              </w:rPr>
            </w:pPr>
          </w:p>
        </w:tc>
      </w:tr>
      <w:tr>
        <w:trPr>
          <w:trHeight w:val="206"/>
        </w:trPr>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 tendered for withholding taxes</w:t>
            </w: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(532 )</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118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(187,134 )</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(187,134 )</w:t>
            </w:r>
          </w:p>
        </w:tc>
        <w:tc>
          <w:tcPr>
            <w:tcW w:w="0" w:type="dxa"/>
            <w:vAlign w:val="bottom"/>
          </w:tcPr>
          <w:p>
            <w:pPr>
              <w:spacing w:after="0"/>
              <w:rPr>
                <w:sz w:val="1"/>
                <w:szCs w:val="1"/>
                <w:color w:val="auto"/>
              </w:rPr>
            </w:pPr>
          </w:p>
        </w:tc>
      </w:tr>
      <w:tr>
        <w:trPr>
          <w:trHeight w:val="202"/>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43,498,617</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705,885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(596,333 )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109,556</w:t>
            </w:r>
          </w:p>
        </w:tc>
        <w:tc>
          <w:tcPr>
            <w:tcW w:w="0" w:type="dxa"/>
            <w:vAlign w:val="bottom"/>
          </w:tcPr>
          <w:p>
            <w:pPr>
              <w:spacing w:after="0"/>
              <w:rPr>
                <w:sz w:val="1"/>
                <w:szCs w:val="1"/>
                <w:color w:val="auto"/>
              </w:rPr>
            </w:pPr>
          </w:p>
        </w:tc>
      </w:tr>
      <w:tr>
        <w:trPr>
          <w:trHeight w:val="214"/>
        </w:trPr>
        <w:tc>
          <w:tcPr>
            <w:tcW w:w="5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65,357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65,357</w:t>
            </w:r>
          </w:p>
        </w:tc>
        <w:tc>
          <w:tcPr>
            <w:tcW w:w="0" w:type="dxa"/>
            <w:vAlign w:val="bottom"/>
          </w:tcPr>
          <w:p>
            <w:pPr>
              <w:spacing w:after="0"/>
              <w:rPr>
                <w:sz w:val="1"/>
                <w:szCs w:val="1"/>
                <w:color w:val="auto"/>
              </w:rPr>
            </w:pPr>
          </w:p>
        </w:tc>
      </w:tr>
      <w:tr>
        <w:trPr>
          <w:trHeight w:val="206"/>
        </w:trPr>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Issuance of common stock upon exercise of options</w:t>
            </w: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358,760</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12,419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12,419</w:t>
            </w:r>
          </w:p>
        </w:tc>
        <w:tc>
          <w:tcPr>
            <w:tcW w:w="0" w:type="dxa"/>
            <w:vAlign w:val="bottom"/>
          </w:tcPr>
          <w:p>
            <w:pPr>
              <w:spacing w:after="0"/>
              <w:rPr>
                <w:sz w:val="1"/>
                <w:szCs w:val="1"/>
                <w:color w:val="auto"/>
              </w:rPr>
            </w:pPr>
          </w:p>
        </w:tc>
      </w:tr>
      <w:tr>
        <w:trPr>
          <w:trHeight w:val="214"/>
        </w:trPr>
        <w:tc>
          <w:tcPr>
            <w:tcW w:w="5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Issuance of common stock upon vesting of RSUs</w:t>
            </w:r>
          </w:p>
        </w:tc>
        <w:tc>
          <w:tcPr>
            <w:tcW w:w="11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43,986</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Issuance of common stock upon financing</w:t>
            </w: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3,450,000</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243,082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243,083</w:t>
            </w:r>
          </w:p>
        </w:tc>
        <w:tc>
          <w:tcPr>
            <w:tcW w:w="0" w:type="dxa"/>
            <w:vAlign w:val="bottom"/>
          </w:tcPr>
          <w:p>
            <w:pPr>
              <w:spacing w:after="0"/>
              <w:rPr>
                <w:sz w:val="1"/>
                <w:szCs w:val="1"/>
                <w:color w:val="auto"/>
              </w:rPr>
            </w:pPr>
          </w:p>
        </w:tc>
      </w:tr>
      <w:tr>
        <w:trPr>
          <w:trHeight w:val="214"/>
        </w:trPr>
        <w:tc>
          <w:tcPr>
            <w:tcW w:w="5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Issuance of warrants</w:t>
            </w:r>
          </w:p>
        </w:tc>
        <w:tc>
          <w:tcPr>
            <w:tcW w:w="11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1,635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1,635</w:t>
            </w:r>
          </w:p>
        </w:tc>
        <w:tc>
          <w:tcPr>
            <w:tcW w:w="0" w:type="dxa"/>
            <w:vAlign w:val="bottom"/>
          </w:tcPr>
          <w:p>
            <w:pPr>
              <w:spacing w:after="0"/>
              <w:rPr>
                <w:sz w:val="1"/>
                <w:szCs w:val="1"/>
                <w:color w:val="auto"/>
              </w:rPr>
            </w:pPr>
          </w:p>
        </w:tc>
      </w:tr>
      <w:tr>
        <w:trPr>
          <w:trHeight w:val="206"/>
        </w:trPr>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 tendered for withholding taxes</w:t>
            </w: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(1,835 )</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118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(239,238 )</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(239,238 )</w:t>
            </w:r>
          </w:p>
        </w:tc>
        <w:tc>
          <w:tcPr>
            <w:tcW w:w="0" w:type="dxa"/>
            <w:vAlign w:val="bottom"/>
          </w:tcPr>
          <w:p>
            <w:pPr>
              <w:spacing w:after="0"/>
              <w:rPr>
                <w:sz w:val="1"/>
                <w:szCs w:val="1"/>
                <w:color w:val="auto"/>
              </w:rPr>
            </w:pPr>
          </w:p>
        </w:tc>
      </w:tr>
      <w:tr>
        <w:trPr>
          <w:trHeight w:val="202"/>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47,351,363</w:t>
            </w:r>
          </w:p>
        </w:tc>
        <w:tc>
          <w:tcPr>
            <w:tcW w:w="920" w:type="dxa"/>
            <w:vAlign w:val="bottom"/>
            <w:gridSpan w:val="2"/>
          </w:tcPr>
          <w:p>
            <w:pPr>
              <w:jc w:val="right"/>
              <w:ind w:right="63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1,026,543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(835,571 )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190,977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-2311400</wp:posOffset>
            </wp:positionV>
            <wp:extent cx="81280"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1280" cy="7620"/>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-2311400</wp:posOffset>
            </wp:positionV>
            <wp:extent cx="81280"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1280" cy="7620"/>
                    </a:xfrm>
                    <a:prstGeom prst="rect">
                      <a:avLst/>
                    </a:prstGeom>
                    <a:noFill/>
                  </pic:spPr>
                </pic:pic>
              </a:graphicData>
            </a:graphic>
          </wp:anchor>
        </w:drawing>
        <w:drawing>
          <wp:anchor simplePos="0" relativeHeight="251657728" behindDoc="1" locked="0" layoutInCell="0" allowOverlap="1">
            <wp:simplePos x="0" y="0"/>
            <wp:positionH relativeFrom="column">
              <wp:posOffset>5605145</wp:posOffset>
            </wp:positionH>
            <wp:positionV relativeFrom="paragraph">
              <wp:posOffset>-2311400</wp:posOffset>
            </wp:positionV>
            <wp:extent cx="74295"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6376035</wp:posOffset>
            </wp:positionH>
            <wp:positionV relativeFrom="paragraph">
              <wp:posOffset>-2311400</wp:posOffset>
            </wp:positionV>
            <wp:extent cx="74295"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-1236980</wp:posOffset>
            </wp:positionV>
            <wp:extent cx="81280"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1280" cy="7620"/>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-1236980</wp:posOffset>
            </wp:positionV>
            <wp:extent cx="8128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1280" cy="7620"/>
                    </a:xfrm>
                    <a:prstGeom prst="rect">
                      <a:avLst/>
                    </a:prstGeom>
                    <a:noFill/>
                  </pic:spPr>
                </pic:pic>
              </a:graphicData>
            </a:graphic>
          </wp:anchor>
        </w:drawing>
        <w:drawing>
          <wp:anchor simplePos="0" relativeHeight="251657728" behindDoc="1" locked="0" layoutInCell="0" allowOverlap="1">
            <wp:simplePos x="0" y="0"/>
            <wp:positionH relativeFrom="column">
              <wp:posOffset>5605145</wp:posOffset>
            </wp:positionH>
            <wp:positionV relativeFrom="paragraph">
              <wp:posOffset>-1236980</wp:posOffset>
            </wp:positionV>
            <wp:extent cx="74295"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6376035</wp:posOffset>
            </wp:positionH>
            <wp:positionV relativeFrom="paragraph">
              <wp:posOffset>-1236980</wp:posOffset>
            </wp:positionV>
            <wp:extent cx="74295"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-162560</wp:posOffset>
            </wp:positionV>
            <wp:extent cx="81280"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1280" cy="7620"/>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-162560</wp:posOffset>
            </wp:positionV>
            <wp:extent cx="81280"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1280" cy="7620"/>
                    </a:xfrm>
                    <a:prstGeom prst="rect">
                      <a:avLst/>
                    </a:prstGeom>
                    <a:noFill/>
                  </pic:spPr>
                </pic:pic>
              </a:graphicData>
            </a:graphic>
          </wp:anchor>
        </w:drawing>
        <w:drawing>
          <wp:anchor simplePos="0" relativeHeight="251657728" behindDoc="1" locked="0" layoutInCell="0" allowOverlap="1">
            <wp:simplePos x="0" y="0"/>
            <wp:positionH relativeFrom="column">
              <wp:posOffset>5605145</wp:posOffset>
            </wp:positionH>
            <wp:positionV relativeFrom="paragraph">
              <wp:posOffset>-162560</wp:posOffset>
            </wp:positionV>
            <wp:extent cx="74295"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6376035</wp:posOffset>
            </wp:positionH>
            <wp:positionV relativeFrom="paragraph">
              <wp:posOffset>-162560</wp:posOffset>
            </wp:positionV>
            <wp:extent cx="74295"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4295" cy="762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consolidated financial statements.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2"/>
                <w:szCs w:val="12"/>
                <w:b w:val="1"/>
                <w:bCs w:val="1"/>
                <w:color w:val="auto"/>
              </w:rPr>
              <w:t>2023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2"/>
                <w:szCs w:val="12"/>
                <w:b w:val="1"/>
                <w:bCs w:val="1"/>
                <w:color w:val="auto"/>
              </w:rPr>
              <w:t>2022</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2"/>
                <w:szCs w:val="12"/>
                <w:b w:val="1"/>
                <w:bCs w:val="1"/>
                <w:color w:val="auto"/>
              </w:rPr>
              <w:t>2021</w:t>
            </w:r>
          </w:p>
        </w:tc>
        <w:tc>
          <w:tcPr>
            <w:tcW w:w="120" w:type="dxa"/>
            <w:vAlign w:val="bottom"/>
          </w:tcPr>
          <w:p>
            <w:pPr>
              <w:spacing w:after="0"/>
              <w:rPr>
                <w:sz w:val="12"/>
                <w:szCs w:val="12"/>
                <w:color w:val="auto"/>
              </w:rPr>
            </w:pPr>
          </w:p>
        </w:tc>
      </w:tr>
      <w:tr>
        <w:trPr>
          <w:trHeight w:val="202"/>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6"/>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(239,238 )</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(187,134 )</w:t>
            </w: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(130,403 )</w:t>
            </w:r>
          </w:p>
        </w:tc>
      </w:tr>
      <w:tr>
        <w:trPr>
          <w:trHeight w:val="214"/>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6"/>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37,726</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20,803</w:t>
            </w:r>
          </w:p>
        </w:tc>
        <w:tc>
          <w:tcPr>
            <w:tcW w:w="120" w:type="dxa"/>
            <w:vAlign w:val="bottom"/>
          </w:tcPr>
          <w:p>
            <w:pPr>
              <w:spacing w:after="0"/>
              <w:rPr>
                <w:sz w:val="17"/>
                <w:szCs w:val="17"/>
                <w:color w:val="auto"/>
              </w:rPr>
            </w:pPr>
          </w:p>
        </w:tc>
      </w:tr>
      <w:tr>
        <w:trPr>
          <w:trHeight w:val="214"/>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intangible asset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4,139</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20" w:type="dxa"/>
            <w:vAlign w:val="bottom"/>
          </w:tcPr>
          <w:p>
            <w:pPr>
              <w:spacing w:after="0"/>
              <w:rPr>
                <w:sz w:val="17"/>
                <w:szCs w:val="17"/>
                <w:color w:val="auto"/>
              </w:rPr>
            </w:pPr>
          </w:p>
        </w:tc>
      </w:tr>
      <w:tr>
        <w:trPr>
          <w:trHeight w:val="214"/>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FF0FC"/>
          </w:tcPr>
          <w:p>
            <w:pPr>
              <w:spacing w:after="0"/>
              <w:rPr>
                <w:sz w:val="18"/>
                <w:szCs w:val="18"/>
                <w:color w:val="auto"/>
              </w:rPr>
            </w:pPr>
          </w:p>
        </w:tc>
      </w:tr>
      <w:tr>
        <w:trPr>
          <w:trHeight w:val="206"/>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Loss in fair value of contingent consideration</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Non-cash lease expense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20" w:type="dxa"/>
            <w:vAlign w:val="bottom"/>
            <w:shd w:val="clear" w:color="auto" w:fill="CFF0FC"/>
          </w:tcPr>
          <w:p>
            <w:pPr>
              <w:spacing w:after="0"/>
              <w:rPr>
                <w:sz w:val="18"/>
                <w:szCs w:val="18"/>
                <w:color w:val="auto"/>
              </w:rPr>
            </w:pPr>
          </w:p>
        </w:tc>
      </w:tr>
      <w:tr>
        <w:trPr>
          <w:trHeight w:val="206"/>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Change in operating lease liability</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(1,118 )</w:t>
            </w:r>
          </w:p>
        </w:tc>
        <w:tc>
          <w:tcPr>
            <w:tcW w:w="3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(1,182 )</w:t>
            </w:r>
          </w:p>
        </w:tc>
      </w:tr>
      <w:tr>
        <w:trPr>
          <w:trHeight w:val="214"/>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6"/>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(57,121 )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(37,699 )</w:t>
            </w:r>
          </w:p>
        </w:tc>
        <w:tc>
          <w:tcPr>
            <w:tcW w:w="32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Inventories, net</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(8,156 )</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(1,331 )</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(5,335 )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(2,735 )</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7"/>
                <w:szCs w:val="17"/>
                <w:color w:val="auto"/>
              </w:rPr>
            </w:pPr>
          </w:p>
        </w:tc>
      </w:tr>
      <w:tr>
        <w:trPr>
          <w:trHeight w:val="214"/>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Non-current inventory and other assets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(3,944 )</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(6 )</w:t>
            </w:r>
          </w:p>
        </w:tc>
      </w:tr>
      <w:tr>
        <w:trPr>
          <w:trHeight w:val="206"/>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25,456</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(355 )</w:t>
            </w:r>
          </w:p>
        </w:tc>
      </w:tr>
      <w:tr>
        <w:trPr>
          <w:trHeight w:val="210"/>
        </w:trPr>
        <w:tc>
          <w:tcPr>
            <w:tcW w:w="6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36,452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43,923</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2"/>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(145,080 )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(116,511 )</w:t>
            </w:r>
          </w:p>
        </w:tc>
        <w:tc>
          <w:tcPr>
            <w:tcW w:w="3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(108,226 )</w:t>
            </w:r>
          </w:p>
        </w:tc>
      </w:tr>
      <w:tr>
        <w:trPr>
          <w:trHeight w:val="20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6"/>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equipment</w:t>
            </w:r>
          </w:p>
        </w:tc>
        <w:tc>
          <w:tcPr>
            <w:tcW w:w="3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(582 )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(702 )</w:t>
            </w:r>
          </w:p>
        </w:tc>
        <w:tc>
          <w:tcPr>
            <w:tcW w:w="3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(308 )</w:t>
            </w: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business combination</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(53,000 )</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2"/>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(582 )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(53,702 )</w:t>
            </w:r>
          </w:p>
        </w:tc>
        <w:tc>
          <w:tcPr>
            <w:tcW w:w="3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(308 )</w:t>
            </w:r>
          </w:p>
        </w:tc>
      </w:tr>
      <w:tr>
        <w:trPr>
          <w:trHeight w:val="205"/>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6"/>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draw down of debt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(1,442 )</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(487 )</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(309 )</w:t>
            </w:r>
          </w:p>
        </w:tc>
      </w:tr>
      <w:tr>
        <w:trPr>
          <w:trHeight w:val="206"/>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 upon financing</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243,763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7,436</w:t>
            </w:r>
          </w:p>
        </w:tc>
        <w:tc>
          <w:tcPr>
            <w:tcW w:w="120" w:type="dxa"/>
            <w:vAlign w:val="bottom"/>
          </w:tcPr>
          <w:p>
            <w:pPr>
              <w:spacing w:after="0"/>
              <w:rPr>
                <w:sz w:val="17"/>
                <w:szCs w:val="17"/>
                <w:color w:val="auto"/>
              </w:rPr>
            </w:pPr>
          </w:p>
        </w:tc>
      </w:tr>
      <w:tr>
        <w:trPr>
          <w:trHeight w:val="214"/>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common stock issuance costs</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(15,668 )</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(6,975 )</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(223 )</w:t>
            </w:r>
          </w:p>
        </w:tc>
      </w:tr>
      <w:tr>
        <w:trPr>
          <w:trHeight w:val="206"/>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options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6,251</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4,402</w:t>
            </w:r>
          </w:p>
        </w:tc>
        <w:tc>
          <w:tcPr>
            <w:tcW w:w="120" w:type="dxa"/>
            <w:vAlign w:val="bottom"/>
          </w:tcPr>
          <w:p>
            <w:pPr>
              <w:spacing w:after="0"/>
              <w:rPr>
                <w:sz w:val="17"/>
                <w:szCs w:val="17"/>
                <w:color w:val="auto"/>
              </w:rPr>
            </w:pPr>
          </w:p>
        </w:tc>
      </w:tr>
      <w:tr>
        <w:trPr>
          <w:trHeight w:val="214"/>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(6,211 )</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(2,438 )</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Payments of tax withholdings on stock award</w:t>
            </w:r>
          </w:p>
        </w:tc>
        <w:tc>
          <w:tcPr>
            <w:tcW w:w="3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(1,835 )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(532 )</w:t>
            </w:r>
          </w:p>
        </w:tc>
        <w:tc>
          <w:tcPr>
            <w:tcW w:w="3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(176 )</w:t>
            </w:r>
          </w:p>
        </w:tc>
      </w:tr>
      <w:tr>
        <w:trPr>
          <w:trHeight w:val="202"/>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331,013</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284,582</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11,130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2"/>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increase in cash</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185,351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114,369</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(97,404 )</w:t>
            </w:r>
          </w:p>
        </w:tc>
      </w:tr>
      <w:tr>
        <w:trPr>
          <w:trHeight w:val="210"/>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200,842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86,473</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183,877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2"/>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Cash at end of period</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386,193</w:t>
            </w:r>
          </w:p>
        </w:tc>
        <w:tc>
          <w:tcPr>
            <w:tcW w:w="160" w:type="dxa"/>
            <w:vAlign w:val="bottom"/>
          </w:tcPr>
          <w:p>
            <w:pPr>
              <w:spacing w:after="0"/>
              <w:rPr>
                <w:sz w:val="17"/>
                <w:szCs w:val="17"/>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200,842</w:t>
            </w:r>
          </w:p>
        </w:tc>
        <w:tc>
          <w:tcPr>
            <w:tcW w:w="26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86,473</w:t>
            </w:r>
          </w:p>
        </w:tc>
        <w:tc>
          <w:tcPr>
            <w:tcW w:w="12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6"/>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16,730</w:t>
            </w:r>
          </w:p>
        </w:tc>
        <w:tc>
          <w:tcPr>
            <w:tcW w:w="160" w:type="dxa"/>
            <w:vAlign w:val="bottom"/>
          </w:tcPr>
          <w:p>
            <w:pPr>
              <w:spacing w:after="0"/>
              <w:rPr>
                <w:sz w:val="17"/>
                <w:szCs w:val="17"/>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7,686</w:t>
            </w:r>
          </w:p>
        </w:tc>
        <w:tc>
          <w:tcPr>
            <w:tcW w:w="26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4,625</w:t>
            </w:r>
          </w:p>
        </w:tc>
        <w:tc>
          <w:tcPr>
            <w:tcW w:w="120" w:type="dxa"/>
            <w:vAlign w:val="bottom"/>
          </w:tcPr>
          <w:p>
            <w:pPr>
              <w:spacing w:after="0"/>
              <w:rPr>
                <w:sz w:val="17"/>
                <w:szCs w:val="17"/>
                <w:color w:val="auto"/>
              </w:rPr>
            </w:pPr>
          </w:p>
        </w:tc>
      </w:tr>
      <w:tr>
        <w:trPr>
          <w:trHeight w:val="214"/>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 obtained in exchange for operating lease liability</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7,802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non-cash investing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of contingent consideration in a business combination</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79,707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37,000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financing activity:</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warrants in connection with debt financing</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5057140</wp:posOffset>
            </wp:positionH>
            <wp:positionV relativeFrom="paragraph">
              <wp:posOffset>-3274695</wp:posOffset>
            </wp:positionV>
            <wp:extent cx="74295"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-3274695</wp:posOffset>
            </wp:positionV>
            <wp:extent cx="74295"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-3274695</wp:posOffset>
            </wp:positionV>
            <wp:extent cx="66675"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5057140</wp:posOffset>
            </wp:positionH>
            <wp:positionV relativeFrom="paragraph">
              <wp:posOffset>-2726055</wp:posOffset>
            </wp:positionV>
            <wp:extent cx="74295"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-2726055</wp:posOffset>
            </wp:positionV>
            <wp:extent cx="74295"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-2726055</wp:posOffset>
            </wp:positionV>
            <wp:extent cx="66675"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5057140</wp:posOffset>
            </wp:positionH>
            <wp:positionV relativeFrom="paragraph">
              <wp:posOffset>-1370330</wp:posOffset>
            </wp:positionV>
            <wp:extent cx="74295"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-1370330</wp:posOffset>
            </wp:positionV>
            <wp:extent cx="74295"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-1370330</wp:posOffset>
            </wp:positionV>
            <wp:extent cx="66675"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5057140</wp:posOffset>
            </wp:positionH>
            <wp:positionV relativeFrom="paragraph">
              <wp:posOffset>-1096010</wp:posOffset>
            </wp:positionV>
            <wp:extent cx="74295"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-1096010</wp:posOffset>
            </wp:positionV>
            <wp:extent cx="74295"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-1096010</wp:posOffset>
            </wp:positionV>
            <wp:extent cx="66675"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6675" cy="762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consolidated financial statements.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share and per share amounts)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Nature of Business and Basis of Presentation</w:t>
      </w:r>
    </w:p>
    <w:p>
      <w:pPr>
        <w:spacing w:after="0" w:line="191" w:lineRule="exact"/>
        <w:rPr>
          <w:sz w:val="20"/>
          <w:szCs w:val="20"/>
          <w:color w:val="auto"/>
        </w:rPr>
      </w:pPr>
    </w:p>
    <w:p>
      <w:pPr>
        <w:ind w:right="20" w:firstLine="751"/>
        <w:spacing w:after="0" w:line="288" w:lineRule="auto"/>
        <w:rPr>
          <w:sz w:val="20"/>
          <w:szCs w:val="20"/>
          <w:color w:val="auto"/>
        </w:rPr>
      </w:pPr>
      <w:r>
        <w:rPr>
          <w:rFonts w:ascii="Times New Roman" w:cs="Times New Roman" w:eastAsia="Times New Roman" w:hAnsi="Times New Roman"/>
          <w:sz w:val="14"/>
          <w:szCs w:val="14"/>
          <w:color w:val="auto"/>
        </w:rPr>
        <w:t>Axsome Therapeutics, Inc. (“Axsome” or the “Company”) is a biopharmaceutical company developing and delivering novel therapies for central nervous system (“CNS”) conditions that have limited treatment options. By focusing on this therapeutic area, the Company is addressing significant and growing markets where current treatment options are limited or inadequate. The Company was incorporated on January 12, 2012 in the State of Delaware. The Company aims to become a fully integrated biopharmaceutical company that develops and commercializes differentiated therapies that expand the treatment options available to caregivers and improve the lives of patients living with CNS disorders. The Company’s CNS portfolio includes three not yet approved product candidates, AXS-07, AXS-12, and AXS-14, which are being developed for multiple indications, and two approved products - Auvelity® (the components of which are referred to as “AXS-05”) and Sunosi® - both of which are also being developed for further indications. The Company refers herein to Sunosi, Auvelity, AXS-07, AXS-12, AXS-14 and its programs to develop additional indications for AXS-05 and solriamfetol as the Company’s products.</w:t>
      </w:r>
    </w:p>
    <w:p>
      <w:pPr>
        <w:spacing w:after="0" w:line="141" w:lineRule="exact"/>
        <w:rPr>
          <w:sz w:val="20"/>
          <w:szCs w:val="20"/>
          <w:color w:val="auto"/>
        </w:rPr>
      </w:pPr>
    </w:p>
    <w:p>
      <w:pPr>
        <w:ind w:right="60" w:firstLine="751"/>
        <w:spacing w:after="0" w:line="249" w:lineRule="auto"/>
        <w:rPr>
          <w:sz w:val="20"/>
          <w:szCs w:val="20"/>
          <w:color w:val="auto"/>
        </w:rPr>
      </w:pPr>
      <w:r>
        <w:rPr>
          <w:rFonts w:ascii="Times New Roman" w:cs="Times New Roman" w:eastAsia="Times New Roman" w:hAnsi="Times New Roman"/>
          <w:sz w:val="16"/>
          <w:szCs w:val="16"/>
          <w:color w:val="auto"/>
        </w:rPr>
        <w:t>The Company acquired the U.S. rights to Sunosi from Jazz Pharmaceuticals plc (“Jazz”) in May 2022 and worldwide ex-U.S. rights (excluding certain Asian markets) from Jazz in November 2022 (collectively, the “Acquisition”). Sunosi is a product approved by the U.S. Food and Drug Administration (the “FDA”) and marketed in the U.S. to improve wakefulness in adult patients with excessive daytime sleepiness (“EDS”) associated with narcolepsy or obstructive sleep apnea. Sunosi was approved in Europe in January 2020 by the European Commission. In February 2023, the Company announced a licensing transaction with Atnahs Pharma UK Limited (“Pharmanovia”) to market Sunosi in Europe and certain countries in the Middle East / North Africa.</w:t>
      </w:r>
    </w:p>
    <w:p>
      <w:pPr>
        <w:spacing w:after="0" w:line="166" w:lineRule="exact"/>
        <w:rPr>
          <w:sz w:val="20"/>
          <w:szCs w:val="20"/>
          <w:color w:val="auto"/>
        </w:rPr>
      </w:pPr>
    </w:p>
    <w:p>
      <w:pPr>
        <w:ind w:right="160" w:firstLine="751"/>
        <w:spacing w:after="0" w:line="267" w:lineRule="auto"/>
        <w:rPr>
          <w:sz w:val="20"/>
          <w:szCs w:val="20"/>
          <w:color w:val="auto"/>
        </w:rPr>
      </w:pPr>
      <w:r>
        <w:rPr>
          <w:rFonts w:ascii="Times New Roman" w:cs="Times New Roman" w:eastAsia="Times New Roman" w:hAnsi="Times New Roman"/>
          <w:sz w:val="16"/>
          <w:szCs w:val="16"/>
          <w:color w:val="auto"/>
        </w:rPr>
        <w:t>In August 2022, the Company announced the FDA approval of Auvelity, and in October 2022, the U.S. commercial availability of Auvelity for the treatment of major depressive disorder in adults.</w:t>
      </w:r>
    </w:p>
    <w:p>
      <w:pPr>
        <w:spacing w:after="0" w:line="151" w:lineRule="exact"/>
        <w:rPr>
          <w:sz w:val="20"/>
          <w:szCs w:val="20"/>
          <w:color w:val="auto"/>
        </w:rPr>
      </w:pPr>
    </w:p>
    <w:p>
      <w:pPr>
        <w:ind w:right="180" w:firstLine="751"/>
        <w:spacing w:after="0" w:line="255"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in conformity with accounting principles generally accepted in the United States of America (“GAAP”). The consolidated financial statements include the accounts of the Company and its wholly owned subsidiaries. All material intercompany accounts and transactions have been eliminated during the consolidation process.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91" w:lineRule="exact"/>
        <w:rPr>
          <w:sz w:val="20"/>
          <w:szCs w:val="20"/>
          <w:color w:val="auto"/>
        </w:rPr>
      </w:pPr>
    </w:p>
    <w:p>
      <w:pPr>
        <w:ind w:right="100" w:firstLine="751"/>
        <w:spacing w:after="0" w:line="267" w:lineRule="auto"/>
        <w:rPr>
          <w:sz w:val="20"/>
          <w:szCs w:val="20"/>
          <w:color w:val="auto"/>
        </w:rPr>
      </w:pPr>
      <w:r>
        <w:rPr>
          <w:rFonts w:ascii="Times New Roman" w:cs="Times New Roman" w:eastAsia="Times New Roman" w:hAnsi="Times New Roman"/>
          <w:sz w:val="16"/>
          <w:szCs w:val="16"/>
          <w:color w:val="auto"/>
        </w:rPr>
        <w:t>The Company has incurred operating losses since its inception and expects to continue to incur operating losses and may never become profitable. As of December 31, 2023, the Company had an accumulated deficit of $835.6 million.</w:t>
      </w:r>
    </w:p>
    <w:p>
      <w:pPr>
        <w:spacing w:after="0" w:line="151" w:lineRule="exact"/>
        <w:rPr>
          <w:sz w:val="20"/>
          <w:szCs w:val="20"/>
          <w:color w:val="auto"/>
        </w:rPr>
      </w:pPr>
    </w:p>
    <w:p>
      <w:pPr>
        <w:ind w:firstLine="751"/>
        <w:spacing w:after="0" w:line="251" w:lineRule="auto"/>
        <w:rPr>
          <w:sz w:val="20"/>
          <w:szCs w:val="20"/>
          <w:color w:val="auto"/>
        </w:rPr>
      </w:pPr>
      <w:r>
        <w:rPr>
          <w:rFonts w:ascii="Times New Roman" w:cs="Times New Roman" w:eastAsia="Times New Roman" w:hAnsi="Times New Roman"/>
          <w:sz w:val="16"/>
          <w:szCs w:val="16"/>
          <w:color w:val="auto"/>
        </w:rPr>
        <w:t>The Company’s primary sources of cash have been proceeds from the sales of Sunosi and Auvelity, the issuance and sale of its common stock in public offerings and the issuance of debt.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with third parties. The Company may continue to incur substantial operating losses even as it continues to generate revenues from its products.</w:t>
      </w:r>
    </w:p>
    <w:p>
      <w:pPr>
        <w:spacing w:after="0" w:line="164" w:lineRule="exact"/>
        <w:rPr>
          <w:sz w:val="20"/>
          <w:szCs w:val="20"/>
          <w:color w:val="auto"/>
        </w:rPr>
      </w:pPr>
    </w:p>
    <w:p>
      <w:pPr>
        <w:ind w:right="100" w:firstLine="751"/>
        <w:spacing w:after="0" w:line="299" w:lineRule="auto"/>
        <w:rPr>
          <w:sz w:val="20"/>
          <w:szCs w:val="20"/>
          <w:color w:val="auto"/>
        </w:rPr>
      </w:pPr>
      <w:r>
        <w:rPr>
          <w:rFonts w:ascii="Times New Roman" w:cs="Times New Roman" w:eastAsia="Times New Roman" w:hAnsi="Times New Roman"/>
          <w:sz w:val="14"/>
          <w:szCs w:val="14"/>
          <w:color w:val="auto"/>
        </w:rPr>
        <w:t>The Company believes its existing cash will be sufficient to fund its anticipated operating cash requirements for at least twelve months following the date of this filing. During that time, the Company expects that its expenses will increase primarily due to the commercialization of Sunosi and Auvelity while continuing to further develop the Company's pipeline assets. The Company may use a combination of public and private equity offerings, debt financings, other third-party funding, strategic alliances, licensing arrangements or marketing and distribution arrangements if market conditions are favorable or as a result of other strategic considerations to finance its future cash needs.</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Company’s common stock is listed on The Nasdaq Global Market and trades under the symbol “AXSM.”</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Summary of Significant Accounting Policies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Risks and Uncertainties</w:t>
      </w:r>
    </w:p>
    <w:p>
      <w:pPr>
        <w:spacing w:after="0" w:line="191" w:lineRule="exact"/>
        <w:rPr>
          <w:sz w:val="20"/>
          <w:szCs w:val="20"/>
          <w:color w:val="auto"/>
        </w:rPr>
      </w:pPr>
    </w:p>
    <w:p>
      <w:pPr>
        <w:ind w:right="80" w:firstLine="751"/>
        <w:spacing w:after="0" w:line="249" w:lineRule="auto"/>
        <w:rPr>
          <w:sz w:val="20"/>
          <w:szCs w:val="20"/>
          <w:color w:val="auto"/>
        </w:rPr>
      </w:pPr>
      <w:r>
        <w:rPr>
          <w:rFonts w:ascii="Times New Roman" w:cs="Times New Roman" w:eastAsia="Times New Roman" w:hAnsi="Times New Roman"/>
          <w:sz w:val="16"/>
          <w:szCs w:val="16"/>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competition from products manufactured and sold or being developed by other companies; the price of, and demand for, the Company’s products; the Company’s ability to negotiate favorable licensing or other manufacturing and marketing agreements for its products; and the Company’s ability to raise additional capital. If the Company's commercialization of its products is not financially successful, it will be unable to generate sufficient recurring product revenue to achieve and maintain profitability.</w:t>
      </w:r>
    </w:p>
    <w:p>
      <w:pPr>
        <w:spacing w:after="0" w:line="166" w:lineRule="exact"/>
        <w:rPr>
          <w:sz w:val="20"/>
          <w:szCs w:val="20"/>
          <w:color w:val="auto"/>
        </w:rPr>
      </w:pPr>
    </w:p>
    <w:p>
      <w:pPr>
        <w:ind w:firstLine="751"/>
        <w:spacing w:after="0" w:line="251" w:lineRule="auto"/>
        <w:rPr>
          <w:sz w:val="20"/>
          <w:szCs w:val="20"/>
          <w:color w:val="auto"/>
        </w:rPr>
      </w:pPr>
      <w:r>
        <w:rPr>
          <w:rFonts w:ascii="Times New Roman" w:cs="Times New Roman" w:eastAsia="Times New Roman" w:hAnsi="Times New Roman"/>
          <w:sz w:val="16"/>
          <w:szCs w:val="16"/>
          <w:color w:val="auto"/>
        </w:rPr>
        <w:t>The Company currently has two commercially approved products, Auvelity and Sunosi, and there can be no assurance that the Company’s research and development efforts will result in successfully commercialized products in addition to Auvelity and Sunosi.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91" w:lineRule="exact"/>
        <w:rPr>
          <w:sz w:val="20"/>
          <w:szCs w:val="20"/>
          <w:color w:val="auto"/>
        </w:rPr>
      </w:pPr>
    </w:p>
    <w:p>
      <w:pPr>
        <w:ind w:right="40" w:firstLine="751"/>
        <w:spacing w:after="0" w:line="286" w:lineRule="auto"/>
        <w:rPr>
          <w:sz w:val="20"/>
          <w:szCs w:val="20"/>
          <w:color w:val="auto"/>
        </w:rPr>
      </w:pPr>
      <w:r>
        <w:rPr>
          <w:rFonts w:ascii="Times New Roman" w:cs="Times New Roman" w:eastAsia="Times New Roman" w:hAnsi="Times New Roman"/>
          <w:sz w:val="14"/>
          <w:szCs w:val="14"/>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stock-based compensation expense; determination of fair value of warrants; accounting for research and development costs; accounting for acquisitions; impairments of goodwill and the intangible asset; determination of fair value of contingent consideration; chargebacks, cash discounts, sales rebates, returns and other adjustments; and the recoverability of the Company’s net deferred tax assets and related valuation allowance.</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91" w:lineRule="exact"/>
        <w:rPr>
          <w:sz w:val="20"/>
          <w:szCs w:val="20"/>
          <w:color w:val="auto"/>
        </w:rPr>
      </w:pPr>
    </w:p>
    <w:p>
      <w:pPr>
        <w:ind w:right="200" w:firstLine="751"/>
        <w:spacing w:after="0" w:line="299" w:lineRule="auto"/>
        <w:rPr>
          <w:sz w:val="20"/>
          <w:szCs w:val="20"/>
          <w:color w:val="auto"/>
        </w:rPr>
      </w:pPr>
      <w:r>
        <w:rPr>
          <w:rFonts w:ascii="Times New Roman" w:cs="Times New Roman" w:eastAsia="Times New Roman" w:hAnsi="Times New Roman"/>
          <w:sz w:val="14"/>
          <w:szCs w:val="14"/>
          <w:color w:val="auto"/>
        </w:rPr>
        <w:t>In accordance with Accounting Standards Codification (“ASC”) Topic 606, Revenue from Contracts with Customers (“ASC 606”) the Company recognizes revenue when the customer obtains control of a promised good or service, in an amount that reflects the consideration that the Company expects to receive in exchange for the good or service. Transfer of control is based on contractual performance obligations, which occurs upon transfer of the title along with the physical transfer of the Company's goods to the customer, as that is when the customer has obtained control of significantly all of the economic benefits and the Company obtains a right of payment.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407035</wp:posOffset>
            </wp:positionV>
            <wp:extent cx="7176135" cy="400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60" w:firstLine="751"/>
        <w:spacing w:after="0" w:line="247" w:lineRule="auto"/>
        <w:rPr>
          <w:sz w:val="20"/>
          <w:szCs w:val="20"/>
          <w:color w:val="auto"/>
        </w:rPr>
      </w:pPr>
      <w:r>
        <w:rPr>
          <w:rFonts w:ascii="Times New Roman" w:cs="Times New Roman" w:eastAsia="Times New Roman" w:hAnsi="Times New Roman"/>
          <w:sz w:val="16"/>
          <w:szCs w:val="16"/>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product sales, see Product Sales, net (below) and Note 15 - Revenues.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License Agreements</w:t>
      </w:r>
    </w:p>
    <w:p>
      <w:pPr>
        <w:spacing w:after="0" w:line="191" w:lineRule="exact"/>
        <w:rPr>
          <w:sz w:val="20"/>
          <w:szCs w:val="20"/>
          <w:color w:val="auto"/>
        </w:rPr>
      </w:pPr>
    </w:p>
    <w:p>
      <w:pPr>
        <w:ind w:right="20" w:firstLine="751"/>
        <w:spacing w:after="0" w:line="255" w:lineRule="auto"/>
        <w:rPr>
          <w:sz w:val="20"/>
          <w:szCs w:val="20"/>
          <w:color w:val="auto"/>
        </w:rPr>
      </w:pPr>
      <w:r>
        <w:rPr>
          <w:rFonts w:ascii="Times New Roman" w:cs="Times New Roman" w:eastAsia="Times New Roman" w:hAnsi="Times New Roman"/>
          <w:sz w:val="16"/>
          <w:szCs w:val="16"/>
          <w:color w:val="auto"/>
        </w:rPr>
        <w:t>The Company generates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spacing w:after="0" w:line="160" w:lineRule="exact"/>
        <w:rPr>
          <w:sz w:val="20"/>
          <w:szCs w:val="20"/>
          <w:color w:val="auto"/>
        </w:rPr>
      </w:pPr>
    </w:p>
    <w:p>
      <w:pPr>
        <w:ind w:firstLine="751"/>
        <w:spacing w:after="0" w:line="248" w:lineRule="auto"/>
        <w:rPr>
          <w:sz w:val="20"/>
          <w:szCs w:val="20"/>
          <w:color w:val="auto"/>
        </w:rPr>
      </w:pPr>
      <w:r>
        <w:rPr>
          <w:rFonts w:ascii="Times New Roman" w:cs="Times New Roman" w:eastAsia="Times New Roman" w:hAnsi="Times New Roman"/>
          <w:sz w:val="16"/>
          <w:szCs w:val="16"/>
          <w:color w:val="auto"/>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the Company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166" w:lineRule="exact"/>
        <w:rPr>
          <w:sz w:val="20"/>
          <w:szCs w:val="20"/>
          <w:color w:val="auto"/>
        </w:rPr>
      </w:pPr>
    </w:p>
    <w:p>
      <w:pPr>
        <w:ind w:right="40" w:firstLine="751"/>
        <w:spacing w:after="0" w:line="247" w:lineRule="auto"/>
        <w:rPr>
          <w:sz w:val="20"/>
          <w:szCs w:val="20"/>
          <w:color w:val="auto"/>
        </w:rPr>
      </w:pPr>
      <w:r>
        <w:rPr>
          <w:rFonts w:ascii="Times New Roman" w:cs="Times New Roman" w:eastAsia="Times New Roman" w:hAnsi="Times New Roman"/>
          <w:sz w:val="16"/>
          <w:szCs w:val="16"/>
          <w:color w:val="auto"/>
        </w:rPr>
        <w:t>Contingent milestones at contract inception are estimated to the extent that it is probable that a significant revenue reversal would not occur and are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a significant revenue reversal would not occur and, if necessary, adjust the estimate of the overall transaction price. Any such adjustments are recorded on a cumulative catch-up basis, which would affect license and other revenue, as well as earnings, in the period of adjustment.</w:t>
      </w:r>
    </w:p>
    <w:p>
      <w:pPr>
        <w:spacing w:after="0" w:line="168" w:lineRule="exact"/>
        <w:rPr>
          <w:sz w:val="20"/>
          <w:szCs w:val="20"/>
          <w:color w:val="auto"/>
        </w:rPr>
      </w:pPr>
    </w:p>
    <w:p>
      <w:pPr>
        <w:ind w:right="100" w:firstLine="751"/>
        <w:spacing w:after="0" w:line="255" w:lineRule="auto"/>
        <w:rPr>
          <w:sz w:val="20"/>
          <w:szCs w:val="20"/>
          <w:color w:val="auto"/>
        </w:rPr>
      </w:pPr>
      <w:r>
        <w:rPr>
          <w:rFonts w:ascii="Times New Roman" w:cs="Times New Roman" w:eastAsia="Times New Roman" w:hAnsi="Times New Roman"/>
          <w:sz w:val="16"/>
          <w:szCs w:val="16"/>
          <w:color w:val="auto"/>
        </w:rPr>
        <w:t>For arrangements that include sales-based royalties, including sales-based milestone payments, and a license of intellectual property that is deemed to be the predominant item to which the royalties relate, revenue is recognized at the later of (i) when the related sales occur, or (ii) when the performance obligation to which some or all of the royalties have been allocated has been satisfied (or partially satisfied).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Product Sales, net</w:t>
      </w:r>
    </w:p>
    <w:p>
      <w:pPr>
        <w:spacing w:after="0" w:line="191" w:lineRule="exact"/>
        <w:rPr>
          <w:sz w:val="20"/>
          <w:szCs w:val="20"/>
          <w:color w:val="auto"/>
        </w:rPr>
      </w:pPr>
    </w:p>
    <w:p>
      <w:pPr>
        <w:ind w:right="140" w:firstLine="751"/>
        <w:spacing w:after="0" w:line="255" w:lineRule="auto"/>
        <w:rPr>
          <w:sz w:val="20"/>
          <w:szCs w:val="20"/>
          <w:color w:val="auto"/>
        </w:rPr>
      </w:pPr>
      <w:r>
        <w:rPr>
          <w:rFonts w:ascii="Times New Roman" w:cs="Times New Roman" w:eastAsia="Times New Roman" w:hAnsi="Times New Roman"/>
          <w:sz w:val="16"/>
          <w:szCs w:val="16"/>
          <w:color w:val="auto"/>
        </w:rPr>
        <w:t>The Company sells Sunosi and Auvelity in the United States to wholesale distributors with whom the Company has entered into formal agreements (collectively, the “Distributors”). The Company sells Sunosi internationally through wholesale distributors for delivery primarily to retail pharmacies and on a product supply basis to Pharmanovia for distribution in licensed territories. See Note 15 - Revenues for further breakout of product sales, net.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407035</wp:posOffset>
            </wp:positionV>
            <wp:extent cx="7176135" cy="400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Reserves for Variable Consideration</w:t>
      </w:r>
    </w:p>
    <w:p>
      <w:pPr>
        <w:spacing w:after="0" w:line="191" w:lineRule="exact"/>
        <w:rPr>
          <w:sz w:val="20"/>
          <w:szCs w:val="20"/>
          <w:color w:val="auto"/>
        </w:rPr>
      </w:pPr>
    </w:p>
    <w:p>
      <w:pPr>
        <w:ind w:right="40" w:firstLine="751"/>
        <w:spacing w:after="0" w:line="248" w:lineRule="auto"/>
        <w:rPr>
          <w:sz w:val="20"/>
          <w:szCs w:val="20"/>
          <w:color w:val="auto"/>
        </w:rPr>
      </w:pPr>
      <w:r>
        <w:rPr>
          <w:rFonts w:ascii="Times New Roman" w:cs="Times New Roman" w:eastAsia="Times New Roman" w:hAnsi="Times New Roman"/>
          <w:sz w:val="16"/>
          <w:szCs w:val="16"/>
          <w:color w:val="auto"/>
        </w:rPr>
        <w:t>The Company's estimates of variable consideration and determination of whether to include estimated amounts in the transaction price are based largely on an assessment of its anticipated performance and all information (historical, current and forecasted) that is reasonably available. These reserves reflect the Company's best estimate of the amount of consideration to which the Company is entitled based on the terms of the contracts. The amount of variable consideration that is included in the transaction price may be constrained and is included in the net sales price only to the extent that is considered probable that a significant reversal in the amount of the cumulative revenue recognized will not occur in a future period. Actual amounts of consideration ultimately received may differ from the estimates. If actual results in the future vary from our estimates, the Company will adjust these estimates, which would affect net product revenue and earnings in the period such variances become known.</w:t>
      </w:r>
    </w:p>
    <w:p>
      <w:pPr>
        <w:spacing w:after="0" w:line="166" w:lineRule="exact"/>
        <w:rPr>
          <w:sz w:val="20"/>
          <w:szCs w:val="20"/>
          <w:color w:val="auto"/>
        </w:rPr>
      </w:pPr>
    </w:p>
    <w:p>
      <w:pPr>
        <w:ind w:firstLine="751"/>
        <w:spacing w:after="0" w:line="249" w:lineRule="auto"/>
        <w:rPr>
          <w:sz w:val="20"/>
          <w:szCs w:val="20"/>
          <w:color w:val="auto"/>
        </w:rPr>
      </w:pPr>
      <w:r>
        <w:rPr>
          <w:rFonts w:ascii="Times New Roman" w:cs="Times New Roman" w:eastAsia="Times New Roman" w:hAnsi="Times New Roman"/>
          <w:sz w:val="16"/>
          <w:szCs w:val="16"/>
          <w:color w:val="auto"/>
        </w:rPr>
        <w:t>The provision for rebates, discounts, and other incentives is based on expected patient usage, as well as inventory levels in the distribution channel to determine the contractual obligation to the benefit providers. Additionally, sales are generally made with a limited right of return under certain conditions. Revenues are recorded net of provisions for rebates, discounts, and other incentives and returns, which are established at the time of sale. The Company uses customer segment utilization mix data, changes to product price, government pricing calculations and prior payment history in order to estimate the variable consideration. Amounts accrued for rebates, discounts, and other incentives are adjusted when trends indicate that adjustment is appropriate and to reflect actual experience.</w:t>
      </w:r>
    </w:p>
    <w:p>
      <w:pPr>
        <w:spacing w:after="0" w:line="164" w:lineRule="exact"/>
        <w:rPr>
          <w:sz w:val="20"/>
          <w:szCs w:val="20"/>
          <w:color w:val="auto"/>
        </w:rPr>
      </w:pPr>
    </w:p>
    <w:p>
      <w:pPr>
        <w:ind w:right="40" w:firstLine="751"/>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Trade Discounts and Allowances </w:t>
      </w:r>
      <w:r>
        <w:rPr>
          <w:rFonts w:ascii="Times New Roman" w:cs="Times New Roman" w:eastAsia="Times New Roman" w:hAnsi="Times New Roman"/>
          <w:sz w:val="16"/>
          <w:szCs w:val="16"/>
          <w:color w:val="auto"/>
        </w:rPr>
        <w:t>- The Company generally provides discounts which include incentive fees that are explicitly stated in the Company’s contracts and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recorded as a reduction of revenue in the period the related product revenue is recognized. In addition, the Company compensates (through trade discounts and allowances) its distributors for distribution services and data. These payments have been recorded as a reduction to product sales as well as a reduction to accounts receivables, net on the consolidated balance sheets.</w:t>
      </w:r>
    </w:p>
    <w:p>
      <w:pPr>
        <w:spacing w:after="0" w:line="161" w:lineRule="exact"/>
        <w:rPr>
          <w:sz w:val="20"/>
          <w:szCs w:val="20"/>
          <w:color w:val="auto"/>
        </w:rPr>
      </w:pPr>
    </w:p>
    <w:p>
      <w:pPr>
        <w:ind w:right="40" w:firstLine="751"/>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Product Returns - </w:t>
      </w:r>
      <w:r>
        <w:rPr>
          <w:rFonts w:ascii="Times New Roman" w:cs="Times New Roman" w:eastAsia="Times New Roman" w:hAnsi="Times New Roman"/>
          <w:sz w:val="16"/>
          <w:szCs w:val="16"/>
          <w:color w:val="auto"/>
        </w:rPr>
        <w:t>The Company generally offers a limited right of return for product that has been purchased from the Company based on the product’s expiration date.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Company estimates the amount of its product sales that may be returned and records this estimate as a reduction of revenue in the period the related product sale is recognized, as well as a component of accrued expense and other current liabilities. The Company currently estimates product return liabilities using available industry data, historical product sales information and actual returns experience.</w:t>
      </w:r>
    </w:p>
    <w:p>
      <w:pPr>
        <w:spacing w:after="0" w:line="161" w:lineRule="exact"/>
        <w:rPr>
          <w:sz w:val="20"/>
          <w:szCs w:val="20"/>
          <w:color w:val="auto"/>
        </w:rPr>
      </w:pPr>
    </w:p>
    <w:p>
      <w:pPr>
        <w:ind w:right="160" w:firstLine="751"/>
        <w:spacing w:after="0" w:line="310" w:lineRule="auto"/>
        <w:rPr>
          <w:sz w:val="20"/>
          <w:szCs w:val="20"/>
          <w:color w:val="auto"/>
        </w:rPr>
      </w:pPr>
      <w:r>
        <w:rPr>
          <w:rFonts w:ascii="Times New Roman" w:cs="Times New Roman" w:eastAsia="Times New Roman" w:hAnsi="Times New Roman"/>
          <w:sz w:val="14"/>
          <w:szCs w:val="14"/>
          <w:i w:val="1"/>
          <w:iCs w:val="1"/>
          <w:color w:val="auto"/>
        </w:rPr>
        <w:t xml:space="preserve">Chargebacks and Discounts - </w:t>
      </w:r>
      <w:r>
        <w:rPr>
          <w:rFonts w:ascii="Times New Roman" w:cs="Times New Roman" w:eastAsia="Times New Roman" w:hAnsi="Times New Roman"/>
          <w:sz w:val="14"/>
          <w:szCs w:val="14"/>
          <w:color w:val="auto"/>
        </w:rPr>
        <w:t>Chargebacks for fees and discounts to providers represent the estimated obligations resulting from contractual commitments to sell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products at prices lower than the list prices charged to distributors. Distributors charge the Company for the difference between what they pay for the product and the ultimate selling price. These reserves are established in the same period that the related product sales are recognized, resulting in a reduction to product sales and accounts receivables, net.</w:t>
      </w:r>
    </w:p>
    <w:p>
      <w:pPr>
        <w:spacing w:after="0" w:line="123" w:lineRule="exact"/>
        <w:rPr>
          <w:sz w:val="20"/>
          <w:szCs w:val="20"/>
          <w:color w:val="auto"/>
        </w:rPr>
      </w:pPr>
    </w:p>
    <w:p>
      <w:pPr>
        <w:ind w:right="180" w:firstLine="751"/>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Rebates - </w:t>
      </w:r>
      <w:r>
        <w:rPr>
          <w:rFonts w:ascii="Times New Roman" w:cs="Times New Roman" w:eastAsia="Times New Roman" w:hAnsi="Times New Roman"/>
          <w:sz w:val="16"/>
          <w:szCs w:val="16"/>
          <w:color w:val="auto"/>
        </w:rPr>
        <w:t>Rebates apply to: Medicaid, managed care, and supplemental rebates to all applicable states as defined by the statutory government pricing calculation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requirements under the Medicaid Drug Rebate Program. Tricare rebates to the TRICARE third-party administrator are based on the statutory calculation defined in the agreement with the Defense Health Agency. Part D and Commercial Managed Care rebates are paid based on the contracts with Pharmacy Benefit Managers (“PBMs”) and Managed Care Organizations. Rebates are paid to these entities upon receipt of an invoice from the contracted entity which is based on the utilization of the product by the members of the contracted entity. Allowances for rebates also include amounts due under the Inflation Reduction Act of 2022 for Medicare Part D. The Company estimates these rebates and records such estimates in the same period the related product sales is recognized, resulting in a reduction to product sales as well as a component of accrued expenses and other current liabilities.</w:t>
      </w:r>
    </w:p>
    <w:p>
      <w:pPr>
        <w:spacing w:after="0" w:line="163" w:lineRule="exact"/>
        <w:rPr>
          <w:sz w:val="20"/>
          <w:szCs w:val="20"/>
          <w:color w:val="auto"/>
        </w:rPr>
      </w:pPr>
    </w:p>
    <w:p>
      <w:pPr>
        <w:ind w:right="60" w:firstLine="751"/>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Coverage Gap - </w:t>
      </w:r>
      <w:r>
        <w:rPr>
          <w:rFonts w:ascii="Times New Roman" w:cs="Times New Roman" w:eastAsia="Times New Roman" w:hAnsi="Times New Roman"/>
          <w:sz w:val="16"/>
          <w:szCs w:val="16"/>
          <w:color w:val="auto"/>
        </w:rPr>
        <w:t>The Medicare Part D coverage gap is a period of consumer payment for prescription medication costs which lies between the initial coverage limit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catastrophic-coverage threshold, when the patient is a member of a Medicare Part D prescription-drug program administered by the Centers for Medicare &amp; Medicaid Services. The Company estimates the percentage of goods sold under Coverage Gap and adjusts the transaction price for such discount at the time of sale resulting in a reduction to product sales as well as a component of accrued expenses and other current liabilities.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407035</wp:posOffset>
            </wp:positionV>
            <wp:extent cx="7176135" cy="400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firstLine="751"/>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Other Incentives - </w:t>
      </w:r>
      <w:r>
        <w:rPr>
          <w:rFonts w:ascii="Times New Roman" w:cs="Times New Roman" w:eastAsia="Times New Roman" w:hAnsi="Times New Roman"/>
          <w:sz w:val="16"/>
          <w:szCs w:val="16"/>
          <w:color w:val="auto"/>
        </w:rPr>
        <w:t>Other incentives which the Company offers include voluntary patient assistance programs, such as the co-pay assistance program, which are intended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product that has been recognized as revenue. The adjustments are recorded in the same period the related revenue is recognized, resulting in a reduction of product sales as well as a component of accrued expenses and other current liabilities.</w:t>
      </w:r>
    </w:p>
    <w:p>
      <w:pPr>
        <w:spacing w:after="0" w:line="164" w:lineRule="exact"/>
        <w:rPr>
          <w:sz w:val="20"/>
          <w:szCs w:val="20"/>
          <w:color w:val="auto"/>
        </w:rPr>
      </w:pPr>
    </w:p>
    <w:p>
      <w:pPr>
        <w:ind w:right="240" w:firstLine="751"/>
        <w:spacing w:after="0" w:line="251" w:lineRule="auto"/>
        <w:rPr>
          <w:sz w:val="20"/>
          <w:szCs w:val="20"/>
          <w:color w:val="auto"/>
        </w:rPr>
      </w:pPr>
      <w:r>
        <w:rPr>
          <w:rFonts w:ascii="Times New Roman" w:cs="Times New Roman" w:eastAsia="Times New Roman" w:hAnsi="Times New Roman"/>
          <w:sz w:val="16"/>
          <w:szCs w:val="16"/>
          <w:color w:val="auto"/>
        </w:rPr>
        <w:t>The Company makes significant estimates and judgments that materially affect its recognition of net product revenue. Claims by third-party payors for rebates, chargebacks and discounts frequently are submitted to the Company significantly after the related sales, potentially resulting in adjustments in the period in which the new information becomes known. The Company will adjust its estimates based on new information, including information regarding actual rebates, chargebacks and discounts for its products, as it becomes available.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 of Revenue</w:t>
      </w:r>
    </w:p>
    <w:p>
      <w:pPr>
        <w:spacing w:after="0" w:line="191" w:lineRule="exact"/>
        <w:rPr>
          <w:sz w:val="20"/>
          <w:szCs w:val="20"/>
          <w:color w:val="auto"/>
        </w:rPr>
      </w:pPr>
    </w:p>
    <w:p>
      <w:pPr>
        <w:ind w:right="60" w:firstLine="751"/>
        <w:spacing w:after="0" w:line="251" w:lineRule="auto"/>
        <w:rPr>
          <w:sz w:val="20"/>
          <w:szCs w:val="20"/>
          <w:color w:val="auto"/>
        </w:rPr>
      </w:pPr>
      <w:r>
        <w:rPr>
          <w:rFonts w:ascii="Times New Roman" w:cs="Times New Roman" w:eastAsia="Times New Roman" w:hAnsi="Times New Roman"/>
          <w:sz w:val="16"/>
          <w:szCs w:val="16"/>
          <w:color w:val="auto"/>
        </w:rPr>
        <w:t>The Company's cost of revenue consists of cost of product sales and a fee sharing expense related to the upfront license revenue received. Cost of product sales primarily include direct costs (inclusive of material, shipping, handling and manufacturing costs), overhead and product royalties. Cost of product sales excludes depreciation and amortization. The cost of product sales for both Sunosi and Auvelity were $26.1 million and $5.2 million for the years ended December 31, 2023 and 2022, respectively. In the first quarter of 2023, the Company recorded a $5.0 million license sharing expense related to the upfront license revenue received.</w:t>
      </w:r>
    </w:p>
    <w:p>
      <w:pPr>
        <w:spacing w:after="0" w:line="164" w:lineRule="exact"/>
        <w:rPr>
          <w:sz w:val="20"/>
          <w:szCs w:val="20"/>
          <w:color w:val="auto"/>
        </w:rPr>
      </w:pPr>
    </w:p>
    <w:p>
      <w:pPr>
        <w:ind w:right="60" w:firstLine="751"/>
        <w:spacing w:after="0" w:line="248" w:lineRule="auto"/>
        <w:rPr>
          <w:sz w:val="20"/>
          <w:szCs w:val="20"/>
          <w:color w:val="auto"/>
        </w:rPr>
      </w:pPr>
      <w:r>
        <w:rPr>
          <w:rFonts w:ascii="Times New Roman" w:cs="Times New Roman" w:eastAsia="Times New Roman" w:hAnsi="Times New Roman"/>
          <w:sz w:val="16"/>
          <w:szCs w:val="16"/>
          <w:color w:val="auto"/>
        </w:rPr>
        <w:t>The Company assumed royalty and sales-based milestone commitments of Jazz to SK Biopharmaceuticals Co. Ltd. (“SK”) and Aerial Biopharma, LLC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the Company is committed to pay up to $165 million based on revenue milestones and $1 million based on development milestones. Additionally, the Company pays a royalty to Antecip Bioventures II LLC (“Antecip”), an entity owned by Axsome’s Chief Executive Officer and Chairman of the Board of Directors (the “Board”), Herriot Tabuteau, M.D., equal to 3.0% of Auvelity net sales.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p>
      <w:pPr>
        <w:spacing w:after="0" w:line="191" w:lineRule="exact"/>
        <w:rPr>
          <w:sz w:val="20"/>
          <w:szCs w:val="20"/>
          <w:color w:val="auto"/>
        </w:rPr>
      </w:pPr>
    </w:p>
    <w:p>
      <w:pPr>
        <w:ind w:right="20" w:firstLine="751"/>
        <w:spacing w:after="0" w:line="255" w:lineRule="auto"/>
        <w:rPr>
          <w:sz w:val="20"/>
          <w:szCs w:val="20"/>
          <w:color w:val="auto"/>
        </w:rPr>
      </w:pPr>
      <w:r>
        <w:rPr>
          <w:rFonts w:ascii="Times New Roman" w:cs="Times New Roman" w:eastAsia="Times New Roman" w:hAnsi="Times New Roman"/>
          <w:sz w:val="16"/>
          <w:szCs w:val="16"/>
          <w:color w:val="auto"/>
        </w:rPr>
        <w:t>Revenues and expenses denominated in foreign currency are translated into U.S. dollars at the exchange rate on the date they are incurred. Assets and liabilities of foreign operations are translated at period-end exchange rates. The effect of exchange rate fluctuations on translating foreign currency into U.S. dollars is included in the Statements of Operations and is not material to the Company’s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 Information</w:t>
      </w:r>
    </w:p>
    <w:p>
      <w:pPr>
        <w:spacing w:after="0" w:line="191" w:lineRule="exact"/>
        <w:rPr>
          <w:sz w:val="20"/>
          <w:szCs w:val="20"/>
          <w:color w:val="auto"/>
        </w:rPr>
      </w:pPr>
    </w:p>
    <w:p>
      <w:pPr>
        <w:ind w:right="40" w:firstLine="751"/>
        <w:spacing w:after="0" w:line="255" w:lineRule="auto"/>
        <w:rPr>
          <w:sz w:val="20"/>
          <w:szCs w:val="20"/>
          <w:color w:val="auto"/>
        </w:rPr>
      </w:pPr>
      <w:r>
        <w:rPr>
          <w:rFonts w:ascii="Times New Roman" w:cs="Times New Roman" w:eastAsia="Times New Roman" w:hAnsi="Times New Roman"/>
          <w:sz w:val="16"/>
          <w:szCs w:val="16"/>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segment and reporting unit, which is the business of developing and delivering novel therapies for the management of CNS disorders.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p>
      <w:pPr>
        <w:spacing w:after="0" w:line="191" w:lineRule="exact"/>
        <w:rPr>
          <w:sz w:val="20"/>
          <w:szCs w:val="20"/>
          <w:color w:val="auto"/>
        </w:rPr>
      </w:pPr>
    </w:p>
    <w:p>
      <w:pPr>
        <w:ind w:right="20" w:firstLine="751"/>
        <w:spacing w:after="0" w:line="249" w:lineRule="auto"/>
        <w:rPr>
          <w:sz w:val="20"/>
          <w:szCs w:val="20"/>
          <w:color w:val="auto"/>
        </w:rPr>
      </w:pPr>
      <w:r>
        <w:rPr>
          <w:rFonts w:ascii="Times New Roman" w:cs="Times New Roman" w:eastAsia="Times New Roman" w:hAnsi="Times New Roman"/>
          <w:sz w:val="16"/>
          <w:szCs w:val="16"/>
          <w:color w:val="auto"/>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December 31, 2023, the balance of cash and cash equivalents was $386.2 million, which approximates fair value and was determined based upon Level 1 inputs. The sweep account is valued using quoted market prices with no valuation adjustments applied. Accordingly, these securities are categorized as Level 1 on the fair value hierarchy.</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407035</wp:posOffset>
            </wp:positionV>
            <wp:extent cx="7176135" cy="400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Concentration of Risk</w:t>
      </w:r>
    </w:p>
    <w:p>
      <w:pPr>
        <w:spacing w:after="0" w:line="189" w:lineRule="exact"/>
        <w:rPr>
          <w:sz w:val="20"/>
          <w:szCs w:val="20"/>
          <w:color w:val="auto"/>
        </w:rPr>
      </w:pPr>
    </w:p>
    <w:p>
      <w:pPr>
        <w:ind w:firstLine="751"/>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Concentration of Credit Risk - </w:t>
      </w:r>
      <w:r>
        <w:rPr>
          <w:rFonts w:ascii="Times New Roman" w:cs="Times New Roman" w:eastAsia="Times New Roman" w:hAnsi="Times New Roman"/>
          <w:sz w:val="16"/>
          <w:szCs w:val="16"/>
          <w:color w:val="auto"/>
        </w:rPr>
        <w:t>Financial instruments that potentially subject the Company to a concentration of credit risk consist of cash and cash equivalents.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maintains its cash at financial institutions, which cash exceeds insured limits. At December 31, 2023, the majority of the Company’s cash was held by two financial institutions, and amounts on deposit were in excess of government-provided insurance limits. The Company places its cash and cash equivalents in what it believes to be high credit quality banks and money market funds and has not recognized any losses from credit risks on such accounts since inception. See Accounts Receivables, net below for further information.</w:t>
      </w:r>
    </w:p>
    <w:p>
      <w:pPr>
        <w:spacing w:after="0" w:line="162" w:lineRule="exact"/>
        <w:rPr>
          <w:sz w:val="20"/>
          <w:szCs w:val="20"/>
          <w:color w:val="auto"/>
        </w:rPr>
      </w:pPr>
    </w:p>
    <w:p>
      <w:pPr>
        <w:ind w:firstLine="751"/>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Concentration of Risk, Other- </w:t>
      </w:r>
      <w:r>
        <w:rPr>
          <w:rFonts w:ascii="Times New Roman" w:cs="Times New Roman" w:eastAsia="Times New Roman" w:hAnsi="Times New Roman"/>
          <w:sz w:val="16"/>
          <w:szCs w:val="16"/>
          <w:color w:val="auto"/>
        </w:rPr>
        <w:t>The Company has a limited number of contract manufacturers for its products. At times the Company may have only one manufacturer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supplier for its products.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Combination</w:t>
      </w:r>
    </w:p>
    <w:p>
      <w:pPr>
        <w:spacing w:after="0" w:line="191" w:lineRule="exact"/>
        <w:rPr>
          <w:sz w:val="20"/>
          <w:szCs w:val="20"/>
          <w:color w:val="auto"/>
        </w:rPr>
      </w:pPr>
    </w:p>
    <w:p>
      <w:pPr>
        <w:ind w:right="100" w:firstLine="751"/>
        <w:spacing w:after="0" w:line="293" w:lineRule="auto"/>
        <w:rPr>
          <w:sz w:val="20"/>
          <w:szCs w:val="20"/>
          <w:color w:val="auto"/>
        </w:rPr>
      </w:pPr>
      <w:r>
        <w:rPr>
          <w:rFonts w:ascii="Times New Roman" w:cs="Times New Roman" w:eastAsia="Times New Roman" w:hAnsi="Times New Roman"/>
          <w:sz w:val="14"/>
          <w:szCs w:val="14"/>
          <w:color w:val="auto"/>
        </w:rPr>
        <w:t>The Company accounted for the Acquisition as a business combination using the acquisition method of accounting, which requires that all identifiable assets acquired, and liabilities assumed be recorded at their estimated fair values. The excess of the fair value of purchase consideration over the fair values of identifiable assets and liabilities is recorded as goodwill. When determining the fair values of assets acquired and liabilities assumed, management makes significant estimates and assumptions. Critical estimates in valuing the intangible asset include but are not limited to future expected cash flows from acquired patented technology. Management’s estimates of fair value are based upon assumptions believed to be reasonable, but are inherently uncertain and unpredictable and, as a result, actual results may differ from estimates.</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As a result of the Acquisition, the Company recorded goodwill and an intangible asset.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Goodwill</w:t>
      </w:r>
    </w:p>
    <w:p>
      <w:pPr>
        <w:spacing w:after="0" w:line="191" w:lineRule="exact"/>
        <w:rPr>
          <w:sz w:val="20"/>
          <w:szCs w:val="20"/>
          <w:color w:val="auto"/>
        </w:rPr>
      </w:pPr>
    </w:p>
    <w:p>
      <w:pPr>
        <w:ind w:firstLine="751"/>
        <w:spacing w:after="0" w:line="246" w:lineRule="auto"/>
        <w:rPr>
          <w:sz w:val="20"/>
          <w:szCs w:val="20"/>
          <w:color w:val="auto"/>
        </w:rPr>
      </w:pPr>
      <w:r>
        <w:rPr>
          <w:rFonts w:ascii="Times New Roman" w:cs="Times New Roman" w:eastAsia="Times New Roman" w:hAnsi="Times New Roman"/>
          <w:sz w:val="16"/>
          <w:szCs w:val="16"/>
          <w:color w:val="auto"/>
        </w:rPr>
        <w:t>Goodwill is deemed to have an indefinite life and therefore not amortized. The Company tests the carrying amounts of goodwill for recoverability on an annual basis or more frequently if events or changes in circumstances indicate that the asset might be impaired. When reviewing goodwill for impairment, the Company first evaluates the qualitative factors to determine whether it is more likely than not that the fair value of a reporting unit is less than its carrying amount. If the qualitative factors determine it is necessary to complete a goodwill impairment test, the fair value of the relevant reporting unit is determined and compared to its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the Company’s consolidated statements of operations. The Company completes its annual goodwill assessment as of December 31. As of December 31, 2023, the Company has determined that it has one reporting unit. The Company has not identified any events or changes in circumstances that indicate the existence of potential impairment of goodwill during the fiscal year ended December 31, 2023.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Intangible Asset</w:t>
      </w:r>
    </w:p>
    <w:p>
      <w:pPr>
        <w:spacing w:after="0" w:line="191" w:lineRule="exact"/>
        <w:rPr>
          <w:sz w:val="20"/>
          <w:szCs w:val="20"/>
          <w:color w:val="auto"/>
        </w:rPr>
      </w:pPr>
    </w:p>
    <w:p>
      <w:pPr>
        <w:ind w:firstLine="751"/>
        <w:spacing w:after="0" w:line="251" w:lineRule="auto"/>
        <w:rPr>
          <w:sz w:val="20"/>
          <w:szCs w:val="20"/>
          <w:color w:val="auto"/>
        </w:rPr>
      </w:pPr>
      <w:r>
        <w:rPr>
          <w:rFonts w:ascii="Times New Roman" w:cs="Times New Roman" w:eastAsia="Times New Roman" w:hAnsi="Times New Roman"/>
          <w:sz w:val="16"/>
          <w:szCs w:val="16"/>
          <w:color w:val="auto"/>
        </w:rPr>
        <w:t>The Company's intangible asset is amortized using the straight-line method over its estimated period of benefit of ten years. The Company evaluates recoverability of the intangible asset periodically by considering events or changes in circumstances that may warrant revised estimates of useful lives or that indicate the asset may be impaired. The Company has not identified any events or changes in circumstances that indicate the existence of potential impairment of the intangible asset during the year ended December 31, 2023.</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407035</wp:posOffset>
            </wp:positionV>
            <wp:extent cx="7176135" cy="400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Contingent Consideration</w:t>
      </w:r>
    </w:p>
    <w:p>
      <w:pPr>
        <w:spacing w:after="0" w:line="191" w:lineRule="exact"/>
        <w:rPr>
          <w:sz w:val="20"/>
          <w:szCs w:val="20"/>
          <w:color w:val="auto"/>
        </w:rPr>
      </w:pPr>
    </w:p>
    <w:p>
      <w:pPr>
        <w:ind w:right="80" w:firstLine="751"/>
        <w:spacing w:after="0" w:line="247" w:lineRule="auto"/>
        <w:rPr>
          <w:sz w:val="20"/>
          <w:szCs w:val="20"/>
          <w:color w:val="auto"/>
        </w:rPr>
      </w:pPr>
      <w:r>
        <w:rPr>
          <w:rFonts w:ascii="Times New Roman" w:cs="Times New Roman" w:eastAsia="Times New Roman" w:hAnsi="Times New Roman"/>
          <w:sz w:val="16"/>
          <w:szCs w:val="16"/>
          <w:color w:val="auto"/>
        </w:rPr>
        <w:t>Consideration paid in a business combination may include potential future payments that are contingent upon the acquired business achieving certain milestones in the future (“contingent consideration”). The royalty payments due to Jazz are a high single-digit royalty on the Company's U.S. net sales of Sunosi in the current indication and a mid single-digit royalty on the Company's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The Company estimates the fair value of the contingent consideration as of the acquisition date and reporting periods thereafter using the probability weighted income approach using significant assumptions, including estimated future sales of Sunosi in current and future indications, timing of regulatory and commercial milestone achievements, probability of technical and regulatory success rates and discount rates. Contingent consideration liabilities expected to be settled within 12 months after the balance sheet date are presented in current liabilities, with the non-current portion recorded within total liabilities in the consolidated balance sheets.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Measurements</w:t>
      </w:r>
    </w:p>
    <w:p>
      <w:pPr>
        <w:spacing w:after="0" w:line="191" w:lineRule="exact"/>
        <w:rPr>
          <w:sz w:val="20"/>
          <w:szCs w:val="20"/>
          <w:color w:val="auto"/>
        </w:rPr>
      </w:pPr>
    </w:p>
    <w:p>
      <w:pPr>
        <w:ind w:right="120" w:firstLine="751"/>
        <w:spacing w:after="0" w:line="191" w:lineRule="exact"/>
        <w:rPr>
          <w:sz w:val="20"/>
          <w:szCs w:val="20"/>
          <w:color w:val="auto"/>
        </w:rPr>
      </w:pPr>
      <w:r>
        <w:rPr>
          <w:rFonts w:ascii="Times New Roman" w:cs="Times New Roman" w:eastAsia="Times New Roman" w:hAnsi="Times New Roman"/>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Level 1—Quoted prices in active markets for identical assets or liabilities that the Company has the ability to access at the measurement date.</w:t>
      </w:r>
    </w:p>
    <w:p>
      <w:pPr>
        <w:spacing w:after="0" w:line="18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Level 2—Inputs other than quoted prices in active markets that are observable for the asset or liability, either directly or indirectly.</w:t>
      </w:r>
    </w:p>
    <w:p>
      <w:pPr>
        <w:spacing w:after="0" w:line="18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Level 3—Unobservable inputs for which there is little or no market data, which require the reporting entity to develop its own assumptions.</w:t>
      </w:r>
    </w:p>
    <w:p>
      <w:pPr>
        <w:spacing w:after="0" w:line="189" w:lineRule="exact"/>
        <w:rPr>
          <w:sz w:val="20"/>
          <w:szCs w:val="20"/>
          <w:color w:val="auto"/>
        </w:rPr>
      </w:pPr>
    </w:p>
    <w:p>
      <w:pPr>
        <w:jc w:val="both"/>
        <w:ind w:right="80" w:firstLine="751"/>
        <w:spacing w:after="0" w:line="255" w:lineRule="auto"/>
        <w:rPr>
          <w:sz w:val="20"/>
          <w:szCs w:val="20"/>
          <w:color w:val="auto"/>
        </w:rPr>
      </w:pPr>
      <w:r>
        <w:rPr>
          <w:rFonts w:ascii="Times New Roman" w:cs="Times New Roman" w:eastAsia="Times New Roman" w:hAnsi="Times New Roman"/>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An asset's or liability's level within the fair value hierarchy is based on the lowest level of any input that is significant to the fair value measurement.</w:t>
      </w:r>
    </w:p>
    <w:p>
      <w:pPr>
        <w:spacing w:after="0" w:line="160" w:lineRule="exact"/>
        <w:rPr>
          <w:sz w:val="20"/>
          <w:szCs w:val="20"/>
          <w:color w:val="auto"/>
        </w:rPr>
      </w:pPr>
    </w:p>
    <w:p>
      <w:pPr>
        <w:ind w:right="20" w:firstLine="751"/>
        <w:spacing w:after="0" w:line="248" w:lineRule="auto"/>
        <w:rPr>
          <w:sz w:val="20"/>
          <w:szCs w:val="20"/>
          <w:color w:val="auto"/>
        </w:rPr>
      </w:pPr>
      <w:r>
        <w:rPr>
          <w:rFonts w:ascii="Times New Roman" w:cs="Times New Roman" w:eastAsia="Times New Roman" w:hAnsi="Times New Roman"/>
          <w:sz w:val="16"/>
          <w:szCs w:val="16"/>
          <w:color w:val="auto"/>
        </w:rPr>
        <w:t>The Company’s financial instruments are cash and cash equivalents, accounts receivable, accounts payable, accrued expenses and other liabilities, contingent warrant liability, current and long-term debt and current and non-current contingent consideration. The Company's Level 1 financial instruments include cash and cash equivalents, accounts receivable, accounts payable and accrued expenses and other liabilities. They are considered Level 1 as the carrying values reported in the accompanying consolidated financial statements approximate their respective fair values due to their short-term maturities. The carrying value of debt on the Company’s balance sheet is estimated to approximate its fair value. The Company's Level 3 financial instruments include contingent warrant liability and current and non-current contingent consideration due to the significant unobservable inputs required in determining their respective fair values.</w:t>
      </w:r>
    </w:p>
    <w:p>
      <w:pPr>
        <w:spacing w:after="0" w:line="166" w:lineRule="exact"/>
        <w:rPr>
          <w:sz w:val="20"/>
          <w:szCs w:val="20"/>
          <w:color w:val="auto"/>
        </w:rPr>
      </w:pPr>
    </w:p>
    <w:p>
      <w:pPr>
        <w:ind w:firstLine="751"/>
        <w:spacing w:after="0" w:line="249" w:lineRule="auto"/>
        <w:rPr>
          <w:sz w:val="20"/>
          <w:szCs w:val="20"/>
          <w:color w:val="auto"/>
        </w:rPr>
      </w:pPr>
      <w:r>
        <w:rPr>
          <w:rFonts w:ascii="Times New Roman" w:cs="Times New Roman" w:eastAsia="Times New Roman" w:hAnsi="Times New Roman"/>
          <w:sz w:val="16"/>
          <w:szCs w:val="16"/>
          <w:color w:val="auto"/>
        </w:rPr>
        <w:t>The Company categorized the fair value of contingent consideration liabilities as Level 3 within the fair value hierarchy as the estimate is based on significant unobservable inputs requiring management judgment. The fair value of contingent consideration liabilities is estimated by using the probability weighted income approach using significant assumptions, including estimated future sales of Sunosi in current and future indications, timing of regulatory and commercial milestone achievements, probability of technical and regulatory success and discount rates. Contingent consideration liabilities are subject to remeasurement at each prospective balance sheet date, with any changes in the fair value recorded in the consolidated statements of operations. See Note 8 - Fair Value of Financial Instruments for further detail.</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407035</wp:posOffset>
            </wp:positionV>
            <wp:extent cx="7176135" cy="400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80" w:firstLine="751"/>
        <w:spacing w:after="0" w:line="293" w:lineRule="auto"/>
        <w:rPr>
          <w:sz w:val="20"/>
          <w:szCs w:val="20"/>
          <w:color w:val="auto"/>
        </w:rPr>
      </w:pPr>
      <w:r>
        <w:rPr>
          <w:rFonts w:ascii="Times New Roman" w:cs="Times New Roman" w:eastAsia="Times New Roman" w:hAnsi="Times New Roman"/>
          <w:sz w:val="14"/>
          <w:szCs w:val="14"/>
          <w:color w:val="auto"/>
        </w:rPr>
        <w:t>The Company estimated the fair value of the warrant liabilities using the Black-Scholes model based on key assumption and inputs. The Company utilizes a probability assessment to estimate the likelihood of vesting for the remaining Loan Agreement (as defined below) warrants and allocated the probability of occurrence percentage to the fair values calculated, and, therefore, is considered Level 3 within the fair value hierarchy. The Company accounts for warrants anticipated to be issued in the future under the Loan Agreement as liabilities and measures them at fair value using the Black-Scholes valuation model. The warrants are subject to remeasurement at each prospective balance sheet date, with any changes in the fair value recorded in the consolidated statements of operations. See Note 8 - Fair Value of Financial Instruments for further detail.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Accounts Receivable, net</w:t>
      </w:r>
    </w:p>
    <w:p>
      <w:pPr>
        <w:spacing w:after="0" w:line="191" w:lineRule="exact"/>
        <w:rPr>
          <w:sz w:val="20"/>
          <w:szCs w:val="20"/>
          <w:color w:val="auto"/>
        </w:rPr>
      </w:pPr>
    </w:p>
    <w:p>
      <w:pPr>
        <w:ind w:right="480" w:firstLine="751"/>
        <w:spacing w:after="0" w:line="267" w:lineRule="auto"/>
        <w:rPr>
          <w:sz w:val="20"/>
          <w:szCs w:val="20"/>
          <w:color w:val="auto"/>
        </w:rPr>
      </w:pPr>
      <w:r>
        <w:rPr>
          <w:rFonts w:ascii="Times New Roman" w:cs="Times New Roman" w:eastAsia="Times New Roman" w:hAnsi="Times New Roman"/>
          <w:sz w:val="16"/>
          <w:szCs w:val="16"/>
          <w:color w:val="auto"/>
        </w:rPr>
        <w:t>The Company’s accounts receivable, net, arise from product sales. They are generally stated at the invoiced amount and do not bear interest. Accounts receivable allowances result from chargebacks, prompt pay discounts, and distribution fees. Payment terms are typically 60 days or less.</w:t>
      </w:r>
    </w:p>
    <w:p>
      <w:pPr>
        <w:spacing w:after="0" w:line="151" w:lineRule="exact"/>
        <w:rPr>
          <w:sz w:val="20"/>
          <w:szCs w:val="20"/>
          <w:color w:val="auto"/>
        </w:rPr>
      </w:pPr>
    </w:p>
    <w:p>
      <w:pPr>
        <w:ind w:right="20" w:firstLine="751"/>
        <w:spacing w:after="0" w:line="247" w:lineRule="auto"/>
        <w:rPr>
          <w:sz w:val="20"/>
          <w:szCs w:val="20"/>
          <w:color w:val="auto"/>
        </w:rPr>
      </w:pPr>
      <w:r>
        <w:rPr>
          <w:rFonts w:ascii="Times New Roman" w:cs="Times New Roman" w:eastAsia="Times New Roman" w:hAnsi="Times New Roman"/>
          <w:sz w:val="16"/>
          <w:szCs w:val="16"/>
          <w:color w:val="auto"/>
        </w:rPr>
        <w:t>The Company monitors the financial performance and creditworthiness of its customers so that it can properly assess and respond to changes in the customers’ credit profiles. During the first quarter of 2023, the Company began distributing products through wholesale customers. The Company estimates expected credit losses of its accounts receivable by assessing the risk of loss and available relevant information about collectability, including historical credit losses, existing contractual payment terms, actual payment patterns of its customers, individual customer circumstances, and reasonable and supportable forecast of economic conditions expected to exist throughout the contractual life of the receivable. The Company has not historically experienced significant credit losses. Based on its assessment, as of December 31, 2023, the Company has not recorded any allowances for doubtful accounts receivable. Receivables from the Company's three largest customers totaled 38%, 32% and 28% of the Company's accounts receivable, net balance as of December 31, 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Debt Issuance Costs</w:t>
      </w:r>
    </w:p>
    <w:p>
      <w:pPr>
        <w:spacing w:after="0" w:line="191" w:lineRule="exact"/>
        <w:rPr>
          <w:sz w:val="20"/>
          <w:szCs w:val="20"/>
          <w:color w:val="auto"/>
        </w:rPr>
      </w:pPr>
    </w:p>
    <w:p>
      <w:pPr>
        <w:ind w:right="20" w:firstLine="751"/>
        <w:spacing w:after="0" w:line="255" w:lineRule="auto"/>
        <w:rPr>
          <w:sz w:val="20"/>
          <w:szCs w:val="20"/>
          <w:color w:val="auto"/>
        </w:rPr>
      </w:pPr>
      <w:r>
        <w:rPr>
          <w:rFonts w:ascii="Times New Roman" w:cs="Times New Roman" w:eastAsia="Times New Roman" w:hAnsi="Times New Roman"/>
          <w:sz w:val="16"/>
          <w:szCs w:val="16"/>
          <w:color w:val="auto"/>
        </w:rPr>
        <w:t>Debt issuance costs consist of costs incurred in obtaining long-term financing. These costs are classified on the consolidated balance sheet as a direct deduction from the carrying amount of the related debt liability. These expenses are deferred and amortized as part of interest expense in the consolidated statement of operations using the effective interest rate method over the term of the debt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Inventory</w:t>
      </w:r>
    </w:p>
    <w:p>
      <w:pPr>
        <w:spacing w:after="0" w:line="191" w:lineRule="exact"/>
        <w:rPr>
          <w:sz w:val="20"/>
          <w:szCs w:val="20"/>
          <w:color w:val="auto"/>
        </w:rPr>
      </w:pPr>
    </w:p>
    <w:p>
      <w:pPr>
        <w:ind w:right="60" w:firstLine="751"/>
        <w:spacing w:after="0" w:line="251" w:lineRule="auto"/>
        <w:rPr>
          <w:sz w:val="20"/>
          <w:szCs w:val="20"/>
          <w:color w:val="auto"/>
        </w:rPr>
      </w:pPr>
      <w:r>
        <w:rPr>
          <w:rFonts w:ascii="Times New Roman" w:cs="Times New Roman" w:eastAsia="Times New Roman" w:hAnsi="Times New Roman"/>
          <w:sz w:val="16"/>
          <w:szCs w:val="16"/>
          <w:color w:val="auto"/>
        </w:rPr>
        <w:t>The Company values its inventories at the lower of cost or estimated net realizable value. The remaining inventory associated with the Acquisition is stated at fair value due to purchase accounting. The Company performs an assessment of the recoverability of capitalized inventory during each reporting period, and it writes down any excess and obsolete inventories to their estimated net realizable value in the period in which the impairment is first identified. Such impairment charges, if they occur, are recorded within cost of revenue.</w:t>
      </w:r>
    </w:p>
    <w:p>
      <w:pPr>
        <w:spacing w:after="0" w:line="164" w:lineRule="exact"/>
        <w:rPr>
          <w:sz w:val="20"/>
          <w:szCs w:val="20"/>
          <w:color w:val="auto"/>
        </w:rPr>
      </w:pPr>
    </w:p>
    <w:p>
      <w:pPr>
        <w:ind w:right="60" w:firstLine="751"/>
        <w:spacing w:after="0" w:line="251" w:lineRule="auto"/>
        <w:rPr>
          <w:sz w:val="20"/>
          <w:szCs w:val="20"/>
          <w:color w:val="auto"/>
        </w:rPr>
      </w:pPr>
      <w:r>
        <w:rPr>
          <w:rFonts w:ascii="Times New Roman" w:cs="Times New Roman" w:eastAsia="Times New Roman" w:hAnsi="Times New Roman"/>
          <w:sz w:val="16"/>
          <w:szCs w:val="16"/>
          <w:color w:val="auto"/>
        </w:rPr>
        <w:t>The Company capitalizes inventory costs associated with the Company’s products after regulatory approval when, based on management’s judgment, future commercialization is considered probable and the future economic benefit is expected to be realized. Inventory acquired and manufactured prior to receipt of regulatory approval of a product candidate is expensed as research and development expense as incurred. Inventory that can be used in either the production of clinical or commercial product is expensed as research and development expense when selected for use in a clinical manufacturing campaign.</w:t>
      </w:r>
    </w:p>
    <w:p>
      <w:pPr>
        <w:spacing w:after="0" w:line="164" w:lineRule="exact"/>
        <w:rPr>
          <w:sz w:val="20"/>
          <w:szCs w:val="20"/>
          <w:color w:val="auto"/>
        </w:rPr>
      </w:pPr>
    </w:p>
    <w:p>
      <w:pPr>
        <w:ind w:firstLine="751"/>
        <w:spacing w:after="0" w:line="267" w:lineRule="auto"/>
        <w:rPr>
          <w:sz w:val="20"/>
          <w:szCs w:val="20"/>
          <w:color w:val="auto"/>
        </w:rPr>
      </w:pPr>
      <w:r>
        <w:rPr>
          <w:rFonts w:ascii="Times New Roman" w:cs="Times New Roman" w:eastAsia="Times New Roman" w:hAnsi="Times New Roman"/>
          <w:sz w:val="16"/>
          <w:szCs w:val="16"/>
          <w:color w:val="auto"/>
        </w:rPr>
        <w:t>Inventory levels are evaluated for amounts that would be sold within one year. If the level of inventory exceeds the estimated amount that would be sold beyond the next 12 months, the Company classifies the estimate of such inventory as non-current.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407035</wp:posOffset>
            </wp:positionV>
            <wp:extent cx="7176135" cy="400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Equipment, net</w:t>
      </w:r>
    </w:p>
    <w:p>
      <w:pPr>
        <w:spacing w:after="0" w:line="158" w:lineRule="exact"/>
        <w:rPr>
          <w:sz w:val="20"/>
          <w:szCs w:val="20"/>
          <w:color w:val="auto"/>
        </w:rPr>
      </w:pPr>
    </w:p>
    <w:p>
      <w:pPr>
        <w:ind w:right="140" w:firstLine="751"/>
        <w:spacing w:after="0" w:line="204" w:lineRule="exact"/>
        <w:rPr>
          <w:sz w:val="20"/>
          <w:szCs w:val="20"/>
          <w:color w:val="auto"/>
        </w:rPr>
      </w:pPr>
      <w:r>
        <w:rPr>
          <w:rFonts w:ascii="Times New Roman" w:cs="Times New Roman" w:eastAsia="Times New Roman" w:hAnsi="Times New Roman"/>
          <w:sz w:val="16"/>
          <w:szCs w:val="16"/>
          <w:color w:val="auto"/>
        </w:rPr>
        <w:t>Equipment consists primarily of computer equipment and is recorded at cost. Equipment is depreciated on a straight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 Costs</w:t>
      </w:r>
    </w:p>
    <w:p>
      <w:pPr>
        <w:spacing w:after="0" w:line="191" w:lineRule="exact"/>
        <w:rPr>
          <w:sz w:val="20"/>
          <w:szCs w:val="20"/>
          <w:color w:val="auto"/>
        </w:rPr>
      </w:pPr>
    </w:p>
    <w:p>
      <w:pPr>
        <w:ind w:firstLine="751"/>
        <w:spacing w:after="0" w:line="247" w:lineRule="auto"/>
        <w:rPr>
          <w:sz w:val="20"/>
          <w:szCs w:val="20"/>
          <w:color w:val="auto"/>
        </w:rPr>
      </w:pPr>
      <w:r>
        <w:rPr>
          <w:rFonts w:ascii="Times New Roman" w:cs="Times New Roman" w:eastAsia="Times New Roman" w:hAnsi="Times New Roman"/>
          <w:sz w:val="16"/>
          <w:szCs w:val="16"/>
          <w:color w:val="auto"/>
        </w:rPr>
        <w:t>Research and development costs are expensed as incurred. Research and development expenses consist primarily of employee-related expenses, including salaries, benefits, travel and stock-based compensation expense, contract services, costs incurred to third-party service providers for conducting research, preclinical and clinical studies, laboratory supplies, product license fees, consulting and other related expenses. Research, preclinical and clinical study expenses are estimated based on services performed, pursuant to contracts with third-party research and development organizations that conduct and manage research, preclinical and clinical activities on the Company’s behalf, including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accruals are adjusted accordingly. Payments associated with licensing agreements to acquire licenses to develop, use, manufacture and commercialize products that have not reached technological feasibility and do not have alternative future use are expensed as incurred.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Advertising Costs</w:t>
      </w:r>
    </w:p>
    <w:p>
      <w:pPr>
        <w:spacing w:after="0" w:line="191" w:lineRule="exact"/>
        <w:rPr>
          <w:sz w:val="20"/>
          <w:szCs w:val="20"/>
          <w:color w:val="auto"/>
        </w:rPr>
      </w:pPr>
    </w:p>
    <w:p>
      <w:pPr>
        <w:ind w:right="400" w:firstLine="751"/>
        <w:spacing w:after="0" w:line="255" w:lineRule="auto"/>
        <w:rPr>
          <w:sz w:val="20"/>
          <w:szCs w:val="20"/>
          <w:color w:val="auto"/>
        </w:rPr>
      </w:pPr>
      <w:r>
        <w:rPr>
          <w:rFonts w:ascii="Times New Roman" w:cs="Times New Roman" w:eastAsia="Times New Roman" w:hAnsi="Times New Roman"/>
          <w:sz w:val="16"/>
          <w:szCs w:val="16"/>
          <w:color w:val="auto"/>
        </w:rPr>
        <w:t>Advertising costs are included in selling, general and administrative expenses and are expensed as incurred. The Company considers advertising costs as expenses related to the promotion of the Company's commercial products. For the years ended December 31, 2023 and 2022, advertising costs were $100.3 million and $35.3 million, respectively. The Company did not have commercial products in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91" w:lineRule="exact"/>
        <w:rPr>
          <w:sz w:val="20"/>
          <w:szCs w:val="20"/>
          <w:color w:val="auto"/>
        </w:rPr>
      </w:pPr>
    </w:p>
    <w:p>
      <w:pPr>
        <w:ind w:right="20" w:firstLine="751"/>
        <w:spacing w:after="0" w:line="293" w:lineRule="auto"/>
        <w:rPr>
          <w:sz w:val="20"/>
          <w:szCs w:val="20"/>
          <w:color w:val="auto"/>
        </w:rPr>
      </w:pPr>
      <w:r>
        <w:rPr>
          <w:rFonts w:ascii="Times New Roman" w:cs="Times New Roman" w:eastAsia="Times New Roman" w:hAnsi="Times New Roman"/>
          <w:sz w:val="14"/>
          <w:szCs w:val="14"/>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38" w:lineRule="exact"/>
        <w:rPr>
          <w:sz w:val="20"/>
          <w:szCs w:val="20"/>
          <w:color w:val="auto"/>
        </w:rPr>
      </w:pPr>
    </w:p>
    <w:p>
      <w:pPr>
        <w:jc w:val="both"/>
        <w:ind w:right="80" w:firstLine="751"/>
        <w:spacing w:after="0" w:line="251" w:lineRule="auto"/>
        <w:rPr>
          <w:sz w:val="20"/>
          <w:szCs w:val="20"/>
          <w:color w:val="auto"/>
        </w:rPr>
      </w:pPr>
      <w:r>
        <w:rPr>
          <w:rFonts w:ascii="Times New Roman" w:cs="Times New Roman" w:eastAsia="Times New Roman" w:hAnsi="Times New Roman"/>
          <w:sz w:val="16"/>
          <w:szCs w:val="16"/>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In the event the Company determines that accrual of interest or penalties are necessary in the future, the amount will be presented as a component of income tax expense.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158" w:lineRule="exact"/>
        <w:rPr>
          <w:sz w:val="20"/>
          <w:szCs w:val="20"/>
          <w:color w:val="auto"/>
        </w:rPr>
      </w:pPr>
    </w:p>
    <w:p>
      <w:pPr>
        <w:ind w:right="80" w:firstLine="751"/>
        <w:spacing w:after="0" w:line="199" w:lineRule="exact"/>
        <w:rPr>
          <w:sz w:val="20"/>
          <w:szCs w:val="20"/>
          <w:color w:val="auto"/>
        </w:rPr>
      </w:pPr>
      <w:r>
        <w:rPr>
          <w:rFonts w:ascii="Times New Roman" w:cs="Times New Roman" w:eastAsia="Times New Roman" w:hAnsi="Times New Roman"/>
          <w:sz w:val="16"/>
          <w:szCs w:val="16"/>
          <w:color w:val="auto"/>
        </w:rPr>
        <w:t>For stock options issued, the Company estimates the grant date fair value of each option using the Black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 In addition, the Company recognizes expense for equity award forfeitures as they occur.</w:t>
      </w:r>
    </w:p>
    <w:p>
      <w:pPr>
        <w:spacing w:after="0" w:line="173" w:lineRule="exact"/>
        <w:rPr>
          <w:sz w:val="20"/>
          <w:szCs w:val="20"/>
          <w:color w:val="auto"/>
        </w:rPr>
      </w:pPr>
    </w:p>
    <w:p>
      <w:pPr>
        <w:ind w:right="280" w:firstLine="751"/>
        <w:spacing w:after="0" w:line="267" w:lineRule="auto"/>
        <w:rPr>
          <w:sz w:val="20"/>
          <w:szCs w:val="20"/>
          <w:color w:val="auto"/>
        </w:rPr>
      </w:pPr>
      <w:r>
        <w:rPr>
          <w:rFonts w:ascii="Times New Roman" w:cs="Times New Roman" w:eastAsia="Times New Roman" w:hAnsi="Times New Roman"/>
          <w:sz w:val="16"/>
          <w:szCs w:val="16"/>
          <w:color w:val="auto"/>
        </w:rPr>
        <w:t>For restricted stock units (“RSUs”), the Company issues them in the form of Company common stock. The fair market value of these awards is based on the market closing price per share on the grant date.</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407035</wp:posOffset>
            </wp:positionV>
            <wp:extent cx="7176135" cy="400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60" w:firstLine="751"/>
        <w:spacing w:after="0" w:line="299" w:lineRule="auto"/>
        <w:rPr>
          <w:sz w:val="20"/>
          <w:szCs w:val="20"/>
          <w:color w:val="auto"/>
        </w:rPr>
      </w:pPr>
      <w:r>
        <w:rPr>
          <w:rFonts w:ascii="Times New Roman" w:cs="Times New Roman" w:eastAsia="Times New Roman" w:hAnsi="Times New Roman"/>
          <w:sz w:val="14"/>
          <w:szCs w:val="14"/>
          <w:color w:val="auto"/>
        </w:rPr>
        <w:t>The Company recognizes the grant date fair value of the stock options and RSUs over the requisite service period, which is generally the vesting term. For awards only subject to service-based vesting conditions, the Company elected to recognize stock-based compensation expense on a straight-line basis. For awards subject to performance-based vesting conditions, the Company recognizes stock-based compensation expense using the accelerated attribution method when the achievement of the performance condition becomes probable. The expense related to the stock-based compensation is recorded within the same financial statement line item as the grantee’s cash compensation.</w:t>
      </w:r>
    </w:p>
    <w:p>
      <w:pPr>
        <w:spacing w:after="0" w:line="131" w:lineRule="exact"/>
        <w:rPr>
          <w:sz w:val="20"/>
          <w:szCs w:val="20"/>
          <w:color w:val="auto"/>
        </w:rPr>
      </w:pPr>
    </w:p>
    <w:p>
      <w:pPr>
        <w:ind w:right="540" w:firstLine="751"/>
        <w:spacing w:after="0" w:line="267" w:lineRule="auto"/>
        <w:rPr>
          <w:sz w:val="20"/>
          <w:szCs w:val="20"/>
          <w:color w:val="auto"/>
        </w:rPr>
      </w:pPr>
      <w:r>
        <w:rPr>
          <w:rFonts w:ascii="Times New Roman" w:cs="Times New Roman" w:eastAsia="Times New Roman" w:hAnsi="Times New Roman"/>
          <w:sz w:val="16"/>
          <w:szCs w:val="16"/>
          <w:color w:val="auto"/>
        </w:rPr>
        <w:t>The Company’s policy upon exercise of stock options and RSUs is that shares will be issued as new shares drawing on the Company’s 2015 Omnibus Incentive Compensation Plan share pool that was adopted by the stockholders in November 2015.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Basic and Diluted Net Loss per Common Share</w:t>
      </w:r>
    </w:p>
    <w:p>
      <w:pPr>
        <w:spacing w:after="0" w:line="191" w:lineRule="exact"/>
        <w:rPr>
          <w:sz w:val="20"/>
          <w:szCs w:val="20"/>
          <w:color w:val="auto"/>
        </w:rPr>
      </w:pPr>
    </w:p>
    <w:p>
      <w:pPr>
        <w:ind w:right="40" w:firstLine="751"/>
        <w:spacing w:after="0" w:line="299" w:lineRule="auto"/>
        <w:rPr>
          <w:sz w:val="20"/>
          <w:szCs w:val="20"/>
          <w:color w:val="auto"/>
        </w:rPr>
      </w:pPr>
      <w:r>
        <w:rPr>
          <w:rFonts w:ascii="Times New Roman" w:cs="Times New Roman" w:eastAsia="Times New Roman" w:hAnsi="Times New Roman"/>
          <w:sz w:val="14"/>
          <w:szCs w:val="14"/>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RSUs and/or common stock pursuant to the 2023 Employee Stock Purchase Plan (the “ESPP”), which would result in the issuance of incremental shares of common stock. As the impact of these items is anti-dilutive during periods of net loss, there was no difference between basic and diluted net loss per share of common stock for the years ended December 31, 2023 and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191" w:lineRule="exact"/>
        <w:rPr>
          <w:sz w:val="20"/>
          <w:szCs w:val="20"/>
          <w:color w:val="auto"/>
        </w:rPr>
      </w:pPr>
    </w:p>
    <w:p>
      <w:pPr>
        <w:ind w:right="20" w:firstLine="751"/>
        <w:spacing w:after="0" w:line="251" w:lineRule="auto"/>
        <w:rPr>
          <w:sz w:val="20"/>
          <w:szCs w:val="20"/>
          <w:color w:val="auto"/>
        </w:rPr>
      </w:pPr>
      <w:r>
        <w:rPr>
          <w:rFonts w:ascii="Times New Roman" w:cs="Times New Roman" w:eastAsia="Times New Roman" w:hAnsi="Times New Roman"/>
          <w:sz w:val="16"/>
          <w:szCs w:val="16"/>
          <w:color w:val="auto"/>
        </w:rPr>
        <w:t>The Company determines if an arrangement is a lease at contract inception. Operating lease assets represent the Company’s right to use an underlying asset for the lease term and operating lease liabilities represent the Company’s obligation to make lease payments arising from the lease. When evaluating whether a contract contains a lease, the Company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w:t>
      </w:r>
    </w:p>
    <w:p>
      <w:pPr>
        <w:spacing w:after="0" w:line="164" w:lineRule="exact"/>
        <w:rPr>
          <w:sz w:val="20"/>
          <w:szCs w:val="20"/>
          <w:color w:val="auto"/>
        </w:rPr>
      </w:pPr>
    </w:p>
    <w:p>
      <w:pPr>
        <w:ind w:right="40" w:firstLine="751"/>
        <w:spacing w:after="0" w:line="251" w:lineRule="auto"/>
        <w:rPr>
          <w:sz w:val="20"/>
          <w:szCs w:val="20"/>
          <w:color w:val="auto"/>
        </w:rPr>
      </w:pPr>
      <w:r>
        <w:rPr>
          <w:rFonts w:ascii="Times New Roman" w:cs="Times New Roman" w:eastAsia="Times New Roman" w:hAnsi="Times New Roman"/>
          <w:sz w:val="16"/>
          <w:szCs w:val="16"/>
          <w:color w:val="auto"/>
        </w:rPr>
        <w:t>The Company’s lease agreements contain lease and non-lease components. Non-lease components primarily include payments for maintenance and utilities. The Company has applied the practical expedient to combine fixed payments for non-lease components with lease payments and account for them together as a single lease component, which increases the amount of lease assets and corresponding liabilities. Payments under the Company’s lease arrangements are primarily fixed, however variable payments, are expensed as incurred and not included in the operating lease asset and liability.</w:t>
      </w:r>
    </w:p>
    <w:p>
      <w:pPr>
        <w:spacing w:after="0" w:line="164" w:lineRule="exact"/>
        <w:rPr>
          <w:sz w:val="20"/>
          <w:szCs w:val="20"/>
          <w:color w:val="auto"/>
        </w:rPr>
      </w:pPr>
    </w:p>
    <w:p>
      <w:pPr>
        <w:jc w:val="both"/>
        <w:ind w:right="80" w:firstLine="751"/>
        <w:spacing w:after="0" w:line="251" w:lineRule="auto"/>
        <w:rPr>
          <w:sz w:val="20"/>
          <w:szCs w:val="20"/>
          <w:color w:val="auto"/>
        </w:rPr>
      </w:pPr>
      <w:r>
        <w:rPr>
          <w:rFonts w:ascii="Times New Roman" w:cs="Times New Roman" w:eastAsia="Times New Roman" w:hAnsi="Times New Roman"/>
          <w:sz w:val="16"/>
          <w:szCs w:val="16"/>
          <w:color w:val="auto"/>
        </w:rPr>
        <w:t>Operating 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interest rate implicit in the contract when such rate is readily determinable and uses the Company’s incremental borrowing rate when the rate implicit in the contract is not readily determinable based upon the information available at the commencement date in determining the present value of the lease payments.</w:t>
      </w:r>
    </w:p>
    <w:p>
      <w:pPr>
        <w:spacing w:after="0" w:line="164" w:lineRule="exact"/>
        <w:rPr>
          <w:sz w:val="20"/>
          <w:szCs w:val="20"/>
          <w:color w:val="auto"/>
        </w:rPr>
      </w:pPr>
    </w:p>
    <w:p>
      <w:pPr>
        <w:ind w:firstLine="751"/>
        <w:spacing w:after="0" w:line="251" w:lineRule="auto"/>
        <w:rPr>
          <w:sz w:val="20"/>
          <w:szCs w:val="20"/>
          <w:color w:val="auto"/>
        </w:rPr>
      </w:pPr>
      <w:r>
        <w:rPr>
          <w:rFonts w:ascii="Times New Roman" w:cs="Times New Roman" w:eastAsia="Times New Roman" w:hAnsi="Times New Roman"/>
          <w:sz w:val="16"/>
          <w:szCs w:val="16"/>
          <w:color w:val="auto"/>
        </w:rPr>
        <w:t>The Company’s operating leases are reflected in the right-of-use operating asset; operating lease liability, current portion; and operating lease liability, long-term portion in the Company’s consolidated balance sheets. Lease expense for lease payments is recognized on a straight-line basis over the lease term. Short-term leases, defined as leases that have a lease term of 12 months or less at the commencement date, and do not include an option to extend the term or purchase the underlying asset that the Company is reasonably certain to exercise, are excluded from this treatment and are recognized on a straight-line basis over the term of the lease.</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407035</wp:posOffset>
            </wp:positionV>
            <wp:extent cx="7176135" cy="400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80"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91" w:lineRule="exact"/>
        <w:rPr>
          <w:sz w:val="20"/>
          <w:szCs w:val="20"/>
          <w:color w:val="auto"/>
        </w:rPr>
      </w:pPr>
    </w:p>
    <w:p>
      <w:pPr>
        <w:ind w:right="20" w:firstLine="751"/>
        <w:spacing w:after="0" w:line="247" w:lineRule="auto"/>
        <w:rPr>
          <w:sz w:val="20"/>
          <w:szCs w:val="20"/>
          <w:color w:val="auto"/>
        </w:rPr>
      </w:pPr>
      <w:r>
        <w:rPr>
          <w:rFonts w:ascii="Times New Roman" w:cs="Times New Roman" w:eastAsia="Times New Roman" w:hAnsi="Times New Roman"/>
          <w:sz w:val="16"/>
          <w:szCs w:val="16"/>
          <w:color w:val="auto"/>
        </w:rPr>
        <w:t>In October 2021, the Financial Accounting Standards Board (“FASB”) issued Accounting Standards Update (“ASU”) No. 2021-08, Business Combinations (Topic 805). This update requires that an entity (acquirer) recognize and measure contract assets and contract liabilities acquired in a business combination in accordance with ASC 606, Revenue from Contracts with Customers. At the acquisition date, an acquirer should account for the related revenue contracts in accordance with ASC 606 as if it had originated the contracts. This differs from the current requirement to measure contract assets and contract liabilities acquired in a business combination at fair value. The amendments in this update should be applied prospectively, and are effective for fiscal years beginning after December 15, 2022, including interim periods within those fiscal years. The Company adopted this standard as of January 1, 2023 and concluded it did not have a material impact on the Company's financial statements. See Note 3 - Business Combination for further information.</w:t>
      </w:r>
    </w:p>
    <w:p>
      <w:pPr>
        <w:spacing w:after="0" w:line="168" w:lineRule="exact"/>
        <w:rPr>
          <w:sz w:val="20"/>
          <w:szCs w:val="20"/>
          <w:color w:val="auto"/>
        </w:rPr>
      </w:pPr>
    </w:p>
    <w:p>
      <w:pPr>
        <w:ind w:right="180" w:firstLine="751"/>
        <w:spacing w:after="0" w:line="255" w:lineRule="auto"/>
        <w:rPr>
          <w:sz w:val="20"/>
          <w:szCs w:val="20"/>
          <w:color w:val="auto"/>
        </w:rPr>
      </w:pPr>
      <w:r>
        <w:rPr>
          <w:rFonts w:ascii="Times New Roman" w:cs="Times New Roman" w:eastAsia="Times New Roman" w:hAnsi="Times New Roman"/>
          <w:sz w:val="16"/>
          <w:szCs w:val="16"/>
          <w:color w:val="auto"/>
        </w:rPr>
        <w:t>In November 2023, the FASB issued ASU 2023-07, Segment reporting, which requires disclosure of incremental segment information on an annual and interim basis. The standard is effective for years beginning after December 15, 2023, and interim periods beginning after December 15, 2024 and early adoption is permitted. The Company is currently evaluating the effect of adopting this guidance on its consolidated financial statements.</w:t>
      </w:r>
    </w:p>
    <w:p>
      <w:pPr>
        <w:spacing w:after="0" w:line="160" w:lineRule="exact"/>
        <w:rPr>
          <w:sz w:val="20"/>
          <w:szCs w:val="20"/>
          <w:color w:val="auto"/>
        </w:rPr>
      </w:pPr>
    </w:p>
    <w:p>
      <w:pPr>
        <w:ind w:right="560" w:firstLine="751"/>
        <w:spacing w:after="0" w:line="255" w:lineRule="auto"/>
        <w:rPr>
          <w:sz w:val="20"/>
          <w:szCs w:val="20"/>
          <w:color w:val="auto"/>
        </w:rPr>
      </w:pPr>
      <w:r>
        <w:rPr>
          <w:rFonts w:ascii="Times New Roman" w:cs="Times New Roman" w:eastAsia="Times New Roman" w:hAnsi="Times New Roman"/>
          <w:sz w:val="16"/>
          <w:szCs w:val="16"/>
          <w:color w:val="auto"/>
        </w:rPr>
        <w:t>In December 2023, the FASB issued ASU 2023-09, Improvements to income tax disclosures, which requires disclosure of disaggregated income taxes paid by jurisdiction, enhances disclosures in the effective tax rate reconciliation and modifies other income tax-related disclosures. The amendments are effective for annual periods beginning after December 15, 2024. The Company is currently evaluating the effect of adopting this guidance on its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Business Combination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Acquisition of Assets of Jazz Pharmaceuticals</w:t>
      </w:r>
    </w:p>
    <w:p>
      <w:pPr>
        <w:spacing w:after="0" w:line="191" w:lineRule="exact"/>
        <w:rPr>
          <w:sz w:val="20"/>
          <w:szCs w:val="20"/>
          <w:color w:val="auto"/>
        </w:rPr>
      </w:pPr>
    </w:p>
    <w:p>
      <w:pPr>
        <w:ind w:right="80" w:firstLine="751"/>
        <w:spacing w:after="0" w:line="248" w:lineRule="auto"/>
        <w:rPr>
          <w:sz w:val="20"/>
          <w:szCs w:val="20"/>
          <w:color w:val="auto"/>
        </w:rPr>
      </w:pPr>
      <w:r>
        <w:rPr>
          <w:rFonts w:ascii="Times New Roman" w:cs="Times New Roman" w:eastAsia="Times New Roman" w:hAnsi="Times New Roman"/>
          <w:sz w:val="16"/>
          <w:szCs w:val="16"/>
          <w:color w:val="auto"/>
        </w:rPr>
        <w:t>On March 25, 2022, the Company entered into an Asset Purchase Agreement (the “Purchase Agreement”) with Jazz, pursuant to which the Company was to acquire commercial and development rights with respect to Sunosi from Jazz in certain U.S. and ex-U.S. markets. The Acquisition occurred in two separate closings. The sale and purchase of specified initial assets contemplated by the Purchase Agreement occurred on May 9, 2022 (the “Initial Closing”), following the satisfaction or waiver of the closing conditions under the Purchase Agreement. The sale and purchase of specified ex-U.S. assets contemplated by the Purchase Agreement occurred on November 14, 2022 following the satisfaction or waiver of the closing conditions under the Purchase Agreement (the “Final Closing”). The Company accounted for the Initial Closing as a business combination using the acquisition method of accounting, and the Company accounted for the Final Closing as an asset acquisition.</w:t>
      </w:r>
    </w:p>
    <w:p>
      <w:pPr>
        <w:spacing w:after="0" w:line="166" w:lineRule="exact"/>
        <w:rPr>
          <w:sz w:val="20"/>
          <w:szCs w:val="20"/>
          <w:color w:val="auto"/>
        </w:rPr>
      </w:pPr>
    </w:p>
    <w:p>
      <w:pPr>
        <w:ind w:right="60" w:firstLine="751"/>
        <w:spacing w:after="0" w:line="247" w:lineRule="auto"/>
        <w:rPr>
          <w:sz w:val="20"/>
          <w:szCs w:val="20"/>
          <w:color w:val="auto"/>
        </w:rPr>
      </w:pPr>
      <w:r>
        <w:rPr>
          <w:rFonts w:ascii="Times New Roman" w:cs="Times New Roman" w:eastAsia="Times New Roman" w:hAnsi="Times New Roman"/>
          <w:sz w:val="16"/>
          <w:szCs w:val="16"/>
          <w:color w:val="auto"/>
        </w:rPr>
        <w:t>Under the terms of the Purchase Agreement, the Company received from Jazz worldwide commercial, development, manufacturing, and intellectual property rights to Sunosi, except for certain Asian markets. Jazz received from the Company a total upfront payment of $53 million. In addition, Jazz will receive a high single-digit royalty on the Company's U.S. net sales of Sunosi in the current indication, and a mid single-digit royalty on the Company's U.S. net sales of Sunosi in future indications. The Company also assumed the commitments of Jazz to SK and Aerial. SK is the originator of Sunosi and retains rights in 12 Asian markets, including China, Korea and Japan. In 2014, Jazz acquired from Aerial worldwide rights to Sunosi excluding those Asian markets as stated previously. The assumed commitments to SK and Aerial include single-digit tiered royalties based on the Company's sales of Sunosi, and additionally, the Company is committed to pay up to $165 million based on revenue milestones and $1 million based on development milestones. The Company financed the transaction via its existing term loan facility with Hercules Capital, Inc.</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The purchase consideration consisted of the following:</w:t>
            </w:r>
          </w:p>
        </w:tc>
        <w:tc>
          <w:tcPr>
            <w:tcW w:w="4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1"/>
        </w:trPr>
        <w:tc>
          <w:tcPr>
            <w:tcW w:w="48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at settlement</w:t>
            </w:r>
          </w:p>
        </w:tc>
        <w:tc>
          <w:tcPr>
            <w:tcW w:w="5200" w:type="dxa"/>
            <w:vAlign w:val="bottom"/>
            <w:gridSpan w:val="2"/>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53,000</w:t>
            </w:r>
          </w:p>
        </w:tc>
        <w:tc>
          <w:tcPr>
            <w:tcW w:w="120" w:type="dxa"/>
            <w:vAlign w:val="bottom"/>
            <w:shd w:val="clear" w:color="auto" w:fill="CFF0FC"/>
          </w:tcPr>
          <w:p>
            <w:pPr>
              <w:spacing w:after="0"/>
              <w:rPr>
                <w:sz w:val="18"/>
                <w:szCs w:val="18"/>
                <w:color w:val="auto"/>
              </w:rPr>
            </w:pPr>
          </w:p>
        </w:tc>
      </w:tr>
      <w:tr>
        <w:trPr>
          <w:trHeight w:val="206"/>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contingent consideration</w:t>
            </w:r>
          </w:p>
        </w:tc>
        <w:tc>
          <w:tcPr>
            <w:tcW w:w="44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36,140</w:t>
            </w:r>
          </w:p>
        </w:tc>
        <w:tc>
          <w:tcPr>
            <w:tcW w:w="120" w:type="dxa"/>
            <w:vAlign w:val="bottom"/>
          </w:tcPr>
          <w:p>
            <w:pPr>
              <w:spacing w:after="0"/>
              <w:rPr>
                <w:sz w:val="17"/>
                <w:szCs w:val="17"/>
                <w:color w:val="auto"/>
              </w:rPr>
            </w:pPr>
          </w:p>
        </w:tc>
      </w:tr>
      <w:tr>
        <w:trPr>
          <w:trHeight w:val="242"/>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44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89,140</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597"/>
        </w:trPr>
        <w:tc>
          <w:tcPr>
            <w:tcW w:w="4820" w:type="dxa"/>
            <w:vAlign w:val="bottom"/>
          </w:tcPr>
          <w:p>
            <w:pPr>
              <w:spacing w:after="0"/>
              <w:rPr>
                <w:sz w:val="24"/>
                <w:szCs w:val="24"/>
                <w:color w:val="auto"/>
              </w:rPr>
            </w:pPr>
          </w:p>
        </w:tc>
        <w:tc>
          <w:tcPr>
            <w:tcW w:w="5200" w:type="dxa"/>
            <w:vAlign w:val="bottom"/>
            <w:gridSpan w:val="2"/>
          </w:tcPr>
          <w:p>
            <w:pPr>
              <w:jc w:val="right"/>
              <w:ind w:right="4162"/>
              <w:spacing w:after="0"/>
              <w:rPr>
                <w:sz w:val="20"/>
                <w:szCs w:val="20"/>
                <w:color w:val="auto"/>
              </w:rPr>
            </w:pPr>
            <w:r>
              <w:rPr>
                <w:rFonts w:ascii="Times New Roman" w:cs="Times New Roman" w:eastAsia="Times New Roman" w:hAnsi="Times New Roman"/>
                <w:sz w:val="16"/>
                <w:szCs w:val="16"/>
                <w:color w:val="auto"/>
              </w:rPr>
              <w:t>F-19</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58"/>
        </w:trPr>
        <w:tc>
          <w:tcPr>
            <w:tcW w:w="482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7080250</wp:posOffset>
            </wp:positionH>
            <wp:positionV relativeFrom="paragraph">
              <wp:posOffset>-843915</wp:posOffset>
            </wp:positionV>
            <wp:extent cx="66675"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-829310</wp:posOffset>
            </wp:positionV>
            <wp:extent cx="66675"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45" w:name="page146"/>
    <w:bookmarkEnd w:id="145"/>
    <w:p>
      <w:pPr>
        <w:ind w:left="7"/>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560070" cy="76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16"/>
          <w:szCs w:val="16"/>
          <w:color w:val="auto"/>
        </w:rPr>
        <w:t>The allocation of the fair value of the Acquisition is shown in the table below:</w:t>
      </w:r>
    </w:p>
    <w:p>
      <w:pPr>
        <w:spacing w:after="0" w:line="210"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Amounts recognized as of</w:t>
            </w:r>
          </w:p>
        </w:tc>
        <w:tc>
          <w:tcPr>
            <w:tcW w:w="2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Measurement period adjustments</w:t>
            </w: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gridSpan w:val="2"/>
          </w:tcPr>
          <w:p>
            <w:pPr>
              <w:jc w:val="center"/>
              <w:ind w:right="500"/>
              <w:spacing w:after="0" w:line="129" w:lineRule="exact"/>
              <w:rPr>
                <w:sz w:val="20"/>
                <w:szCs w:val="20"/>
                <w:color w:val="auto"/>
              </w:rPr>
            </w:pPr>
            <w:r>
              <w:rPr>
                <w:rFonts w:ascii="Times New Roman" w:cs="Times New Roman" w:eastAsia="Times New Roman" w:hAnsi="Times New Roman"/>
                <w:sz w:val="12"/>
                <w:szCs w:val="12"/>
                <w:b w:val="1"/>
                <w:bCs w:val="1"/>
                <w:color w:val="auto"/>
              </w:rPr>
              <w:t>acquisition date (as previously</w:t>
            </w:r>
          </w:p>
        </w:tc>
        <w:tc>
          <w:tcPr>
            <w:tcW w:w="23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Purchase price allocation</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480" w:type="dxa"/>
            <w:vAlign w:val="bottom"/>
          </w:tcPr>
          <w:p>
            <w:pPr>
              <w:spacing w:after="0"/>
              <w:rPr>
                <w:sz w:val="14"/>
                <w:szCs w:val="14"/>
                <w:color w:val="auto"/>
              </w:rPr>
            </w:pPr>
          </w:p>
        </w:tc>
        <w:tc>
          <w:tcPr>
            <w:tcW w:w="1380" w:type="dxa"/>
            <w:vAlign w:val="bottom"/>
          </w:tcPr>
          <w:p>
            <w:pPr>
              <w:jc w:val="right"/>
              <w:ind w:right="784"/>
              <w:spacing w:after="0"/>
              <w:rPr>
                <w:sz w:val="20"/>
                <w:szCs w:val="20"/>
                <w:color w:val="auto"/>
              </w:rPr>
            </w:pPr>
            <w:r>
              <w:rPr>
                <w:rFonts w:ascii="Times New Roman" w:cs="Times New Roman" w:eastAsia="Times New Roman" w:hAnsi="Times New Roman"/>
                <w:sz w:val="12"/>
                <w:szCs w:val="12"/>
                <w:b w:val="1"/>
                <w:bCs w:val="1"/>
                <w:color w:val="auto"/>
              </w:rPr>
              <w:t>(1)</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Inventory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10,601</w:t>
            </w:r>
          </w:p>
        </w:tc>
        <w:tc>
          <w:tcPr>
            <w:tcW w:w="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10,601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1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3,551</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w:t>
            </w:r>
          </w:p>
        </w:tc>
        <w:tc>
          <w:tcPr>
            <w:tcW w:w="1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63,800</w:t>
            </w:r>
          </w:p>
        </w:tc>
        <w:tc>
          <w:tcPr>
            <w:tcW w:w="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63,800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11,897</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2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(709 )</w:t>
            </w:r>
          </w:p>
        </w:tc>
        <w:tc>
          <w:tcPr>
            <w:tcW w:w="4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(1,732 )</w:t>
            </w:r>
          </w:p>
        </w:tc>
        <w:tc>
          <w:tcPr>
            <w:tcW w:w="1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(2,441 )</w:t>
            </w:r>
          </w:p>
        </w:tc>
        <w:tc>
          <w:tcPr>
            <w:tcW w:w="0" w:type="dxa"/>
            <w:vAlign w:val="bottom"/>
          </w:tcPr>
          <w:p>
            <w:pPr>
              <w:spacing w:after="0"/>
              <w:rPr>
                <w:sz w:val="1"/>
                <w:szCs w:val="1"/>
                <w:color w:val="auto"/>
              </w:rPr>
            </w:pPr>
          </w:p>
        </w:tc>
      </w:tr>
      <w:tr>
        <w:trPr>
          <w:trHeight w:val="202"/>
        </w:trPr>
        <w:tc>
          <w:tcPr>
            <w:tcW w:w="4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89,140</w:t>
            </w:r>
          </w:p>
        </w:tc>
        <w:tc>
          <w:tcPr>
            <w:tcW w:w="340" w:type="dxa"/>
            <w:vAlign w:val="bottom"/>
            <w:tcBorders>
              <w:top w:val="single" w:sz="8" w:color="CFF0FC"/>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89,140</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-162560</wp:posOffset>
            </wp:positionV>
            <wp:extent cx="74295"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5631815</wp:posOffset>
            </wp:positionH>
            <wp:positionV relativeFrom="paragraph">
              <wp:posOffset>-162560</wp:posOffset>
            </wp:positionV>
            <wp:extent cx="66675"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7084060</wp:posOffset>
            </wp:positionH>
            <wp:positionV relativeFrom="paragraph">
              <wp:posOffset>-162560</wp:posOffset>
            </wp:positionV>
            <wp:extent cx="66675"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6675" cy="7620"/>
                    </a:xfrm>
                    <a:prstGeom prst="rect">
                      <a:avLst/>
                    </a:prstGeom>
                    <a:noFill/>
                  </pic:spPr>
                </pic:pic>
              </a:graphicData>
            </a:graphic>
          </wp:anchor>
        </w:drawing>
      </w:r>
    </w:p>
    <w:p>
      <w:pPr>
        <w:spacing w:after="0" w:line="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(1) The adjustment to goodwill resulted from rebates and returns during the post-acquisition period, which were provisionally recorded as an asset and liability, respectively, as of the acquisition date.</w:t>
      </w:r>
    </w:p>
    <w:p>
      <w:pPr>
        <w:spacing w:after="0" w:line="180" w:lineRule="exact"/>
        <w:rPr>
          <w:sz w:val="20"/>
          <w:szCs w:val="20"/>
          <w:color w:val="auto"/>
        </w:rPr>
      </w:pPr>
    </w:p>
    <w:p>
      <w:pPr>
        <w:ind w:left="7" w:right="260" w:firstLine="751"/>
        <w:spacing w:after="0" w:line="267" w:lineRule="auto"/>
        <w:rPr>
          <w:sz w:val="20"/>
          <w:szCs w:val="20"/>
          <w:color w:val="auto"/>
        </w:rPr>
      </w:pPr>
      <w:r>
        <w:rPr>
          <w:rFonts w:ascii="Times New Roman" w:cs="Times New Roman" w:eastAsia="Times New Roman" w:hAnsi="Times New Roman"/>
          <w:sz w:val="16"/>
          <w:szCs w:val="16"/>
          <w:color w:val="auto"/>
        </w:rPr>
        <w:t>The net assets were recorded at their estimated fair value. In valuing acquired assets and liabilities, fair value estimates were based primarily on future expected cash flows, market rate assumptions for contractual obligations, and appropriate discount rates.</w:t>
      </w:r>
    </w:p>
    <w:p>
      <w:pPr>
        <w:spacing w:after="0" w:line="151"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14"/>
          <w:szCs w:val="14"/>
          <w:color w:val="auto"/>
        </w:rPr>
        <w:t>Inventories acquired included raw materials, work in process and finished goods for Sunosi. Inventories were recorded at their estimated fair values categorized as Level</w:t>
      </w:r>
    </w:p>
    <w:p>
      <w:pPr>
        <w:spacing w:after="0" w:line="42" w:lineRule="exact"/>
        <w:rPr>
          <w:sz w:val="20"/>
          <w:szCs w:val="20"/>
          <w:color w:val="auto"/>
        </w:rPr>
      </w:pPr>
    </w:p>
    <w:p>
      <w:pPr>
        <w:ind w:left="7" w:right="140" w:hanging="7"/>
        <w:spacing w:after="0" w:line="244" w:lineRule="auto"/>
        <w:tabs>
          <w:tab w:leader="none" w:pos="16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finished goods was determined based on the estimated selling price, net of selling costs and a margin on the selling activities. The fair value of work in process was determined based on estimated selling price, net of selling costs and costs to complete the manufacturing, and a margin on the selling and manufacturing activities. The fair value of raw materials was estimated to equal the replacement cost. A step-up in the value of inventory of $1.1 million was originally recorded in connection with the Acquisition and is being amortized through cost of revenue as the underlying product is sold.</w:t>
      </w:r>
    </w:p>
    <w:p>
      <w:pPr>
        <w:spacing w:after="0" w:line="169"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16"/>
          <w:szCs w:val="16"/>
          <w:color w:val="auto"/>
        </w:rPr>
        <w:t>Other current assets acquired were sample inventory and the rebates for Sunosi sales by the Company after the Initial Closing to be covered by Jazz.</w:t>
      </w:r>
    </w:p>
    <w:p>
      <w:pPr>
        <w:spacing w:after="0" w:line="189" w:lineRule="exact"/>
        <w:rPr>
          <w:sz w:val="20"/>
          <w:szCs w:val="20"/>
          <w:color w:val="auto"/>
        </w:rPr>
      </w:pPr>
    </w:p>
    <w:p>
      <w:pPr>
        <w:ind w:left="7" w:right="20" w:firstLine="751"/>
        <w:spacing w:after="0" w:line="255" w:lineRule="auto"/>
        <w:rPr>
          <w:sz w:val="20"/>
          <w:szCs w:val="20"/>
          <w:color w:val="auto"/>
        </w:rPr>
      </w:pPr>
      <w:r>
        <w:rPr>
          <w:rFonts w:ascii="Times New Roman" w:cs="Times New Roman" w:eastAsia="Times New Roman" w:hAnsi="Times New Roman"/>
          <w:sz w:val="16"/>
          <w:szCs w:val="16"/>
          <w:color w:val="auto"/>
        </w:rPr>
        <w:t>The intangible asset is acquired developed technology. Fair value was determined by applying the income approach, which recognizes that the fair value of an asset is premised upon the expected receipt of future economic benefits such as earnings and cash inflows based on current sales projections and estimated direct costs, using a discount rate of 43.5% that reflects the return requirements of the market. The intangible asset is being amortized over an estimated useful life of 10 years.</w:t>
      </w:r>
    </w:p>
    <w:p>
      <w:pPr>
        <w:spacing w:after="0" w:line="160" w:lineRule="exact"/>
        <w:rPr>
          <w:sz w:val="20"/>
          <w:szCs w:val="20"/>
          <w:color w:val="auto"/>
        </w:rPr>
      </w:pPr>
    </w:p>
    <w:p>
      <w:pPr>
        <w:jc w:val="both"/>
        <w:ind w:left="7" w:right="160" w:firstLine="751"/>
        <w:spacing w:after="0" w:line="255" w:lineRule="auto"/>
        <w:rPr>
          <w:sz w:val="20"/>
          <w:szCs w:val="20"/>
          <w:color w:val="auto"/>
        </w:rPr>
      </w:pPr>
      <w:r>
        <w:rPr>
          <w:rFonts w:ascii="Times New Roman" w:cs="Times New Roman" w:eastAsia="Times New Roman" w:hAnsi="Times New Roman"/>
          <w:sz w:val="16"/>
          <w:szCs w:val="16"/>
          <w:color w:val="auto"/>
        </w:rPr>
        <w:t>Goodwill is considered an indefinite-lived asset and relates primarily to intangible assets that do not qualify for separate recognition, such as the assembled workforce and synergies between the entities. The Company expects that the entire amount of the purchase price allocated to goodwill will be deductible for U.S. income tax purposes over a 15-year period.</w:t>
      </w:r>
    </w:p>
    <w:p>
      <w:pPr>
        <w:spacing w:after="0" w:line="160" w:lineRule="exact"/>
        <w:rPr>
          <w:sz w:val="20"/>
          <w:szCs w:val="20"/>
          <w:color w:val="auto"/>
        </w:rPr>
      </w:pPr>
    </w:p>
    <w:p>
      <w:pPr>
        <w:ind w:left="7" w:right="180" w:firstLine="751"/>
        <w:spacing w:after="0" w:line="267" w:lineRule="auto"/>
        <w:rPr>
          <w:sz w:val="20"/>
          <w:szCs w:val="20"/>
          <w:color w:val="auto"/>
        </w:rPr>
      </w:pPr>
      <w:r>
        <w:rPr>
          <w:rFonts w:ascii="Times New Roman" w:cs="Times New Roman" w:eastAsia="Times New Roman" w:hAnsi="Times New Roman"/>
          <w:sz w:val="16"/>
          <w:szCs w:val="16"/>
          <w:color w:val="auto"/>
        </w:rPr>
        <w:t>Accrued expenses and other current liabilities acquired were the Company's assumed sales returns liability for Sunosi after the transaction close date related to Sunosi sales recorded by Jazz prior to the Initial Closing.</w:t>
      </w:r>
    </w:p>
    <w:p>
      <w:pPr>
        <w:spacing w:after="0" w:line="1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Pro Forma Consolidated Financial Information (Unaudited)</w:t>
      </w:r>
    </w:p>
    <w:p>
      <w:pPr>
        <w:spacing w:after="0" w:line="191"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16"/>
          <w:szCs w:val="16"/>
          <w:color w:val="auto"/>
        </w:rPr>
        <w:t>The following unaudited pro forma summary presents consolidated information of the Company, including Sunosi, as if the business combination had occurred on</w:t>
      </w:r>
    </w:p>
    <w:p>
      <w:pPr>
        <w:spacing w:after="0" w:line="1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January 1, 2021, the earliest period presented herein:</w:t>
      </w:r>
    </w:p>
    <w:p>
      <w:pPr>
        <w:spacing w:after="0" w:line="203" w:lineRule="exact"/>
        <w:rPr>
          <w:sz w:val="20"/>
          <w:szCs w:val="20"/>
          <w:color w:val="auto"/>
        </w:rPr>
      </w:pPr>
    </w:p>
    <w:tbl>
      <w:tblPr>
        <w:tblLayout w:type="fixed"/>
        <w:tblInd w:w="7" w:type="dxa"/>
        <w:tblCellMar>
          <w:top w:w="0" w:type="dxa"/>
          <w:left w:w="0" w:type="dxa"/>
          <w:bottom w:w="0" w:type="dxa"/>
          <w:right w:w="0" w:type="dxa"/>
        </w:tblCellMar>
      </w:tblPr>
      <w:tr>
        <w:trPr>
          <w:trHeight w:val="152"/>
        </w:trPr>
        <w:tc>
          <w:tcPr>
            <w:tcW w:w="2300" w:type="dxa"/>
            <w:vAlign w:val="bottom"/>
          </w:tcPr>
          <w:p>
            <w:pPr>
              <w:spacing w:after="0"/>
              <w:rPr>
                <w:sz w:val="13"/>
                <w:szCs w:val="13"/>
                <w:color w:val="auto"/>
              </w:rPr>
            </w:pPr>
          </w:p>
        </w:tc>
        <w:tc>
          <w:tcPr>
            <w:tcW w:w="6400" w:type="dxa"/>
            <w:vAlign w:val="bottom"/>
            <w:gridSpan w:val="2"/>
          </w:tcPr>
          <w:p>
            <w:pPr>
              <w:jc w:val="right"/>
              <w:ind w:right="4838"/>
              <w:spacing w:after="0"/>
              <w:rPr>
                <w:sz w:val="20"/>
                <w:szCs w:val="20"/>
                <w:color w:val="auto"/>
              </w:rPr>
            </w:pPr>
            <w:r>
              <w:rPr>
                <w:rFonts w:ascii="Times New Roman" w:cs="Times New Roman" w:eastAsia="Times New Roman" w:hAnsi="Times New Roman"/>
                <w:sz w:val="12"/>
                <w:szCs w:val="12"/>
                <w:b w:val="1"/>
                <w:bCs w:val="1"/>
                <w:color w:val="auto"/>
              </w:rPr>
              <w:t>​</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23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2"/>
                <w:szCs w:val="12"/>
                <w:b w:val="1"/>
                <w:bCs w:val="1"/>
                <w:color w:val="auto"/>
              </w:rPr>
              <w:t>2021</w:t>
            </w:r>
          </w:p>
        </w:tc>
        <w:tc>
          <w:tcPr>
            <w:tcW w:w="120" w:type="dxa"/>
            <w:vAlign w:val="bottom"/>
          </w:tcPr>
          <w:p>
            <w:pPr>
              <w:spacing w:after="0"/>
              <w:rPr>
                <w:sz w:val="14"/>
                <w:szCs w:val="14"/>
                <w:color w:val="auto"/>
              </w:rPr>
            </w:pPr>
          </w:p>
        </w:tc>
      </w:tr>
      <w:tr>
        <w:trPr>
          <w:trHeight w:val="202"/>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6400" w:type="dxa"/>
            <w:vAlign w:val="bottom"/>
            <w:gridSpan w:val="2"/>
            <w:shd w:val="clear" w:color="auto" w:fill="CFF0FC"/>
          </w:tcPr>
          <w:p>
            <w:pPr>
              <w:jc w:val="right"/>
              <w:ind w:right="818"/>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74,065</w:t>
            </w:r>
          </w:p>
        </w:tc>
        <w:tc>
          <w:tcPr>
            <w:tcW w:w="3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51,670</w:t>
            </w:r>
          </w:p>
        </w:tc>
        <w:tc>
          <w:tcPr>
            <w:tcW w:w="120" w:type="dxa"/>
            <w:vAlign w:val="bottom"/>
            <w:shd w:val="clear" w:color="auto" w:fill="CFF0FC"/>
          </w:tcPr>
          <w:p>
            <w:pPr>
              <w:spacing w:after="0"/>
              <w:rPr>
                <w:sz w:val="17"/>
                <w:szCs w:val="17"/>
                <w:color w:val="auto"/>
              </w:rPr>
            </w:pPr>
          </w:p>
        </w:tc>
      </w:tr>
      <w:tr>
        <w:trPr>
          <w:trHeight w:val="203"/>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5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5"/>
              </w:rPr>
              <w:t>(211,571 )</w:t>
            </w:r>
          </w:p>
        </w:tc>
        <w:tc>
          <w:tcPr>
            <w:tcW w:w="58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(283,831 )</w:t>
            </w:r>
          </w:p>
        </w:tc>
      </w:tr>
      <w:tr>
        <w:trPr>
          <w:trHeight w:val="625"/>
        </w:trPr>
        <w:tc>
          <w:tcPr>
            <w:tcW w:w="2300" w:type="dxa"/>
            <w:vAlign w:val="bottom"/>
          </w:tcPr>
          <w:p>
            <w:pPr>
              <w:spacing w:after="0"/>
              <w:rPr>
                <w:sz w:val="24"/>
                <w:szCs w:val="24"/>
                <w:color w:val="auto"/>
              </w:rPr>
            </w:pPr>
          </w:p>
        </w:tc>
        <w:tc>
          <w:tcPr>
            <w:tcW w:w="6400" w:type="dxa"/>
            <w:vAlign w:val="bottom"/>
            <w:gridSpan w:val="2"/>
          </w:tcPr>
          <w:p>
            <w:pPr>
              <w:jc w:val="right"/>
              <w:ind w:right="2858"/>
              <w:spacing w:after="0"/>
              <w:rPr>
                <w:sz w:val="20"/>
                <w:szCs w:val="20"/>
                <w:color w:val="auto"/>
              </w:rPr>
            </w:pPr>
            <w:r>
              <w:rPr>
                <w:rFonts w:ascii="Times New Roman" w:cs="Times New Roman" w:eastAsia="Times New Roman" w:hAnsi="Times New Roman"/>
                <w:sz w:val="16"/>
                <w:szCs w:val="16"/>
                <w:color w:val="auto"/>
              </w:rPr>
              <w:t>F-20</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58"/>
        </w:trPr>
        <w:tc>
          <w:tcPr>
            <w:tcW w:w="230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-26670</wp:posOffset>
            </wp:positionV>
            <wp:extent cx="33020" cy="400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7"/>
          </w:cols>
          <w:pgMar w:left="313" w:top="680" w:right="3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Accounts Receivable, net</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Accounts receivable, net, consisted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40" w:type="dxa"/>
            <w:vAlign w:val="bottom"/>
          </w:tcPr>
          <w:p>
            <w:pPr>
              <w:spacing w:after="0"/>
              <w:rPr>
                <w:sz w:val="12"/>
                <w:szCs w:val="12"/>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62"/>
        </w:trPr>
        <w:tc>
          <w:tcPr>
            <w:tcW w:w="7740" w:type="dxa"/>
            <w:vAlign w:val="bottom"/>
          </w:tcPr>
          <w:p>
            <w:pPr>
              <w:ind w:left="3760"/>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4"/>
                <w:szCs w:val="14"/>
                <w:color w:val="auto"/>
              </w:rPr>
            </w:pPr>
          </w:p>
        </w:tc>
      </w:tr>
      <w:tr>
        <w:trPr>
          <w:trHeight w:val="202"/>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 receivables</w:t>
            </w: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107,320</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46,796</w:t>
            </w:r>
          </w:p>
        </w:tc>
        <w:tc>
          <w:tcPr>
            <w:tcW w:w="120" w:type="dxa"/>
            <w:vAlign w:val="bottom"/>
            <w:shd w:val="clear" w:color="auto" w:fill="CFF0FC"/>
          </w:tcPr>
          <w:p>
            <w:pPr>
              <w:spacing w:after="0"/>
              <w:rPr>
                <w:sz w:val="17"/>
                <w:szCs w:val="17"/>
                <w:color w:val="auto"/>
              </w:rPr>
            </w:pPr>
          </w:p>
        </w:tc>
      </w:tr>
      <w:tr>
        <w:trPr>
          <w:trHeight w:val="206"/>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Less: Reserves for variable consideration</w:t>
            </w:r>
          </w:p>
        </w:tc>
        <w:tc>
          <w:tcPr>
            <w:tcW w:w="24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(12,500 )</w:t>
            </w:r>
          </w:p>
        </w:tc>
        <w:tc>
          <w:tcPr>
            <w:tcW w:w="240" w:type="dxa"/>
            <w:vAlign w:val="bottom"/>
          </w:tcPr>
          <w:p>
            <w:pPr>
              <w:spacing w:after="0"/>
              <w:rPr>
                <w:sz w:val="17"/>
                <w:szCs w:val="17"/>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(9,097 )</w:t>
            </w:r>
          </w:p>
        </w:tc>
      </w:tr>
      <w:tr>
        <w:trPr>
          <w:trHeight w:val="242"/>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Borders>
              <w:top w:val="single" w:sz="8" w:color="auto"/>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94,820</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37,699</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375"/>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5. Inventory</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3"/>
        </w:trPr>
        <w:tc>
          <w:tcPr>
            <w:tcW w:w="77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Inventory consisted of the following:</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9"/>
        </w:trPr>
        <w:tc>
          <w:tcPr>
            <w:tcW w:w="7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4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62"/>
        </w:trPr>
        <w:tc>
          <w:tcPr>
            <w:tcW w:w="7740" w:type="dxa"/>
            <w:vAlign w:val="bottom"/>
          </w:tcPr>
          <w:p>
            <w:pPr>
              <w:ind w:left="3760"/>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4"/>
                <w:szCs w:val="14"/>
                <w:color w:val="auto"/>
              </w:rPr>
            </w:pPr>
          </w:p>
        </w:tc>
      </w:tr>
      <w:tr>
        <w:trPr>
          <w:trHeight w:val="202"/>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5,534</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120" w:type="dxa"/>
            <w:vAlign w:val="bottom"/>
            <w:shd w:val="clear" w:color="auto" w:fill="CFF0FC"/>
          </w:tcPr>
          <w:p>
            <w:pPr>
              <w:spacing w:after="0"/>
              <w:rPr>
                <w:sz w:val="17"/>
                <w:szCs w:val="17"/>
                <w:color w:val="auto"/>
              </w:rPr>
            </w:pPr>
          </w:p>
        </w:tc>
      </w:tr>
      <w:tr>
        <w:trPr>
          <w:trHeight w:val="20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13,965</w:t>
            </w:r>
          </w:p>
        </w:tc>
        <w:tc>
          <w:tcPr>
            <w:tcW w:w="120" w:type="dxa"/>
            <w:vAlign w:val="bottom"/>
          </w:tcPr>
          <w:p>
            <w:pPr>
              <w:spacing w:after="0"/>
              <w:rPr>
                <w:sz w:val="17"/>
                <w:szCs w:val="17"/>
                <w:color w:val="auto"/>
              </w:rPr>
            </w:pP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9,643</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2"/>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25,464</w:t>
            </w:r>
          </w:p>
        </w:tc>
        <w:tc>
          <w:tcPr>
            <w:tcW w:w="300" w:type="dxa"/>
            <w:vAlign w:val="bottom"/>
          </w:tcPr>
          <w:p>
            <w:pPr>
              <w:spacing w:after="0"/>
              <w:rPr>
                <w:sz w:val="17"/>
                <w:szCs w:val="17"/>
                <w:color w:val="auto"/>
              </w:rPr>
            </w:pP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18,028</w:t>
            </w:r>
          </w:p>
        </w:tc>
        <w:tc>
          <w:tcPr>
            <w:tcW w:w="12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5909310</wp:posOffset>
            </wp:positionH>
            <wp:positionV relativeFrom="paragraph">
              <wp:posOffset>-1392555</wp:posOffset>
            </wp:positionV>
            <wp:extent cx="74295"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-1377950</wp:posOffset>
            </wp:positionV>
            <wp:extent cx="74295"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-1392555</wp:posOffset>
            </wp:positionV>
            <wp:extent cx="66675"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-1377950</wp:posOffset>
            </wp:positionV>
            <wp:extent cx="66675"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-162560</wp:posOffset>
            </wp:positionV>
            <wp:extent cx="74295"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-162560</wp:posOffset>
            </wp:positionV>
            <wp:extent cx="66675"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6675" cy="7620"/>
                    </a:xfrm>
                    <a:prstGeom prst="rect">
                      <a:avLst/>
                    </a:prstGeom>
                    <a:noFill/>
                  </pic:spPr>
                </pic:pic>
              </a:graphicData>
            </a:graphic>
          </wp:anchor>
        </w:drawing>
      </w:r>
    </w:p>
    <w:p>
      <w:pPr>
        <w:spacing w:after="0" w:line="150" w:lineRule="exact"/>
        <w:rPr>
          <w:sz w:val="20"/>
          <w:szCs w:val="20"/>
          <w:color w:val="auto"/>
        </w:rPr>
      </w:pPr>
    </w:p>
    <w:p>
      <w:pPr>
        <w:ind w:right="100" w:firstLine="751"/>
        <w:spacing w:after="0" w:line="255" w:lineRule="auto"/>
        <w:rPr>
          <w:sz w:val="20"/>
          <w:szCs w:val="20"/>
          <w:color w:val="auto"/>
        </w:rPr>
      </w:pPr>
      <w:r>
        <w:rPr>
          <w:rFonts w:ascii="Times New Roman" w:cs="Times New Roman" w:eastAsia="Times New Roman" w:hAnsi="Times New Roman"/>
          <w:sz w:val="16"/>
          <w:szCs w:val="16"/>
          <w:color w:val="auto"/>
        </w:rPr>
        <w:t>There were no material inventory reserves or write downs of any excess and obsolete inventory as of December 31, 2023. Non-current inventory, which consists of raw materials and work in progress inventory, is included in Non-current inventory and other assets on the accompanying consolidated balance sheets. Non-current inventory is anticipated to be consumed beyond the Company's normal operating cycle.</w:t>
      </w:r>
    </w:p>
    <w:p>
      <w:pPr>
        <w:spacing w:after="0" w:line="1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following table summarizes the balance sheet classification of the Company's inventory for each of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3"/>
          </w:tcPr>
          <w:p>
            <w:pPr>
              <w:jc w:val="center"/>
              <w:ind w:right="54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20" w:type="dxa"/>
            <w:vAlign w:val="bottom"/>
          </w:tcPr>
          <w:p>
            <w:pPr>
              <w:spacing w:after="0"/>
              <w:rPr>
                <w:sz w:val="12"/>
                <w:szCs w:val="12"/>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62"/>
        </w:trPr>
        <w:tc>
          <w:tcPr>
            <w:tcW w:w="7740" w:type="dxa"/>
            <w:vAlign w:val="bottom"/>
          </w:tcPr>
          <w:p>
            <w:pPr>
              <w:ind w:left="3760"/>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2"/>
                <w:szCs w:val="12"/>
                <w:b w:val="1"/>
                <w:bCs w:val="1"/>
                <w:color w:val="auto"/>
              </w:rPr>
              <w:t>2023</w:t>
            </w:r>
          </w:p>
        </w:tc>
        <w:tc>
          <w:tcPr>
            <w:tcW w:w="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sheet classification</w:t>
            </w: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Inventories, net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15,135</w:t>
            </w:r>
          </w:p>
        </w:tc>
        <w:tc>
          <w:tcPr>
            <w:tcW w:w="300" w:type="dxa"/>
            <w:vAlign w:val="bottom"/>
          </w:tcPr>
          <w:p>
            <w:pPr>
              <w:spacing w:after="0"/>
              <w:rPr>
                <w:sz w:val="17"/>
                <w:szCs w:val="17"/>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Non-current inventory and other assets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10,329</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25,464</w:t>
            </w:r>
          </w:p>
        </w:tc>
        <w:tc>
          <w:tcPr>
            <w:tcW w:w="300" w:type="dxa"/>
            <w:vAlign w:val="bottom"/>
          </w:tcPr>
          <w:p>
            <w:pPr>
              <w:spacing w:after="0"/>
              <w:rPr>
                <w:sz w:val="17"/>
                <w:szCs w:val="17"/>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Note 6. Goodwill</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77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The following table provides the Company’s carrying amount of goodwill as of December 31, 2023.</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7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27"/>
              <w:spacing w:after="0"/>
              <w:rPr>
                <w:sz w:val="20"/>
                <w:szCs w:val="20"/>
                <w:color w:val="auto"/>
              </w:rPr>
            </w:pPr>
            <w:r>
              <w:rPr>
                <w:rFonts w:ascii="Times New Roman" w:cs="Times New Roman" w:eastAsia="Times New Roman" w:hAnsi="Times New Roman"/>
                <w:sz w:val="12"/>
                <w:szCs w:val="12"/>
                <w:b w:val="1"/>
                <w:bCs w:val="1"/>
                <w:color w:val="auto"/>
              </w:rPr>
              <w:t>Goodwill</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240" w:type="dxa"/>
            <w:vAlign w:val="bottom"/>
            <w:shd w:val="clear" w:color="auto" w:fill="CFF0FC"/>
          </w:tcPr>
          <w:p>
            <w:pPr>
              <w:spacing w:after="0"/>
              <w:rPr>
                <w:sz w:val="17"/>
                <w:szCs w:val="17"/>
                <w:color w:val="auto"/>
              </w:rPr>
            </w:pPr>
          </w:p>
        </w:tc>
        <w:tc>
          <w:tcPr>
            <w:tcW w:w="16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10,310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Measurement period adjustment</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240" w:type="dxa"/>
            <w:vAlign w:val="bottom"/>
            <w:shd w:val="clear" w:color="auto" w:fill="CFF0FC"/>
          </w:tcPr>
          <w:p>
            <w:pPr>
              <w:spacing w:after="0"/>
              <w:rPr>
                <w:sz w:val="17"/>
                <w:szCs w:val="17"/>
                <w:color w:val="auto"/>
              </w:rPr>
            </w:pPr>
          </w:p>
        </w:tc>
        <w:tc>
          <w:tcPr>
            <w:tcW w:w="16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12,042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06"/>
        </w:trPr>
        <w:tc>
          <w:tcPr>
            <w:tcW w:w="7740" w:type="dxa"/>
            <w:vAlign w:val="bottom"/>
          </w:tcPr>
          <w:p>
            <w:pPr>
              <w:ind w:left="5480"/>
              <w:spacing w:after="0"/>
              <w:rPr>
                <w:sz w:val="20"/>
                <w:szCs w:val="20"/>
                <w:color w:val="auto"/>
              </w:rPr>
            </w:pPr>
            <w:r>
              <w:rPr>
                <w:rFonts w:ascii="Times New Roman" w:cs="Times New Roman" w:eastAsia="Times New Roman" w:hAnsi="Times New Roman"/>
                <w:sz w:val="16"/>
                <w:szCs w:val="16"/>
                <w:color w:val="auto"/>
              </w:rPr>
              <w:t>F-21</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8"/>
        </w:trPr>
        <w:tc>
          <w:tcPr>
            <w:tcW w:w="7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5909310</wp:posOffset>
            </wp:positionH>
            <wp:positionV relativeFrom="paragraph">
              <wp:posOffset>-2096770</wp:posOffset>
            </wp:positionV>
            <wp:extent cx="74295"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-2096770</wp:posOffset>
            </wp:positionV>
            <wp:extent cx="66675"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Intangible Asset</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following table provides the Company's carrying amount of the intangible asset for each of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rPr>
              <w:t>Gross carrying</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2"/>
                <w:szCs w:val="12"/>
                <w:b w:val="1"/>
                <w:bCs w:val="1"/>
                <w:color w:val="auto"/>
              </w:rPr>
              <w:t>Net carrying</w:t>
            </w:r>
          </w:p>
        </w:tc>
        <w:tc>
          <w:tcPr>
            <w:tcW w:w="240" w:type="dxa"/>
            <w:vAlign w:val="bottom"/>
          </w:tcPr>
          <w:p>
            <w:pPr>
              <w:spacing w:after="0"/>
              <w:rPr>
                <w:sz w:val="12"/>
                <w:szCs w:val="12"/>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2"/>
                <w:szCs w:val="12"/>
                <w:b w:val="1"/>
                <w:bCs w:val="1"/>
                <w:color w:val="auto"/>
              </w:rPr>
              <w:t>Remaining weighted-</w:t>
            </w:r>
          </w:p>
        </w:tc>
      </w:tr>
      <w:tr>
        <w:trPr>
          <w:trHeight w:val="162"/>
        </w:trPr>
        <w:tc>
          <w:tcPr>
            <w:tcW w:w="5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2"/>
                <w:szCs w:val="12"/>
                <w:b w:val="1"/>
                <w:bCs w:val="1"/>
                <w:color w:val="auto"/>
              </w:rPr>
              <w:t>average useful life</w:t>
            </w:r>
          </w:p>
        </w:tc>
      </w:tr>
      <w:tr>
        <w:trPr>
          <w:trHeight w:val="202"/>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06"/>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Finite-lived intangible asset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63,800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4,139</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59,661</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10-years</w:t>
            </w:r>
          </w:p>
        </w:tc>
      </w:tr>
      <w:tr>
        <w:trPr>
          <w:trHeight w:val="214"/>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0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Finite-lived intangible asset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63,800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10,514</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53,286</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9-years</w:t>
            </w:r>
          </w:p>
        </w:tc>
      </w:tr>
    </w:tbl>
    <w:p>
      <w:pPr>
        <w:spacing w:after="0" w:line="17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Amortization expense was approximately $6.4 million and $4.1 million for the years ended December 31, 2023 and 2022, respectively.</w:t>
      </w:r>
    </w:p>
    <w:p>
      <w:pPr>
        <w:spacing w:after="0" w:line="189" w:lineRule="exact"/>
        <w:rPr>
          <w:sz w:val="20"/>
          <w:szCs w:val="20"/>
          <w:color w:val="auto"/>
        </w:rPr>
      </w:pPr>
    </w:p>
    <w:p>
      <w:pPr>
        <w:ind w:right="300" w:firstLine="751"/>
        <w:spacing w:after="0" w:line="267" w:lineRule="auto"/>
        <w:rPr>
          <w:sz w:val="20"/>
          <w:szCs w:val="20"/>
          <w:color w:val="auto"/>
        </w:rPr>
      </w:pPr>
      <w:r>
        <w:rPr>
          <w:rFonts w:ascii="Times New Roman" w:cs="Times New Roman" w:eastAsia="Times New Roman" w:hAnsi="Times New Roman"/>
          <w:sz w:val="16"/>
          <w:szCs w:val="16"/>
          <w:color w:val="auto"/>
        </w:rPr>
        <w:t>Based on the finite-lived intangible asset recorded as of December 31, 2023, and assuming the underlying asset will not be impaired and that we will not change the expected life of the asset, future amortization expenses over the next five years and periods thereafter are estimated to be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Estimated amortization expense</w:t>
            </w:r>
          </w:p>
        </w:tc>
      </w:tr>
      <w:tr>
        <w:trPr>
          <w:trHeight w:val="210"/>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6,392</w:t>
            </w:r>
          </w:p>
        </w:tc>
        <w:tc>
          <w:tcPr>
            <w:tcW w:w="120" w:type="dxa"/>
            <w:vAlign w:val="bottom"/>
            <w:shd w:val="clear" w:color="auto" w:fill="CFF0FC"/>
          </w:tcPr>
          <w:p>
            <w:pPr>
              <w:spacing w:after="0"/>
              <w:rPr>
                <w:sz w:val="18"/>
                <w:szCs w:val="18"/>
                <w:color w:val="auto"/>
              </w:rPr>
            </w:pPr>
          </w:p>
        </w:tc>
      </w:tr>
      <w:tr>
        <w:trPr>
          <w:trHeight w:val="206"/>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6,375</w:t>
            </w:r>
          </w:p>
        </w:tc>
        <w:tc>
          <w:tcPr>
            <w:tcW w:w="120" w:type="dxa"/>
            <w:vAlign w:val="bottom"/>
          </w:tcPr>
          <w:p>
            <w:pPr>
              <w:spacing w:after="0"/>
              <w:rPr>
                <w:sz w:val="17"/>
                <w:szCs w:val="17"/>
                <w:color w:val="auto"/>
              </w:rPr>
            </w:pPr>
          </w:p>
        </w:tc>
      </w:tr>
      <w:tr>
        <w:trPr>
          <w:trHeight w:val="214"/>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6,375</w:t>
            </w:r>
          </w:p>
        </w:tc>
        <w:tc>
          <w:tcPr>
            <w:tcW w:w="120" w:type="dxa"/>
            <w:vAlign w:val="bottom"/>
            <w:shd w:val="clear" w:color="auto" w:fill="CFF0FC"/>
          </w:tcPr>
          <w:p>
            <w:pPr>
              <w:spacing w:after="0"/>
              <w:rPr>
                <w:sz w:val="18"/>
                <w:szCs w:val="18"/>
                <w:color w:val="auto"/>
              </w:rPr>
            </w:pPr>
          </w:p>
        </w:tc>
      </w:tr>
      <w:tr>
        <w:trPr>
          <w:trHeight w:val="206"/>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6,375</w:t>
            </w:r>
          </w:p>
        </w:tc>
        <w:tc>
          <w:tcPr>
            <w:tcW w:w="120" w:type="dxa"/>
            <w:vAlign w:val="bottom"/>
          </w:tcPr>
          <w:p>
            <w:pPr>
              <w:spacing w:after="0"/>
              <w:rPr>
                <w:sz w:val="17"/>
                <w:szCs w:val="17"/>
                <w:color w:val="auto"/>
              </w:rPr>
            </w:pPr>
          </w:p>
        </w:tc>
      </w:tr>
      <w:tr>
        <w:trPr>
          <w:trHeight w:val="214"/>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6,392</w:t>
            </w:r>
          </w:p>
        </w:tc>
        <w:tc>
          <w:tcPr>
            <w:tcW w:w="120" w:type="dxa"/>
            <w:vAlign w:val="bottom"/>
            <w:shd w:val="clear" w:color="auto" w:fill="CFF0FC"/>
          </w:tcPr>
          <w:p>
            <w:pPr>
              <w:spacing w:after="0"/>
              <w:rPr>
                <w:sz w:val="18"/>
                <w:szCs w:val="18"/>
                <w:color w:val="auto"/>
              </w:rPr>
            </w:pPr>
          </w:p>
        </w:tc>
      </w:tr>
      <w:tr>
        <w:trPr>
          <w:trHeight w:val="206"/>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21,377</w:t>
            </w:r>
          </w:p>
        </w:tc>
        <w:tc>
          <w:tcPr>
            <w:tcW w:w="120" w:type="dxa"/>
            <w:vAlign w:val="bottom"/>
          </w:tcPr>
          <w:p>
            <w:pPr>
              <w:spacing w:after="0"/>
              <w:rPr>
                <w:sz w:val="17"/>
                <w:szCs w:val="17"/>
                <w:color w:val="auto"/>
              </w:rPr>
            </w:pPr>
          </w:p>
        </w:tc>
      </w:tr>
      <w:tr>
        <w:trPr>
          <w:trHeight w:val="242"/>
        </w:trPr>
        <w:tc>
          <w:tcPr>
            <w:tcW w:w="9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53,286</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7080250</wp:posOffset>
            </wp:positionH>
            <wp:positionV relativeFrom="paragraph">
              <wp:posOffset>-21590</wp:posOffset>
            </wp:positionV>
            <wp:extent cx="66675"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-6985</wp:posOffset>
            </wp:positionV>
            <wp:extent cx="66675"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6675" cy="762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Fair Value of Financial Instruments</w:t>
      </w:r>
    </w:p>
    <w:p>
      <w:pPr>
        <w:spacing w:after="0" w:line="191" w:lineRule="exact"/>
        <w:rPr>
          <w:sz w:val="20"/>
          <w:szCs w:val="20"/>
          <w:color w:val="auto"/>
        </w:rPr>
      </w:pPr>
    </w:p>
    <w:p>
      <w:pPr>
        <w:ind w:right="660" w:firstLine="751"/>
        <w:spacing w:after="0" w:line="309" w:lineRule="auto"/>
        <w:rPr>
          <w:sz w:val="20"/>
          <w:szCs w:val="20"/>
          <w:color w:val="auto"/>
        </w:rPr>
      </w:pPr>
      <w:r>
        <w:rPr>
          <w:rFonts w:ascii="Times New Roman" w:cs="Times New Roman" w:eastAsia="Times New Roman" w:hAnsi="Times New Roman"/>
          <w:sz w:val="14"/>
          <w:szCs w:val="14"/>
          <w:color w:val="auto"/>
        </w:rPr>
        <w:t>In connection with the Acquisition, the Company pays royalty on net sales of Sunosi to Jazz. The discounted cash flow method used to value this contingent consideration includes inputs of not readily observable market data, which are Level 3 inputs. The fair value of the contingent consideration is reflected as current accrued contingent consideration of $6.4 million and non-current contingent consideration liability of $73.3 million in the consolidated balance sheet as of December 31, 2023.</w:t>
      </w:r>
    </w:p>
    <w:p>
      <w:pPr>
        <w:spacing w:after="0" w:line="1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fair value of financial instruments measured on a recurring basis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0"/>
        </w:trPr>
        <w:tc>
          <w:tcPr>
            <w:tcW w:w="4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27"/>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307"/>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02"/>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w:t>
            </w:r>
          </w:p>
        </w:tc>
        <w:tc>
          <w:tcPr>
            <w:tcW w:w="14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6"/>
        </w:trPr>
        <w:tc>
          <w:tcPr>
            <w:tcW w:w="4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 - money market funds</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251,768</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ind w:left="760"/>
              <w:spacing w:after="0"/>
              <w:rPr>
                <w:sz w:val="20"/>
                <w:szCs w:val="20"/>
                <w:color w:val="auto"/>
              </w:rPr>
            </w:pPr>
            <w:r>
              <w:rPr>
                <w:rFonts w:ascii="Times New Roman" w:cs="Times New Roman" w:eastAsia="Times New Roman" w:hAnsi="Times New Roman"/>
                <w:sz w:val="16"/>
                <w:szCs w:val="16"/>
                <w:color w:val="auto"/>
                <w:w w:val="87"/>
              </w:rPr>
              <w:t>—</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251,768</w:t>
            </w:r>
          </w:p>
        </w:tc>
        <w:tc>
          <w:tcPr>
            <w:tcW w:w="120" w:type="dxa"/>
            <w:vAlign w:val="bottom"/>
          </w:tcPr>
          <w:p>
            <w:pPr>
              <w:spacing w:after="0"/>
              <w:rPr>
                <w:sz w:val="17"/>
                <w:szCs w:val="17"/>
                <w:color w:val="auto"/>
              </w:rPr>
            </w:pPr>
          </w:p>
        </w:tc>
      </w:tr>
      <w:tr>
        <w:trPr>
          <w:trHeight w:val="214"/>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4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ind w:left="760"/>
              <w:spacing w:after="0"/>
              <w:rPr>
                <w:sz w:val="20"/>
                <w:szCs w:val="20"/>
                <w:color w:val="auto"/>
              </w:rPr>
            </w:pPr>
            <w:r>
              <w:rPr>
                <w:rFonts w:ascii="Times New Roman" w:cs="Times New Roman" w:eastAsia="Times New Roman" w:hAnsi="Times New Roman"/>
                <w:sz w:val="16"/>
                <w:szCs w:val="16"/>
                <w:color w:val="auto"/>
                <w:w w:val="87"/>
              </w:rPr>
              <w:t>—</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79,707</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79,707</w:t>
            </w:r>
          </w:p>
        </w:tc>
        <w:tc>
          <w:tcPr>
            <w:tcW w:w="120" w:type="dxa"/>
            <w:vAlign w:val="bottom"/>
          </w:tcPr>
          <w:p>
            <w:pPr>
              <w:spacing w:after="0"/>
              <w:rPr>
                <w:sz w:val="17"/>
                <w:szCs w:val="17"/>
                <w:color w:val="auto"/>
              </w:rPr>
            </w:pPr>
          </w:p>
        </w:tc>
      </w:tr>
      <w:tr>
        <w:trPr>
          <w:trHeight w:val="416"/>
        </w:trPr>
        <w:tc>
          <w:tcPr>
            <w:tcW w:w="4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4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27"/>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307"/>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02"/>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w:t>
            </w:r>
          </w:p>
        </w:tc>
        <w:tc>
          <w:tcPr>
            <w:tcW w:w="14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6"/>
        </w:trPr>
        <w:tc>
          <w:tcPr>
            <w:tcW w:w="4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 - money market funds</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195,475</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ind w:left="760"/>
              <w:spacing w:after="0"/>
              <w:rPr>
                <w:sz w:val="20"/>
                <w:szCs w:val="20"/>
                <w:color w:val="auto"/>
              </w:rPr>
            </w:pPr>
            <w:r>
              <w:rPr>
                <w:rFonts w:ascii="Times New Roman" w:cs="Times New Roman" w:eastAsia="Times New Roman" w:hAnsi="Times New Roman"/>
                <w:sz w:val="16"/>
                <w:szCs w:val="16"/>
                <w:color w:val="auto"/>
                <w:w w:val="87"/>
              </w:rPr>
              <w:t>—</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195,475</w:t>
            </w:r>
          </w:p>
        </w:tc>
        <w:tc>
          <w:tcPr>
            <w:tcW w:w="120" w:type="dxa"/>
            <w:vAlign w:val="bottom"/>
          </w:tcPr>
          <w:p>
            <w:pPr>
              <w:spacing w:after="0"/>
              <w:rPr>
                <w:sz w:val="17"/>
                <w:szCs w:val="17"/>
                <w:color w:val="auto"/>
              </w:rPr>
            </w:pPr>
          </w:p>
        </w:tc>
      </w:tr>
      <w:tr>
        <w:trPr>
          <w:trHeight w:val="214"/>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4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ind w:left="760"/>
              <w:spacing w:after="0"/>
              <w:rPr>
                <w:sz w:val="20"/>
                <w:szCs w:val="20"/>
                <w:color w:val="auto"/>
              </w:rPr>
            </w:pPr>
            <w:r>
              <w:rPr>
                <w:rFonts w:ascii="Times New Roman" w:cs="Times New Roman" w:eastAsia="Times New Roman" w:hAnsi="Times New Roman"/>
                <w:sz w:val="16"/>
                <w:szCs w:val="16"/>
                <w:color w:val="auto"/>
                <w:w w:val="87"/>
              </w:rPr>
              <w:t>—</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37,000</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37,000</w:t>
            </w:r>
          </w:p>
        </w:tc>
        <w:tc>
          <w:tcPr>
            <w:tcW w:w="120" w:type="dxa"/>
            <w:vAlign w:val="bottom"/>
          </w:tcPr>
          <w:p>
            <w:pPr>
              <w:spacing w:after="0"/>
              <w:rPr>
                <w:sz w:val="17"/>
                <w:szCs w:val="17"/>
                <w:color w:val="auto"/>
              </w:rPr>
            </w:pPr>
          </w:p>
        </w:tc>
      </w:tr>
      <w:tr>
        <w:trPr>
          <w:trHeight w:val="625"/>
        </w:trPr>
        <w:tc>
          <w:tcPr>
            <w:tcW w:w="4340" w:type="dxa"/>
            <w:vAlign w:val="bottom"/>
          </w:tcPr>
          <w:p>
            <w:pPr>
              <w:spacing w:after="0"/>
              <w:rPr>
                <w:sz w:val="24"/>
                <w:szCs w:val="24"/>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F-22</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58"/>
        </w:trPr>
        <w:tc>
          <w:tcPr>
            <w:tcW w:w="43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Contingent Consideration Liabilities</w:t>
      </w:r>
    </w:p>
    <w:p>
      <w:pPr>
        <w:spacing w:after="0" w:line="191" w:lineRule="exact"/>
        <w:rPr>
          <w:sz w:val="20"/>
          <w:szCs w:val="20"/>
          <w:color w:val="auto"/>
        </w:rPr>
      </w:pPr>
    </w:p>
    <w:p>
      <w:pPr>
        <w:ind w:right="100" w:firstLine="751"/>
        <w:spacing w:after="0" w:line="267" w:lineRule="auto"/>
        <w:rPr>
          <w:sz w:val="20"/>
          <w:szCs w:val="20"/>
          <w:color w:val="auto"/>
        </w:rPr>
      </w:pPr>
      <w:r>
        <w:rPr>
          <w:rFonts w:ascii="Times New Roman" w:cs="Times New Roman" w:eastAsia="Times New Roman" w:hAnsi="Times New Roman"/>
          <w:sz w:val="16"/>
          <w:szCs w:val="16"/>
          <w:color w:val="auto"/>
        </w:rPr>
        <w:t>The fair value of the contingent consideration liabilities is marked-to-market each reporting period and was remeasured at December 31, 2023. Changes in fair value of the contingent consideration liabilities as of December 31, 2023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Contingent consideration</w:t>
            </w:r>
          </w:p>
        </w:tc>
      </w:tr>
      <w:tr>
        <w:trPr>
          <w:trHeight w:val="202"/>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80" w:type="dxa"/>
            <w:vAlign w:val="bottom"/>
            <w:tcBorders>
              <w:top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37,000</w:t>
            </w:r>
          </w:p>
        </w:tc>
        <w:tc>
          <w:tcPr>
            <w:tcW w:w="120" w:type="dxa"/>
            <w:vAlign w:val="bottom"/>
            <w:shd w:val="clear" w:color="auto" w:fill="CFF0FC"/>
          </w:tcPr>
          <w:p>
            <w:pPr>
              <w:spacing w:after="0"/>
              <w:rPr>
                <w:sz w:val="17"/>
                <w:szCs w:val="17"/>
                <w:color w:val="auto"/>
              </w:rPr>
            </w:pPr>
          </w:p>
        </w:tc>
      </w:tr>
      <w:tr>
        <w:trPr>
          <w:trHeight w:val="206"/>
        </w:trPr>
        <w:tc>
          <w:tcPr>
            <w:tcW w:w="9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Adjustment to fair value</w:t>
            </w:r>
          </w:p>
        </w:tc>
        <w:tc>
          <w:tcPr>
            <w:tcW w:w="1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48,918</w:t>
            </w:r>
          </w:p>
        </w:tc>
        <w:tc>
          <w:tcPr>
            <w:tcW w:w="120" w:type="dxa"/>
            <w:vAlign w:val="bottom"/>
          </w:tcPr>
          <w:p>
            <w:pPr>
              <w:spacing w:after="0"/>
              <w:rPr>
                <w:sz w:val="17"/>
                <w:szCs w:val="17"/>
                <w:color w:val="auto"/>
              </w:rPr>
            </w:pPr>
          </w:p>
        </w:tc>
      </w:tr>
      <w:tr>
        <w:trPr>
          <w:trHeight w:val="210"/>
        </w:trPr>
        <w:tc>
          <w:tcPr>
            <w:tcW w:w="9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Payments</w:t>
            </w:r>
          </w:p>
        </w:tc>
        <w:tc>
          <w:tcPr>
            <w:tcW w:w="1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(6,211 )</w:t>
            </w:r>
          </w:p>
        </w:tc>
      </w:tr>
      <w:tr>
        <w:trPr>
          <w:trHeight w:val="198"/>
        </w:trPr>
        <w:tc>
          <w:tcPr>
            <w:tcW w:w="92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Balance at December 31, 2023 (Level 3)</w:t>
            </w:r>
          </w:p>
        </w:tc>
        <w:tc>
          <w:tcPr>
            <w:tcW w:w="1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79,707</w:t>
            </w:r>
          </w:p>
        </w:tc>
        <w:tc>
          <w:tcPr>
            <w:tcW w:w="120" w:type="dxa"/>
            <w:vAlign w:val="bottom"/>
            <w:tcBorders>
              <w:top w:val="single" w:sz="8" w:color="CFF0FC"/>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7080250</wp:posOffset>
            </wp:positionH>
            <wp:positionV relativeFrom="paragraph">
              <wp:posOffset>-135255</wp:posOffset>
            </wp:positionV>
            <wp:extent cx="66675"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6675" cy="7620"/>
                    </a:xfrm>
                    <a:prstGeom prst="rect">
                      <a:avLst/>
                    </a:prstGeom>
                    <a:noFill/>
                  </pic:spPr>
                </pic:pic>
              </a:graphicData>
            </a:graphic>
          </wp:anchor>
        </w:drawing>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recurring Level 3 fair value measurements of contingent consideration for which a liability is recorded include the following significant unobservable inputs: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2023</w:t>
            </w:r>
          </w:p>
        </w:tc>
        <w:tc>
          <w:tcPr>
            <w:tcW w:w="120" w:type="dxa"/>
            <w:vAlign w:val="bottom"/>
          </w:tcPr>
          <w:p>
            <w:pPr>
              <w:spacing w:after="0"/>
              <w:rPr>
                <w:sz w:val="14"/>
                <w:szCs w:val="14"/>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2022</w:t>
            </w:r>
          </w:p>
        </w:tc>
      </w:tr>
      <w:tr>
        <w:trPr>
          <w:trHeight w:val="143"/>
        </w:trPr>
        <w:tc>
          <w:tcPr>
            <w:tcW w:w="1600" w:type="dxa"/>
            <w:vAlign w:val="bottom"/>
          </w:tcPr>
          <w:p>
            <w:pPr>
              <w:spacing w:after="0"/>
              <w:rPr>
                <w:sz w:val="12"/>
                <w:szCs w:val="12"/>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Valuation methodology</w:t>
            </w:r>
          </w:p>
        </w:tc>
        <w:tc>
          <w:tcPr>
            <w:tcW w:w="120" w:type="dxa"/>
            <w:vAlign w:val="bottom"/>
          </w:tcPr>
          <w:p>
            <w:pPr>
              <w:spacing w:after="0"/>
              <w:rPr>
                <w:sz w:val="12"/>
                <w:szCs w:val="12"/>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Significant unobservable input</w:t>
            </w:r>
          </w:p>
        </w:tc>
        <w:tc>
          <w:tcPr>
            <w:tcW w:w="120" w:type="dxa"/>
            <w:vAlign w:val="bottom"/>
          </w:tcPr>
          <w:p>
            <w:pPr>
              <w:spacing w:after="0"/>
              <w:rPr>
                <w:sz w:val="12"/>
                <w:szCs w:val="12"/>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Weighted average (range, if applicable)</w:t>
            </w:r>
          </w:p>
        </w:tc>
        <w:tc>
          <w:tcPr>
            <w:tcW w:w="120" w:type="dxa"/>
            <w:vAlign w:val="bottom"/>
          </w:tcPr>
          <w:p>
            <w:pPr>
              <w:spacing w:after="0"/>
              <w:rPr>
                <w:sz w:val="12"/>
                <w:szCs w:val="12"/>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Weighted average (range, if applicable)</w:t>
            </w:r>
          </w:p>
        </w:tc>
      </w:tr>
      <w:tr>
        <w:trPr>
          <w:trHeight w:val="173"/>
        </w:trPr>
        <w:tc>
          <w:tcPr>
            <w:tcW w:w="160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6"/>
                <w:szCs w:val="16"/>
                <w:color w:val="auto"/>
              </w:rPr>
              <w:t>Contingent</w:t>
            </w:r>
          </w:p>
        </w:tc>
        <w:tc>
          <w:tcPr>
            <w:tcW w:w="2340" w:type="dxa"/>
            <w:vAlign w:val="bottom"/>
            <w:shd w:val="clear" w:color="auto" w:fill="CFF0FC"/>
          </w:tcPr>
          <w:p>
            <w:pPr>
              <w:ind w:left="260"/>
              <w:spacing w:after="0" w:line="174" w:lineRule="exact"/>
              <w:rPr>
                <w:sz w:val="20"/>
                <w:szCs w:val="20"/>
                <w:color w:val="auto"/>
              </w:rPr>
            </w:pPr>
            <w:r>
              <w:rPr>
                <w:rFonts w:ascii="Times New Roman" w:cs="Times New Roman" w:eastAsia="Times New Roman" w:hAnsi="Times New Roman"/>
                <w:sz w:val="16"/>
                <w:szCs w:val="16"/>
                <w:color w:val="auto"/>
              </w:rPr>
              <w:t>Probability weighted income</w:t>
            </w:r>
          </w:p>
        </w:tc>
        <w:tc>
          <w:tcPr>
            <w:tcW w:w="120" w:type="dxa"/>
            <w:vAlign w:val="bottom"/>
            <w:shd w:val="clear" w:color="auto" w:fill="CFF0FC"/>
          </w:tcPr>
          <w:p>
            <w:pPr>
              <w:spacing w:after="0"/>
              <w:rPr>
                <w:sz w:val="15"/>
                <w:szCs w:val="15"/>
                <w:color w:val="auto"/>
              </w:rPr>
            </w:pPr>
          </w:p>
        </w:tc>
        <w:tc>
          <w:tcPr>
            <w:tcW w:w="2320" w:type="dxa"/>
            <w:vAlign w:val="bottom"/>
            <w:shd w:val="clear" w:color="auto" w:fill="CFF0FC"/>
          </w:tcPr>
          <w:p>
            <w:pPr>
              <w:jc w:val="center"/>
              <w:spacing w:after="0" w:line="174" w:lineRule="exact"/>
              <w:rPr>
                <w:sz w:val="20"/>
                <w:szCs w:val="20"/>
                <w:color w:val="auto"/>
              </w:rPr>
            </w:pPr>
            <w:r>
              <w:rPr>
                <w:rFonts w:ascii="Times New Roman" w:cs="Times New Roman" w:eastAsia="Times New Roman" w:hAnsi="Times New Roman"/>
                <w:sz w:val="16"/>
                <w:szCs w:val="16"/>
                <w:color w:val="auto"/>
                <w:w w:val="97"/>
              </w:rPr>
              <w:t>Discount rate</w:t>
            </w:r>
          </w:p>
        </w:tc>
        <w:tc>
          <w:tcPr>
            <w:tcW w:w="2440" w:type="dxa"/>
            <w:vAlign w:val="bottom"/>
            <w:gridSpan w:val="2"/>
            <w:shd w:val="clear" w:color="auto" w:fill="CFF0FC"/>
          </w:tcPr>
          <w:p>
            <w:pPr>
              <w:jc w:val="right"/>
              <w:ind w:right="898"/>
              <w:spacing w:after="0" w:line="174" w:lineRule="exact"/>
              <w:rPr>
                <w:sz w:val="20"/>
                <w:szCs w:val="20"/>
                <w:color w:val="auto"/>
              </w:rPr>
            </w:pPr>
            <w:r>
              <w:rPr>
                <w:rFonts w:ascii="Times New Roman" w:cs="Times New Roman" w:eastAsia="Times New Roman" w:hAnsi="Times New Roman"/>
                <w:sz w:val="16"/>
                <w:szCs w:val="16"/>
                <w:color w:val="auto"/>
              </w:rPr>
              <w:t>13.2%</w:t>
            </w:r>
          </w:p>
        </w:tc>
        <w:tc>
          <w:tcPr>
            <w:tcW w:w="2440" w:type="dxa"/>
            <w:vAlign w:val="bottom"/>
            <w:gridSpan w:val="2"/>
            <w:shd w:val="clear" w:color="auto" w:fill="CFF0FC"/>
          </w:tcPr>
          <w:p>
            <w:pPr>
              <w:jc w:val="center"/>
              <w:ind w:left="42"/>
              <w:spacing w:after="0" w:line="174" w:lineRule="exact"/>
              <w:rPr>
                <w:sz w:val="20"/>
                <w:szCs w:val="20"/>
                <w:color w:val="auto"/>
              </w:rPr>
            </w:pPr>
            <w:r>
              <w:rPr>
                <w:rFonts w:ascii="Times New Roman" w:cs="Times New Roman" w:eastAsia="Times New Roman" w:hAnsi="Times New Roman"/>
                <w:sz w:val="16"/>
                <w:szCs w:val="16"/>
                <w:color w:val="auto"/>
                <w:w w:val="96"/>
              </w:rPr>
              <w:t>12.0%</w:t>
            </w:r>
          </w:p>
        </w:tc>
      </w:tr>
      <w:tr>
        <w:trPr>
          <w:trHeight w:val="215"/>
        </w:trPr>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consideration</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approach</w:t>
            </w:r>
          </w:p>
        </w:tc>
        <w:tc>
          <w:tcPr>
            <w:tcW w:w="12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18"/>
                <w:szCs w:val="18"/>
                <w:color w:val="auto"/>
              </w:rPr>
            </w:pPr>
          </w:p>
        </w:tc>
      </w:tr>
      <w:tr>
        <w:trPr>
          <w:trHeight w:val="203"/>
        </w:trPr>
        <w:tc>
          <w:tcPr>
            <w:tcW w:w="16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Revenue discount rate</w:t>
            </w:r>
          </w:p>
        </w:tc>
        <w:tc>
          <w:tcPr>
            <w:tcW w:w="2440" w:type="dxa"/>
            <w:vAlign w:val="bottom"/>
            <w:gridSpan w:val="2"/>
          </w:tcPr>
          <w:p>
            <w:pPr>
              <w:jc w:val="right"/>
              <w:ind w:right="618"/>
              <w:spacing w:after="0"/>
              <w:rPr>
                <w:sz w:val="20"/>
                <w:szCs w:val="20"/>
                <w:color w:val="auto"/>
              </w:rPr>
            </w:pPr>
            <w:r>
              <w:rPr>
                <w:rFonts w:ascii="Times New Roman" w:cs="Times New Roman" w:eastAsia="Times New Roman" w:hAnsi="Times New Roman"/>
                <w:sz w:val="16"/>
                <w:szCs w:val="16"/>
                <w:color w:val="auto"/>
              </w:rPr>
              <w:t>16.4% - 19.4%</w:t>
            </w:r>
          </w:p>
        </w:tc>
        <w:tc>
          <w:tcPr>
            <w:tcW w:w="244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6"/>
              </w:rPr>
              <w:t>20.9%</w:t>
            </w:r>
          </w:p>
        </w:tc>
      </w:tr>
    </w:tbl>
    <w:p>
      <w:pPr>
        <w:spacing w:after="0" w:line="388" w:lineRule="exact"/>
        <w:rPr>
          <w:sz w:val="20"/>
          <w:szCs w:val="20"/>
          <w:color w:val="auto"/>
        </w:rPr>
      </w:pPr>
    </w:p>
    <w:p>
      <w:pPr>
        <w:ind w:right="60" w:firstLine="751"/>
        <w:spacing w:after="0" w:line="249" w:lineRule="auto"/>
        <w:rPr>
          <w:sz w:val="20"/>
          <w:szCs w:val="20"/>
          <w:color w:val="auto"/>
        </w:rPr>
      </w:pPr>
      <w:r>
        <w:rPr>
          <w:rFonts w:ascii="Times New Roman" w:cs="Times New Roman" w:eastAsia="Times New Roman" w:hAnsi="Times New Roman"/>
          <w:sz w:val="16"/>
          <w:szCs w:val="16"/>
          <w:color w:val="auto"/>
        </w:rPr>
        <w:t>The Company's fair value measurement of contingent consideration liabilities has been classified as level 3 as its valuation requires substantial judgment and estimation of factors which requires use of unobservable inputs. The fair value of contingent consideration liabilities are estimated by using the probability weighted income approach using significant assumptions including estimated future sales of Sunosi in current and future indications, timing of regulatory and commercial milestone achievements, probability of technical and regulatory success rates, and discount rates. If significant changes are made to one or more of these assumptions, the estimated fair value of contingent consideration liabilities may result in a significantly higher or lower fair value measurement.</w:t>
      </w:r>
    </w:p>
    <w:p>
      <w:pPr>
        <w:sectPr>
          <w:pgSz w:w="11900" w:h="16838" w:orient="portrait"/>
          <w:cols w:equalWidth="0" w:num="1">
            <w:col w:w="11260"/>
          </w:cols>
          <w:pgMar w:left="320" w:top="680" w:right="319" w:bottom="1440" w:gutter="0" w:footer="0" w:header="0"/>
        </w:sectPr>
      </w:pP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Accrued Expenses and Other Current Liabilities</w:t>
      </w:r>
    </w:p>
    <w:p>
      <w:pPr>
        <w:spacing w:after="0" w:line="191" w:lineRule="exact"/>
        <w:rPr>
          <w:sz w:val="20"/>
          <w:szCs w:val="20"/>
          <w:color w:val="auto"/>
        </w:rPr>
      </w:pPr>
    </w:p>
    <w:p>
      <w:pPr>
        <w:jc w:val="right"/>
        <w:ind w:right="1720"/>
        <w:spacing w:after="0"/>
        <w:rPr>
          <w:sz w:val="20"/>
          <w:szCs w:val="20"/>
          <w:color w:val="auto"/>
        </w:rPr>
      </w:pPr>
      <w:r>
        <w:rPr>
          <w:rFonts w:ascii="Times New Roman" w:cs="Times New Roman" w:eastAsia="Times New Roman" w:hAnsi="Times New Roman"/>
          <w:sz w:val="16"/>
          <w:szCs w:val="16"/>
          <w:color w:val="auto"/>
        </w:rPr>
        <w:t>Accrued expenses and other current liabilities consisted of the following:</w:t>
      </w:r>
    </w:p>
    <w:p>
      <w:pPr>
        <w:spacing w:after="0" w:line="35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50735" cy="1333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0735" cy="133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research and development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compensation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7150735" cy="1333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0735" cy="13335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sales discounts, rebates and allowances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7150735" cy="1333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0735" cy="13335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interest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7150735" cy="1555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0735" cy="155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40" w:type="dxa"/>
            <w:vAlign w:val="bottom"/>
          </w:tcPr>
          <w:p>
            <w:pPr>
              <w:spacing w:after="0"/>
              <w:rPr>
                <w:sz w:val="12"/>
                <w:szCs w:val="12"/>
                <w:color w:val="auto"/>
              </w:rPr>
            </w:pPr>
          </w:p>
        </w:tc>
        <w:tc>
          <w:tcPr>
            <w:tcW w:w="1320" w:type="dxa"/>
            <w:vAlign w:val="bottom"/>
          </w:tcPr>
          <w:p>
            <w:pPr>
              <w:jc w:val="right"/>
              <w:ind w:right="346"/>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ind w:right="326"/>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62"/>
        </w:trPr>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2"/>
                <w:szCs w:val="12"/>
                <w:b w:val="1"/>
                <w:bCs w:val="1"/>
                <w:color w:val="auto"/>
              </w:rPr>
              <w:t>2023</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94"/>
        </w:trPr>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6,503</w:t>
            </w:r>
          </w:p>
        </w:tc>
        <w:tc>
          <w:tcPr>
            <w:tcW w:w="300" w:type="dxa"/>
            <w:vAlign w:val="bottom"/>
          </w:tcPr>
          <w:p>
            <w:pPr>
              <w:spacing w:after="0"/>
              <w:rPr>
                <w:sz w:val="16"/>
                <w:szCs w:val="16"/>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4,714</w:t>
            </w:r>
          </w:p>
        </w:tc>
      </w:tr>
      <w:tr>
        <w:trPr>
          <w:trHeight w:val="205"/>
        </w:trPr>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11,284</w:t>
            </w:r>
          </w:p>
        </w:tc>
      </w:tr>
      <w:tr>
        <w:trPr>
          <w:trHeight w:val="210"/>
        </w:trPr>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6,596</w:t>
            </w:r>
          </w:p>
        </w:tc>
      </w:tr>
      <w:tr>
        <w:trPr>
          <w:trHeight w:val="210"/>
        </w:trPr>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46,713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26,545</w:t>
            </w:r>
          </w:p>
        </w:tc>
      </w:tr>
      <w:tr>
        <w:trPr>
          <w:trHeight w:val="210"/>
        </w:trPr>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w:t>
            </w:r>
          </w:p>
        </w:tc>
      </w:tr>
      <w:tr>
        <w:trPr>
          <w:trHeight w:val="216"/>
        </w:trPr>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w:t>
            </w:r>
          </w:p>
        </w:tc>
      </w:tr>
      <w:tr>
        <w:trPr>
          <w:trHeight w:val="204"/>
        </w:trPr>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90,501</w:t>
            </w:r>
          </w:p>
        </w:tc>
        <w:tc>
          <w:tcPr>
            <w:tcW w:w="300" w:type="dxa"/>
            <w:vAlign w:val="bottom"/>
          </w:tcPr>
          <w:p>
            <w:pPr>
              <w:spacing w:after="0"/>
              <w:rPr>
                <w:sz w:val="17"/>
                <w:szCs w:val="17"/>
                <w:color w:val="auto"/>
              </w:rPr>
            </w:pP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51,631</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20" w:space="720"/>
            <w:col w:w="3520"/>
          </w:cols>
          <w:pgMar w:left="320" w:top="680" w:right="319" w:bottom="1440" w:gutter="0" w:footer="0" w:header="0"/>
          <w:type w:val="continuous"/>
        </w:sect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429260</wp:posOffset>
            </wp:positionV>
            <wp:extent cx="7176135" cy="400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Loan and Security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Hercules Capital, Inc.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Fourth Amendment to the Loan Agreement</w:t>
      </w:r>
    </w:p>
    <w:p>
      <w:pPr>
        <w:spacing w:after="0" w:line="191" w:lineRule="exact"/>
        <w:rPr>
          <w:sz w:val="20"/>
          <w:szCs w:val="20"/>
          <w:color w:val="auto"/>
        </w:rPr>
      </w:pPr>
    </w:p>
    <w:p>
      <w:pPr>
        <w:ind w:right="120" w:firstLine="751"/>
        <w:spacing w:after="0" w:line="249" w:lineRule="auto"/>
        <w:rPr>
          <w:sz w:val="20"/>
          <w:szCs w:val="20"/>
          <w:color w:val="auto"/>
        </w:rPr>
      </w:pPr>
      <w:r>
        <w:rPr>
          <w:rFonts w:ascii="Times New Roman" w:cs="Times New Roman" w:eastAsia="Times New Roman" w:hAnsi="Times New Roman"/>
          <w:sz w:val="16"/>
          <w:szCs w:val="16"/>
          <w:color w:val="auto"/>
        </w:rPr>
        <w:t>On May 8, 2023, the Company entered into the Waiver and Fourth Amendment (the “Fourth Amendment”) to its Loan and Security Agreement, dated as of September 25, 2020 (as amended by that certain First Amendment to Loan and Security Agreement, dated as of October 14, 2021, as further amended by the Second Amendment to Loan and Security Agreement, dated as of March 27, 2022, and as further amended by the Third Amendment to Loan and Security Agreement, dated as of January 9, 2023) (the “Loan Agreement”) with Hercules Capital, Inc., a Maryland corporation (“Hercules”), in its capacity as administrative agent and collateral agent, and the other financial institutions or entities party thereto as lenders.</w:t>
      </w:r>
    </w:p>
    <w:p>
      <w:pPr>
        <w:spacing w:after="0" w:line="16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Fourth Amendment increased the amount of cash that could be held by Axsome Malta Ltd. (“Axsome Malta”) outside of the United States from $3.0 million to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$15.0 million for a 45-day period after the closing of the Fourth Amendment and to $10.0 million thereafter. The Fourth Amendment also waived any purported default with respect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amount of cash held by Axsome Malta prior to the date of the Fourth Amendment. In August 2023, Hercules granted the Company a waiver to the Fourth Amendment,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permitting Axsome Malta to hold up to $12.5 million in Cash outside of the United States until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Third Amendment to the Loan Agreement</w:t>
      </w:r>
    </w:p>
    <w:p>
      <w:pPr>
        <w:spacing w:after="0" w:line="191" w:lineRule="exact"/>
        <w:rPr>
          <w:sz w:val="20"/>
          <w:szCs w:val="20"/>
          <w:color w:val="auto"/>
        </w:rPr>
      </w:pPr>
    </w:p>
    <w:p>
      <w:pPr>
        <w:ind w:right="220" w:firstLine="751"/>
        <w:spacing w:after="0" w:line="267" w:lineRule="auto"/>
        <w:rPr>
          <w:sz w:val="20"/>
          <w:szCs w:val="20"/>
          <w:color w:val="auto"/>
        </w:rPr>
      </w:pPr>
      <w:r>
        <w:rPr>
          <w:rFonts w:ascii="Times New Roman" w:cs="Times New Roman" w:eastAsia="Times New Roman" w:hAnsi="Times New Roman"/>
          <w:sz w:val="16"/>
          <w:szCs w:val="16"/>
          <w:color w:val="auto"/>
        </w:rPr>
        <w:t>On January 9, 2023, the Company entered into a Third Amendment (the “Third Amendment”) to the Loan Agreement with Hercules, in its capacity as administrative agent and collateral agent, and the other financial institutions or entities party thereto as lenders.</w:t>
      </w:r>
    </w:p>
    <w:p>
      <w:pPr>
        <w:spacing w:after="0" w:line="1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Third Amendment amended the terms of the Loan Agreement to, among other things:</w:t>
      </w:r>
    </w:p>
    <w:p>
      <w:pPr>
        <w:spacing w:after="0" w:line="96" w:lineRule="exact"/>
        <w:rPr>
          <w:sz w:val="20"/>
          <w:szCs w:val="20"/>
          <w:color w:val="auto"/>
        </w:rPr>
      </w:pPr>
    </w:p>
    <w:p>
      <w:pPr>
        <w:ind w:left="1020" w:hanging="517"/>
        <w:spacing w:after="0" w:line="267" w:lineRule="auto"/>
        <w:tabs>
          <w:tab w:leader="none" w:pos="10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Extend the maturity date to January 1, 2028, unless the Company meets certain revenue targets as described in the Loan Agreement, in which case the Company can extend the maturity date to January 1, 2029;</w:t>
      </w:r>
    </w:p>
    <w:p>
      <w:pPr>
        <w:spacing w:after="0" w:line="57" w:lineRule="exact"/>
        <w:rPr>
          <w:rFonts w:ascii="Times New Roman" w:cs="Times New Roman" w:eastAsia="Times New Roman" w:hAnsi="Times New Roman"/>
          <w:sz w:val="16"/>
          <w:szCs w:val="16"/>
          <w:color w:val="auto"/>
        </w:rPr>
      </w:pPr>
    </w:p>
    <w:p>
      <w:pPr>
        <w:ind w:left="1020" w:hanging="517"/>
        <w:spacing w:after="0"/>
        <w:tabs>
          <w:tab w:leader="none" w:pos="10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the aggregate principal amount under the Loan Agreement from $300.0 million to $350.0 million;</w:t>
      </w:r>
    </w:p>
    <w:p>
      <w:pPr>
        <w:spacing w:after="0" w:line="96" w:lineRule="exact"/>
        <w:rPr>
          <w:rFonts w:ascii="Times New Roman" w:cs="Times New Roman" w:eastAsia="Times New Roman" w:hAnsi="Times New Roman"/>
          <w:sz w:val="16"/>
          <w:szCs w:val="16"/>
          <w:color w:val="auto"/>
        </w:rPr>
      </w:pPr>
    </w:p>
    <w:p>
      <w:pPr>
        <w:ind w:left="1020" w:right="60" w:hanging="517"/>
        <w:spacing w:after="0" w:line="249" w:lineRule="auto"/>
        <w:tabs>
          <w:tab w:leader="none" w:pos="10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in the Loan Agreement, change the term loan advance amounts and dates available under the tranche 1 advance through tranche 5 advance, including increasing the tranche 1 advance from one tranche of $95.0 million to five sub-tranches of $95.0 million, $55.0 million, $30.0 million, $35.0 million and $35.0 million, respectively, changing the tranche 2 advance from three sub-tranches of $35.0 million, $35.0 million and $30.0 million to one tranche of $25.0 million, changing the tranche 3 advance from two sub-tranches of $15.0 million and $5.0 million to one tranche of $75.0 million and removing the tranche 4 advance and tranche 5 advance entirely;</w:t>
      </w:r>
    </w:p>
    <w:p>
      <w:pPr>
        <w:spacing w:after="0" w:line="72" w:lineRule="exact"/>
        <w:rPr>
          <w:rFonts w:ascii="Times New Roman" w:cs="Times New Roman" w:eastAsia="Times New Roman" w:hAnsi="Times New Roman"/>
          <w:sz w:val="16"/>
          <w:szCs w:val="16"/>
          <w:color w:val="auto"/>
        </w:rPr>
      </w:pPr>
    </w:p>
    <w:p>
      <w:pPr>
        <w:ind w:left="1020" w:right="260" w:hanging="517"/>
        <w:spacing w:after="0" w:line="267" w:lineRule="auto"/>
        <w:tabs>
          <w:tab w:leader="none" w:pos="10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Revise the interest rate applicable to extensions of credit under the Loan Agreement to equal (a) if the prime rate is greater than or equal to 7.00%, the greater of either (i) the prime rate plus 2.20%, and (ii) 9.95%, but in no event greater than 10.70%, and (b) if the prime rate is less than 7.00%, 9.70%;</w:t>
      </w:r>
    </w:p>
    <w:p>
      <w:pPr>
        <w:spacing w:after="0" w:line="57" w:lineRule="exact"/>
        <w:rPr>
          <w:rFonts w:ascii="Times New Roman" w:cs="Times New Roman" w:eastAsia="Times New Roman" w:hAnsi="Times New Roman"/>
          <w:sz w:val="16"/>
          <w:szCs w:val="16"/>
          <w:color w:val="auto"/>
        </w:rPr>
      </w:pPr>
    </w:p>
    <w:p>
      <w:pPr>
        <w:ind w:left="1020" w:hanging="517"/>
        <w:spacing w:after="0"/>
        <w:tabs>
          <w:tab w:leader="none" w:pos="10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the minimum cash requirement of the Company to $30.0 million; and</w:t>
      </w:r>
    </w:p>
    <w:p>
      <w:pPr>
        <w:spacing w:after="0" w:line="96" w:lineRule="exact"/>
        <w:rPr>
          <w:rFonts w:ascii="Times New Roman" w:cs="Times New Roman" w:eastAsia="Times New Roman" w:hAnsi="Times New Roman"/>
          <w:sz w:val="16"/>
          <w:szCs w:val="16"/>
          <w:color w:val="auto"/>
        </w:rPr>
      </w:pPr>
    </w:p>
    <w:p>
      <w:pPr>
        <w:ind w:left="1020" w:right="420" w:hanging="517"/>
        <w:spacing w:after="0" w:line="267" w:lineRule="auto"/>
        <w:tabs>
          <w:tab w:leader="none" w:pos="10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the Company to pay a facility fee equal to 0.75% of the amount of principal actually funded pursuant to the tranche 1B advance, tranche 1C advance, tranche 1D advance, tranche 1E advance, tranche 2 advance and tranche 3 advance.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allowed tranche 1D to expire undrawn.</w:t>
      </w:r>
    </w:p>
    <w:p>
      <w:pPr>
        <w:spacing w:after="0" w:line="189" w:lineRule="exact"/>
        <w:rPr>
          <w:sz w:val="20"/>
          <w:szCs w:val="20"/>
          <w:color w:val="auto"/>
        </w:rPr>
      </w:pPr>
    </w:p>
    <w:p>
      <w:pPr>
        <w:jc w:val="both"/>
        <w:ind w:right="300" w:firstLine="751"/>
        <w:spacing w:after="0" w:line="255" w:lineRule="auto"/>
        <w:rPr>
          <w:sz w:val="20"/>
          <w:szCs w:val="20"/>
          <w:color w:val="auto"/>
        </w:rPr>
      </w:pPr>
      <w:r>
        <w:rPr>
          <w:rFonts w:ascii="Times New Roman" w:cs="Times New Roman" w:eastAsia="Times New Roman" w:hAnsi="Times New Roman"/>
          <w:sz w:val="16"/>
          <w:szCs w:val="16"/>
          <w:color w:val="auto"/>
        </w:rPr>
        <w:t>On October 14, 2021, the Company entered into a First Amendment to the Loan and Security Agreement with Hercules. On March 27, 2022, in connection with the Acquisition (as described above), the Company entered into a Second Amendment to the Loan and Security Agreement (the “Second Amendment”) with Hercules. The Second Amendment closed on May 9, 2022 concurrently with the closing of the Acquisition.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407035</wp:posOffset>
            </wp:positionV>
            <wp:extent cx="7176135" cy="4000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firstLine="751"/>
        <w:spacing w:after="0" w:line="251" w:lineRule="auto"/>
        <w:rPr>
          <w:sz w:val="20"/>
          <w:szCs w:val="20"/>
          <w:color w:val="auto"/>
        </w:rPr>
      </w:pPr>
      <w:r>
        <w:rPr>
          <w:rFonts w:ascii="Times New Roman" w:cs="Times New Roman" w:eastAsia="Times New Roman" w:hAnsi="Times New Roman"/>
          <w:sz w:val="16"/>
          <w:szCs w:val="16"/>
          <w:color w:val="auto"/>
        </w:rPr>
        <w:t>As collateral for the obligations, the Company has granted to Hercules a senior security interest in all of the Company’s right, title, and interest in, to and under all of the Company’s property, inclusive of intellectual property, which includes one of the Company’s existing license agreements (the “License Agreement”) with Antecip, an entity owned by Axsome’s Chief Executive Officer and Chairman of the Board, Herriot Tabuteau, M.D., subject to limited exceptions. Antecip consented to the collateral assignment of the License Agreement, among other things, under a direct agreement (the “Direct Agreement”) with the Company, Antecip and Hercules.</w:t>
      </w:r>
    </w:p>
    <w:p>
      <w:pPr>
        <w:spacing w:after="0" w:line="164" w:lineRule="exact"/>
        <w:rPr>
          <w:sz w:val="20"/>
          <w:szCs w:val="20"/>
          <w:color w:val="auto"/>
        </w:rPr>
      </w:pPr>
    </w:p>
    <w:p>
      <w:pPr>
        <w:ind w:right="100" w:firstLine="751"/>
        <w:spacing w:after="0" w:line="251" w:lineRule="auto"/>
        <w:rPr>
          <w:sz w:val="20"/>
          <w:szCs w:val="20"/>
          <w:color w:val="auto"/>
        </w:rPr>
      </w:pPr>
      <w:r>
        <w:rPr>
          <w:rFonts w:ascii="Times New Roman" w:cs="Times New Roman" w:eastAsia="Times New Roman" w:hAnsi="Times New Roman"/>
          <w:sz w:val="16"/>
          <w:szCs w:val="16"/>
          <w:color w:val="auto"/>
        </w:rPr>
        <w:t>The Loan Agreement contains customary representations, warranties and covenants, including covenants by the Company limiting additional indebtedness, liens (including a negative pledge on intellectual property and other assets), guaranties, mergers and consolidations, substantial asset sales, investments and loans, certain corporate changes, transactions with affiliates and fundamental changes. At the initial closing, there were no applicable financial covenants contained in the Loan Agreement. Effective upon closing of the Third Amendment of the Loan Agreement in January 2023, the following limited financial covenants applied:</w:t>
      </w:r>
    </w:p>
    <w:p>
      <w:pPr>
        <w:spacing w:after="0" w:line="71" w:lineRule="exact"/>
        <w:rPr>
          <w:sz w:val="20"/>
          <w:szCs w:val="20"/>
          <w:color w:val="auto"/>
        </w:rPr>
      </w:pPr>
    </w:p>
    <w:p>
      <w:pPr>
        <w:ind w:left="1020" w:right="40" w:hanging="517"/>
        <w:spacing w:after="0" w:line="255" w:lineRule="auto"/>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upon closing of the Third Amendment of the Loan Agreement, the Company at all times thereafter must maintain cash in an account or accounts in which Hercules has a first priority security interest, in an aggregate amount greater than or equal to $30.0 million, plus the amount of the Company’s accounts payable under U.S. GAAP not paid after the 180th day following the invoice for such account payable (such amount, the “Qualified Cash A/P Amount”).</w:t>
      </w:r>
    </w:p>
    <w:p>
      <w:pPr>
        <w:spacing w:after="0" w:line="67" w:lineRule="exact"/>
        <w:rPr>
          <w:rFonts w:ascii="Times New Roman" w:cs="Times New Roman" w:eastAsia="Times New Roman" w:hAnsi="Times New Roman"/>
          <w:sz w:val="16"/>
          <w:szCs w:val="16"/>
          <w:color w:val="auto"/>
        </w:rPr>
      </w:pPr>
    </w:p>
    <w:p>
      <w:pPr>
        <w:ind w:left="1020" w:right="120" w:hanging="517"/>
        <w:spacing w:after="0" w:line="247" w:lineRule="auto"/>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must meet, beginning June 30, 2023, any of the following conditions: (A) ensure that at all times its market capitalization exceeds $1.5 billion, and that it maintains cash in an account which Hercules has a first priority security interest in an amount not less than 50% of the sum of the outstanding principal amount of the term loan advances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the Qualified Cash A/P Amount, (B) ensure that at all times that it maintains cash in an account which Hercules has a first priority security interest in an amount not less than 95% of the sum of the outstanding principal amount of the term loan advances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the Qualified Cash A/P Amount, or (C) achieve at least 60% of the net product revenue per the Board approved forecast solely from the sale of AXS-05, AXS-07, and Sunosi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the Company’s most recent quarterly financial statement, determined on a quarterly basis.</w:t>
      </w:r>
    </w:p>
    <w:p>
      <w:pPr>
        <w:spacing w:after="0" w:line="72" w:lineRule="exact"/>
        <w:rPr>
          <w:rFonts w:ascii="Times New Roman" w:cs="Times New Roman" w:eastAsia="Times New Roman" w:hAnsi="Times New Roman"/>
          <w:sz w:val="16"/>
          <w:szCs w:val="16"/>
          <w:color w:val="auto"/>
        </w:rPr>
      </w:pPr>
    </w:p>
    <w:p>
      <w:pPr>
        <w:ind w:left="1020" w:right="120" w:hanging="517"/>
        <w:spacing w:after="0" w:line="251" w:lineRule="auto"/>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Axsome Malta, a company organized under the laws of the Republic of Malta, shall not hold cash outside of the United States in excess of $3.0 million in the aggregate at any time. This amount, however, was increased by the Fourth Amendment to $15.0 million for a 45-day period after the closing of the Fourth Amendment and to $10.0 million thereafter. Furthermore, in August 2023, Hercules granted the Company a waiver to the Fourth Amendment, permitting Axsome Malta to hold up to $12.5 million in Cash outside of the United States until December 31, 2023.</w:t>
      </w:r>
    </w:p>
    <w:p>
      <w:pPr>
        <w:spacing w:after="0" w:line="70" w:lineRule="exact"/>
        <w:rPr>
          <w:rFonts w:ascii="Times New Roman" w:cs="Times New Roman" w:eastAsia="Times New Roman" w:hAnsi="Times New Roman"/>
          <w:sz w:val="16"/>
          <w:szCs w:val="16"/>
          <w:color w:val="auto"/>
        </w:rPr>
      </w:pPr>
    </w:p>
    <w:p>
      <w:pPr>
        <w:ind w:left="1020" w:right="60" w:hanging="517"/>
        <w:spacing w:after="0" w:line="267" w:lineRule="auto"/>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Company’s ability to incur additional indebtedness, pay dividends, encumber its intellectual property, or engage in certain fundamental business transactions, such as mergers or acquisitions of other businesses, with certain exceptions.</w:t>
      </w:r>
    </w:p>
    <w:p>
      <w:pPr>
        <w:spacing w:after="0" w:line="151" w:lineRule="exact"/>
        <w:rPr>
          <w:sz w:val="20"/>
          <w:szCs w:val="20"/>
          <w:color w:val="auto"/>
        </w:rPr>
      </w:pPr>
    </w:p>
    <w:p>
      <w:pPr>
        <w:ind w:right="520" w:firstLine="751"/>
        <w:spacing w:after="0" w:line="267" w:lineRule="auto"/>
        <w:rPr>
          <w:sz w:val="20"/>
          <w:szCs w:val="20"/>
          <w:color w:val="auto"/>
        </w:rPr>
      </w:pPr>
      <w:r>
        <w:rPr>
          <w:rFonts w:ascii="Times New Roman" w:cs="Times New Roman" w:eastAsia="Times New Roman" w:hAnsi="Times New Roman"/>
          <w:sz w:val="16"/>
          <w:szCs w:val="16"/>
          <w:color w:val="auto"/>
        </w:rPr>
        <w:t>The Company’s obligations under the Loan Agreement are subject to acceleration upon the occurrence of specified events of default, including payment default, insolvency and a material adverse change in the Borrower’s business, operations or financial or other condition.</w:t>
      </w:r>
    </w:p>
    <w:p>
      <w:pPr>
        <w:spacing w:after="0" w:line="151" w:lineRule="exact"/>
        <w:rPr>
          <w:sz w:val="20"/>
          <w:szCs w:val="20"/>
          <w:color w:val="auto"/>
        </w:rPr>
      </w:pPr>
    </w:p>
    <w:p>
      <w:pPr>
        <w:ind w:right="60" w:firstLine="751"/>
        <w:spacing w:after="0" w:line="255" w:lineRule="auto"/>
        <w:rPr>
          <w:sz w:val="20"/>
          <w:szCs w:val="20"/>
          <w:color w:val="auto"/>
        </w:rPr>
      </w:pPr>
      <w:r>
        <w:rPr>
          <w:rFonts w:ascii="Times New Roman" w:cs="Times New Roman" w:eastAsia="Times New Roman" w:hAnsi="Times New Roman"/>
          <w:sz w:val="16"/>
          <w:szCs w:val="16"/>
          <w:color w:val="auto"/>
        </w:rPr>
        <w:t xml:space="preserve">In addition, the Company is required to pay certain end of term charges, including (A) an initial end of term charge of $4.45 million and (B) a subsequent end of term charge of (i) 1.10% of the aggregate amount of all tranche 1A advances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(ii) 4.95% of the aggregate amount of all term loan advances (other than tranche 1A advances) funded. The end of term charges are being accreted into interest expense using the effective interest rate method over the term of the loan.</w:t>
      </w:r>
    </w:p>
    <w:p>
      <w:pPr>
        <w:spacing w:after="0" w:line="160" w:lineRule="exact"/>
        <w:rPr>
          <w:sz w:val="20"/>
          <w:szCs w:val="20"/>
          <w:color w:val="auto"/>
        </w:rPr>
      </w:pPr>
    </w:p>
    <w:p>
      <w:pPr>
        <w:ind w:right="200" w:firstLine="751"/>
        <w:spacing w:after="0" w:line="267" w:lineRule="auto"/>
        <w:rPr>
          <w:sz w:val="20"/>
          <w:szCs w:val="20"/>
          <w:color w:val="auto"/>
        </w:rPr>
      </w:pPr>
      <w:r>
        <w:rPr>
          <w:rFonts w:ascii="Times New Roman" w:cs="Times New Roman" w:eastAsia="Times New Roman" w:hAnsi="Times New Roman"/>
          <w:sz w:val="16"/>
          <w:szCs w:val="16"/>
          <w:color w:val="auto"/>
        </w:rPr>
        <w:t>If certain maturity extension conditions are satisfied, the Company must pay an extension end of term charge equal to 1.00% of the aggregate amount of all term loan advances outstanding as of the date on which the maturity extension conditions are satisfied, in addition to the end of term charges described above.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407035</wp:posOffset>
            </wp:positionV>
            <wp:extent cx="7176135" cy="400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60" w:firstLine="751"/>
        <w:spacing w:after="0" w:line="255" w:lineRule="auto"/>
        <w:rPr>
          <w:sz w:val="20"/>
          <w:szCs w:val="20"/>
          <w:color w:val="auto"/>
        </w:rPr>
      </w:pPr>
      <w:r>
        <w:rPr>
          <w:rFonts w:ascii="Times New Roman" w:cs="Times New Roman" w:eastAsia="Times New Roman" w:hAnsi="Times New Roman"/>
          <w:sz w:val="16"/>
          <w:szCs w:val="16"/>
          <w:color w:val="auto"/>
        </w:rPr>
        <w:t>The Company may, at its option prepay the term loans in full or in part, subject to a prepayment penalty equal to (i) 2.0% of the principal amount prepaid if the prepayment occurs prior to February 1, 2024, (ii) 1.5% of the principal amount prepaid if the prepayment occurs on or after February 1, 2024 but prior to February 1, 2025, and (iii) 1.0% of the principal amount prepaid if the prepayment occurs on or after February 1, 2025 but prior to February 1, 2026.</w:t>
      </w:r>
    </w:p>
    <w:p>
      <w:pPr>
        <w:spacing w:after="0" w:line="160" w:lineRule="exact"/>
        <w:rPr>
          <w:sz w:val="20"/>
          <w:szCs w:val="20"/>
          <w:color w:val="auto"/>
        </w:rPr>
      </w:pPr>
    </w:p>
    <w:p>
      <w:pPr>
        <w:ind w:right="160" w:firstLine="751"/>
        <w:spacing w:after="0" w:line="249" w:lineRule="auto"/>
        <w:rPr>
          <w:sz w:val="20"/>
          <w:szCs w:val="20"/>
          <w:color w:val="auto"/>
        </w:rPr>
      </w:pPr>
      <w:r>
        <w:rPr>
          <w:rFonts w:ascii="Times New Roman" w:cs="Times New Roman" w:eastAsia="Times New Roman" w:hAnsi="Times New Roman"/>
          <w:sz w:val="16"/>
          <w:szCs w:val="16"/>
          <w:color w:val="auto"/>
        </w:rPr>
        <w:t xml:space="preserve">The Company evaluated whether the Third Amendment entered into in January 2023 represented a debt modification or extinguishment in accordance with ASC 470-50, </w:t>
      </w:r>
      <w:r>
        <w:rPr>
          <w:rFonts w:ascii="Times New Roman" w:cs="Times New Roman" w:eastAsia="Times New Roman" w:hAnsi="Times New Roman"/>
          <w:sz w:val="16"/>
          <w:szCs w:val="16"/>
          <w:i w:val="1"/>
          <w:iCs w:val="1"/>
          <w:color w:val="auto"/>
        </w:rPr>
        <w:t>Debt – Modifications and Extinguishments</w:t>
      </w:r>
      <w:r>
        <w:rPr>
          <w:rFonts w:ascii="Times New Roman" w:cs="Times New Roman" w:eastAsia="Times New Roman" w:hAnsi="Times New Roman"/>
          <w:sz w:val="16"/>
          <w:szCs w:val="16"/>
          <w:color w:val="auto"/>
        </w:rPr>
        <w:t>. As the present value of the cash flows under the terms of the Third Amendment is less than 10% different from the remaining cash flows under the terms of the Second Amendment, the Third Amendment was accounted for as a debt modification. The unamortized balance of debt discount costs incurred in connection with those loans and additional debt discount costs incurred in connection with entry into the Third Amendment are being amortized through maturity in January 2028 utilizing the effective interest rate method.</w:t>
      </w:r>
    </w:p>
    <w:p>
      <w:pPr>
        <w:spacing w:after="0" w:line="16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Long-term debt and unamortized debt discount balances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5"/>
          </w:tcPr>
          <w:p>
            <w:pPr>
              <w:ind w:left="2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62"/>
        </w:trPr>
        <w:tc>
          <w:tcPr>
            <w:tcW w:w="6640" w:type="dxa"/>
            <w:vAlign w:val="bottom"/>
          </w:tcPr>
          <w:p>
            <w:pPr>
              <w:ind w:left="3760"/>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2"/>
                <w:szCs w:val="12"/>
                <w:b w:val="1"/>
                <w:bCs w:val="1"/>
                <w:color w:val="auto"/>
              </w:rPr>
              <w:t>2023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bottom w:val="single" w:sz="8" w:color="auto"/>
            </w:tcBorders>
          </w:tcPr>
          <w:p>
            <w:pPr>
              <w:spacing w:after="0"/>
              <w:rPr>
                <w:sz w:val="14"/>
                <w:szCs w:val="14"/>
                <w:color w:val="auto"/>
              </w:rPr>
            </w:pPr>
          </w:p>
        </w:tc>
      </w:tr>
      <w:tr>
        <w:trPr>
          <w:trHeight w:val="202"/>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outstanding debt</w:t>
            </w:r>
          </w:p>
        </w:tc>
        <w:tc>
          <w:tcPr>
            <w:tcW w:w="84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180,000</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95,000</w:t>
            </w:r>
          </w:p>
        </w:tc>
        <w:tc>
          <w:tcPr>
            <w:tcW w:w="120" w:type="dxa"/>
            <w:vAlign w:val="bottom"/>
            <w:shd w:val="clear" w:color="auto" w:fill="CFF0FC"/>
          </w:tcPr>
          <w:p>
            <w:pPr>
              <w:spacing w:after="0"/>
              <w:rPr>
                <w:sz w:val="17"/>
                <w:szCs w:val="17"/>
                <w:color w:val="auto"/>
              </w:rPr>
            </w:pPr>
          </w:p>
        </w:tc>
      </w:tr>
      <w:tr>
        <w:trPr>
          <w:trHeight w:val="206"/>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 accreted final payment fee</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2,610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120" w:type="dxa"/>
            <w:vAlign w:val="bottom"/>
          </w:tcPr>
          <w:p>
            <w:pPr>
              <w:spacing w:after="0"/>
              <w:rPr>
                <w:sz w:val="17"/>
                <w:szCs w:val="17"/>
                <w:color w:val="auto"/>
              </w:rPr>
            </w:pPr>
          </w:p>
        </w:tc>
      </w:tr>
      <w:tr>
        <w:trPr>
          <w:trHeight w:val="214"/>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Less: unamortized debt discount, long-term</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(4,540 )</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(2,104 )</w:t>
            </w:r>
          </w:p>
        </w:tc>
      </w:tr>
      <w:tr>
        <w:trPr>
          <w:trHeight w:val="206"/>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42"/>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Loan payable, long-term</w:t>
            </w:r>
          </w:p>
        </w:tc>
        <w:tc>
          <w:tcPr>
            <w:tcW w:w="84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178,070</w:t>
            </w: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94,259</w:t>
            </w:r>
          </w:p>
        </w:tc>
        <w:tc>
          <w:tcPr>
            <w:tcW w:w="120" w:type="dxa"/>
            <w:vAlign w:val="bottom"/>
            <w:shd w:val="clear" w:color="auto" w:fill="CFF0FC"/>
          </w:tcPr>
          <w:p>
            <w:pPr>
              <w:spacing w:after="0"/>
              <w:rPr>
                <w:sz w:val="21"/>
                <w:szCs w:val="21"/>
                <w:color w:val="auto"/>
              </w:rPr>
            </w:pPr>
          </w:p>
        </w:tc>
      </w:tr>
      <w:tr>
        <w:trPr>
          <w:trHeight w:val="351"/>
        </w:trPr>
        <w:tc>
          <w:tcPr>
            <w:tcW w:w="664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6"/>
                <w:szCs w:val="16"/>
                <w:color w:val="auto"/>
              </w:rPr>
              <w:t>The book value of debt approximates its fair value given its variable interest rate.</w:t>
            </w:r>
          </w:p>
        </w:tc>
        <w:tc>
          <w:tcPr>
            <w:tcW w:w="84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362"/>
        </w:trPr>
        <w:tc>
          <w:tcPr>
            <w:tcW w:w="66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3"/>
        </w:trPr>
        <w:tc>
          <w:tcPr>
            <w:tcW w:w="664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2"/>
                <w:szCs w:val="12"/>
                <w:b w:val="1"/>
                <w:bCs w:val="1"/>
                <w:color w:val="auto"/>
              </w:rPr>
              <w:t>2022</w:t>
            </w:r>
          </w:p>
        </w:tc>
        <w:tc>
          <w:tcPr>
            <w:tcW w:w="1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2"/>
                <w:szCs w:val="12"/>
                <w:b w:val="1"/>
                <w:bCs w:val="1"/>
                <w:color w:val="auto"/>
              </w:rPr>
              <w:t>2021</w:t>
            </w:r>
          </w:p>
        </w:tc>
        <w:tc>
          <w:tcPr>
            <w:tcW w:w="120" w:type="dxa"/>
            <w:vAlign w:val="bottom"/>
          </w:tcPr>
          <w:p>
            <w:pPr>
              <w:spacing w:after="0"/>
              <w:rPr>
                <w:sz w:val="12"/>
                <w:szCs w:val="12"/>
                <w:color w:val="auto"/>
              </w:rPr>
            </w:pPr>
          </w:p>
        </w:tc>
      </w:tr>
      <w:tr>
        <w:trPr>
          <w:trHeight w:val="202"/>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84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17,514</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8,176</w:t>
            </w:r>
          </w:p>
        </w:tc>
        <w:tc>
          <w:tcPr>
            <w:tcW w:w="2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4,617</w:t>
            </w:r>
          </w:p>
        </w:tc>
        <w:tc>
          <w:tcPr>
            <w:tcW w:w="120" w:type="dxa"/>
            <w:vAlign w:val="bottom"/>
            <w:shd w:val="clear" w:color="auto" w:fill="CFF0FC"/>
          </w:tcPr>
          <w:p>
            <w:pPr>
              <w:spacing w:after="0"/>
              <w:rPr>
                <w:sz w:val="17"/>
                <w:szCs w:val="17"/>
                <w:color w:val="auto"/>
              </w:rPr>
            </w:pPr>
          </w:p>
        </w:tc>
      </w:tr>
      <w:tr>
        <w:trPr>
          <w:trHeight w:val="206"/>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final payment fee</w:t>
            </w:r>
          </w:p>
        </w:tc>
        <w:tc>
          <w:tcPr>
            <w:tcW w:w="84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668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20" w:type="dxa"/>
            <w:vAlign w:val="bottom"/>
          </w:tcPr>
          <w:p>
            <w:pPr>
              <w:spacing w:after="0"/>
              <w:rPr>
                <w:sz w:val="17"/>
                <w:szCs w:val="17"/>
                <w:color w:val="auto"/>
              </w:rPr>
            </w:pPr>
          </w:p>
        </w:tc>
      </w:tr>
      <w:tr>
        <w:trPr>
          <w:trHeight w:val="214"/>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debt discount related issuance costs and warrants</w:t>
            </w:r>
          </w:p>
        </w:tc>
        <w:tc>
          <w:tcPr>
            <w:tcW w:w="8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815</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5982970</wp:posOffset>
            </wp:positionH>
            <wp:positionV relativeFrom="paragraph">
              <wp:posOffset>-999490</wp:posOffset>
            </wp:positionV>
            <wp:extent cx="111125"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11125" cy="7620"/>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-984885</wp:posOffset>
            </wp:positionV>
            <wp:extent cx="111125" cy="76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11125" cy="7620"/>
                    </a:xfrm>
                    <a:prstGeom prst="rect">
                      <a:avLst/>
                    </a:prstGeom>
                    <a:noFill/>
                  </pic:spPr>
                </pic:pic>
              </a:graphicData>
            </a:graphic>
          </wp:anchor>
        </w:drawing>
      </w:r>
    </w:p>
    <w:p>
      <w:pPr>
        <w:spacing w:after="0" w:line="1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Scheduled principal payments on outstanding debt, as of December 31, 2023,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2024</w:t>
            </w:r>
          </w:p>
        </w:tc>
        <w:tc>
          <w:tcPr>
            <w:tcW w:w="6100" w:type="dxa"/>
            <w:vAlign w:val="bottom"/>
            <w:gridSpan w:val="2"/>
            <w:shd w:val="clear" w:color="auto" w:fill="CFF0FC"/>
          </w:tcPr>
          <w:p>
            <w:pPr>
              <w:jc w:val="right"/>
              <w:ind w:right="58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5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5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5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5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180,000</w:t>
            </w:r>
          </w:p>
        </w:tc>
      </w:tr>
      <w:tr>
        <w:trPr>
          <w:trHeight w:val="206"/>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53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r>
      <w:tr>
        <w:trPr>
          <w:trHeight w:val="242"/>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principal payments outstanding</w:t>
            </w:r>
          </w:p>
        </w:tc>
        <w:tc>
          <w:tcPr>
            <w:tcW w:w="536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8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180,000</w:t>
            </w:r>
          </w:p>
        </w:tc>
      </w:tr>
      <w:tr>
        <w:trPr>
          <w:trHeight w:val="597"/>
        </w:trPr>
        <w:tc>
          <w:tcPr>
            <w:tcW w:w="3900" w:type="dxa"/>
            <w:vAlign w:val="bottom"/>
          </w:tcPr>
          <w:p>
            <w:pPr>
              <w:spacing w:after="0"/>
              <w:rPr>
                <w:sz w:val="24"/>
                <w:szCs w:val="24"/>
                <w:color w:val="auto"/>
              </w:rPr>
            </w:pPr>
          </w:p>
        </w:tc>
        <w:tc>
          <w:tcPr>
            <w:tcW w:w="6100" w:type="dxa"/>
            <w:vAlign w:val="bottom"/>
            <w:gridSpan w:val="2"/>
          </w:tcPr>
          <w:p>
            <w:pPr>
              <w:jc w:val="right"/>
              <w:ind w:right="4142"/>
              <w:spacing w:after="0"/>
              <w:rPr>
                <w:sz w:val="20"/>
                <w:szCs w:val="20"/>
                <w:color w:val="auto"/>
              </w:rPr>
            </w:pPr>
            <w:r>
              <w:rPr>
                <w:rFonts w:ascii="Times New Roman" w:cs="Times New Roman" w:eastAsia="Times New Roman" w:hAnsi="Times New Roman"/>
                <w:sz w:val="16"/>
                <w:szCs w:val="16"/>
                <w:color w:val="auto"/>
              </w:rPr>
              <w:t>F-26</w:t>
            </w:r>
          </w:p>
        </w:tc>
        <w:tc>
          <w:tcPr>
            <w:tcW w:w="1260" w:type="dxa"/>
            <w:vAlign w:val="bottom"/>
          </w:tcPr>
          <w:p>
            <w:pPr>
              <w:spacing w:after="0"/>
              <w:rPr>
                <w:sz w:val="24"/>
                <w:szCs w:val="24"/>
                <w:color w:val="auto"/>
              </w:rPr>
            </w:pPr>
          </w:p>
        </w:tc>
      </w:tr>
      <w:tr>
        <w:trPr>
          <w:trHeight w:val="658"/>
        </w:trPr>
        <w:tc>
          <w:tcPr>
            <w:tcW w:w="390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Commitments and Contingencies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Leases</w:t>
      </w:r>
    </w:p>
    <w:p>
      <w:pPr>
        <w:spacing w:after="0" w:line="191" w:lineRule="exact"/>
        <w:rPr>
          <w:sz w:val="20"/>
          <w:szCs w:val="20"/>
          <w:color w:val="auto"/>
        </w:rPr>
      </w:pPr>
    </w:p>
    <w:p>
      <w:pPr>
        <w:ind w:right="60" w:firstLine="751"/>
        <w:spacing w:after="0" w:line="247" w:lineRule="auto"/>
        <w:rPr>
          <w:sz w:val="20"/>
          <w:szCs w:val="20"/>
          <w:color w:val="auto"/>
        </w:rPr>
      </w:pPr>
      <w:r>
        <w:rPr>
          <w:rFonts w:ascii="Times New Roman" w:cs="Times New Roman" w:eastAsia="Times New Roman" w:hAnsi="Times New Roman"/>
          <w:sz w:val="16"/>
          <w:szCs w:val="16"/>
          <w:color w:val="auto"/>
        </w:rPr>
        <w:t>Leases are accounted for under ASC Topic 842. The Company made an accounting policy election not to apply the recognition requirements to short-term leases. The Company recognizes the lease payments for short-term leases in the consolidated statements of operations and comprehensive loss on a straight-line basis over the lease term, and variable lease payments in the period in which the obligation for those payments is incurred. Therefore, the Company is not recognizing a lease liability or right-of-use asset for any lease that, at the commencement date, has a lease term of 12 months or less and does not include an option to extend the term or purchase the underlying asset that the Company is reasonably certain to exercise. The Company’s lease terms may include options to extend or terminate the lease when it is reasonably certain that the Company will exercise that option. The Company has entered into a lease agreement for the Company’s principal executive offices located in New York, New York. The lease does not include any restrictions or covenants that had to be accounted for under the lease guidance.</w:t>
      </w:r>
    </w:p>
    <w:p>
      <w:pPr>
        <w:spacing w:after="0" w:line="168" w:lineRule="exact"/>
        <w:rPr>
          <w:sz w:val="20"/>
          <w:szCs w:val="20"/>
          <w:color w:val="auto"/>
        </w:rPr>
      </w:pPr>
    </w:p>
    <w:p>
      <w:pPr>
        <w:ind w:right="20" w:firstLine="751"/>
        <w:spacing w:after="0" w:line="249" w:lineRule="auto"/>
        <w:rPr>
          <w:sz w:val="20"/>
          <w:szCs w:val="20"/>
          <w:color w:val="auto"/>
        </w:rPr>
      </w:pPr>
      <w:r>
        <w:rPr>
          <w:rFonts w:ascii="Times New Roman" w:cs="Times New Roman" w:eastAsia="Times New Roman" w:hAnsi="Times New Roman"/>
          <w:sz w:val="16"/>
          <w:szCs w:val="16"/>
          <w:color w:val="auto"/>
        </w:rPr>
        <w:t>In February 2023, the Company entered into a ten-year agreement to sublease office space at One World Trade Center, beginning April 2023. Based on the Company's past experience and current expectation for administrative office needs, the Company determined the lease term to be five years. As of December 31, 2023, the remaining lease term for the Company's operating lease was 4.3 years with a discount rate of 12.0%. The interest rate implicit in lease contracts is typically not readily determinable and as such, the Company uses its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16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The Company entered into a lease for the previous office space at 22 Cortlandt St, New York, NY and extended the lease through April 30, 2023. The lease ended in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2023.</w:t>
      </w:r>
    </w:p>
    <w:p>
      <w:pPr>
        <w:spacing w:after="0" w:line="17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Rent expense incurred during the years ended December 31, 2023, 2022 and 2021 was $2.2 million, $1.3 million, and $1.2 million, respectively.</w:t>
      </w:r>
    </w:p>
    <w:p>
      <w:pPr>
        <w:spacing w:after="0" w:line="18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Operating lease expenses recognized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r>
      <w:tr>
        <w:trPr>
          <w:trHeight w:val="143"/>
        </w:trPr>
        <w:tc>
          <w:tcPr>
            <w:tcW w:w="44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238"/>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lease expense</w:t>
            </w:r>
          </w:p>
        </w:tc>
        <w:tc>
          <w:tcPr>
            <w:tcW w:w="500" w:type="dxa"/>
            <w:vAlign w:val="bottom"/>
            <w:tcBorders>
              <w:bottom w:val="single" w:sz="8" w:color="auto"/>
            </w:tcBorders>
            <w:shd w:val="clear" w:color="auto" w:fill="CFF0FC"/>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6"/>
                <w:szCs w:val="16"/>
                <w:color w:val="auto"/>
              </w:rPr>
              <w:t>2,173</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6"/>
                <w:szCs w:val="16"/>
                <w:color w:val="auto"/>
              </w:rPr>
              <w:t>1,208</w:t>
            </w:r>
          </w:p>
        </w:tc>
        <w:tc>
          <w:tcPr>
            <w:tcW w:w="2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6"/>
                <w:szCs w:val="16"/>
                <w:color w:val="auto"/>
              </w:rPr>
              <w:t>1,148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-21590</wp:posOffset>
            </wp:positionV>
            <wp:extent cx="147955" cy="76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47955" cy="762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-6985</wp:posOffset>
            </wp:positionV>
            <wp:extent cx="147955"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47955" cy="762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-21590</wp:posOffset>
            </wp:positionV>
            <wp:extent cx="140970"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40970" cy="762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-6985</wp:posOffset>
            </wp:positionV>
            <wp:extent cx="140970"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40970" cy="7620"/>
                    </a:xfrm>
                    <a:prstGeom prst="rect">
                      <a:avLst/>
                    </a:prstGeom>
                    <a:noFill/>
                  </pic:spPr>
                </pic:pic>
              </a:graphicData>
            </a:graphic>
          </wp:anchor>
        </w:drawing>
      </w:r>
    </w:p>
    <w:p>
      <w:pPr>
        <w:spacing w:after="0" w:line="1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Future minimum lease payments of our operating leases as of December 31, 2023,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2024</w:t>
            </w:r>
          </w:p>
        </w:tc>
        <w:tc>
          <w:tcPr>
            <w:tcW w:w="5960" w:type="dxa"/>
            <w:vAlign w:val="bottom"/>
            <w:gridSpan w:val="2"/>
            <w:shd w:val="clear" w:color="auto" w:fill="CFF0FC"/>
          </w:tcPr>
          <w:p>
            <w:pPr>
              <w:jc w:val="right"/>
              <w:ind w:right="62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1,240</w:t>
            </w:r>
          </w:p>
        </w:tc>
      </w:tr>
      <w:tr>
        <w:trPr>
          <w:trHeight w:val="206"/>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5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1,932</w:t>
            </w:r>
          </w:p>
        </w:tc>
      </w:tr>
      <w:tr>
        <w:trPr>
          <w:trHeight w:val="214"/>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5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2,521</w:t>
            </w:r>
          </w:p>
        </w:tc>
      </w:tr>
      <w:tr>
        <w:trPr>
          <w:trHeight w:val="206"/>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5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2,521</w:t>
            </w:r>
          </w:p>
        </w:tc>
      </w:tr>
      <w:tr>
        <w:trPr>
          <w:trHeight w:val="214"/>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5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3,231</w:t>
            </w:r>
          </w:p>
        </w:tc>
      </w:tr>
      <w:tr>
        <w:trPr>
          <w:trHeight w:val="206"/>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51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Total lease payments</w:t>
            </w:r>
          </w:p>
        </w:tc>
        <w:tc>
          <w:tcPr>
            <w:tcW w:w="5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11,445</w:t>
            </w:r>
          </w:p>
        </w:tc>
      </w:tr>
      <w:tr>
        <w:trPr>
          <w:trHeight w:val="206"/>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51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(3,143 )</w:t>
            </w:r>
          </w:p>
        </w:tc>
      </w:tr>
      <w:tr>
        <w:trPr>
          <w:trHeight w:val="242"/>
        </w:trPr>
        <w:tc>
          <w:tcPr>
            <w:tcW w:w="40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5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62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8,302</w:t>
            </w:r>
          </w:p>
        </w:tc>
      </w:tr>
      <w:tr>
        <w:trPr>
          <w:trHeight w:val="597"/>
        </w:trPr>
        <w:tc>
          <w:tcPr>
            <w:tcW w:w="4080" w:type="dxa"/>
            <w:vAlign w:val="bottom"/>
          </w:tcPr>
          <w:p>
            <w:pPr>
              <w:spacing w:after="0"/>
              <w:rPr>
                <w:sz w:val="24"/>
                <w:szCs w:val="24"/>
                <w:color w:val="auto"/>
              </w:rPr>
            </w:pPr>
          </w:p>
        </w:tc>
        <w:tc>
          <w:tcPr>
            <w:tcW w:w="5960" w:type="dxa"/>
            <w:vAlign w:val="bottom"/>
            <w:gridSpan w:val="2"/>
          </w:tcPr>
          <w:p>
            <w:pPr>
              <w:jc w:val="right"/>
              <w:ind w:right="4182"/>
              <w:spacing w:after="0"/>
              <w:rPr>
                <w:sz w:val="20"/>
                <w:szCs w:val="20"/>
                <w:color w:val="auto"/>
              </w:rPr>
            </w:pPr>
            <w:r>
              <w:rPr>
                <w:rFonts w:ascii="Times New Roman" w:cs="Times New Roman" w:eastAsia="Times New Roman" w:hAnsi="Times New Roman"/>
                <w:sz w:val="16"/>
                <w:szCs w:val="16"/>
                <w:color w:val="auto"/>
              </w:rPr>
              <w:t>F-27</w:t>
            </w:r>
          </w:p>
        </w:tc>
        <w:tc>
          <w:tcPr>
            <w:tcW w:w="1220" w:type="dxa"/>
            <w:vAlign w:val="bottom"/>
          </w:tcPr>
          <w:p>
            <w:pPr>
              <w:spacing w:after="0"/>
              <w:rPr>
                <w:sz w:val="24"/>
                <w:szCs w:val="24"/>
                <w:color w:val="auto"/>
              </w:rPr>
            </w:pPr>
          </w:p>
        </w:tc>
      </w:tr>
      <w:tr>
        <w:trPr>
          <w:trHeight w:val="658"/>
        </w:trPr>
        <w:tc>
          <w:tcPr>
            <w:tcW w:w="408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Stockholders’ Equity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Public Offerings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At-the-Market Offerings</w:t>
      </w:r>
    </w:p>
    <w:p>
      <w:pPr>
        <w:spacing w:after="0" w:line="191" w:lineRule="exact"/>
        <w:rPr>
          <w:sz w:val="20"/>
          <w:szCs w:val="20"/>
          <w:color w:val="auto"/>
        </w:rPr>
      </w:pPr>
    </w:p>
    <w:p>
      <w:pPr>
        <w:ind w:firstLine="751"/>
        <w:spacing w:after="0" w:line="248" w:lineRule="auto"/>
        <w:rPr>
          <w:sz w:val="20"/>
          <w:szCs w:val="20"/>
          <w:color w:val="auto"/>
        </w:rPr>
      </w:pPr>
      <w:r>
        <w:rPr>
          <w:rFonts w:ascii="Times New Roman" w:cs="Times New Roman" w:eastAsia="Times New Roman" w:hAnsi="Times New Roman"/>
          <w:sz w:val="16"/>
          <w:szCs w:val="16"/>
          <w:color w:val="auto"/>
        </w:rPr>
        <w:t>In December 2019, the Company entered into a sales agreement (the “December 2019 Sales Agreement”) with SVB Securities LLC (now known as Leerink Partners LLC) (“Leerink”), pursuant to which the Company may sell up to $80 million in shares of the Company’s common stock from time to time through Leerink, acting as the Company’s sales agent, in one or more at-the-market offerings utilizing an automatic shelf registration statement (the “2019 Shelf Registration Statement”) the Company filed with the U.S. Securities and Exchange Commission (the “SEC”) on December 5, 2019 for the issuance of common stock, preferred stock, warrants, rights, debt securities and units. Leerink is entitled to receive a commission of 3.0% of the gross proceeds for any shares sold under the December 2019 Sales Agreement. The December 2019 Sales Agreement was replaced by the March 2022 Sales Agreement (as defined below).</w:t>
      </w:r>
    </w:p>
    <w:p>
      <w:pPr>
        <w:spacing w:after="0" w:line="166" w:lineRule="exact"/>
        <w:rPr>
          <w:sz w:val="20"/>
          <w:szCs w:val="20"/>
          <w:color w:val="auto"/>
        </w:rPr>
      </w:pPr>
    </w:p>
    <w:p>
      <w:pPr>
        <w:ind w:right="20" w:firstLine="751"/>
        <w:spacing w:after="0" w:line="249" w:lineRule="auto"/>
        <w:rPr>
          <w:sz w:val="20"/>
          <w:szCs w:val="20"/>
          <w:color w:val="auto"/>
        </w:rPr>
      </w:pPr>
      <w:r>
        <w:rPr>
          <w:rFonts w:ascii="Times New Roman" w:cs="Times New Roman" w:eastAsia="Times New Roman" w:hAnsi="Times New Roman"/>
          <w:sz w:val="16"/>
          <w:szCs w:val="16"/>
          <w:color w:val="auto"/>
        </w:rPr>
        <w:t>In March 2022, the Company entered into a sales agreement (the “March 2022 Sales Agreement”) with Leerink, pursuant to which the Company may sell up to $200 million in shares of the Company’s common stock from time to time through Leerink, acting as the Company’s sales agent, in one or more at-the-market offerings utilizing the 2019 Shelf Registration Statement. Leerink is entitled to receive a commission of up to 3.0% of the gross proceeds for any shares sold under the March 2022 Sales Agreement. The March 2022 Sales Agreement supersedes the December 2019 Sales Agreement, dated December 5, 2019, by and between the Company and Leerink. The Company exhausted sales of its shares of the Company’s common stock under its prior at-the-market offering program.</w:t>
      </w:r>
    </w:p>
    <w:p>
      <w:pPr>
        <w:spacing w:after="0" w:line="166" w:lineRule="exact"/>
        <w:rPr>
          <w:sz w:val="20"/>
          <w:szCs w:val="20"/>
          <w:color w:val="auto"/>
        </w:rPr>
      </w:pPr>
    </w:p>
    <w:p>
      <w:pPr>
        <w:jc w:val="both"/>
        <w:ind w:right="360" w:firstLine="751"/>
        <w:spacing w:after="0" w:line="255" w:lineRule="auto"/>
        <w:rPr>
          <w:sz w:val="20"/>
          <w:szCs w:val="20"/>
          <w:color w:val="auto"/>
        </w:rPr>
      </w:pPr>
      <w:r>
        <w:rPr>
          <w:rFonts w:ascii="Times New Roman" w:cs="Times New Roman" w:eastAsia="Times New Roman" w:hAnsi="Times New Roman"/>
          <w:sz w:val="16"/>
          <w:szCs w:val="16"/>
          <w:color w:val="auto"/>
        </w:rPr>
        <w:t>In August 2022, the Company filed a prospectus supplement to the 2019 Shelf Registration Statement for the issuance and sale, if any, of up to an additional $250 million in shares of the Company’s common stock. The Company will pay Leerink a commission of up to 3.0% of the gross sales proceeds of any shares sold through Leerink, acting as sales agent, under the March 2022 Sales Agreement.</w:t>
      </w:r>
    </w:p>
    <w:p>
      <w:pPr>
        <w:spacing w:after="0" w:line="160" w:lineRule="exact"/>
        <w:rPr>
          <w:sz w:val="20"/>
          <w:szCs w:val="20"/>
          <w:color w:val="auto"/>
        </w:rPr>
      </w:pPr>
    </w:p>
    <w:p>
      <w:pPr>
        <w:ind w:right="40" w:firstLine="751"/>
        <w:spacing w:after="0" w:line="251" w:lineRule="auto"/>
        <w:rPr>
          <w:sz w:val="20"/>
          <w:szCs w:val="20"/>
          <w:color w:val="auto"/>
        </w:rPr>
      </w:pPr>
      <w:r>
        <w:rPr>
          <w:rFonts w:ascii="Times New Roman" w:cs="Times New Roman" w:eastAsia="Times New Roman" w:hAnsi="Times New Roman"/>
          <w:sz w:val="16"/>
          <w:szCs w:val="16"/>
          <w:color w:val="auto"/>
        </w:rPr>
        <w:t>In December 2022, in connection with the 2022 Shelf Registration Statement (as defined below), the Company filed a new sales agreement prospectus to replace the prior prospectus supplement filed in August 2022 associated with the expired 2019 Shelf Registration Statement. The new sales agreement prospectus covered the issuance and sale by the Company of up to the same $250 million of our common stock that may be issued and sold from time to time through SVB Securities, as the Company’s sales agent, under the March 2022 Sales Agreement.</w:t>
      </w:r>
    </w:p>
    <w:p>
      <w:pPr>
        <w:spacing w:after="0" w:line="164" w:lineRule="exact"/>
        <w:rPr>
          <w:sz w:val="20"/>
          <w:szCs w:val="20"/>
          <w:color w:val="auto"/>
        </w:rPr>
      </w:pPr>
    </w:p>
    <w:p>
      <w:pPr>
        <w:ind w:right="20" w:firstLine="751"/>
        <w:spacing w:after="0" w:line="251" w:lineRule="auto"/>
        <w:rPr>
          <w:sz w:val="20"/>
          <w:szCs w:val="20"/>
          <w:color w:val="auto"/>
        </w:rPr>
      </w:pPr>
      <w:r>
        <w:rPr>
          <w:rFonts w:ascii="Times New Roman" w:cs="Times New Roman" w:eastAsia="Times New Roman" w:hAnsi="Times New Roman"/>
          <w:sz w:val="16"/>
          <w:szCs w:val="16"/>
          <w:color w:val="auto"/>
        </w:rPr>
        <w:t>The Company did not utilize the March 2022 Sales Agreement with Leerink during the year ended December 31, 2023. Under the December 2019 Sales Agreement and March 2022 Sales Agreement, the Company received approximately $238.8 million in gross proceeds through the sale of 5,167,973 shares, of which net proceeds were approximately $231.8 million for the year ended December 31, 2022. Under the December 2019 Sales Agreement, the Company received approximately $7.4 million in gross proceeds through the sale of 110,296 shares, of which net proceeds were approximately $7.2 million for the year ended December 31, 2021.</w:t>
      </w:r>
    </w:p>
    <w:p>
      <w:pPr>
        <w:spacing w:after="0" w:line="164" w:lineRule="exact"/>
        <w:rPr>
          <w:sz w:val="20"/>
          <w:szCs w:val="20"/>
          <w:color w:val="auto"/>
        </w:rPr>
      </w:pPr>
    </w:p>
    <w:p>
      <w:pPr>
        <w:ind w:right="60" w:firstLine="751"/>
        <w:spacing w:after="0" w:line="267" w:lineRule="auto"/>
        <w:rPr>
          <w:sz w:val="20"/>
          <w:szCs w:val="20"/>
          <w:color w:val="auto"/>
        </w:rPr>
      </w:pPr>
      <w:r>
        <w:rPr>
          <w:rFonts w:ascii="Times New Roman" w:cs="Times New Roman" w:eastAsia="Times New Roman" w:hAnsi="Times New Roman"/>
          <w:sz w:val="16"/>
          <w:szCs w:val="16"/>
          <w:color w:val="auto"/>
        </w:rPr>
        <w:t>Upon the closing of the Second Amendment, which occurred in March 2022, Hercules also purchased 152,487 of the Company’s unregistered common stock for a total consideration of $5.0 million at a share price equal to $32.79 per share, pursuant to a share transfer agreement.</w:t>
      </w:r>
    </w:p>
    <w:p>
      <w:pPr>
        <w:spacing w:after="0" w:line="151" w:lineRule="exact"/>
        <w:rPr>
          <w:sz w:val="20"/>
          <w:szCs w:val="20"/>
          <w:color w:val="auto"/>
        </w:rPr>
      </w:pPr>
    </w:p>
    <w:p>
      <w:pPr>
        <w:ind w:right="480" w:firstLine="751"/>
        <w:spacing w:after="0" w:line="267" w:lineRule="auto"/>
        <w:rPr>
          <w:sz w:val="20"/>
          <w:szCs w:val="20"/>
          <w:color w:val="auto"/>
        </w:rPr>
      </w:pPr>
      <w:r>
        <w:rPr>
          <w:rFonts w:ascii="Times New Roman" w:cs="Times New Roman" w:eastAsia="Times New Roman" w:hAnsi="Times New Roman"/>
          <w:sz w:val="16"/>
          <w:szCs w:val="16"/>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407035</wp:posOffset>
            </wp:positionV>
            <wp:extent cx="7176135" cy="4000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June 2023 Public Offering</w:t>
      </w:r>
    </w:p>
    <w:p>
      <w:pPr>
        <w:spacing w:after="0" w:line="191" w:lineRule="exact"/>
        <w:rPr>
          <w:sz w:val="20"/>
          <w:szCs w:val="20"/>
          <w:color w:val="auto"/>
        </w:rPr>
      </w:pPr>
    </w:p>
    <w:p>
      <w:pPr>
        <w:ind w:right="100" w:firstLine="751"/>
        <w:spacing w:after="0" w:line="249" w:lineRule="auto"/>
        <w:rPr>
          <w:sz w:val="20"/>
          <w:szCs w:val="20"/>
          <w:color w:val="auto"/>
        </w:rPr>
      </w:pPr>
      <w:r>
        <w:rPr>
          <w:rFonts w:ascii="Times New Roman" w:cs="Times New Roman" w:eastAsia="Times New Roman" w:hAnsi="Times New Roman"/>
          <w:sz w:val="16"/>
          <w:szCs w:val="16"/>
          <w:color w:val="auto"/>
        </w:rPr>
        <w:t>In June 2023, the Company completed an underwritten public offering of its common stock (the “June 2023 Public Offering”). The Company sold 3.0 million shares of its common stock at a public offering price of $75.00 per share. The net proceeds were $211.3 million, net of underwriting discounts and commissions of $13.5 million and other offering costs of $0.2 million. Additionally, in connection with this public offering, in July 2023, the underwriters fully exercised their option to purchase 450,000 additional shares of the Company's common stock at a public offering price of $75.00 per share. The net proceeds from the exercise of the option were $31.7 million, net of underwriting discounts and commissions of $2.0 million and other minimal offering costs.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Shelf Registration Statement</w:t>
      </w:r>
    </w:p>
    <w:p>
      <w:pPr>
        <w:spacing w:after="0" w:line="191" w:lineRule="exact"/>
        <w:rPr>
          <w:sz w:val="20"/>
          <w:szCs w:val="20"/>
          <w:color w:val="auto"/>
        </w:rPr>
      </w:pPr>
    </w:p>
    <w:p>
      <w:pPr>
        <w:ind w:right="60" w:firstLine="751"/>
        <w:spacing w:after="0" w:line="340" w:lineRule="auto"/>
        <w:rPr>
          <w:sz w:val="20"/>
          <w:szCs w:val="20"/>
          <w:color w:val="auto"/>
        </w:rPr>
      </w:pPr>
      <w:r>
        <w:rPr>
          <w:rFonts w:ascii="Times New Roman" w:cs="Times New Roman" w:eastAsia="Times New Roman" w:hAnsi="Times New Roman"/>
          <w:sz w:val="14"/>
          <w:szCs w:val="14"/>
          <w:color w:val="auto"/>
        </w:rPr>
        <w:t>On December 2, 2022, the Company filed an automatic shelf registration statement (the “2022 Shelf Registration Statement”) with the SEC for the issuance of common stock, preferred stock, warrants, rights, debt securities and units. It became effective upon filing with the SEC and is currently the Company’s only active shelf registration.</w:t>
      </w:r>
    </w:p>
    <w:p>
      <w:pPr>
        <w:spacing w:after="0" w:line="104" w:lineRule="exact"/>
        <w:rPr>
          <w:sz w:val="20"/>
          <w:szCs w:val="20"/>
          <w:color w:val="auto"/>
        </w:rPr>
      </w:pPr>
    </w:p>
    <w:p>
      <w:pPr>
        <w:ind w:firstLine="751"/>
        <w:spacing w:after="0" w:line="290" w:lineRule="auto"/>
        <w:rPr>
          <w:sz w:val="20"/>
          <w:szCs w:val="20"/>
          <w:color w:val="auto"/>
        </w:rPr>
      </w:pPr>
      <w:r>
        <w:rPr>
          <w:rFonts w:ascii="Times New Roman" w:cs="Times New Roman" w:eastAsia="Times New Roman" w:hAnsi="Times New Roman"/>
          <w:sz w:val="14"/>
          <w:szCs w:val="14"/>
          <w:color w:val="auto"/>
        </w:rPr>
        <w:t>Under SEC rules, the 2022 Shelf Registration Statement allows for the potential future offer and sale by the Company, from time to time, in one or more public offerings of an indeterminate amount of the Company’s common stock, preferred stock, debt securities, and units at indeterminate prices. At the time any of the securities covered by the</w:t>
      </w:r>
    </w:p>
    <w:p>
      <w:pPr>
        <w:ind w:right="60"/>
        <w:spacing w:after="0" w:line="247" w:lineRule="auto"/>
        <w:rPr>
          <w:sz w:val="20"/>
          <w:szCs w:val="20"/>
          <w:color w:val="auto"/>
        </w:rPr>
      </w:pPr>
      <w:r>
        <w:rPr>
          <w:rFonts w:ascii="Times New Roman" w:cs="Times New Roman" w:eastAsia="Times New Roman" w:hAnsi="Times New Roman"/>
          <w:sz w:val="16"/>
          <w:szCs w:val="16"/>
          <w:color w:val="auto"/>
        </w:rPr>
        <w:t>2022 Shelf Registration Statement are offered for sale, a prospectus supplement will be prepared and filed with the SEC containing specific information about the terms of any such offering.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Incentive Plan</w:t>
      </w:r>
    </w:p>
    <w:p>
      <w:pPr>
        <w:spacing w:after="0" w:line="191" w:lineRule="exact"/>
        <w:rPr>
          <w:sz w:val="20"/>
          <w:szCs w:val="20"/>
          <w:color w:val="auto"/>
        </w:rPr>
      </w:pPr>
    </w:p>
    <w:p>
      <w:pPr>
        <w:ind w:right="240" w:firstLine="751"/>
        <w:spacing w:after="0" w:line="267" w:lineRule="auto"/>
        <w:rPr>
          <w:sz w:val="20"/>
          <w:szCs w:val="20"/>
          <w:color w:val="auto"/>
        </w:rPr>
      </w:pPr>
      <w:r>
        <w:rPr>
          <w:rFonts w:ascii="Times New Roman" w:cs="Times New Roman" w:eastAsia="Times New Roman" w:hAnsi="Times New Roman"/>
          <w:sz w:val="16"/>
          <w:szCs w:val="16"/>
          <w:color w:val="auto"/>
        </w:rPr>
        <w:t>In November 2015, the 2015 Omnibus Incentive Compensation Plan (the “2015 Plan”) was adopted by the Company’s stockholders. As of December 31, 2023, there were 2,168,858 shares available for future grant under the 2015 Plan.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Options</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following table sets forth stock option activity as of December 31,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207"/>
              <w:spacing w:after="0"/>
              <w:rPr>
                <w:sz w:val="20"/>
                <w:szCs w:val="20"/>
                <w:color w:val="auto"/>
              </w:rPr>
            </w:pPr>
            <w:r>
              <w:rPr>
                <w:rFonts w:ascii="Times New Roman" w:cs="Times New Roman" w:eastAsia="Times New Roman" w:hAnsi="Times New Roman"/>
                <w:sz w:val="12"/>
                <w:szCs w:val="12"/>
                <w:b w:val="1"/>
                <w:bCs w:val="1"/>
                <w:color w:val="auto"/>
              </w:rPr>
              <w:t>Weighted​</w:t>
            </w:r>
          </w:p>
        </w:tc>
        <w:tc>
          <w:tcPr>
            <w:tcW w:w="120" w:type="dxa"/>
            <w:vAlign w:val="bottom"/>
          </w:tcPr>
          <w:p>
            <w:pPr>
              <w:spacing w:after="0"/>
              <w:rPr>
                <w:sz w:val="12"/>
                <w:szCs w:val="12"/>
                <w:color w:val="auto"/>
              </w:rPr>
            </w:pPr>
          </w:p>
        </w:tc>
        <w:tc>
          <w:tcPr>
            <w:tcW w:w="1280" w:type="dxa"/>
            <w:vAlign w:val="bottom"/>
          </w:tcPr>
          <w:p>
            <w:pPr>
              <w:jc w:val="center"/>
              <w:ind w:right="33"/>
              <w:spacing w:after="0"/>
              <w:rPr>
                <w:sz w:val="20"/>
                <w:szCs w:val="20"/>
                <w:color w:val="auto"/>
              </w:rPr>
            </w:pPr>
            <w:r>
              <w:rPr>
                <w:rFonts w:ascii="Times New Roman" w:cs="Times New Roman" w:eastAsia="Times New Roman" w:hAnsi="Times New Roman"/>
                <w:sz w:val="12"/>
                <w:szCs w:val="12"/>
                <w:b w:val="1"/>
                <w:bCs w:val="1"/>
                <w:color w:val="auto"/>
              </w:rPr>
              <w:t>Weighted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2"/>
                <w:szCs w:val="12"/>
                <w:b w:val="1"/>
                <w:bCs w:val="1"/>
                <w:color w:val="auto"/>
              </w:rPr>
              <w:t>Aggregate​</w:t>
            </w:r>
          </w:p>
        </w:tc>
        <w:tc>
          <w:tcPr>
            <w:tcW w:w="0" w:type="dxa"/>
            <w:vAlign w:val="bottom"/>
          </w:tcPr>
          <w:p>
            <w:pPr>
              <w:spacing w:after="0"/>
              <w:rPr>
                <w:sz w:val="1"/>
                <w:szCs w:val="1"/>
                <w:color w:val="auto"/>
              </w:rPr>
            </w:pPr>
          </w:p>
        </w:tc>
      </w:tr>
      <w:tr>
        <w:trPr>
          <w:trHeight w:val="128"/>
        </w:trPr>
        <w:tc>
          <w:tcPr>
            <w:tcW w:w="43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320" w:type="dxa"/>
            <w:vAlign w:val="bottom"/>
            <w:vMerge w:val="restart"/>
          </w:tcPr>
          <w:p>
            <w:pPr>
              <w:jc w:val="right"/>
              <w:ind w:right="428"/>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33"/>
              <w:spacing w:after="0" w:line="12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3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207"/>
              <w:spacing w:after="0" w:line="12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20" w:type="dxa"/>
            <w:vAlign w:val="bottom"/>
          </w:tcPr>
          <w:p>
            <w:pPr>
              <w:spacing w:after="0"/>
              <w:rPr>
                <w:sz w:val="11"/>
                <w:szCs w:val="11"/>
                <w:color w:val="auto"/>
              </w:rPr>
            </w:pPr>
          </w:p>
        </w:tc>
        <w:tc>
          <w:tcPr>
            <w:tcW w:w="1280" w:type="dxa"/>
            <w:vAlign w:val="bottom"/>
          </w:tcPr>
          <w:p>
            <w:pPr>
              <w:jc w:val="center"/>
              <w:ind w:right="33"/>
              <w:spacing w:after="0" w:line="129" w:lineRule="exact"/>
              <w:rPr>
                <w:sz w:val="20"/>
                <w:szCs w:val="20"/>
                <w:color w:val="auto"/>
              </w:rPr>
            </w:pPr>
            <w:r>
              <w:rPr>
                <w:rFonts w:ascii="Times New Roman" w:cs="Times New Roman" w:eastAsia="Times New Roman" w:hAnsi="Times New Roman"/>
                <w:sz w:val="12"/>
                <w:szCs w:val="12"/>
                <w:b w:val="1"/>
                <w:bCs w:val="1"/>
                <w:color w:val="auto"/>
              </w:rPr>
              <w:t>contractual</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230"/>
              <w:spacing w:after="0" w:line="129" w:lineRule="exact"/>
              <w:rPr>
                <w:sz w:val="20"/>
                <w:szCs w:val="20"/>
                <w:color w:val="auto"/>
              </w:rPr>
            </w:pPr>
            <w:r>
              <w:rPr>
                <w:rFonts w:ascii="Times New Roman" w:cs="Times New Roman" w:eastAsia="Times New Roman" w:hAnsi="Times New Roman"/>
                <w:sz w:val="12"/>
                <w:szCs w:val="12"/>
                <w:b w:val="1"/>
                <w:bCs w:val="1"/>
                <w:color w:val="auto"/>
              </w:rPr>
              <w:t>intrinsic</w:t>
            </w: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2"/>
                <w:szCs w:val="12"/>
                <w:b w:val="1"/>
                <w:bCs w:val="1"/>
                <w:color w:val="auto"/>
              </w:rPr>
              <w:t>of shares</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87"/>
              <w:spacing w:after="0"/>
              <w:rPr>
                <w:sz w:val="20"/>
                <w:szCs w:val="20"/>
                <w:color w:val="auto"/>
              </w:rPr>
            </w:pPr>
            <w:r>
              <w:rPr>
                <w:rFonts w:ascii="Times New Roman" w:cs="Times New Roman" w:eastAsia="Times New Roman" w:hAnsi="Times New Roman"/>
                <w:sz w:val="12"/>
                <w:szCs w:val="12"/>
                <w:b w:val="1"/>
                <w:bCs w:val="1"/>
                <w:color w:val="auto"/>
              </w:rPr>
              <w:t>exercise price</w:t>
            </w:r>
          </w:p>
        </w:tc>
        <w:tc>
          <w:tcPr>
            <w:tcW w:w="120" w:type="dxa"/>
            <w:vAlign w:val="bottom"/>
          </w:tcPr>
          <w:p>
            <w:pPr>
              <w:spacing w:after="0"/>
              <w:rPr>
                <w:sz w:val="14"/>
                <w:szCs w:val="14"/>
                <w:color w:val="auto"/>
              </w:rPr>
            </w:pPr>
          </w:p>
        </w:tc>
        <w:tc>
          <w:tcPr>
            <w:tcW w:w="12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2"/>
                <w:szCs w:val="12"/>
                <w:b w:val="1"/>
                <w:bCs w:val="1"/>
                <w:color w:val="auto"/>
              </w:rPr>
              <w:t>term</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0" w:type="dxa"/>
            <w:vAlign w:val="bottom"/>
          </w:tcPr>
          <w:p>
            <w:pPr>
              <w:spacing w:after="0"/>
              <w:rPr>
                <w:sz w:val="1"/>
                <w:szCs w:val="1"/>
                <w:color w:val="auto"/>
              </w:rPr>
            </w:pPr>
          </w:p>
        </w:tc>
      </w:tr>
      <w:tr>
        <w:trPr>
          <w:trHeight w:val="202"/>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27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6,617,728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6"/>
                <w:szCs w:val="16"/>
                <w:color w:val="auto"/>
              </w:rPr>
              <w:t>31.80</w:t>
            </w: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27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2,529,767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rPr>
              <w:t>67.40</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Exercised</w:t>
            </w:r>
          </w:p>
        </w:tc>
        <w:tc>
          <w:tcPr>
            <w:tcW w:w="2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(358,760 )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6"/>
                <w:szCs w:val="16"/>
                <w:color w:val="auto"/>
              </w:rPr>
              <w:t>34.52</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Forfeited/Canceled</w:t>
            </w:r>
          </w:p>
        </w:tc>
        <w:tc>
          <w:tcPr>
            <w:tcW w:w="146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(326,441 )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rPr>
              <w:t>53.23</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146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8,462,294</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6"/>
                <w:szCs w:val="16"/>
                <w:color w:val="auto"/>
              </w:rPr>
              <w:t>41.48</w:t>
            </w:r>
          </w:p>
        </w:tc>
        <w:tc>
          <w:tcPr>
            <w:tcW w:w="1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6"/>
                <w:szCs w:val="16"/>
                <w:color w:val="auto"/>
              </w:rPr>
              <w:t>7.1</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6"/>
                <w:szCs w:val="16"/>
                <w:color w:val="auto"/>
              </w:rPr>
              <w:t>323,159</w:t>
            </w:r>
          </w:p>
        </w:tc>
        <w:tc>
          <w:tcPr>
            <w:tcW w:w="0" w:type="dxa"/>
            <w:vAlign w:val="bottom"/>
          </w:tcPr>
          <w:p>
            <w:pPr>
              <w:spacing w:after="0"/>
              <w:rPr>
                <w:sz w:val="1"/>
                <w:szCs w:val="1"/>
                <w:color w:val="auto"/>
              </w:rPr>
            </w:pPr>
          </w:p>
        </w:tc>
      </w:tr>
      <w:tr>
        <w:trPr>
          <w:trHeight w:val="185"/>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expected to vest at December 31, 2023</w:t>
            </w:r>
          </w:p>
        </w:tc>
        <w:tc>
          <w:tcPr>
            <w:tcW w:w="27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8,462,294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rPr>
              <w:t>41.48</w:t>
            </w:r>
          </w:p>
        </w:tc>
        <w:tc>
          <w:tcPr>
            <w:tcW w:w="1400" w:type="dxa"/>
            <w:vAlign w:val="bottom"/>
            <w:gridSpan w:val="2"/>
          </w:tcPr>
          <w:p>
            <w:pPr>
              <w:jc w:val="right"/>
              <w:ind w:right="33"/>
              <w:spacing w:after="0"/>
              <w:rPr>
                <w:sz w:val="20"/>
                <w:szCs w:val="20"/>
                <w:color w:val="auto"/>
              </w:rPr>
            </w:pPr>
            <w:r>
              <w:rPr>
                <w:rFonts w:ascii="Times New Roman" w:cs="Times New Roman" w:eastAsia="Times New Roman" w:hAnsi="Times New Roman"/>
                <w:sz w:val="16"/>
                <w:szCs w:val="16"/>
                <w:color w:val="auto"/>
              </w:rPr>
              <w:t>7.1</w:t>
            </w:r>
          </w:p>
        </w:tc>
        <w:tc>
          <w:tcPr>
            <w:tcW w:w="32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6"/>
                <w:szCs w:val="16"/>
                <w:color w:val="auto"/>
              </w:rPr>
              <w:t>323,159</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Exercisable at December 31, 2023</w:t>
            </w:r>
          </w:p>
        </w:tc>
        <w:tc>
          <w:tcPr>
            <w:tcW w:w="14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4,523,493</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6"/>
                <w:szCs w:val="16"/>
                <w:color w:val="auto"/>
              </w:rPr>
              <w:t>28.30</w:t>
            </w: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6"/>
                <w:szCs w:val="16"/>
                <w:color w:val="auto"/>
              </w:rPr>
              <w:t>232,383</w:t>
            </w:r>
          </w:p>
        </w:tc>
        <w:tc>
          <w:tcPr>
            <w:tcW w:w="0" w:type="dxa"/>
            <w:vAlign w:val="bottom"/>
          </w:tcPr>
          <w:p>
            <w:pPr>
              <w:spacing w:after="0"/>
              <w:rPr>
                <w:sz w:val="1"/>
                <w:szCs w:val="1"/>
                <w:color w:val="auto"/>
              </w:rPr>
            </w:pPr>
          </w:p>
        </w:tc>
      </w:tr>
      <w:tr>
        <w:trPr>
          <w:trHeight w:val="597"/>
        </w:trPr>
        <w:tc>
          <w:tcPr>
            <w:tcW w:w="4300" w:type="dxa"/>
            <w:vAlign w:val="bottom"/>
          </w:tcPr>
          <w:p>
            <w:pPr>
              <w:spacing w:after="0"/>
              <w:rPr>
                <w:sz w:val="24"/>
                <w:szCs w:val="24"/>
                <w:color w:val="auto"/>
              </w:rPr>
            </w:pPr>
          </w:p>
        </w:tc>
        <w:tc>
          <w:tcPr>
            <w:tcW w:w="2780" w:type="dxa"/>
            <w:vAlign w:val="bottom"/>
            <w:gridSpan w:val="2"/>
          </w:tcPr>
          <w:p>
            <w:pPr>
              <w:jc w:val="right"/>
              <w:ind w:right="1228"/>
              <w:spacing w:after="0"/>
              <w:rPr>
                <w:sz w:val="20"/>
                <w:szCs w:val="20"/>
                <w:color w:val="auto"/>
              </w:rPr>
            </w:pPr>
            <w:r>
              <w:rPr>
                <w:rFonts w:ascii="Times New Roman" w:cs="Times New Roman" w:eastAsia="Times New Roman" w:hAnsi="Times New Roman"/>
                <w:sz w:val="16"/>
                <w:szCs w:val="16"/>
                <w:color w:val="auto"/>
              </w:rPr>
              <w:t>F-29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8"/>
        </w:trPr>
        <w:tc>
          <w:tcPr>
            <w:tcW w:w="43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4501515</wp:posOffset>
            </wp:positionH>
            <wp:positionV relativeFrom="paragraph">
              <wp:posOffset>-1155065</wp:posOffset>
            </wp:positionV>
            <wp:extent cx="88900" cy="7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0" cy="7620"/>
                    </a:xfrm>
                    <a:prstGeom prst="rect">
                      <a:avLst/>
                    </a:prstGeom>
                    <a:noFill/>
                  </pic:spPr>
                </pic:pic>
              </a:graphicData>
            </a:graphic>
          </wp:anchor>
        </w:drawing>
        <w:drawing>
          <wp:anchor simplePos="0" relativeHeight="251657728" behindDoc="1" locked="0" layoutInCell="0" allowOverlap="1">
            <wp:simplePos x="0" y="0"/>
            <wp:positionH relativeFrom="column">
              <wp:posOffset>4501515</wp:posOffset>
            </wp:positionH>
            <wp:positionV relativeFrom="paragraph">
              <wp:posOffset>-1140460</wp:posOffset>
            </wp:positionV>
            <wp:extent cx="88900"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0" cy="7620"/>
                    </a:xfrm>
                    <a:prstGeom prst="rect">
                      <a:avLst/>
                    </a:prstGeom>
                    <a:noFill/>
                  </pic:spPr>
                </pic:pic>
              </a:graphicData>
            </a:graphic>
          </wp:anchor>
        </w:drawing>
        <w:drawing>
          <wp:anchor simplePos="0" relativeHeight="251657728" behindDoc="1" locked="0" layoutInCell="0" allowOverlap="1">
            <wp:simplePos x="0" y="0"/>
            <wp:positionH relativeFrom="column">
              <wp:posOffset>5382895</wp:posOffset>
            </wp:positionH>
            <wp:positionV relativeFrom="paragraph">
              <wp:posOffset>-1155065</wp:posOffset>
            </wp:positionV>
            <wp:extent cx="74295" cy="76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5382895</wp:posOffset>
            </wp:positionH>
            <wp:positionV relativeFrom="paragraph">
              <wp:posOffset>-1140460</wp:posOffset>
            </wp:positionV>
            <wp:extent cx="74295" cy="76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6279515</wp:posOffset>
            </wp:positionH>
            <wp:positionV relativeFrom="paragraph">
              <wp:posOffset>-1155065</wp:posOffset>
            </wp:positionV>
            <wp:extent cx="81280"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1280" cy="7620"/>
                    </a:xfrm>
                    <a:prstGeom prst="rect">
                      <a:avLst/>
                    </a:prstGeom>
                    <a:noFill/>
                  </pic:spPr>
                </pic:pic>
              </a:graphicData>
            </a:graphic>
          </wp:anchor>
        </w:drawing>
        <w:drawing>
          <wp:anchor simplePos="0" relativeHeight="251657728" behindDoc="1" locked="0" layoutInCell="0" allowOverlap="1">
            <wp:simplePos x="0" y="0"/>
            <wp:positionH relativeFrom="column">
              <wp:posOffset>6279515</wp:posOffset>
            </wp:positionH>
            <wp:positionV relativeFrom="paragraph">
              <wp:posOffset>-1140460</wp:posOffset>
            </wp:positionV>
            <wp:extent cx="81280"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1280" cy="7620"/>
                    </a:xfrm>
                    <a:prstGeom prst="rect">
                      <a:avLst/>
                    </a:prstGeom>
                    <a:noFill/>
                  </pic:spPr>
                </pic:pic>
              </a:graphicData>
            </a:graphic>
          </wp:anchor>
        </w:drawing>
        <w:drawing>
          <wp:anchor simplePos="0" relativeHeight="251657728" behindDoc="1" locked="0" layoutInCell="0" allowOverlap="1">
            <wp:simplePos x="0" y="0"/>
            <wp:positionH relativeFrom="column">
              <wp:posOffset>4501515</wp:posOffset>
            </wp:positionH>
            <wp:positionV relativeFrom="paragraph">
              <wp:posOffset>-843915</wp:posOffset>
            </wp:positionV>
            <wp:extent cx="88900"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0" cy="7620"/>
                    </a:xfrm>
                    <a:prstGeom prst="rect">
                      <a:avLst/>
                    </a:prstGeom>
                    <a:noFill/>
                  </pic:spPr>
                </pic:pic>
              </a:graphicData>
            </a:graphic>
          </wp:anchor>
        </w:drawing>
        <w:drawing>
          <wp:anchor simplePos="0" relativeHeight="251657728" behindDoc="1" locked="0" layoutInCell="0" allowOverlap="1">
            <wp:simplePos x="0" y="0"/>
            <wp:positionH relativeFrom="column">
              <wp:posOffset>4501515</wp:posOffset>
            </wp:positionH>
            <wp:positionV relativeFrom="paragraph">
              <wp:posOffset>-829310</wp:posOffset>
            </wp:positionV>
            <wp:extent cx="88900"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0" cy="7620"/>
                    </a:xfrm>
                    <a:prstGeom prst="rect">
                      <a:avLst/>
                    </a:prstGeom>
                    <a:noFill/>
                  </pic:spPr>
                </pic:pic>
              </a:graphicData>
            </a:graphic>
          </wp:anchor>
        </w:drawing>
        <w:drawing>
          <wp:anchor simplePos="0" relativeHeight="251657728" behindDoc="1" locked="0" layoutInCell="0" allowOverlap="1">
            <wp:simplePos x="0" y="0"/>
            <wp:positionH relativeFrom="column">
              <wp:posOffset>5382895</wp:posOffset>
            </wp:positionH>
            <wp:positionV relativeFrom="paragraph">
              <wp:posOffset>-843915</wp:posOffset>
            </wp:positionV>
            <wp:extent cx="74295"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5382895</wp:posOffset>
            </wp:positionH>
            <wp:positionV relativeFrom="paragraph">
              <wp:posOffset>-829310</wp:posOffset>
            </wp:positionV>
            <wp:extent cx="74295"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6279515</wp:posOffset>
            </wp:positionH>
            <wp:positionV relativeFrom="paragraph">
              <wp:posOffset>-843915</wp:posOffset>
            </wp:positionV>
            <wp:extent cx="81280"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1280" cy="7620"/>
                    </a:xfrm>
                    <a:prstGeom prst="rect">
                      <a:avLst/>
                    </a:prstGeom>
                    <a:noFill/>
                  </pic:spPr>
                </pic:pic>
              </a:graphicData>
            </a:graphic>
          </wp:anchor>
        </w:drawing>
        <w:drawing>
          <wp:anchor simplePos="0" relativeHeight="251657728" behindDoc="1" locked="0" layoutInCell="0" allowOverlap="1">
            <wp:simplePos x="0" y="0"/>
            <wp:positionH relativeFrom="column">
              <wp:posOffset>6279515</wp:posOffset>
            </wp:positionH>
            <wp:positionV relativeFrom="paragraph">
              <wp:posOffset>-829310</wp:posOffset>
            </wp:positionV>
            <wp:extent cx="81280" cy="76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1280" cy="7620"/>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40" w:firstLine="751"/>
        <w:spacing w:after="0" w:line="247" w:lineRule="auto"/>
        <w:rPr>
          <w:sz w:val="20"/>
          <w:szCs w:val="20"/>
          <w:color w:val="auto"/>
        </w:rPr>
      </w:pPr>
      <w:r>
        <w:rPr>
          <w:rFonts w:ascii="Times New Roman" w:cs="Times New Roman" w:eastAsia="Times New Roman" w:hAnsi="Times New Roman"/>
          <w:sz w:val="16"/>
          <w:szCs w:val="16"/>
          <w:color w:val="auto"/>
        </w:rPr>
        <w:t>The fair value of each stock option grant is estimated on the date of grant using the Black-Scholes option pricing model. The expected term of the Company’s stock options has been determined utilizing the “simplified” method as described in the SEC’s Staff Accounting Bulletin No. 107 relating to stock-based compensation. The simplified method was chosen because the Company has limited historical option exercise experience due to its short operating history. The risk-free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In prior years, expected volatility was based on historical volatilities of similar entities within the Company’s industry which were commensurate with the Company’s expected term assumption. Currently, expected volatility is based on historical volatility information of the Company's common stock since the Company's initial public offering in 2015.</w:t>
      </w:r>
    </w:p>
    <w:p>
      <w:pPr>
        <w:spacing w:after="0" w:line="16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relevant data used to determine the value of the stock option grants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Black-Scholes option valuation assumptions</w:t>
            </w:r>
          </w:p>
        </w:tc>
        <w:tc>
          <w:tcPr>
            <w:tcW w:w="120" w:type="dxa"/>
            <w:vAlign w:val="bottom"/>
          </w:tcPr>
          <w:p>
            <w:pPr>
              <w:spacing w:after="0"/>
              <w:rPr>
                <w:sz w:val="14"/>
                <w:szCs w:val="14"/>
                <w:color w:val="auto"/>
              </w:rPr>
            </w:pPr>
          </w:p>
        </w:tc>
        <w:tc>
          <w:tcPr>
            <w:tcW w:w="1620" w:type="dxa"/>
            <w:vAlign w:val="bottom"/>
            <w:tcBorders>
              <w:bottom w:val="single" w:sz="8" w:color="auto"/>
            </w:tcBorders>
          </w:tcPr>
          <w:p>
            <w:pPr>
              <w:jc w:val="right"/>
              <w:ind w:right="607"/>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4"/>
                <w:szCs w:val="14"/>
                <w:color w:val="auto"/>
              </w:rPr>
            </w:pPr>
          </w:p>
        </w:tc>
        <w:tc>
          <w:tcPr>
            <w:tcW w:w="1620" w:type="dxa"/>
            <w:vAlign w:val="bottom"/>
            <w:tcBorders>
              <w:bottom w:val="single" w:sz="8" w:color="auto"/>
            </w:tcBorders>
          </w:tcPr>
          <w:p>
            <w:pPr>
              <w:jc w:val="right"/>
              <w:ind w:right="607"/>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0" w:type="dxa"/>
            <w:vAlign w:val="bottom"/>
          </w:tcPr>
          <w:p>
            <w:pPr>
              <w:spacing w:after="0"/>
              <w:rPr>
                <w:sz w:val="14"/>
                <w:szCs w:val="14"/>
                <w:color w:val="auto"/>
              </w:rPr>
            </w:pPr>
          </w:p>
        </w:tc>
        <w:tc>
          <w:tcPr>
            <w:tcW w:w="1620" w:type="dxa"/>
            <w:vAlign w:val="bottom"/>
            <w:tcBorders>
              <w:bottom w:val="single" w:sz="8" w:color="auto"/>
            </w:tcBorders>
          </w:tcPr>
          <w:p>
            <w:pPr>
              <w:jc w:val="right"/>
              <w:ind w:right="607"/>
              <w:spacing w:after="0"/>
              <w:rPr>
                <w:sz w:val="20"/>
                <w:szCs w:val="20"/>
                <w:color w:val="auto"/>
              </w:rPr>
            </w:pPr>
            <w:r>
              <w:rPr>
                <w:rFonts w:ascii="Times New Roman" w:cs="Times New Roman" w:eastAsia="Times New Roman" w:hAnsi="Times New Roman"/>
                <w:sz w:val="12"/>
                <w:szCs w:val="12"/>
                <w:b w:val="1"/>
                <w:bCs w:val="1"/>
                <w:color w:val="auto"/>
              </w:rPr>
              <w:t>2021</w:t>
            </w:r>
          </w:p>
        </w:tc>
        <w:tc>
          <w:tcPr>
            <w:tcW w:w="120" w:type="dxa"/>
            <w:vAlign w:val="bottom"/>
          </w:tcPr>
          <w:p>
            <w:pPr>
              <w:spacing w:after="0"/>
              <w:rPr>
                <w:sz w:val="14"/>
                <w:szCs w:val="14"/>
                <w:color w:val="auto"/>
              </w:rPr>
            </w:pPr>
          </w:p>
        </w:tc>
      </w:tr>
      <w:tr>
        <w:trPr>
          <w:trHeight w:val="202"/>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Risk-free interest rates</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3.34 - 4.88%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1.46 - 4.31%</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0.63 - 1.47%</w:t>
            </w:r>
          </w:p>
        </w:tc>
        <w:tc>
          <w:tcPr>
            <w:tcW w:w="120" w:type="dxa"/>
            <w:vAlign w:val="bottom"/>
            <w:shd w:val="clear" w:color="auto" w:fill="CFF0FC"/>
          </w:tcPr>
          <w:p>
            <w:pPr>
              <w:spacing w:after="0"/>
              <w:rPr>
                <w:sz w:val="17"/>
                <w:szCs w:val="17"/>
                <w:color w:val="auto"/>
              </w:rPr>
            </w:pPr>
          </w:p>
        </w:tc>
      </w:tr>
      <w:tr>
        <w:trPr>
          <w:trHeight w:val="206"/>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Volatility</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93 - 99%</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90 - 95%</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89 - 93%</w:t>
            </w:r>
          </w:p>
        </w:tc>
        <w:tc>
          <w:tcPr>
            <w:tcW w:w="120" w:type="dxa"/>
            <w:vAlign w:val="bottom"/>
            <w:shd w:val="clear" w:color="auto" w:fill="CFF0FC"/>
          </w:tcPr>
          <w:p>
            <w:pPr>
              <w:spacing w:after="0"/>
              <w:rPr>
                <w:sz w:val="18"/>
                <w:szCs w:val="18"/>
                <w:color w:val="auto"/>
              </w:rPr>
            </w:pPr>
          </w:p>
        </w:tc>
      </w:tr>
      <w:tr>
        <w:trPr>
          <w:trHeight w:val="203"/>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expected term</w:t>
            </w: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5.0 - 6.11 years</w:t>
            </w:r>
          </w:p>
        </w:tc>
        <w:tc>
          <w:tcPr>
            <w:tcW w:w="2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5.0 - 6.11 years</w:t>
            </w:r>
          </w:p>
        </w:tc>
        <w:tc>
          <w:tcPr>
            <w:tcW w:w="200" w:type="dxa"/>
            <w:vAlign w:val="bottom"/>
          </w:tcPr>
          <w:p>
            <w:pPr>
              <w:spacing w:after="0"/>
              <w:rPr>
                <w:sz w:val="17"/>
                <w:szCs w:val="17"/>
                <w:color w:val="auto"/>
              </w:rPr>
            </w:pPr>
          </w:p>
        </w:tc>
        <w:tc>
          <w:tcPr>
            <w:tcW w:w="17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5.0 - 6.17 years</w:t>
            </w:r>
          </w:p>
        </w:tc>
      </w:tr>
    </w:tbl>
    <w:p>
      <w:pPr>
        <w:spacing w:after="0" w:line="178" w:lineRule="exact"/>
        <w:rPr>
          <w:sz w:val="20"/>
          <w:szCs w:val="20"/>
          <w:color w:val="auto"/>
        </w:rPr>
      </w:pPr>
    </w:p>
    <w:p>
      <w:pPr>
        <w:ind w:right="240" w:firstLine="751"/>
        <w:spacing w:after="0" w:line="197" w:lineRule="exact"/>
        <w:rPr>
          <w:sz w:val="20"/>
          <w:szCs w:val="20"/>
          <w:color w:val="auto"/>
        </w:rPr>
      </w:pPr>
      <w:r>
        <w:rPr>
          <w:rFonts w:ascii="Times New Roman" w:cs="Times New Roman" w:eastAsia="Times New Roman" w:hAnsi="Times New Roman"/>
          <w:sz w:val="14"/>
          <w:szCs w:val="14"/>
          <w:color w:val="auto"/>
        </w:rPr>
        <w:t>The weighted average grant date fair value of options granted was $53.07, $28.18 and $39.64 per option for the years ended December 31, 2023, 2022 and 2021, respectively. As of December 31, 2023, there was $162.0 million of total unrecognized compensation cost related to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vested stock options which is expected to be recognized over a weighted average period of 2.8 years. These amounts do not include 6,169 options outstanding as of December 31, 2023, which are performance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and vest upon the achievement of certain corporate milestones.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will be measured and recorded if and when it is probable that the milestone will occur.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Restricted Stock Units</w:t>
      </w:r>
    </w:p>
    <w:p>
      <w:pPr>
        <w:spacing w:after="0" w:line="191" w:lineRule="exact"/>
        <w:rPr>
          <w:sz w:val="20"/>
          <w:szCs w:val="20"/>
          <w:color w:val="auto"/>
        </w:rPr>
      </w:pPr>
    </w:p>
    <w:p>
      <w:pPr>
        <w:ind w:right="180" w:firstLine="751"/>
        <w:spacing w:after="0" w:line="251" w:lineRule="auto"/>
        <w:rPr>
          <w:sz w:val="20"/>
          <w:szCs w:val="20"/>
          <w:color w:val="auto"/>
        </w:rPr>
      </w:pPr>
      <w:r>
        <w:rPr>
          <w:rFonts w:ascii="Times New Roman" w:cs="Times New Roman" w:eastAsia="Times New Roman" w:hAnsi="Times New Roman"/>
          <w:sz w:val="16"/>
          <w:szCs w:val="16"/>
          <w:color w:val="auto"/>
        </w:rPr>
        <w:t>The fair value of RSUs is determined on the date of the grant based on the market price of its shares of common stock as of that date. The fair value of the RSUs is recognized as an expense ratably over the vesting period of four years. As of December 31, 2023, total compensation cost not yet recognized related to unvested RSUs was $25.9 million, which is expected to be recognized over a weighted-average period of 2.5 years. The intrinsic value of RSUs lapsed during the years ended December 31, 2023, 2022 and 2021 was $4.9 million, $1.5 million and $0.4 million, respectively.</w:t>
      </w:r>
    </w:p>
    <w:p>
      <w:pPr>
        <w:sectPr>
          <w:pgSz w:w="11900" w:h="16838" w:orient="portrait"/>
          <w:cols w:equalWidth="0" w:num="1">
            <w:col w:w="11260"/>
          </w:cols>
          <w:pgMar w:left="320" w:top="680" w:right="319" w:bottom="1440" w:gutter="0" w:footer="0" w:header="0"/>
        </w:sectPr>
      </w:pPr>
    </w:p>
    <w:p>
      <w:pPr>
        <w:spacing w:after="0" w:line="164" w:lineRule="exact"/>
        <w:rPr>
          <w:sz w:val="20"/>
          <w:szCs w:val="20"/>
          <w:color w:val="auto"/>
        </w:rPr>
      </w:pPr>
    </w:p>
    <w:p>
      <w:pPr>
        <w:jc w:val="right"/>
        <w:ind w:right="820"/>
        <w:spacing w:after="0"/>
        <w:rPr>
          <w:sz w:val="20"/>
          <w:szCs w:val="20"/>
          <w:color w:val="auto"/>
        </w:rPr>
      </w:pPr>
      <w:r>
        <w:rPr>
          <w:rFonts w:ascii="Times New Roman" w:cs="Times New Roman" w:eastAsia="Times New Roman" w:hAnsi="Times New Roman"/>
          <w:sz w:val="16"/>
          <w:szCs w:val="16"/>
          <w:color w:val="auto"/>
        </w:rPr>
        <w:t>The following table sets forth the RSU activity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50735" cy="1333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0735" cy="133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Outstanding at December 31, 2022</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Granted</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7150735" cy="1333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0735" cy="133350"/>
                    </a:xfrm>
                    <a:prstGeom prst="rect">
                      <a:avLst/>
                    </a:prstGeom>
                    <a:noFill/>
                  </pic:spPr>
                </pic:pic>
              </a:graphicData>
            </a:graphic>
          </wp:anchor>
        </w:drawing>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Forfeited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Outstanding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7150735" cy="15557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0735" cy="155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ind w:right="229"/>
              <w:spacing w:after="0"/>
              <w:rPr>
                <w:sz w:val="20"/>
                <w:szCs w:val="20"/>
                <w:color w:val="auto"/>
              </w:rPr>
            </w:pPr>
            <w:r>
              <w:rPr>
                <w:rFonts w:ascii="Times New Roman" w:cs="Times New Roman" w:eastAsia="Times New Roman" w:hAnsi="Times New Roman"/>
                <w:sz w:val="12"/>
                <w:szCs w:val="12"/>
                <w:b w:val="1"/>
                <w:bCs w:val="1"/>
                <w:color w:val="auto"/>
              </w:rPr>
              <w:t>Weighted</w:t>
            </w:r>
          </w:p>
        </w:tc>
        <w:tc>
          <w:tcPr>
            <w:tcW w:w="0" w:type="dxa"/>
            <w:vAlign w:val="bottom"/>
          </w:tcPr>
          <w:p>
            <w:pPr>
              <w:spacing w:after="0"/>
              <w:rPr>
                <w:sz w:val="1"/>
                <w:szCs w:val="1"/>
                <w:color w:val="auto"/>
              </w:rPr>
            </w:pPr>
          </w:p>
        </w:tc>
      </w:tr>
      <w:tr>
        <w:trPr>
          <w:trHeight w:val="128"/>
        </w:trPr>
        <w:tc>
          <w:tcPr>
            <w:tcW w:w="1920" w:type="dxa"/>
            <w:vAlign w:val="bottom"/>
            <w:gridSpan w:val="2"/>
            <w:vMerge w:val="restart"/>
          </w:tcPr>
          <w:p>
            <w:pPr>
              <w:jc w:val="right"/>
              <w:ind w:right="88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300" w:type="dxa"/>
            <w:vAlign w:val="bottom"/>
          </w:tcPr>
          <w:p>
            <w:pPr>
              <w:spacing w:after="0"/>
              <w:rPr>
                <w:sz w:val="11"/>
                <w:szCs w:val="11"/>
                <w:color w:val="auto"/>
              </w:rPr>
            </w:pPr>
          </w:p>
        </w:tc>
        <w:tc>
          <w:tcPr>
            <w:tcW w:w="1240" w:type="dxa"/>
            <w:vAlign w:val="bottom"/>
          </w:tcPr>
          <w:p>
            <w:pPr>
              <w:jc w:val="center"/>
              <w:ind w:right="229"/>
              <w:spacing w:after="0" w:line="12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0" w:type="dxa"/>
            <w:vAlign w:val="bottom"/>
          </w:tcPr>
          <w:p>
            <w:pPr>
              <w:spacing w:after="0"/>
              <w:rPr>
                <w:sz w:val="1"/>
                <w:szCs w:val="1"/>
                <w:color w:val="auto"/>
              </w:rPr>
            </w:pPr>
          </w:p>
        </w:tc>
      </w:tr>
      <w:tr>
        <w:trPr>
          <w:trHeight w:val="128"/>
        </w:trPr>
        <w:tc>
          <w:tcPr>
            <w:tcW w:w="19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center"/>
              <w:ind w:right="229"/>
              <w:spacing w:after="0" w:line="129" w:lineRule="exact"/>
              <w:rPr>
                <w:sz w:val="20"/>
                <w:szCs w:val="20"/>
                <w:color w:val="auto"/>
              </w:rPr>
            </w:pPr>
            <w:r>
              <w:rPr>
                <w:rFonts w:ascii="Times New Roman" w:cs="Times New Roman" w:eastAsia="Times New Roman" w:hAnsi="Times New Roman"/>
                <w:sz w:val="12"/>
                <w:szCs w:val="12"/>
                <w:b w:val="1"/>
                <w:bCs w:val="1"/>
                <w:color w:val="auto"/>
              </w:rPr>
              <w:t>grant date</w:t>
            </w:r>
          </w:p>
        </w:tc>
        <w:tc>
          <w:tcPr>
            <w:tcW w:w="0" w:type="dxa"/>
            <w:vAlign w:val="bottom"/>
          </w:tcPr>
          <w:p>
            <w:pPr>
              <w:spacing w:after="0"/>
              <w:rPr>
                <w:sz w:val="1"/>
                <w:szCs w:val="1"/>
                <w:color w:val="auto"/>
              </w:rPr>
            </w:pPr>
          </w:p>
        </w:tc>
      </w:tr>
      <w:tr>
        <w:trPr>
          <w:trHeight w:val="162"/>
        </w:trPr>
        <w:tc>
          <w:tcPr>
            <w:tcW w:w="1920" w:type="dxa"/>
            <w:vAlign w:val="bottom"/>
            <w:gridSpan w:val="2"/>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rPr>
              <w:t>of shares</w:t>
            </w:r>
          </w:p>
        </w:tc>
        <w:tc>
          <w:tcPr>
            <w:tcW w:w="300" w:type="dxa"/>
            <w:vAlign w:val="bottom"/>
          </w:tcPr>
          <w:p>
            <w:pPr>
              <w:spacing w:after="0"/>
              <w:rPr>
                <w:sz w:val="14"/>
                <w:szCs w:val="14"/>
                <w:color w:val="auto"/>
              </w:rPr>
            </w:pPr>
          </w:p>
        </w:tc>
        <w:tc>
          <w:tcPr>
            <w:tcW w:w="1240" w:type="dxa"/>
            <w:vAlign w:val="bottom"/>
          </w:tcPr>
          <w:p>
            <w:pPr>
              <w:jc w:val="center"/>
              <w:ind w:right="229"/>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94"/>
        </w:trPr>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686,375</w:t>
            </w:r>
          </w:p>
        </w:tc>
        <w:tc>
          <w:tcPr>
            <w:tcW w:w="300" w:type="dxa"/>
            <w:vAlign w:val="bottom"/>
          </w:tcPr>
          <w:p>
            <w:pPr>
              <w:spacing w:after="0"/>
              <w:rPr>
                <w:sz w:val="16"/>
                <w:szCs w:val="16"/>
                <w:color w:val="auto"/>
              </w:rPr>
            </w:pPr>
          </w:p>
        </w:tc>
        <w:tc>
          <w:tcPr>
            <w:tcW w:w="300" w:type="dxa"/>
            <w:vAlign w:val="bottom"/>
            <w:tcBorders>
              <w:top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31.80</w:t>
            </w:r>
          </w:p>
        </w:tc>
        <w:tc>
          <w:tcPr>
            <w:tcW w:w="0" w:type="dxa"/>
            <w:vAlign w:val="bottom"/>
          </w:tcPr>
          <w:p>
            <w:pPr>
              <w:spacing w:after="0"/>
              <w:rPr>
                <w:sz w:val="1"/>
                <w:szCs w:val="1"/>
                <w:color w:val="auto"/>
              </w:rPr>
            </w:pPr>
          </w:p>
        </w:tc>
      </w:tr>
      <w:tr>
        <w:trPr>
          <w:trHeight w:val="205"/>
        </w:trPr>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343,020</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56.26</w:t>
            </w:r>
          </w:p>
        </w:tc>
        <w:tc>
          <w:tcPr>
            <w:tcW w:w="0" w:type="dxa"/>
            <w:vAlign w:val="bottom"/>
          </w:tcPr>
          <w:p>
            <w:pPr>
              <w:spacing w:after="0"/>
              <w:rPr>
                <w:sz w:val="1"/>
                <w:szCs w:val="1"/>
                <w:color w:val="auto"/>
              </w:rPr>
            </w:pPr>
          </w:p>
        </w:tc>
      </w:tr>
      <w:tr>
        <w:trPr>
          <w:trHeight w:val="210"/>
        </w:trPr>
        <w:tc>
          <w:tcPr>
            <w:tcW w:w="1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(194,425 )</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32.78</w:t>
            </w:r>
          </w:p>
        </w:tc>
        <w:tc>
          <w:tcPr>
            <w:tcW w:w="0" w:type="dxa"/>
            <w:vAlign w:val="bottom"/>
          </w:tcPr>
          <w:p>
            <w:pPr>
              <w:spacing w:after="0"/>
              <w:rPr>
                <w:sz w:val="1"/>
                <w:szCs w:val="1"/>
                <w:color w:val="auto"/>
              </w:rPr>
            </w:pPr>
          </w:p>
        </w:tc>
      </w:tr>
      <w:tr>
        <w:trPr>
          <w:trHeight w:val="222"/>
        </w:trPr>
        <w:tc>
          <w:tcPr>
            <w:tcW w:w="1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(30,820 )</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48.37</w:t>
            </w:r>
          </w:p>
        </w:tc>
        <w:tc>
          <w:tcPr>
            <w:tcW w:w="0" w:type="dxa"/>
            <w:vAlign w:val="bottom"/>
          </w:tcPr>
          <w:p>
            <w:pPr>
              <w:spacing w:after="0"/>
              <w:rPr>
                <w:sz w:val="1"/>
                <w:szCs w:val="1"/>
                <w:color w:val="auto"/>
              </w:rPr>
            </w:pPr>
          </w:p>
        </w:tc>
      </w:tr>
      <w:tr>
        <w:trPr>
          <w:trHeight w:val="199"/>
        </w:trPr>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804,150</w:t>
            </w:r>
          </w:p>
        </w:tc>
        <w:tc>
          <w:tcPr>
            <w:tcW w:w="300" w:type="dxa"/>
            <w:vAlign w:val="bottom"/>
          </w:tcPr>
          <w:p>
            <w:pPr>
              <w:spacing w:after="0"/>
              <w:rPr>
                <w:sz w:val="17"/>
                <w:szCs w:val="17"/>
                <w:color w:val="auto"/>
              </w:rPr>
            </w:pPr>
          </w:p>
        </w:tc>
        <w:tc>
          <w:tcPr>
            <w:tcW w:w="3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41.36</w:t>
            </w:r>
          </w:p>
        </w:tc>
        <w:tc>
          <w:tcPr>
            <w:tcW w:w="0" w:type="dxa"/>
            <w:vAlign w:val="bottom"/>
          </w:tcPr>
          <w:p>
            <w:pPr>
              <w:spacing w:after="0"/>
              <w:rPr>
                <w:sz w:val="1"/>
                <w:szCs w:val="1"/>
                <w:color w:val="auto"/>
              </w:rPr>
            </w:pP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60" w:space="720"/>
            <w:col w:w="3580"/>
          </w:cols>
          <w:pgMar w:left="320" w:top="680" w:right="319" w:bottom="1440" w:gutter="0" w:footer="0" w:header="0"/>
          <w:type w:val="continuous"/>
        </w:sect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429260</wp:posOffset>
            </wp:positionV>
            <wp:extent cx="7176135" cy="4000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 Stock Purchase Plan</w:t>
      </w:r>
    </w:p>
    <w:p>
      <w:pPr>
        <w:spacing w:after="0" w:line="191" w:lineRule="exact"/>
        <w:rPr>
          <w:sz w:val="20"/>
          <w:szCs w:val="20"/>
          <w:color w:val="auto"/>
        </w:rPr>
      </w:pPr>
    </w:p>
    <w:p>
      <w:pPr>
        <w:ind w:right="20" w:firstLine="751"/>
        <w:spacing w:after="0" w:line="251" w:lineRule="auto"/>
        <w:rPr>
          <w:sz w:val="20"/>
          <w:szCs w:val="20"/>
          <w:color w:val="auto"/>
        </w:rPr>
      </w:pPr>
      <w:r>
        <w:rPr>
          <w:rFonts w:ascii="Times New Roman" w:cs="Times New Roman" w:eastAsia="Times New Roman" w:hAnsi="Times New Roman"/>
          <w:sz w:val="16"/>
          <w:szCs w:val="16"/>
          <w:color w:val="auto"/>
        </w:rPr>
        <w:t>The ESPP allows employees to purchase shares of the Company’s common stock. The purchase price is equal to 85% of the lower of the closing price of the Company’s common stock on (1) the first day of the offering period or (2) the last day of the offering period. The Company commenced the first offering pursuant to the ESPP on June 1, 2023, and such offering will end on May 31, 2024. During the year ended December 31, 2023, no shares of common stock were purchased pursuant to the ESPP, and $1.1 million of expense was recorded for the same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Stock-based Compensation Expense</w:t>
      </w:r>
    </w:p>
    <w:p>
      <w:pPr>
        <w:spacing w:after="0" w:line="158" w:lineRule="exact"/>
        <w:rPr>
          <w:sz w:val="20"/>
          <w:szCs w:val="20"/>
          <w:color w:val="auto"/>
        </w:rPr>
      </w:pPr>
    </w:p>
    <w:p>
      <w:pPr>
        <w:ind w:left="740"/>
        <w:spacing w:after="0" w:line="184" w:lineRule="exact"/>
        <w:rPr>
          <w:sz w:val="20"/>
          <w:szCs w:val="20"/>
          <w:color w:val="auto"/>
        </w:rPr>
      </w:pPr>
      <w:r>
        <w:rPr>
          <w:rFonts w:ascii="Times New Roman" w:cs="Times New Roman" w:eastAsia="Times New Roman" w:hAnsi="Times New Roman"/>
          <w:sz w:val="16"/>
          <w:szCs w:val="16"/>
          <w:color w:val="auto"/>
        </w:rPr>
        <w:t>Stock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compensation expense recognized was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6640" w:type="dxa"/>
            <w:vAlign w:val="bottom"/>
          </w:tcPr>
          <w:p>
            <w:pPr>
              <w:ind w:left="3240"/>
              <w:spacing w:after="0"/>
              <w:rPr>
                <w:sz w:val="20"/>
                <w:szCs w:val="20"/>
                <w:color w:val="auto"/>
              </w:rPr>
            </w:pPr>
            <w:r>
              <w:rPr>
                <w:rFonts w:ascii="Times New Roman" w:cs="Times New Roman" w:eastAsia="Times New Roman" w:hAnsi="Times New Roman"/>
                <w:sz w:val="12"/>
                <w:szCs w:val="12"/>
                <w:b w:val="1"/>
                <w:bCs w:val="1"/>
                <w:color w:val="auto"/>
              </w:rPr>
              <w:t>​</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2"/>
                <w:szCs w:val="12"/>
                <w:b w:val="1"/>
                <w:bCs w:val="1"/>
                <w:color w:val="auto"/>
              </w:rPr>
              <w:t>2023</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2"/>
                <w:szCs w:val="12"/>
                <w:b w:val="1"/>
                <w:bCs w:val="1"/>
                <w:color w:val="auto"/>
              </w:rPr>
              <w:t>2022</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2"/>
                <w:szCs w:val="12"/>
                <w:b w:val="1"/>
                <w:bCs w:val="1"/>
                <w:color w:val="auto"/>
              </w:rPr>
              <w:t>2021</w:t>
            </w:r>
          </w:p>
        </w:tc>
        <w:tc>
          <w:tcPr>
            <w:tcW w:w="120" w:type="dxa"/>
            <w:vAlign w:val="bottom"/>
          </w:tcPr>
          <w:p>
            <w:pPr>
              <w:spacing w:after="0"/>
              <w:rPr>
                <w:sz w:val="12"/>
                <w:szCs w:val="12"/>
                <w:color w:val="auto"/>
              </w:rPr>
            </w:pPr>
          </w:p>
        </w:tc>
      </w:tr>
      <w:tr>
        <w:trPr>
          <w:trHeight w:val="202"/>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14,080</w:t>
            </w:r>
          </w:p>
        </w:tc>
        <w:tc>
          <w:tcPr>
            <w:tcW w:w="60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8,604</w:t>
            </w:r>
          </w:p>
        </w:tc>
        <w:tc>
          <w:tcPr>
            <w:tcW w:w="58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7,456</w:t>
            </w:r>
          </w:p>
        </w:tc>
        <w:tc>
          <w:tcPr>
            <w:tcW w:w="120" w:type="dxa"/>
            <w:vAlign w:val="bottom"/>
            <w:shd w:val="clear" w:color="auto" w:fill="CFF0FC"/>
          </w:tcPr>
          <w:p>
            <w:pPr>
              <w:spacing w:after="0"/>
              <w:rPr>
                <w:sz w:val="17"/>
                <w:szCs w:val="17"/>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48,540</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29,122</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13,345</w:t>
            </w:r>
          </w:p>
        </w:tc>
        <w:tc>
          <w:tcPr>
            <w:tcW w:w="120" w:type="dxa"/>
            <w:vAlign w:val="bottom"/>
          </w:tcPr>
          <w:p>
            <w:pPr>
              <w:spacing w:after="0"/>
              <w:rPr>
                <w:sz w:val="18"/>
                <w:szCs w:val="18"/>
                <w:color w:val="auto"/>
              </w:rPr>
            </w:pPr>
          </w:p>
        </w:tc>
      </w:tr>
      <w:tr>
        <w:trPr>
          <w:trHeight w:val="238"/>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62,620</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37,726</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20,801</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5057140</wp:posOffset>
            </wp:positionH>
            <wp:positionV relativeFrom="paragraph">
              <wp:posOffset>-21590</wp:posOffset>
            </wp:positionV>
            <wp:extent cx="74295"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5057140</wp:posOffset>
            </wp:positionH>
            <wp:positionV relativeFrom="paragraph">
              <wp:posOffset>-6985</wp:posOffset>
            </wp:positionV>
            <wp:extent cx="74295"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-21590</wp:posOffset>
            </wp:positionV>
            <wp:extent cx="74295"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-6985</wp:posOffset>
            </wp:positionV>
            <wp:extent cx="74295" cy="76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-21590</wp:posOffset>
            </wp:positionV>
            <wp:extent cx="66675"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-6985</wp:posOffset>
            </wp:positionV>
            <wp:extent cx="66675" cy="76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6675" cy="7620"/>
                    </a:xfrm>
                    <a:prstGeom prst="rect">
                      <a:avLst/>
                    </a:prstGeom>
                    <a:noFill/>
                  </pic:spPr>
                </pic:pic>
              </a:graphicData>
            </a:graphic>
          </wp:anchor>
        </w:drawing>
      </w:r>
    </w:p>
    <w:p>
      <w:pPr>
        <w:spacing w:after="0" w:line="150" w:lineRule="exact"/>
        <w:rPr>
          <w:sz w:val="20"/>
          <w:szCs w:val="20"/>
          <w:color w:val="auto"/>
        </w:rPr>
      </w:pPr>
    </w:p>
    <w:p>
      <w:pPr>
        <w:ind w:right="120" w:firstLine="751"/>
        <w:spacing w:after="0" w:line="255" w:lineRule="auto"/>
        <w:rPr>
          <w:sz w:val="20"/>
          <w:szCs w:val="20"/>
          <w:color w:val="auto"/>
        </w:rPr>
      </w:pPr>
      <w:r>
        <w:rPr>
          <w:rFonts w:ascii="Times New Roman" w:cs="Times New Roman" w:eastAsia="Times New Roman" w:hAnsi="Times New Roman"/>
          <w:sz w:val="16"/>
          <w:szCs w:val="16"/>
          <w:color w:val="auto"/>
        </w:rPr>
        <w:t>Stock-based compensation expense capitalized into inventory totaled $2.7 million and $1.3 million for the years ended December 31, 2023 and 2022, respectively. The Company started capitalizing stock-based compensation to inventory in the third quarter of 2022. Capitalized stock-based compensation is recognized as an expense in cost of revenue when the related product is sold or in selling, general and administrative expense when the related product is dispensed as a physician sample.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Warrants</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following table summarizes warrant activity for the years ended December 31, 2023, 2022, and 2021: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680" w:type="dxa"/>
            <w:vAlign w:val="bottom"/>
          </w:tcPr>
          <w:p>
            <w:pPr>
              <w:spacing w:after="0"/>
              <w:rPr>
                <w:sz w:val="12"/>
                <w:szCs w:val="12"/>
                <w:color w:val="auto"/>
              </w:rPr>
            </w:pPr>
          </w:p>
        </w:tc>
        <w:tc>
          <w:tcPr>
            <w:tcW w:w="1120" w:type="dxa"/>
            <w:vAlign w:val="bottom"/>
            <w:vMerge w:val="restart"/>
          </w:tcPr>
          <w:p>
            <w:pPr>
              <w:ind w:left="560"/>
              <w:spacing w:after="0"/>
              <w:rPr>
                <w:sz w:val="20"/>
                <w:szCs w:val="20"/>
                <w:color w:val="auto"/>
              </w:rPr>
            </w:pPr>
            <w:r>
              <w:rPr>
                <w:rFonts w:ascii="Times New Roman" w:cs="Times New Roman" w:eastAsia="Times New Roman" w:hAnsi="Times New Roman"/>
                <w:sz w:val="12"/>
                <w:szCs w:val="12"/>
                <w:b w:val="1"/>
                <w:bCs w:val="1"/>
                <w:color w:val="auto"/>
              </w:rPr>
              <w:t>Warrants</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right"/>
              <w:ind w:right="345"/>
              <w:spacing w:after="0"/>
              <w:rPr>
                <w:sz w:val="20"/>
                <w:szCs w:val="20"/>
                <w:color w:val="auto"/>
              </w:rPr>
            </w:pPr>
            <w:r>
              <w:rPr>
                <w:rFonts w:ascii="Times New Roman" w:cs="Times New Roman" w:eastAsia="Times New Roman" w:hAnsi="Times New Roman"/>
                <w:sz w:val="12"/>
                <w:szCs w:val="12"/>
                <w:b w:val="1"/>
                <w:bCs w:val="1"/>
                <w:color w:val="auto"/>
              </w:rPr>
              <w:t>Weighted average</w:t>
            </w:r>
          </w:p>
        </w:tc>
        <w:tc>
          <w:tcPr>
            <w:tcW w:w="0" w:type="dxa"/>
            <w:vAlign w:val="bottom"/>
          </w:tcPr>
          <w:p>
            <w:pPr>
              <w:spacing w:after="0"/>
              <w:rPr>
                <w:sz w:val="1"/>
                <w:szCs w:val="1"/>
                <w:color w:val="auto"/>
              </w:rPr>
            </w:pPr>
          </w:p>
        </w:tc>
      </w:tr>
      <w:tr>
        <w:trPr>
          <w:trHeight w:val="162"/>
        </w:trPr>
        <w:tc>
          <w:tcPr>
            <w:tcW w:w="768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2"/>
                <w:szCs w:val="12"/>
                <w:b w:val="1"/>
                <w:bCs w:val="1"/>
                <w:color w:val="auto"/>
              </w:rPr>
              <w:t>exercise price</w:t>
            </w:r>
          </w:p>
        </w:tc>
        <w:tc>
          <w:tcPr>
            <w:tcW w:w="0" w:type="dxa"/>
            <w:vAlign w:val="bottom"/>
          </w:tcPr>
          <w:p>
            <w:pPr>
              <w:spacing w:after="0"/>
              <w:rPr>
                <w:sz w:val="1"/>
                <w:szCs w:val="1"/>
                <w:color w:val="auto"/>
              </w:rPr>
            </w:pPr>
          </w:p>
        </w:tc>
      </w:tr>
      <w:tr>
        <w:trPr>
          <w:trHeight w:val="198"/>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December 31, 2020</w:t>
            </w:r>
          </w:p>
        </w:tc>
        <w:tc>
          <w:tcPr>
            <w:tcW w:w="11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15,541</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80.43</w:t>
            </w:r>
          </w:p>
        </w:tc>
        <w:tc>
          <w:tcPr>
            <w:tcW w:w="0" w:type="dxa"/>
            <w:vAlign w:val="bottom"/>
          </w:tcPr>
          <w:p>
            <w:pPr>
              <w:spacing w:after="0"/>
              <w:rPr>
                <w:sz w:val="1"/>
                <w:szCs w:val="1"/>
                <w:color w:val="auto"/>
              </w:rPr>
            </w:pPr>
          </w:p>
        </w:tc>
      </w:tr>
      <w:tr>
        <w:trPr>
          <w:trHeight w:val="202"/>
        </w:trPr>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Issued</w:t>
            </w: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Exercised</w:t>
            </w:r>
          </w:p>
        </w:tc>
        <w:tc>
          <w:tcPr>
            <w:tcW w:w="11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at December 31, 2021</w:t>
            </w:r>
          </w:p>
        </w:tc>
        <w:tc>
          <w:tcPr>
            <w:tcW w:w="1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15,541</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rPr>
              <w:t>80.43</w:t>
            </w:r>
          </w:p>
        </w:tc>
        <w:tc>
          <w:tcPr>
            <w:tcW w:w="0" w:type="dxa"/>
            <w:vAlign w:val="bottom"/>
          </w:tcPr>
          <w:p>
            <w:pPr>
              <w:spacing w:after="0"/>
              <w:rPr>
                <w:sz w:val="1"/>
                <w:szCs w:val="1"/>
                <w:color w:val="auto"/>
              </w:rPr>
            </w:pPr>
          </w:p>
        </w:tc>
      </w:tr>
      <w:tr>
        <w:trPr>
          <w:trHeight w:val="205"/>
        </w:trPr>
        <w:tc>
          <w:tcPr>
            <w:tcW w:w="8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Issued</w:t>
            </w:r>
          </w:p>
        </w:tc>
        <w:tc>
          <w:tcPr>
            <w:tcW w:w="6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35,255</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31.91</w:t>
            </w:r>
          </w:p>
        </w:tc>
        <w:tc>
          <w:tcPr>
            <w:tcW w:w="0" w:type="dxa"/>
            <w:vAlign w:val="bottom"/>
          </w:tcPr>
          <w:p>
            <w:pPr>
              <w:spacing w:after="0"/>
              <w:rPr>
                <w:sz w:val="1"/>
                <w:szCs w:val="1"/>
                <w:color w:val="auto"/>
              </w:rPr>
            </w:pPr>
          </w:p>
        </w:tc>
      </w:tr>
      <w:tr>
        <w:trPr>
          <w:trHeight w:val="206"/>
        </w:trPr>
        <w:tc>
          <w:tcPr>
            <w:tcW w:w="7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Exercised</w:t>
            </w:r>
          </w:p>
        </w:tc>
        <w:tc>
          <w:tcPr>
            <w:tcW w:w="1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11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50,796</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46.75</w:t>
            </w:r>
          </w:p>
        </w:tc>
        <w:tc>
          <w:tcPr>
            <w:tcW w:w="0" w:type="dxa"/>
            <w:vAlign w:val="bottom"/>
          </w:tcPr>
          <w:p>
            <w:pPr>
              <w:spacing w:after="0"/>
              <w:rPr>
                <w:sz w:val="1"/>
                <w:szCs w:val="1"/>
                <w:color w:val="auto"/>
              </w:rPr>
            </w:pPr>
          </w:p>
        </w:tc>
      </w:tr>
      <w:tr>
        <w:trPr>
          <w:trHeight w:val="202"/>
        </w:trPr>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Issued</w:t>
            </w: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28,424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74.75</w:t>
            </w:r>
          </w:p>
        </w:tc>
        <w:tc>
          <w:tcPr>
            <w:tcW w:w="0" w:type="dxa"/>
            <w:vAlign w:val="bottom"/>
          </w:tcPr>
          <w:p>
            <w:pPr>
              <w:spacing w:after="0"/>
              <w:rPr>
                <w:sz w:val="1"/>
                <w:szCs w:val="1"/>
                <w:color w:val="auto"/>
              </w:rPr>
            </w:pPr>
          </w:p>
        </w:tc>
      </w:tr>
      <w:tr>
        <w:trPr>
          <w:trHeight w:val="210"/>
        </w:trPr>
        <w:tc>
          <w:tcPr>
            <w:tcW w:w="7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Exercised</w:t>
            </w:r>
          </w:p>
        </w:tc>
        <w:tc>
          <w:tcPr>
            <w:tcW w:w="11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1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79,220</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rPr>
              <w:t>56.80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5982970</wp:posOffset>
            </wp:positionH>
            <wp:positionV relativeFrom="paragraph">
              <wp:posOffset>-1251585</wp:posOffset>
            </wp:positionV>
            <wp:extent cx="111125"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11125" cy="7620"/>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-977265</wp:posOffset>
            </wp:positionV>
            <wp:extent cx="111125" cy="76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11125" cy="7620"/>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-421640</wp:posOffset>
            </wp:positionV>
            <wp:extent cx="111125"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11125" cy="7620"/>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-147320</wp:posOffset>
            </wp:positionV>
            <wp:extent cx="111125" cy="76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11125" cy="762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Outstanding Warrants</w:t>
      </w:r>
    </w:p>
    <w:p>
      <w:pPr>
        <w:spacing w:after="0" w:line="191" w:lineRule="exact"/>
        <w:rPr>
          <w:sz w:val="20"/>
          <w:szCs w:val="20"/>
          <w:color w:val="auto"/>
        </w:rPr>
      </w:pPr>
    </w:p>
    <w:p>
      <w:pPr>
        <w:ind w:right="120" w:firstLine="751"/>
        <w:spacing w:after="0" w:line="248" w:lineRule="auto"/>
        <w:rPr>
          <w:sz w:val="20"/>
          <w:szCs w:val="20"/>
          <w:color w:val="auto"/>
        </w:rPr>
      </w:pPr>
      <w:r>
        <w:rPr>
          <w:rFonts w:ascii="Times New Roman" w:cs="Times New Roman" w:eastAsia="Times New Roman" w:hAnsi="Times New Roman"/>
          <w:sz w:val="16"/>
          <w:szCs w:val="16"/>
          <w:color w:val="auto"/>
        </w:rPr>
        <w:t>In connection with the entry into the Third Amendment, Hercules received warrants to purchase an aggregate of 18,724 shares of the Company’s common stock at an exercise price of $55.01 per share, and in connection with the draw down of the tranche 1C advance, Hercules received warrants to purchase 9,700 shares of the Company's common stock at an exercise price of $77.31 per share (collectively, the “2023 warrants”). In connection with the entry into the Second Amendment, Hercules received warrants to purchase an aggregate of 35,255 shares of the Company’s common stock at an exercise price of $31.91 per share (the “2022 warrants”), and in connection with the first advance of the 2020 Term Loan, Hercules received warrants to purchase an aggregate of 15,541 shares of the Company’s common stock at an exercise price of $80.43 per share (the “2020 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160" w:firstLine="751"/>
        <w:spacing w:after="0" w:line="248" w:lineRule="auto"/>
        <w:rPr>
          <w:sz w:val="20"/>
          <w:szCs w:val="20"/>
          <w:color w:val="auto"/>
        </w:rPr>
      </w:pPr>
      <w:r>
        <w:rPr>
          <w:rFonts w:ascii="Times New Roman" w:cs="Times New Roman" w:eastAsia="Times New Roman" w:hAnsi="Times New Roman"/>
          <w:sz w:val="16"/>
          <w:szCs w:val="16"/>
          <w:color w:val="auto"/>
        </w:rPr>
        <w:t>The 2023 warrants, 2022 warrants and 2020 warrants were priced using the volume weighted average price of the Company’s common stock over the ten-day trading period immediately preceding the initial closing, subject to certain limited adjustments as specified in the warrant. The warrants are exercisable for seven years from the date of issuance. The warrants were classified as a component of stockholders’ equity. The relative fair value of the warrants of approximately $1.6 million for the 2023 warrants, $0.8 million for the 2022 warrants and $0.9 million for the 2020 warrants at the time of issuance, which was determined using the Black-Scholes option-pricing model, was recorded as additional paid-in capital and reduced the carrying value of the debt. The discount on the debt is being amortized to interest expense over the term of the debt utilizing the effective interest rate method.</w:t>
      </w:r>
    </w:p>
    <w:p>
      <w:pPr>
        <w:spacing w:after="0" w:line="319"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The initial fair value of warrants outstanding was estimated using the Black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Scholes option pricing model with the following assumptions: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Black-Scholes option valuation assumptions</w:t>
            </w:r>
          </w:p>
        </w:tc>
        <w:tc>
          <w:tcPr>
            <w:tcW w:w="10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607"/>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307"/>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ind w:right="587"/>
              <w:spacing w:after="0"/>
              <w:rPr>
                <w:sz w:val="20"/>
                <w:szCs w:val="20"/>
                <w:color w:val="auto"/>
              </w:rPr>
            </w:pPr>
            <w:r>
              <w:rPr>
                <w:rFonts w:ascii="Times New Roman" w:cs="Times New Roman" w:eastAsia="Times New Roman" w:hAnsi="Times New Roman"/>
                <w:sz w:val="12"/>
                <w:szCs w:val="12"/>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2"/>
                <w:szCs w:val="12"/>
                <w:b w:val="1"/>
                <w:bCs w:val="1"/>
                <w:color w:val="auto"/>
              </w:rPr>
              <w:t>warrants</w:t>
            </w: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327"/>
              <w:spacing w:after="0"/>
              <w:rPr>
                <w:sz w:val="20"/>
                <w:szCs w:val="20"/>
                <w:color w:val="auto"/>
              </w:rPr>
            </w:pPr>
            <w:r>
              <w:rPr>
                <w:rFonts w:ascii="Times New Roman" w:cs="Times New Roman" w:eastAsia="Times New Roman" w:hAnsi="Times New Roman"/>
                <w:sz w:val="12"/>
                <w:szCs w:val="12"/>
                <w:b w:val="1"/>
                <w:bCs w:val="1"/>
                <w:color w:val="auto"/>
              </w:rPr>
              <w:t>warrants</w:t>
            </w:r>
          </w:p>
        </w:tc>
        <w:tc>
          <w:tcPr>
            <w:tcW w:w="100" w:type="dxa"/>
            <w:vAlign w:val="bottom"/>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2"/>
                <w:szCs w:val="12"/>
                <w:b w:val="1"/>
                <w:bCs w:val="1"/>
                <w:color w:val="auto"/>
              </w:rPr>
              <w:t>warrants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240" w:type="dxa"/>
            <w:vAlign w:val="bottom"/>
          </w:tcPr>
          <w:p>
            <w:pPr>
              <w:spacing w:after="0"/>
              <w:rPr>
                <w:sz w:val="16"/>
                <w:szCs w:val="16"/>
                <w:color w:val="auto"/>
              </w:rPr>
            </w:pPr>
          </w:p>
        </w:tc>
        <w:tc>
          <w:tcPr>
            <w:tcW w:w="120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3.6 - 3.9%</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3.1 %</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205"/>
        </w:trPr>
        <w:tc>
          <w:tcPr>
            <w:tcW w:w="6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240" w:type="dxa"/>
            <w:vAlign w:val="bottom"/>
          </w:tcPr>
          <w:p>
            <w:pPr>
              <w:spacing w:after="0"/>
              <w:rPr>
                <w:sz w:val="17"/>
                <w:szCs w:val="17"/>
                <w:color w:val="auto"/>
              </w:rPr>
            </w:pPr>
          </w:p>
        </w:tc>
        <w:tc>
          <w:tcPr>
            <w:tcW w:w="120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Volatility</w:t>
            </w:r>
          </w:p>
        </w:tc>
        <w:tc>
          <w:tcPr>
            <w:tcW w:w="240" w:type="dxa"/>
            <w:vAlign w:val="bottom"/>
          </w:tcPr>
          <w:p>
            <w:pPr>
              <w:spacing w:after="0"/>
              <w:rPr>
                <w:sz w:val="18"/>
                <w:szCs w:val="18"/>
                <w:color w:val="auto"/>
              </w:rPr>
            </w:pPr>
          </w:p>
        </w:tc>
        <w:tc>
          <w:tcPr>
            <w:tcW w:w="120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92 - 95%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94 %</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0" w:type="dxa"/>
            <w:vAlign w:val="bottom"/>
          </w:tcPr>
          <w:p>
            <w:pPr>
              <w:spacing w:after="0"/>
              <w:rPr>
                <w:sz w:val="1"/>
                <w:szCs w:val="1"/>
                <w:color w:val="auto"/>
              </w:rPr>
            </w:pPr>
          </w:p>
        </w:tc>
      </w:tr>
      <w:tr>
        <w:trPr>
          <w:trHeight w:val="210"/>
        </w:trPr>
        <w:tc>
          <w:tcPr>
            <w:tcW w:w="6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Weighted average contractual term</w:t>
            </w:r>
          </w:p>
        </w:tc>
        <w:tc>
          <w:tcPr>
            <w:tcW w:w="240" w:type="dxa"/>
            <w:vAlign w:val="bottom"/>
          </w:tcPr>
          <w:p>
            <w:pPr>
              <w:spacing w:after="0"/>
              <w:rPr>
                <w:sz w:val="18"/>
                <w:szCs w:val="18"/>
                <w:color w:val="auto"/>
              </w:rPr>
            </w:pPr>
          </w:p>
        </w:tc>
        <w:tc>
          <w:tcPr>
            <w:tcW w:w="120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7 years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7 years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 years</w:t>
            </w:r>
          </w:p>
        </w:tc>
        <w:tc>
          <w:tcPr>
            <w:tcW w:w="0" w:type="dxa"/>
            <w:vAlign w:val="bottom"/>
          </w:tcPr>
          <w:p>
            <w:pPr>
              <w:spacing w:after="0"/>
              <w:rPr>
                <w:sz w:val="1"/>
                <w:szCs w:val="1"/>
                <w:color w:val="auto"/>
              </w:rPr>
            </w:pPr>
          </w:p>
        </w:tc>
      </w:tr>
      <w:tr>
        <w:trPr>
          <w:trHeight w:val="595"/>
        </w:trPr>
        <w:tc>
          <w:tcPr>
            <w:tcW w:w="6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Note 14. Net Loss per Common Share</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64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w w:val="97"/>
              </w:rPr>
              <w:t>The following table sets forth the computation of basic and diluted net loss per common share:</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267"/>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2"/>
                <w:szCs w:val="12"/>
                <w:b w:val="1"/>
                <w:bCs w:val="1"/>
                <w:color w:val="auto"/>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6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and diluted net loss per common share:</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(239,238 )</w:t>
            </w: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(187,134 )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(130,403 )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Weighted average common shares outstanding—basic and diluted</w:t>
            </w: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6"/>
                <w:szCs w:val="16"/>
                <w:color w:val="auto"/>
              </w:rPr>
              <w:t>45,425,212</w:t>
            </w: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6"/>
                <w:szCs w:val="16"/>
                <w:color w:val="auto"/>
              </w:rPr>
              <w:t>40,655,941</w:t>
            </w:r>
          </w:p>
        </w:tc>
        <w:tc>
          <w:tcPr>
            <w:tcW w:w="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6"/>
                <w:szCs w:val="16"/>
                <w:color w:val="auto"/>
              </w:rPr>
              <w:t>37,618,599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loss per common share—basic and diluted</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(5.27 )</w:t>
            </w: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-2044700</wp:posOffset>
            </wp:positionV>
            <wp:extent cx="7150735" cy="1333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0735" cy="133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-1778000</wp:posOffset>
            </wp:positionV>
            <wp:extent cx="7150735" cy="1333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0735" cy="133350"/>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-162560</wp:posOffset>
            </wp:positionV>
            <wp:extent cx="103505"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03505" cy="7620"/>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-162560</wp:posOffset>
            </wp:positionV>
            <wp:extent cx="96520" cy="76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96520" cy="7620"/>
                    </a:xfrm>
                    <a:prstGeom prst="rect">
                      <a:avLst/>
                    </a:prstGeom>
                    <a:noFill/>
                  </pic:spPr>
                </pic:pic>
              </a:graphicData>
            </a:graphic>
          </wp:anchor>
        </w:drawing>
      </w:r>
    </w:p>
    <w:p>
      <w:pPr>
        <w:spacing w:after="0" w:line="150" w:lineRule="exact"/>
        <w:rPr>
          <w:sz w:val="20"/>
          <w:szCs w:val="20"/>
          <w:color w:val="auto"/>
        </w:rPr>
      </w:pPr>
    </w:p>
    <w:p>
      <w:pPr>
        <w:ind w:right="320" w:firstLine="751"/>
        <w:spacing w:after="0" w:line="207" w:lineRule="exact"/>
        <w:rPr>
          <w:sz w:val="20"/>
          <w:szCs w:val="20"/>
          <w:color w:val="auto"/>
        </w:rPr>
      </w:pPr>
      <w:r>
        <w:rPr>
          <w:rFonts w:ascii="Times New Roman" w:cs="Times New Roman" w:eastAsia="Times New Roman" w:hAnsi="Times New Roman"/>
          <w:sz w:val="16"/>
          <w:szCs w:val="16"/>
          <w:color w:val="auto"/>
        </w:rPr>
        <w:t>The following potentially dilutive securities outstanding have been excluded from the computation of diluted weighted average shares outstanding, as they would be anti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dilutive: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5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right"/>
              <w:ind w:right="37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62"/>
        </w:trPr>
        <w:tc>
          <w:tcPr>
            <w:tcW w:w="6580" w:type="dxa"/>
            <w:vAlign w:val="bottom"/>
          </w:tcPr>
          <w:p>
            <w:pPr>
              <w:spacing w:after="0"/>
              <w:rPr>
                <w:sz w:val="14"/>
                <w:szCs w:val="14"/>
                <w:color w:val="auto"/>
              </w:rPr>
            </w:pPr>
          </w:p>
        </w:tc>
        <w:tc>
          <w:tcPr>
            <w:tcW w:w="150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14"/>
                <w:szCs w:val="14"/>
                <w:color w:val="auto"/>
              </w:rPr>
            </w:pPr>
          </w:p>
        </w:tc>
        <w:tc>
          <w:tcPr>
            <w:tcW w:w="14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202"/>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options</w:t>
            </w:r>
          </w:p>
        </w:tc>
        <w:tc>
          <w:tcPr>
            <w:tcW w:w="15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8,462,294</w:t>
            </w:r>
          </w:p>
        </w:tc>
        <w:tc>
          <w:tcPr>
            <w:tcW w:w="16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6"/>
                <w:szCs w:val="16"/>
                <w:color w:val="auto"/>
              </w:rPr>
              <w:t>6,617,728</w:t>
            </w:r>
          </w:p>
        </w:tc>
        <w:tc>
          <w:tcPr>
            <w:tcW w:w="1580" w:type="dxa"/>
            <w:vAlign w:val="bottom"/>
            <w:gridSpan w:val="2"/>
            <w:shd w:val="clear" w:color="auto" w:fill="CFF0FC"/>
          </w:tcPr>
          <w:p>
            <w:pPr>
              <w:jc w:val="right"/>
              <w:ind w:right="47"/>
              <w:spacing w:after="0"/>
              <w:rPr>
                <w:sz w:val="20"/>
                <w:szCs w:val="20"/>
                <w:color w:val="auto"/>
              </w:rPr>
            </w:pPr>
            <w:r>
              <w:rPr>
                <w:rFonts w:ascii="Times New Roman" w:cs="Times New Roman" w:eastAsia="Times New Roman" w:hAnsi="Times New Roman"/>
                <w:sz w:val="16"/>
                <w:szCs w:val="16"/>
                <w:color w:val="auto"/>
              </w:rPr>
              <w:t>5,090,377</w:t>
            </w:r>
          </w:p>
        </w:tc>
      </w:tr>
      <w:tr>
        <w:trPr>
          <w:trHeight w:val="206"/>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50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804,150</w:t>
            </w:r>
          </w:p>
        </w:tc>
        <w:tc>
          <w:tcPr>
            <w:tcW w:w="1600" w:type="dxa"/>
            <w:vAlign w:val="bottom"/>
            <w:gridSpan w:val="2"/>
          </w:tcPr>
          <w:p>
            <w:pPr>
              <w:jc w:val="right"/>
              <w:ind w:right="50"/>
              <w:spacing w:after="0"/>
              <w:rPr>
                <w:sz w:val="20"/>
                <w:szCs w:val="20"/>
                <w:color w:val="auto"/>
              </w:rPr>
            </w:pPr>
            <w:r>
              <w:rPr>
                <w:rFonts w:ascii="Times New Roman" w:cs="Times New Roman" w:eastAsia="Times New Roman" w:hAnsi="Times New Roman"/>
                <w:sz w:val="16"/>
                <w:szCs w:val="16"/>
                <w:color w:val="auto"/>
              </w:rPr>
              <w:t>686,375</w:t>
            </w:r>
          </w:p>
        </w:tc>
        <w:tc>
          <w:tcPr>
            <w:tcW w:w="1580" w:type="dxa"/>
            <w:vAlign w:val="bottom"/>
            <w:gridSpan w:val="2"/>
          </w:tcPr>
          <w:p>
            <w:pPr>
              <w:jc w:val="right"/>
              <w:ind w:right="47"/>
              <w:spacing w:after="0"/>
              <w:rPr>
                <w:sz w:val="20"/>
                <w:szCs w:val="20"/>
                <w:color w:val="auto"/>
              </w:rPr>
            </w:pPr>
            <w:r>
              <w:rPr>
                <w:rFonts w:ascii="Times New Roman" w:cs="Times New Roman" w:eastAsia="Times New Roman" w:hAnsi="Times New Roman"/>
                <w:sz w:val="16"/>
                <w:szCs w:val="16"/>
                <w:color w:val="auto"/>
              </w:rPr>
              <w:t>326,625</w:t>
            </w:r>
          </w:p>
        </w:tc>
      </w:tr>
      <w:tr>
        <w:trPr>
          <w:trHeight w:val="214"/>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Warrants</w:t>
            </w:r>
          </w:p>
        </w:tc>
        <w:tc>
          <w:tcPr>
            <w:tcW w:w="15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79,220</w:t>
            </w:r>
          </w:p>
        </w:tc>
        <w:tc>
          <w:tcPr>
            <w:tcW w:w="16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6"/>
                <w:szCs w:val="16"/>
                <w:color w:val="auto"/>
              </w:rPr>
              <w:t>50,796</w:t>
            </w:r>
          </w:p>
        </w:tc>
        <w:tc>
          <w:tcPr>
            <w:tcW w:w="1580" w:type="dxa"/>
            <w:vAlign w:val="bottom"/>
            <w:gridSpan w:val="2"/>
            <w:shd w:val="clear" w:color="auto" w:fill="CFF0FC"/>
          </w:tcPr>
          <w:p>
            <w:pPr>
              <w:jc w:val="right"/>
              <w:ind w:right="47"/>
              <w:spacing w:after="0"/>
              <w:rPr>
                <w:sz w:val="20"/>
                <w:szCs w:val="20"/>
                <w:color w:val="auto"/>
              </w:rPr>
            </w:pPr>
            <w:r>
              <w:rPr>
                <w:rFonts w:ascii="Times New Roman" w:cs="Times New Roman" w:eastAsia="Times New Roman" w:hAnsi="Times New Roman"/>
                <w:sz w:val="16"/>
                <w:szCs w:val="16"/>
                <w:color w:val="auto"/>
              </w:rPr>
              <w:t>15,541</w:t>
            </w:r>
          </w:p>
        </w:tc>
      </w:tr>
      <w:tr>
        <w:trPr>
          <w:trHeight w:val="206"/>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ESPP</w:t>
            </w:r>
          </w:p>
        </w:tc>
        <w:tc>
          <w:tcPr>
            <w:tcW w:w="15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rPr>
              <w:t>56,760</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6"/>
                <w:szCs w:val="16"/>
                <w:color w:val="auto"/>
              </w:rPr>
              <w:t>—</w:t>
            </w:r>
          </w:p>
        </w:tc>
      </w:tr>
      <w:tr>
        <w:trPr>
          <w:trHeight w:val="242"/>
        </w:trPr>
        <w:tc>
          <w:tcPr>
            <w:tcW w:w="6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50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9,402,424</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6"/>
                <w:szCs w:val="16"/>
                <w:color w:val="auto"/>
              </w:rPr>
              <w:t>7,354,899</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6"/>
                <w:szCs w:val="16"/>
                <w:color w:val="auto"/>
              </w:rPr>
              <w:t>5,432,543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5130800</wp:posOffset>
            </wp:positionH>
            <wp:positionV relativeFrom="paragraph">
              <wp:posOffset>-21590</wp:posOffset>
            </wp:positionV>
            <wp:extent cx="74295"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-6985</wp:posOffset>
            </wp:positionV>
            <wp:extent cx="74295"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-21590</wp:posOffset>
            </wp:positionV>
            <wp:extent cx="66675" cy="76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-6985</wp:posOffset>
            </wp:positionV>
            <wp:extent cx="66675"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6675" cy="762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Revenues</w:t>
      </w:r>
    </w:p>
    <w:p>
      <w:pPr>
        <w:spacing w:after="0" w:line="191" w:lineRule="exact"/>
        <w:rPr>
          <w:sz w:val="20"/>
          <w:szCs w:val="20"/>
          <w:color w:val="auto"/>
        </w:rPr>
      </w:pPr>
    </w:p>
    <w:p>
      <w:pPr>
        <w:ind w:right="180" w:firstLine="751"/>
        <w:spacing w:after="0" w:line="267" w:lineRule="auto"/>
        <w:rPr>
          <w:sz w:val="20"/>
          <w:szCs w:val="20"/>
          <w:color w:val="auto"/>
        </w:rPr>
      </w:pPr>
      <w:r>
        <w:rPr>
          <w:rFonts w:ascii="Times New Roman" w:cs="Times New Roman" w:eastAsia="Times New Roman" w:hAnsi="Times New Roman"/>
          <w:sz w:val="16"/>
          <w:szCs w:val="16"/>
          <w:color w:val="auto"/>
        </w:rPr>
        <w:t>The Company sells Sunosi and Auvelity in the United States through the Distributors. The Company sells Sunosi internationally through local distributors for delivery primarily to retail pharmacies and hospitals.</w:t>
      </w:r>
    </w:p>
    <w:p>
      <w:pPr>
        <w:spacing w:after="0" w:line="151" w:lineRule="exact"/>
        <w:rPr>
          <w:sz w:val="20"/>
          <w:szCs w:val="20"/>
          <w:color w:val="auto"/>
        </w:rPr>
      </w:pPr>
    </w:p>
    <w:p>
      <w:pPr>
        <w:ind w:right="60" w:firstLine="751"/>
        <w:spacing w:after="0" w:line="267" w:lineRule="auto"/>
        <w:rPr>
          <w:sz w:val="20"/>
          <w:szCs w:val="20"/>
          <w:color w:val="auto"/>
        </w:rPr>
      </w:pPr>
      <w:r>
        <w:rPr>
          <w:rFonts w:ascii="Times New Roman" w:cs="Times New Roman" w:eastAsia="Times New Roman" w:hAnsi="Times New Roman"/>
          <w:sz w:val="16"/>
          <w:szCs w:val="16"/>
          <w:color w:val="auto"/>
        </w:rPr>
        <w:t>License revenue consists of the recognition of the upfront payment the Company received from Pharmanovia in February 2023, and royalty revenue is related to sales of Sunosi by Pharmanovia in certain ex-U.S. markets.</w:t>
      </w: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407035</wp:posOffset>
            </wp:positionV>
            <wp:extent cx="7176135" cy="4000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300"/>
          </w:cols>
          <w:pgMar w:left="320" w:top="680" w:right="2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following table presents a summary of total revenues by product:</w:t>
      </w:r>
    </w:p>
    <w:p>
      <w:pPr>
        <w:spacing w:after="0" w:line="1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By Product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ind w:left="3760"/>
              <w:spacing w:after="0"/>
              <w:rPr>
                <w:sz w:val="20"/>
                <w:szCs w:val="20"/>
                <w:color w:val="auto"/>
              </w:rPr>
            </w:pPr>
            <w:r>
              <w:rPr>
                <w:rFonts w:ascii="Times New Roman" w:cs="Times New Roman" w:eastAsia="Times New Roman" w:hAnsi="Times New Roman"/>
                <w:sz w:val="12"/>
                <w:szCs w:val="12"/>
                <w:b w:val="1"/>
                <w:bCs w:val="1"/>
                <w:color w:val="auto"/>
              </w:rPr>
              <w:t>​</w:t>
            </w:r>
          </w:p>
        </w:tc>
        <w:tc>
          <w:tcPr>
            <w:tcW w:w="3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7740" w:type="dxa"/>
            <w:vAlign w:val="bottom"/>
          </w:tcPr>
          <w:p>
            <w:pPr>
              <w:ind w:left="3760"/>
              <w:spacing w:after="0"/>
              <w:rPr>
                <w:sz w:val="20"/>
                <w:szCs w:val="20"/>
                <w:color w:val="auto"/>
              </w:rPr>
            </w:pPr>
            <w:r>
              <w:rPr>
                <w:rFonts w:ascii="Times New Roman" w:cs="Times New Roman" w:eastAsia="Times New Roman" w:hAnsi="Times New Roman"/>
                <w:sz w:val="12"/>
                <w:szCs w:val="12"/>
                <w:b w:val="1"/>
                <w:bCs w:val="1"/>
                <w:color w:val="auto"/>
              </w:rPr>
              <w:t>​</w:t>
            </w: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2"/>
                <w:szCs w:val="12"/>
                <w:b w:val="1"/>
                <w:bCs w:val="1"/>
                <w:color w:val="auto"/>
              </w:rPr>
              <w:t>2023</w:t>
            </w:r>
          </w:p>
        </w:tc>
        <w:tc>
          <w:tcPr>
            <w:tcW w:w="3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2"/>
                <w:szCs w:val="12"/>
                <w:color w:val="auto"/>
              </w:rPr>
            </w:pPr>
          </w:p>
        </w:tc>
      </w:tr>
      <w:tr>
        <w:trPr>
          <w:trHeight w:val="202"/>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 sales, net</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6"/>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Auvelity</w:t>
            </w:r>
          </w:p>
        </w:tc>
        <w:tc>
          <w:tcPr>
            <w:tcW w:w="3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130,072</w:t>
            </w:r>
          </w:p>
        </w:tc>
        <w:tc>
          <w:tcPr>
            <w:tcW w:w="880" w:type="dxa"/>
            <w:vAlign w:val="bottom"/>
            <w:gridSpan w:val="2"/>
          </w:tcPr>
          <w:p>
            <w:pPr>
              <w:jc w:val="right"/>
              <w:ind w:right="42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5,168</w:t>
            </w:r>
          </w:p>
        </w:tc>
        <w:tc>
          <w:tcPr>
            <w:tcW w:w="120" w:type="dxa"/>
            <w:vAlign w:val="bottom"/>
          </w:tcPr>
          <w:p>
            <w:pPr>
              <w:spacing w:after="0"/>
              <w:rPr>
                <w:sz w:val="17"/>
                <w:szCs w:val="17"/>
                <w:color w:val="auto"/>
              </w:rPr>
            </w:pPr>
          </w:p>
        </w:tc>
      </w:tr>
      <w:tr>
        <w:trPr>
          <w:trHeight w:val="210"/>
        </w:trPr>
        <w:tc>
          <w:tcPr>
            <w:tcW w:w="77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Sunosi</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72,388</w:t>
            </w:r>
          </w:p>
        </w:tc>
        <w:tc>
          <w:tcPr>
            <w:tcW w:w="3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44,869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2"/>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Total product sales, net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202,460</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50,037</w:t>
            </w:r>
          </w:p>
        </w:tc>
        <w:tc>
          <w:tcPr>
            <w:tcW w:w="120" w:type="dxa"/>
            <w:vAlign w:val="bottom"/>
          </w:tcPr>
          <w:p>
            <w:pPr>
              <w:spacing w:after="0"/>
              <w:rPr>
                <w:sz w:val="17"/>
                <w:szCs w:val="17"/>
                <w:color w:val="auto"/>
              </w:rPr>
            </w:pPr>
          </w:p>
        </w:tc>
      </w:tr>
      <w:tr>
        <w:trPr>
          <w:trHeight w:val="237"/>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Sunosi license revenue</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65,735</w:t>
            </w:r>
          </w:p>
        </w:tc>
        <w:tc>
          <w:tcPr>
            <w:tcW w:w="3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Sunosi royalty revenue</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3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42"/>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270,600</w:t>
            </w:r>
          </w:p>
        </w:tc>
        <w:tc>
          <w:tcPr>
            <w:tcW w:w="880" w:type="dxa"/>
            <w:vAlign w:val="bottom"/>
            <w:gridSpan w:val="2"/>
            <w:shd w:val="clear" w:color="auto" w:fill="CFF0FC"/>
          </w:tcPr>
          <w:p>
            <w:pPr>
              <w:jc w:val="right"/>
              <w:ind w:right="42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50,037</w:t>
            </w:r>
          </w:p>
        </w:tc>
        <w:tc>
          <w:tcPr>
            <w:tcW w:w="120" w:type="dxa"/>
            <w:vAlign w:val="bottom"/>
            <w:shd w:val="clear" w:color="auto" w:fill="CFF0FC"/>
          </w:tcPr>
          <w:p>
            <w:pPr>
              <w:spacing w:after="0"/>
              <w:rPr>
                <w:sz w:val="21"/>
                <w:szCs w:val="21"/>
                <w:color w:val="auto"/>
              </w:rPr>
            </w:pPr>
          </w:p>
        </w:tc>
      </w:tr>
      <w:tr>
        <w:trPr>
          <w:trHeight w:val="351"/>
        </w:trPr>
        <w:tc>
          <w:tcPr>
            <w:tcW w:w="774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6"/>
                <w:szCs w:val="16"/>
                <w:color w:val="auto"/>
              </w:rPr>
              <w:t>The following table presents a summary of total revenues by geographic location:</w:t>
            </w: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373"/>
        </w:trPr>
        <w:tc>
          <w:tcPr>
            <w:tcW w:w="7740" w:type="dxa"/>
            <w:vAlign w:val="bottom"/>
          </w:tcPr>
          <w:p>
            <w:pPr>
              <w:ind w:left="740"/>
              <w:spacing w:after="0"/>
              <w:rPr>
                <w:sz w:val="20"/>
                <w:szCs w:val="20"/>
                <w:color w:val="auto"/>
              </w:rPr>
            </w:pPr>
            <w:r>
              <w:rPr>
                <w:rFonts w:ascii="Times New Roman" w:cs="Times New Roman" w:eastAsia="Times New Roman" w:hAnsi="Times New Roman"/>
                <w:sz w:val="16"/>
                <w:szCs w:val="16"/>
                <w:i w:val="1"/>
                <w:iCs w:val="1"/>
                <w:color w:val="auto"/>
              </w:rPr>
              <w:t>By Geographic Location</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2"/>
        </w:trPr>
        <w:tc>
          <w:tcPr>
            <w:tcW w:w="7740" w:type="dxa"/>
            <w:vAlign w:val="bottom"/>
          </w:tcPr>
          <w:p>
            <w:pPr>
              <w:ind w:left="3760"/>
              <w:spacing w:after="0"/>
              <w:rPr>
                <w:sz w:val="20"/>
                <w:szCs w:val="20"/>
                <w:color w:val="auto"/>
              </w:rPr>
            </w:pPr>
            <w:r>
              <w:rPr>
                <w:rFonts w:ascii="Times New Roman" w:cs="Times New Roman" w:eastAsia="Times New Roman" w:hAnsi="Times New Roman"/>
                <w:sz w:val="12"/>
                <w:szCs w:val="12"/>
                <w:b w:val="1"/>
                <w:bCs w:val="1"/>
                <w:color w:val="auto"/>
              </w:rPr>
              <w:t>​</w:t>
            </w:r>
          </w:p>
        </w:tc>
        <w:tc>
          <w:tcPr>
            <w:tcW w:w="3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3"/>
        </w:trPr>
        <w:tc>
          <w:tcPr>
            <w:tcW w:w="7740" w:type="dxa"/>
            <w:vAlign w:val="bottom"/>
          </w:tcPr>
          <w:p>
            <w:pPr>
              <w:ind w:left="3760"/>
              <w:spacing w:after="0"/>
              <w:rPr>
                <w:sz w:val="20"/>
                <w:szCs w:val="20"/>
                <w:color w:val="auto"/>
              </w:rPr>
            </w:pPr>
            <w:r>
              <w:rPr>
                <w:rFonts w:ascii="Times New Roman" w:cs="Times New Roman" w:eastAsia="Times New Roman" w:hAnsi="Times New Roman"/>
                <w:sz w:val="12"/>
                <w:szCs w:val="12"/>
                <w:b w:val="1"/>
                <w:bCs w:val="1"/>
                <w:color w:val="auto"/>
              </w:rPr>
              <w:t>​</w:t>
            </w: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2"/>
                <w:szCs w:val="12"/>
                <w:b w:val="1"/>
                <w:bCs w:val="1"/>
                <w:color w:val="auto"/>
              </w:rPr>
              <w:t>2023</w:t>
            </w:r>
          </w:p>
        </w:tc>
        <w:tc>
          <w:tcPr>
            <w:tcW w:w="3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2"/>
                <w:szCs w:val="12"/>
                <w:color w:val="auto"/>
              </w:rPr>
            </w:pPr>
          </w:p>
        </w:tc>
      </w:tr>
      <w:tr>
        <w:trPr>
          <w:trHeight w:val="202"/>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 sales, net</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6"/>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United States</w:t>
            </w:r>
          </w:p>
        </w:tc>
        <w:tc>
          <w:tcPr>
            <w:tcW w:w="3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197,224</w:t>
            </w:r>
          </w:p>
        </w:tc>
        <w:tc>
          <w:tcPr>
            <w:tcW w:w="880" w:type="dxa"/>
            <w:vAlign w:val="bottom"/>
            <w:gridSpan w:val="2"/>
          </w:tcPr>
          <w:p>
            <w:pPr>
              <w:jc w:val="right"/>
              <w:ind w:right="42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49,132</w:t>
            </w:r>
          </w:p>
        </w:tc>
        <w:tc>
          <w:tcPr>
            <w:tcW w:w="120" w:type="dxa"/>
            <w:vAlign w:val="bottom"/>
          </w:tcPr>
          <w:p>
            <w:pPr>
              <w:spacing w:after="0"/>
              <w:rPr>
                <w:sz w:val="17"/>
                <w:szCs w:val="17"/>
                <w:color w:val="auto"/>
              </w:rPr>
            </w:pPr>
          </w:p>
        </w:tc>
      </w:tr>
      <w:tr>
        <w:trPr>
          <w:trHeight w:val="210"/>
        </w:trPr>
        <w:tc>
          <w:tcPr>
            <w:tcW w:w="77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Outside of the United States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5,236</w:t>
            </w:r>
          </w:p>
        </w:tc>
        <w:tc>
          <w:tcPr>
            <w:tcW w:w="3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2"/>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Total product sales, net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202,460</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50,037</w:t>
            </w:r>
          </w:p>
        </w:tc>
        <w:tc>
          <w:tcPr>
            <w:tcW w:w="120" w:type="dxa"/>
            <w:vAlign w:val="bottom"/>
          </w:tcPr>
          <w:p>
            <w:pPr>
              <w:spacing w:after="0"/>
              <w:rPr>
                <w:sz w:val="17"/>
                <w:szCs w:val="17"/>
                <w:color w:val="auto"/>
              </w:rPr>
            </w:pPr>
          </w:p>
        </w:tc>
      </w:tr>
      <w:tr>
        <w:trPr>
          <w:trHeight w:val="21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License revenue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6"/>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Outside of the United States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65,735</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gridSpan w:val="2"/>
          </w:tcPr>
          <w:p>
            <w:pPr>
              <w:jc w:val="right"/>
              <w:ind w:right="120"/>
              <w:spacing w:after="0" w:line="184" w:lineRule="exact"/>
              <w:rPr>
                <w:sz w:val="20"/>
                <w:szCs w:val="20"/>
                <w:color w:val="auto"/>
              </w:rPr>
            </w:pPr>
            <w:r>
              <w:rPr>
                <w:rFonts w:ascii="Calibri" w:cs="Calibri" w:eastAsia="Calibri" w:hAnsi="Calibri"/>
                <w:sz w:val="16"/>
                <w:szCs w:val="16"/>
                <w:color w:val="auto"/>
              </w:rPr>
              <w:t>—</w:t>
            </w:r>
          </w:p>
        </w:tc>
      </w:tr>
      <w:tr>
        <w:trPr>
          <w:trHeight w:val="21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Royalty revenue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6"/>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Outside of the United States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gridSpan w:val="2"/>
          </w:tcPr>
          <w:p>
            <w:pPr>
              <w:jc w:val="right"/>
              <w:ind w:right="120"/>
              <w:spacing w:after="0" w:line="184" w:lineRule="exact"/>
              <w:rPr>
                <w:sz w:val="20"/>
                <w:szCs w:val="20"/>
                <w:color w:val="auto"/>
              </w:rPr>
            </w:pPr>
            <w:r>
              <w:rPr>
                <w:rFonts w:ascii="Calibri" w:cs="Calibri" w:eastAsia="Calibri" w:hAnsi="Calibri"/>
                <w:sz w:val="16"/>
                <w:szCs w:val="16"/>
                <w:color w:val="auto"/>
              </w:rPr>
              <w:t>—</w:t>
            </w:r>
          </w:p>
        </w:tc>
      </w:tr>
      <w:tr>
        <w:trPr>
          <w:trHeight w:val="242"/>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Borders>
              <w:top w:val="single" w:sz="8" w:color="auto"/>
              <w:bottom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270,600</w:t>
            </w:r>
          </w:p>
        </w:tc>
        <w:tc>
          <w:tcPr>
            <w:tcW w:w="3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top w:val="single" w:sz="8" w:color="auto"/>
              <w:bottom w:val="single" w:sz="8" w:color="auto"/>
            </w:tcBorders>
            <w:shd w:val="clear" w:color="auto" w:fill="CFF0FC"/>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50,037</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5909310</wp:posOffset>
            </wp:positionH>
            <wp:positionV relativeFrom="paragraph">
              <wp:posOffset>-2637155</wp:posOffset>
            </wp:positionV>
            <wp:extent cx="74295"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-2637155</wp:posOffset>
            </wp:positionV>
            <wp:extent cx="66675"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-2074545</wp:posOffset>
            </wp:positionV>
            <wp:extent cx="74295"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-2059305</wp:posOffset>
            </wp:positionV>
            <wp:extent cx="74295"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-2074545</wp:posOffset>
            </wp:positionV>
            <wp:extent cx="66675"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-2059305</wp:posOffset>
            </wp:positionV>
            <wp:extent cx="66675" cy="76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-836930</wp:posOffset>
            </wp:positionV>
            <wp:extent cx="74295"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-836930</wp:posOffset>
            </wp:positionV>
            <wp:extent cx="66675"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-21590</wp:posOffset>
            </wp:positionV>
            <wp:extent cx="74295"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-6985</wp:posOffset>
            </wp:positionV>
            <wp:extent cx="74295" cy="76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429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-21590</wp:posOffset>
            </wp:positionV>
            <wp:extent cx="66675" cy="7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6675" cy="762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-6985</wp:posOffset>
            </wp:positionV>
            <wp:extent cx="66675" cy="76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6675" cy="7620"/>
                    </a:xfrm>
                    <a:prstGeom prst="rect">
                      <a:avLst/>
                    </a:prstGeom>
                    <a:noFill/>
                  </pic:spPr>
                </pic:pic>
              </a:graphicData>
            </a:graphic>
          </wp:anchor>
        </w:drawing>
      </w:r>
    </w:p>
    <w:p>
      <w:pPr>
        <w:spacing w:after="0" w:line="150" w:lineRule="exact"/>
        <w:rPr>
          <w:sz w:val="20"/>
          <w:szCs w:val="20"/>
          <w:color w:val="auto"/>
        </w:rPr>
      </w:pPr>
    </w:p>
    <w:p>
      <w:pPr>
        <w:ind w:right="320" w:firstLine="751"/>
        <w:spacing w:after="0" w:line="267" w:lineRule="auto"/>
        <w:rPr>
          <w:sz w:val="20"/>
          <w:szCs w:val="20"/>
          <w:color w:val="auto"/>
        </w:rPr>
      </w:pPr>
      <w:r>
        <w:rPr>
          <w:rFonts w:ascii="Times New Roman" w:cs="Times New Roman" w:eastAsia="Times New Roman" w:hAnsi="Times New Roman"/>
          <w:sz w:val="16"/>
          <w:szCs w:val="16"/>
          <w:color w:val="auto"/>
        </w:rPr>
        <w:t>For the year ended December 31, 2023, product sales, net includes adjustments for provisions for product sales made in 2022 resulting from changes in estimates of $0.1 million for Sunosi and $0.8 million for Auvelity.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License Agreements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License Agreement with Pharmanovia</w:t>
      </w:r>
    </w:p>
    <w:p>
      <w:pPr>
        <w:spacing w:after="0" w:line="191" w:lineRule="exact"/>
        <w:rPr>
          <w:sz w:val="20"/>
          <w:szCs w:val="20"/>
          <w:color w:val="auto"/>
        </w:rPr>
      </w:pPr>
    </w:p>
    <w:p>
      <w:pPr>
        <w:ind w:right="320" w:firstLine="751"/>
        <w:spacing w:after="0" w:line="248" w:lineRule="auto"/>
        <w:rPr>
          <w:sz w:val="20"/>
          <w:szCs w:val="20"/>
          <w:color w:val="auto"/>
        </w:rPr>
      </w:pPr>
      <w:r>
        <w:rPr>
          <w:rFonts w:ascii="Times New Roman" w:cs="Times New Roman" w:eastAsia="Times New Roman" w:hAnsi="Times New Roman"/>
          <w:sz w:val="16"/>
          <w:szCs w:val="16"/>
          <w:color w:val="auto"/>
        </w:rPr>
        <w:t>In February 2023, Axsome Malta, a Malta limited company and a wholly-owned subsidiary of the Company, entered into an exclusive license agreement with Pharmanovia (the “Pharmanovia License Agreement”) to commercialize and further develop Sunosi in Europe and certain countries in the Middle East and North Africa (the “Territory”). Under the terms of the Pharmanovia License Agreement, the Company retains its existing interest in Sunosi intellectual property and licenses those rights in the Territory to Pharmanovia. Pharmanovia is solely responsible for the clinical development and commercialization of Sunosi in the Territory. The Company will continue to manufacture Sunosi and provide product supply to Pharmanovia for an indefinite period of time, and the Company will recognize revenue as a component of product sales, net, when product is supplied to Pharmanovia.</w:t>
      </w:r>
    </w:p>
    <w:p>
      <w:pPr>
        <w:spacing w:after="0" w:line="166" w:lineRule="exact"/>
        <w:rPr>
          <w:sz w:val="20"/>
          <w:szCs w:val="20"/>
          <w:color w:val="auto"/>
        </w:rPr>
      </w:pPr>
    </w:p>
    <w:p>
      <w:pPr>
        <w:ind w:firstLine="751"/>
        <w:spacing w:after="0" w:line="255" w:lineRule="auto"/>
        <w:rPr>
          <w:sz w:val="20"/>
          <w:szCs w:val="20"/>
          <w:color w:val="auto"/>
        </w:rPr>
      </w:pPr>
      <w:r>
        <w:rPr>
          <w:rFonts w:ascii="Times New Roman" w:cs="Times New Roman" w:eastAsia="Times New Roman" w:hAnsi="Times New Roman"/>
          <w:sz w:val="16"/>
          <w:szCs w:val="16"/>
          <w:color w:val="auto"/>
        </w:rPr>
        <w:t>In consideration for entering the Pharmanovia License Agreement, the Company received a non-refundable upfront payment of €62.0 million ($65.7 million). The Company also will receive a royalty percentage in the mid-twenties on Sunosi net sales in the Territory and is eligible to receive sales-based milestone payments totaling up to €94.5 million.</w:t>
      </w:r>
    </w:p>
    <w:p>
      <w:pPr>
        <w:spacing w:after="0" w:line="160" w:lineRule="exact"/>
        <w:rPr>
          <w:sz w:val="20"/>
          <w:szCs w:val="20"/>
          <w:color w:val="auto"/>
        </w:rPr>
      </w:pPr>
    </w:p>
    <w:p>
      <w:pPr>
        <w:ind w:firstLine="790"/>
        <w:spacing w:after="0" w:line="286" w:lineRule="auto"/>
        <w:rPr>
          <w:sz w:val="20"/>
          <w:szCs w:val="20"/>
          <w:color w:val="auto"/>
        </w:rPr>
      </w:pPr>
      <w:r>
        <w:rPr>
          <w:rFonts w:ascii="Times New Roman" w:cs="Times New Roman" w:eastAsia="Times New Roman" w:hAnsi="Times New Roman"/>
          <w:sz w:val="14"/>
          <w:szCs w:val="14"/>
          <w:color w:val="auto"/>
        </w:rPr>
        <w:t>The Company evaluated the Pharmanovia License Agreement under ASC 606 and concluded that Pharmanovia represents a customer in the transaction. The initial transaction price consisted of the non-refundable upfront payment, which was recognized as License Revenue in the first quarter of 2023 upon transfer of the license to Pharmanovia, as the requirement for revenue recognition under ASC 606 were met. The remaining forms of consideration are variable because they are dependent on the achievement of sales-based or other milestones. The Company evaluated the constraint on variable consideration and concluded that the milestone payments are dependent on regulatory approvals and actions of third parties, and thus are highly susceptible to factors outside the Company’s influence. Therefore, at contract inception, the milestones are not included in the transaction price as it is not probable that a significant reversal of revenue would not occur. Sales-based milestones will be recognized as revenue in the period when the related sales threshold is met. All other development or regulatory milestones will be recognized as revenue immediately in the period the underlying milestone is achieved. Any consideration related to sales-based royalties will be recognized when the related sales occur. For the year ended December 31, 2023, the Company recognized royalty revenue of $2.4 million, related to Pharmanovia sales of Sunosi. No other development or sales-based milestones were recognized during the year ended December 31, 2023.</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Exclusive License Agreement with Pfizer</w:t>
      </w:r>
    </w:p>
    <w:p>
      <w:pPr>
        <w:spacing w:after="0" w:line="191" w:lineRule="exact"/>
        <w:rPr>
          <w:sz w:val="20"/>
          <w:szCs w:val="20"/>
          <w:color w:val="auto"/>
        </w:rPr>
      </w:pPr>
    </w:p>
    <w:p>
      <w:pPr>
        <w:ind w:right="60" w:firstLine="751"/>
        <w:spacing w:after="0" w:line="309" w:lineRule="auto"/>
        <w:rPr>
          <w:sz w:val="20"/>
          <w:szCs w:val="20"/>
          <w:color w:val="auto"/>
        </w:rPr>
      </w:pPr>
      <w:r>
        <w:rPr>
          <w:rFonts w:ascii="Times New Roman" w:cs="Times New Roman" w:eastAsia="Times New Roman" w:hAnsi="Times New Roman"/>
          <w:sz w:val="14"/>
          <w:szCs w:val="14"/>
          <w:color w:val="auto"/>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referred to as AXS-14, in the U.S. for the treatment of fibromyalgia.</w:t>
      </w:r>
    </w:p>
    <w:p>
      <w:pPr>
        <w:spacing w:after="0" w:line="125" w:lineRule="exact"/>
        <w:rPr>
          <w:sz w:val="20"/>
          <w:szCs w:val="20"/>
          <w:color w:val="auto"/>
        </w:rPr>
      </w:pPr>
    </w:p>
    <w:p>
      <w:pPr>
        <w:ind w:right="40" w:firstLine="751"/>
        <w:spacing w:after="0" w:line="249" w:lineRule="auto"/>
        <w:rPr>
          <w:sz w:val="20"/>
          <w:szCs w:val="20"/>
          <w:color w:val="auto"/>
        </w:rPr>
      </w:pPr>
      <w:r>
        <w:rPr>
          <w:rFonts w:ascii="Times New Roman" w:cs="Times New Roman" w:eastAsia="Times New Roman" w:hAnsi="Times New Roman"/>
          <w:sz w:val="16"/>
          <w:szCs w:val="16"/>
          <w:color w:val="auto"/>
        </w:rPr>
        <w:t>Under the terms of the agreement, Pfizer received 82,019 shares of the Company’s common stock having a stated value of $8.0 million, based on the average closing price of the Company’s common stock for the ten prior trading days of $97.54, in consideration for the license and rights and also received an upfront cash payment of $3.0 million. The Company determined that the fair value of each share of common stock granted to Pfizer on the closing date of January 9, 2020 was $87.24, based on the closing price of the Company’s stock on that date. As a result, the fair value of the stock issued was $7.2 million and, therefore, the total research and development expense recognized was $10.2 million related to the Pfizer license agreement during the year ended December 31, 2020.</w:t>
      </w:r>
    </w:p>
    <w:p>
      <w:pPr>
        <w:spacing w:after="0" w:line="166" w:lineRule="exact"/>
        <w:rPr>
          <w:sz w:val="20"/>
          <w:szCs w:val="20"/>
          <w:color w:val="auto"/>
        </w:rPr>
      </w:pPr>
    </w:p>
    <w:p>
      <w:pPr>
        <w:ind w:right="120" w:firstLine="751"/>
        <w:spacing w:after="0" w:line="255" w:lineRule="auto"/>
        <w:rPr>
          <w:sz w:val="20"/>
          <w:szCs w:val="20"/>
          <w:color w:val="auto"/>
        </w:rPr>
      </w:pPr>
      <w:r>
        <w:rPr>
          <w:rFonts w:ascii="Times New Roman" w:cs="Times New Roman" w:eastAsia="Times New Roman" w:hAnsi="Times New Roman"/>
          <w:sz w:val="16"/>
          <w:szCs w:val="16"/>
          <w:color w:val="auto"/>
        </w:rPr>
        <w:t>Pfizer can also receive up to $323 million in regulatory and sales milestones and tiered mid-single to low double-digit royalties on future sales related to the licensed products. Pfizer will also have a right of first negotiation on any potential future strategic transactions involving AXS-12 and AXS-14. During the years ended December 31, 2023 and 2022, no milestone payments or royalties were paid to Pfizer by the Company.</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407035</wp:posOffset>
            </wp:positionV>
            <wp:extent cx="7176135" cy="4000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Exclusive License Agreements with Antecip</w:t>
      </w:r>
    </w:p>
    <w:p>
      <w:pPr>
        <w:spacing w:after="0" w:line="191" w:lineRule="exact"/>
        <w:rPr>
          <w:sz w:val="20"/>
          <w:szCs w:val="20"/>
          <w:color w:val="auto"/>
        </w:rPr>
      </w:pPr>
    </w:p>
    <w:p>
      <w:pPr>
        <w:ind w:firstLine="751"/>
        <w:spacing w:after="0" w:line="283" w:lineRule="auto"/>
        <w:rPr>
          <w:sz w:val="20"/>
          <w:szCs w:val="20"/>
          <w:color w:val="auto"/>
        </w:rPr>
      </w:pPr>
      <w:r>
        <w:rPr>
          <w:rFonts w:ascii="Times New Roman" w:cs="Times New Roman" w:eastAsia="Times New Roman" w:hAnsi="Times New Roman"/>
          <w:sz w:val="14"/>
          <w:szCs w:val="14"/>
          <w:color w:val="auto"/>
        </w:rPr>
        <w:t>In 2012, the Company entered into three exclusive license agreements with Antecip, an entity owned by the Company's Chief Executive Officer and Chairman of the Board, Herriot Tabuteau, M.D., in which the Company was granted exclusive licenses to develop, manufacture and commercialize Antecip’s patents and applications related to the development of AXS-05 (now marketed as Auvelity) and two product candidates no longer under active development, anywhere in the world for human therapeutic, veterinary, and diagnostic use. Pursuant to the agreements, the Company is required to use commercially reasonable efforts to develop, obtain regulatory approval for and commercialize these product candidates. Under the terms of the agreements, the Company is required to pay to Antecip a royalty equal to 3.0% for AXS-05 (and 1.5% or 4.5% for the other two product candidates no longer under active development),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product-by-product and country-by-country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paid-up, royalty-free, perpetual non-exclusive license. If Antecip terminates any of the agreements for cause, or if the Company exercises its right to terminate any of the agreements for convenience, the rights granted to the Company under such terminated agreement will revert to Antecip. The Company began recording royalty payments to Antecip along with the initiation of sales of Auvelity (the components of which are referred to as “AXS-05”) in the fourth quarter of 2022. For the year ended December 31, 2023, the Company recorded royalty expense of $3.9 million for royalty due to Antecip, which is equal to 3.0% of net sales of Auvelity. This is considered to be a related party transaction.</w:t>
      </w:r>
    </w:p>
    <w:p>
      <w:pPr>
        <w:spacing w:after="0" w:line="240" w:lineRule="exact"/>
        <w:rPr>
          <w:sz w:val="20"/>
          <w:szCs w:val="20"/>
          <w:color w:val="auto"/>
        </w:rPr>
      </w:pPr>
    </w:p>
    <w:p>
      <w:pPr>
        <w:ind w:right="460" w:firstLine="751"/>
        <w:spacing w:after="0" w:line="267" w:lineRule="auto"/>
        <w:rPr>
          <w:sz w:val="20"/>
          <w:szCs w:val="20"/>
          <w:color w:val="auto"/>
        </w:rPr>
      </w:pPr>
      <w:r>
        <w:rPr>
          <w:rFonts w:ascii="Times New Roman" w:cs="Times New Roman" w:eastAsia="Times New Roman" w:hAnsi="Times New Roman"/>
          <w:sz w:val="16"/>
          <w:szCs w:val="16"/>
          <w:color w:val="auto"/>
        </w:rPr>
        <w:t>In connection with the Loan Agreement, the Company entered into the Direct Agreement with Antecip and Hercules, pursuant to which Antecip consented to the collateral assignment of the License Agreement under the Loan Agreement, among other things.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17. Royalty Agreements</w:t>
      </w:r>
    </w:p>
    <w:p>
      <w:pPr>
        <w:spacing w:after="0" w:line="191" w:lineRule="exact"/>
        <w:rPr>
          <w:sz w:val="20"/>
          <w:szCs w:val="20"/>
          <w:color w:val="auto"/>
        </w:rPr>
      </w:pPr>
    </w:p>
    <w:p>
      <w:pPr>
        <w:ind w:right="120" w:firstLine="751"/>
        <w:spacing w:after="0" w:line="255" w:lineRule="auto"/>
        <w:rPr>
          <w:sz w:val="20"/>
          <w:szCs w:val="20"/>
          <w:color w:val="auto"/>
        </w:rPr>
      </w:pPr>
      <w:r>
        <w:rPr>
          <w:rFonts w:ascii="Times New Roman" w:cs="Times New Roman" w:eastAsia="Times New Roman" w:hAnsi="Times New Roman"/>
          <w:sz w:val="16"/>
          <w:szCs w:val="16"/>
          <w:color w:val="auto"/>
        </w:rPr>
        <w:t>Pursuant to the Purchase Agreement, the Company agreed to make non-refundable, non-creditable royalty payments to Jazz equal to a (A) high single-digit royalty for any current indication, or (B) mid single-digit royalty for any future indication of net sales in the U.S. Territory made during the applicable royalty term. There are no royalty payments due to Jazz for Net Sales outside of the U.S. Territory.</w:t>
      </w:r>
    </w:p>
    <w:p>
      <w:pPr>
        <w:spacing w:after="0" w:line="160" w:lineRule="exact"/>
        <w:rPr>
          <w:sz w:val="20"/>
          <w:szCs w:val="20"/>
          <w:color w:val="auto"/>
        </w:rPr>
      </w:pPr>
    </w:p>
    <w:p>
      <w:pPr>
        <w:ind w:right="40" w:firstLine="751"/>
        <w:spacing w:after="0" w:line="251" w:lineRule="auto"/>
        <w:rPr>
          <w:sz w:val="20"/>
          <w:szCs w:val="20"/>
          <w:color w:val="auto"/>
        </w:rPr>
      </w:pPr>
      <w:r>
        <w:rPr>
          <w:rFonts w:ascii="Times New Roman" w:cs="Times New Roman" w:eastAsia="Times New Roman" w:hAnsi="Times New Roman"/>
          <w:sz w:val="16"/>
          <w:szCs w:val="16"/>
          <w:color w:val="auto"/>
        </w:rPr>
        <w:t>At the Initial Closing, the Company assumed all of the commitments of Jazz to SK and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additionally, the Company is committed to pay up to $165 million based on revenue milestones and $1 million based on development milestones.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18. Income Taxes</w:t>
      </w:r>
    </w:p>
    <w:p>
      <w:pPr>
        <w:spacing w:after="0" w:line="191" w:lineRule="exact"/>
        <w:rPr>
          <w:sz w:val="20"/>
          <w:szCs w:val="20"/>
          <w:color w:val="auto"/>
        </w:rPr>
      </w:pPr>
    </w:p>
    <w:p>
      <w:pPr>
        <w:ind w:firstLine="751"/>
        <w:spacing w:after="0" w:line="248" w:lineRule="auto"/>
        <w:rPr>
          <w:sz w:val="20"/>
          <w:szCs w:val="20"/>
          <w:color w:val="auto"/>
        </w:rPr>
      </w:pPr>
      <w:r>
        <w:rPr>
          <w:rFonts w:ascii="Times New Roman" w:cs="Times New Roman" w:eastAsia="Times New Roman" w:hAnsi="Times New Roman"/>
          <w:sz w:val="16"/>
          <w:szCs w:val="16"/>
          <w:color w:val="auto"/>
        </w:rPr>
        <w:t>As of December 31, 2023, the Company has U.S. federal net operating loss (“NOL”) carryforwards of approximately $547 million and foreign NOL carryforwards of $0.7 million. U.S. federal NOLs amounting to $60 million generated before the 2018 tax year will start expiring beginning 2032, and the NOLs of approximately $487 million generated in 2018 and later have an indefinite carryforward period. The NOL carryforwards are subject to review and possible adjustment by the Internal Revenue Service (“IRS”) and state tax authorities. NOL carryforwards may become subject to an annual limitation in the event of certain cumulative changes in the ownership interest of significant stockholders, as defined under Sections 382 and 383 of the Internal Revenue Code of 1986, as amended, as well as similar state tax provisions. This could limit the amount of NOLs that the Company can utilize annually to offset future taxable income or tax liabilities.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components of the Company’s deferred tax assets and deferred tax liabilities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2"/>
                <w:szCs w:val="12"/>
                <w:b w:val="1"/>
                <w:bCs w:val="1"/>
                <w:color w:val="auto"/>
              </w:rPr>
              <w:t>December 31, 2022</w:t>
            </w:r>
          </w:p>
        </w:tc>
      </w:tr>
      <w:tr>
        <w:trPr>
          <w:trHeight w:val="202"/>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Net federal operating loss carryforward</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114,889</w:t>
            </w:r>
          </w:p>
        </w:tc>
        <w:tc>
          <w:tcPr>
            <w:tcW w:w="3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96,156</w:t>
            </w:r>
          </w:p>
        </w:tc>
      </w:tr>
      <w:tr>
        <w:trPr>
          <w:trHeight w:val="21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foreign operating loss carryforward</w:t>
            </w: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697</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2,795</w:t>
            </w:r>
          </w:p>
        </w:tc>
      </w:tr>
      <w:tr>
        <w:trPr>
          <w:trHeight w:val="20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Net state operating loss carryforward</w:t>
            </w:r>
          </w:p>
        </w:tc>
        <w:tc>
          <w:tcPr>
            <w:tcW w:w="180" w:type="dxa"/>
            <w:vAlign w:val="bottom"/>
          </w:tcPr>
          <w:p>
            <w:pPr>
              <w:spacing w:after="0"/>
              <w:rPr>
                <w:sz w:val="17"/>
                <w:szCs w:val="17"/>
                <w:color w:val="auto"/>
              </w:rPr>
            </w:pPr>
          </w:p>
        </w:tc>
        <w:tc>
          <w:tcPr>
            <w:tcW w:w="1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34,365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32,029</w:t>
            </w:r>
          </w:p>
        </w:tc>
      </w:tr>
      <w:tr>
        <w:trPr>
          <w:trHeight w:val="21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Non-cash compensation</w:t>
            </w: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20,007</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11,028</w:t>
            </w:r>
          </w:p>
        </w:tc>
      </w:tr>
      <w:tr>
        <w:trPr>
          <w:trHeight w:val="20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credits</w:t>
            </w:r>
          </w:p>
        </w:tc>
        <w:tc>
          <w:tcPr>
            <w:tcW w:w="180" w:type="dxa"/>
            <w:vAlign w:val="bottom"/>
          </w:tcPr>
          <w:p>
            <w:pPr>
              <w:spacing w:after="0"/>
              <w:rPr>
                <w:sz w:val="17"/>
                <w:szCs w:val="17"/>
                <w:color w:val="auto"/>
              </w:rPr>
            </w:pPr>
          </w:p>
        </w:tc>
        <w:tc>
          <w:tcPr>
            <w:tcW w:w="1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21,034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15,016</w:t>
            </w:r>
          </w:p>
        </w:tc>
      </w:tr>
      <w:tr>
        <w:trPr>
          <w:trHeight w:val="21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1,327</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319</w:t>
            </w:r>
          </w:p>
        </w:tc>
      </w:tr>
      <w:tr>
        <w:trPr>
          <w:trHeight w:val="20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w:t>
            </w:r>
          </w:p>
        </w:tc>
        <w:tc>
          <w:tcPr>
            <w:tcW w:w="180" w:type="dxa"/>
            <w:vAlign w:val="bottom"/>
          </w:tcPr>
          <w:p>
            <w:pPr>
              <w:spacing w:after="0"/>
              <w:rPr>
                <w:sz w:val="17"/>
                <w:szCs w:val="17"/>
                <w:color w:val="auto"/>
              </w:rPr>
            </w:pPr>
          </w:p>
        </w:tc>
        <w:tc>
          <w:tcPr>
            <w:tcW w:w="1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4,242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10,422</w:t>
            </w:r>
          </w:p>
        </w:tc>
      </w:tr>
      <w:tr>
        <w:trPr>
          <w:trHeight w:val="21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6,058</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2,113</w:t>
            </w:r>
          </w:p>
        </w:tc>
      </w:tr>
      <w:tr>
        <w:trPr>
          <w:trHeight w:val="20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Section 174 capitalization</w:t>
            </w:r>
          </w:p>
        </w:tc>
        <w:tc>
          <w:tcPr>
            <w:tcW w:w="180" w:type="dxa"/>
            <w:vAlign w:val="bottom"/>
          </w:tcPr>
          <w:p>
            <w:pPr>
              <w:spacing w:after="0"/>
              <w:rPr>
                <w:sz w:val="17"/>
                <w:szCs w:val="17"/>
                <w:color w:val="auto"/>
              </w:rPr>
            </w:pPr>
          </w:p>
        </w:tc>
        <w:tc>
          <w:tcPr>
            <w:tcW w:w="1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22,248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14,541</w:t>
            </w: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315</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110</w:t>
            </w:r>
          </w:p>
        </w:tc>
      </w:tr>
      <w:tr>
        <w:trPr>
          <w:trHeight w:val="202"/>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 excluding valuation allowance</w:t>
            </w:r>
          </w:p>
        </w:tc>
        <w:tc>
          <w:tcPr>
            <w:tcW w:w="180" w:type="dxa"/>
            <w:vAlign w:val="bottom"/>
          </w:tcPr>
          <w:p>
            <w:pPr>
              <w:spacing w:after="0"/>
              <w:rPr>
                <w:sz w:val="17"/>
                <w:szCs w:val="17"/>
                <w:color w:val="auto"/>
              </w:rPr>
            </w:pPr>
          </w:p>
        </w:tc>
        <w:tc>
          <w:tcPr>
            <w:tcW w:w="1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225,182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184,529</w:t>
            </w:r>
          </w:p>
        </w:tc>
      </w:tr>
      <w:tr>
        <w:trPr>
          <w:trHeight w:val="21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0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Fixed assets</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asset</w:t>
            </w: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(1,661 )</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(104 )</w:t>
            </w:r>
          </w:p>
        </w:tc>
      </w:tr>
      <w:tr>
        <w:trPr>
          <w:trHeight w:val="202"/>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liability, excluding valuation allowance</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(1,739 )</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r>
      <w:tr>
        <w:trPr>
          <w:trHeight w:val="214"/>
        </w:trPr>
        <w:tc>
          <w:tcPr>
            <w:tcW w:w="7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0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Less valuation allowance</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(223,443 )</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(184,425 )</w:t>
            </w:r>
          </w:p>
        </w:tc>
      </w:tr>
      <w:tr>
        <w:trPr>
          <w:trHeight w:val="243"/>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deferred tax assets</w:t>
            </w:r>
          </w:p>
        </w:tc>
        <w:tc>
          <w:tcPr>
            <w:tcW w:w="1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5982970</wp:posOffset>
            </wp:positionH>
            <wp:positionV relativeFrom="paragraph">
              <wp:posOffset>-1110615</wp:posOffset>
            </wp:positionV>
            <wp:extent cx="111125"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11125" cy="7620"/>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-570230</wp:posOffset>
            </wp:positionV>
            <wp:extent cx="111125" cy="76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11125" cy="7620"/>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-21590</wp:posOffset>
            </wp:positionV>
            <wp:extent cx="111125" cy="76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11125" cy="7620"/>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-6985</wp:posOffset>
            </wp:positionV>
            <wp:extent cx="111125"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11125" cy="7620"/>
                    </a:xfrm>
                    <a:prstGeom prst="rect">
                      <a:avLst/>
                    </a:prstGeom>
                    <a:noFill/>
                  </pic:spPr>
                </pic:pic>
              </a:graphicData>
            </a:graphic>
          </wp:anchor>
        </w:drawing>
      </w:r>
    </w:p>
    <w:p>
      <w:pPr>
        <w:spacing w:after="0" w:line="150" w:lineRule="exact"/>
        <w:rPr>
          <w:sz w:val="20"/>
          <w:szCs w:val="20"/>
          <w:color w:val="auto"/>
        </w:rPr>
      </w:pPr>
    </w:p>
    <w:p>
      <w:pPr>
        <w:ind w:right="80" w:firstLine="751"/>
        <w:spacing w:after="0" w:line="249" w:lineRule="auto"/>
        <w:rPr>
          <w:sz w:val="20"/>
          <w:szCs w:val="20"/>
          <w:color w:val="auto"/>
        </w:rPr>
      </w:pPr>
      <w:r>
        <w:rPr>
          <w:rFonts w:ascii="Times New Roman" w:cs="Times New Roman" w:eastAsia="Times New Roman" w:hAnsi="Times New Roman"/>
          <w:sz w:val="16"/>
          <w:szCs w:val="16"/>
          <w:color w:val="auto"/>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Based on the weight of the available evidence, which includes the Company’s historical operating losses and forecast of future losses, the Company provided a full valuation allowance against the deferred tax assets resulting from the tax loss and credits carried forward. The valuation allowance increased $39.0 million, $26.9 million and $49.6 million, in 2023, 2022 and 2021, respectively, as a result of the increase of the deferred tax assets.</w:t>
      </w:r>
    </w:p>
    <w:p>
      <w:pPr>
        <w:spacing w:after="0" w:line="166" w:lineRule="exact"/>
        <w:rPr>
          <w:sz w:val="20"/>
          <w:szCs w:val="20"/>
          <w:color w:val="auto"/>
        </w:rPr>
      </w:pPr>
    </w:p>
    <w:p>
      <w:pPr>
        <w:ind w:right="220" w:firstLine="751"/>
        <w:spacing w:after="0" w:line="251" w:lineRule="auto"/>
        <w:rPr>
          <w:sz w:val="20"/>
          <w:szCs w:val="20"/>
          <w:color w:val="auto"/>
        </w:rPr>
      </w:pPr>
      <w:r>
        <w:rPr>
          <w:rFonts w:ascii="Times New Roman" w:cs="Times New Roman" w:eastAsia="Times New Roman" w:hAnsi="Times New Roman"/>
          <w:sz w:val="16"/>
          <w:szCs w:val="16"/>
          <w:color w:val="auto"/>
        </w:rPr>
        <w:t>The Company recorded $1.0 million of income tax expense related to its foreign operations primarily due to a one-time payment received in connection with the Pharmanovia License Agreement. There was no income tax expense or benefit recorded by the Company in any other jurisdiction due to its net loss tax position and full valuation allowance during the years ended December 31, 2022 and 2021. As of December 31, 2023, the Company does not believe any material uncertain tax positions are present. A reconciliation of the statutory federal income tax rate to the Company’s annual effective tax rate as reflected in the consolidated financial statements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8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20" w:type="dxa"/>
            <w:vAlign w:val="bottom"/>
          </w:tcPr>
          <w:p>
            <w:pPr>
              <w:spacing w:after="0"/>
              <w:rPr>
                <w:sz w:val="14"/>
                <w:szCs w:val="14"/>
                <w:color w:val="auto"/>
              </w:rPr>
            </w:pPr>
          </w:p>
        </w:tc>
        <w:tc>
          <w:tcPr>
            <w:tcW w:w="15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40" w:type="dxa"/>
            <w:vAlign w:val="bottom"/>
          </w:tcPr>
          <w:p>
            <w:pPr>
              <w:spacing w:after="0"/>
              <w:rPr>
                <w:sz w:val="14"/>
                <w:szCs w:val="14"/>
                <w:color w:val="auto"/>
              </w:rPr>
            </w:pPr>
          </w:p>
        </w:tc>
      </w:tr>
      <w:tr>
        <w:trPr>
          <w:trHeight w:val="194"/>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U.S. federal statutory income tax rate</w:t>
            </w:r>
          </w:p>
        </w:tc>
        <w:tc>
          <w:tcPr>
            <w:tcW w:w="39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21.0 %</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21.0 %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05"/>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State taxes, net of federal benefit</w:t>
            </w:r>
          </w:p>
        </w:tc>
        <w:tc>
          <w:tcPr>
            <w:tcW w:w="3860" w:type="dxa"/>
            <w:vAlign w:val="bottom"/>
            <w:gridSpan w:val="2"/>
          </w:tcPr>
          <w:p>
            <w:pPr>
              <w:jc w:val="right"/>
              <w:ind w:right="47"/>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7"/>
                <w:szCs w:val="17"/>
                <w:color w:val="auto"/>
              </w:rPr>
            </w:pPr>
          </w:p>
        </w:tc>
        <w:tc>
          <w:tcPr>
            <w:tcW w:w="15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7"/>
                <w:szCs w:val="17"/>
                <w:color w:val="auto"/>
              </w:rPr>
            </w:pPr>
          </w:p>
        </w:tc>
        <w:tc>
          <w:tcPr>
            <w:tcW w:w="14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14.0</w:t>
            </w:r>
          </w:p>
        </w:tc>
        <w:tc>
          <w:tcPr>
            <w:tcW w:w="40" w:type="dxa"/>
            <w:vAlign w:val="bottom"/>
          </w:tcPr>
          <w:p>
            <w:pPr>
              <w:spacing w:after="0"/>
              <w:rPr>
                <w:sz w:val="17"/>
                <w:szCs w:val="17"/>
                <w:color w:val="auto"/>
              </w:rPr>
            </w:pPr>
          </w:p>
        </w:tc>
      </w:tr>
      <w:tr>
        <w:trPr>
          <w:trHeight w:val="222"/>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Rate Differential</w:t>
            </w:r>
          </w:p>
        </w:tc>
        <w:tc>
          <w:tcPr>
            <w:tcW w:w="3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Stock based compensation - Excess tax benefit</w:t>
            </w:r>
          </w:p>
        </w:tc>
        <w:tc>
          <w:tcPr>
            <w:tcW w:w="3860" w:type="dxa"/>
            <w:vAlign w:val="bottom"/>
            <w:gridSpan w:val="2"/>
          </w:tcPr>
          <w:p>
            <w:pPr>
              <w:jc w:val="right"/>
              <w:ind w:right="47"/>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7"/>
                <w:szCs w:val="17"/>
                <w:color w:val="auto"/>
              </w:rPr>
            </w:pPr>
          </w:p>
        </w:tc>
        <w:tc>
          <w:tcPr>
            <w:tcW w:w="15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14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1.8</w:t>
            </w:r>
          </w:p>
        </w:tc>
        <w:tc>
          <w:tcPr>
            <w:tcW w:w="40" w:type="dxa"/>
            <w:vAlign w:val="bottom"/>
          </w:tcPr>
          <w:p>
            <w:pPr>
              <w:spacing w:after="0"/>
              <w:rPr>
                <w:sz w:val="17"/>
                <w:szCs w:val="17"/>
                <w:color w:val="auto"/>
              </w:rPr>
            </w:pPr>
          </w:p>
        </w:tc>
      </w:tr>
      <w:tr>
        <w:trPr>
          <w:trHeight w:val="218"/>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162(m) Limitation</w:t>
            </w:r>
          </w:p>
        </w:tc>
        <w:tc>
          <w:tcPr>
            <w:tcW w:w="3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r>
      <w:tr>
        <w:trPr>
          <w:trHeight w:val="206"/>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Other permanent differences</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40" w:type="dxa"/>
            <w:vAlign w:val="bottom"/>
          </w:tcPr>
          <w:p>
            <w:pPr>
              <w:spacing w:after="0"/>
              <w:rPr>
                <w:sz w:val="17"/>
                <w:szCs w:val="17"/>
                <w:color w:val="auto"/>
              </w:rPr>
            </w:pPr>
          </w:p>
        </w:tc>
      </w:tr>
      <w:tr>
        <w:trPr>
          <w:trHeight w:val="214"/>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credit</w:t>
            </w:r>
          </w:p>
        </w:tc>
        <w:tc>
          <w:tcPr>
            <w:tcW w:w="3860" w:type="dxa"/>
            <w:vAlign w:val="bottom"/>
            <w:gridSpan w:val="2"/>
            <w:shd w:val="clear" w:color="auto" w:fill="CFF0FC"/>
          </w:tcPr>
          <w:p>
            <w:pPr>
              <w:jc w:val="right"/>
              <w:ind w:right="47"/>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1.3</w:t>
            </w:r>
          </w:p>
        </w:tc>
        <w:tc>
          <w:tcPr>
            <w:tcW w:w="40" w:type="dxa"/>
            <w:vAlign w:val="bottom"/>
          </w:tcPr>
          <w:p>
            <w:pPr>
              <w:spacing w:after="0"/>
              <w:rPr>
                <w:sz w:val="18"/>
                <w:szCs w:val="18"/>
                <w:color w:val="auto"/>
              </w:rPr>
            </w:pP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adjustment</w:t>
            </w:r>
          </w:p>
        </w:tc>
        <w:tc>
          <w:tcPr>
            <w:tcW w:w="2380" w:type="dxa"/>
            <w:vAlign w:val="bottom"/>
          </w:tcPr>
          <w:p>
            <w:pPr>
              <w:spacing w:after="0"/>
              <w:rPr>
                <w:sz w:val="17"/>
                <w:szCs w:val="17"/>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tcPr>
          <w:p>
            <w:pPr>
              <w:spacing w:after="0"/>
              <w:rPr>
                <w:sz w:val="17"/>
                <w:szCs w:val="17"/>
                <w:color w:val="auto"/>
              </w:rPr>
            </w:pPr>
          </w:p>
        </w:tc>
        <w:tc>
          <w:tcPr>
            <w:tcW w:w="14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18"/>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GILTI</w:t>
            </w:r>
          </w:p>
        </w:tc>
        <w:tc>
          <w:tcPr>
            <w:tcW w:w="3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238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(23.9 )</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(38.0 )</w:t>
            </w:r>
          </w:p>
        </w:tc>
        <w:tc>
          <w:tcPr>
            <w:tcW w:w="40" w:type="dxa"/>
            <w:vAlign w:val="bottom"/>
          </w:tcPr>
          <w:p>
            <w:pPr>
              <w:spacing w:after="0"/>
              <w:rPr>
                <w:sz w:val="17"/>
                <w:szCs w:val="17"/>
                <w:color w:val="auto"/>
              </w:rPr>
            </w:pPr>
          </w:p>
        </w:tc>
      </w:tr>
      <w:tr>
        <w:trPr>
          <w:trHeight w:val="205"/>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39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(0.4 )%</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
        </w:trPr>
        <w:tc>
          <w:tcPr>
            <w:tcW w:w="4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97"/>
        </w:trPr>
        <w:tc>
          <w:tcPr>
            <w:tcW w:w="4200" w:type="dxa"/>
            <w:vAlign w:val="bottom"/>
          </w:tcPr>
          <w:p>
            <w:pPr>
              <w:spacing w:after="0"/>
              <w:rPr>
                <w:sz w:val="24"/>
                <w:szCs w:val="24"/>
                <w:color w:val="auto"/>
              </w:rPr>
            </w:pPr>
          </w:p>
        </w:tc>
        <w:tc>
          <w:tcPr>
            <w:tcW w:w="3980" w:type="dxa"/>
            <w:vAlign w:val="bottom"/>
            <w:gridSpan w:val="3"/>
          </w:tcPr>
          <w:p>
            <w:pPr>
              <w:jc w:val="right"/>
              <w:ind w:right="2400"/>
              <w:spacing w:after="0"/>
              <w:rPr>
                <w:sz w:val="20"/>
                <w:szCs w:val="20"/>
                <w:color w:val="auto"/>
              </w:rPr>
            </w:pPr>
            <w:r>
              <w:rPr>
                <w:rFonts w:ascii="Times New Roman" w:cs="Times New Roman" w:eastAsia="Times New Roman" w:hAnsi="Times New Roman"/>
                <w:sz w:val="16"/>
                <w:szCs w:val="16"/>
                <w:color w:val="auto"/>
              </w:rPr>
              <w:t>F-36</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58"/>
        </w:trPr>
        <w:tc>
          <w:tcPr>
            <w:tcW w:w="42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-2319020</wp:posOffset>
            </wp:positionV>
            <wp:extent cx="7150735" cy="1333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0735" cy="133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-977265</wp:posOffset>
            </wp:positionV>
            <wp:extent cx="7150735" cy="15557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0735" cy="155575"/>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300"/>
          </w:cols>
          <w:pgMar w:left="320" w:top="680" w:right="2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80" w:firstLine="751"/>
        <w:spacing w:after="0" w:line="255" w:lineRule="auto"/>
        <w:rPr>
          <w:sz w:val="20"/>
          <w:szCs w:val="20"/>
          <w:color w:val="auto"/>
        </w:rPr>
      </w:pPr>
      <w:r>
        <w:rPr>
          <w:rFonts w:ascii="Times New Roman" w:cs="Times New Roman" w:eastAsia="Times New Roman" w:hAnsi="Times New Roman"/>
          <w:sz w:val="16"/>
          <w:szCs w:val="16"/>
          <w:color w:val="auto"/>
        </w:rPr>
        <w:t>The Company is currently under examination by the IRS for the Company's 2021 U.S. income tax return. The Company is not currently under examination at the state level. The Company’s U.S. federal and state net operating losses have occurred since its inception in 2012 and as such, tax years subject to potential tax examination could apply from that date because the utilization of net operating losses from prior years opens the relevant year to audit by the IRS and/or state taxing authorities.</w:t>
      </w:r>
    </w:p>
    <w:p>
      <w:pPr>
        <w:spacing w:after="0" w:line="160" w:lineRule="exact"/>
        <w:rPr>
          <w:sz w:val="20"/>
          <w:szCs w:val="20"/>
          <w:color w:val="auto"/>
        </w:rPr>
      </w:pPr>
    </w:p>
    <w:p>
      <w:pPr>
        <w:ind w:firstLine="751"/>
        <w:spacing w:after="0" w:line="267" w:lineRule="auto"/>
        <w:rPr>
          <w:sz w:val="20"/>
          <w:szCs w:val="20"/>
          <w:color w:val="auto"/>
        </w:rPr>
      </w:pPr>
      <w:r>
        <w:rPr>
          <w:rFonts w:ascii="Times New Roman" w:cs="Times New Roman" w:eastAsia="Times New Roman" w:hAnsi="Times New Roman"/>
          <w:sz w:val="16"/>
          <w:szCs w:val="16"/>
          <w:color w:val="auto"/>
        </w:rPr>
        <w:t>The Company has elected to account for Global Intangible Low-Taxed Income (GILTI) in the period in which it is incurred, and therefore has not provided deferred tax impacts of GILTI in its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19. Related Party Transactions</w:t>
      </w:r>
    </w:p>
    <w:p>
      <w:pPr>
        <w:spacing w:after="0" w:line="191" w:lineRule="exact"/>
        <w:rPr>
          <w:sz w:val="20"/>
          <w:szCs w:val="20"/>
          <w:color w:val="auto"/>
        </w:rPr>
      </w:pPr>
    </w:p>
    <w:p>
      <w:pPr>
        <w:ind w:right="100" w:firstLine="751"/>
        <w:spacing w:after="0" w:line="249" w:lineRule="auto"/>
        <w:rPr>
          <w:sz w:val="20"/>
          <w:szCs w:val="20"/>
          <w:color w:val="auto"/>
        </w:rPr>
      </w:pPr>
      <w:r>
        <w:rPr>
          <w:rFonts w:ascii="Times New Roman" w:cs="Times New Roman" w:eastAsia="Times New Roman" w:hAnsi="Times New Roman"/>
          <w:sz w:val="16"/>
          <w:szCs w:val="16"/>
          <w:color w:val="auto"/>
        </w:rPr>
        <w:t>From the Company’s inception, Herriot Tabuteau, M.D. has been the Company’s founder, Chief Executive Officer, Chairman of the Company’s Board, and the beneficial owner of more than 5% of the outstanding shares of the Company’s common stock. In connection with the formation of the Company, in January 2012, the Company issued to Antecip Bioventures II LLC, an entity controlled by Dr. Tabuteau, an aggregate of 7,344,500 shares of the Company’s common stock for nominal consideration. Additionally, since the launch of Auvelity in the fourth quarter of 2022, the Company recorded royalty expense of $3.9 million and $0.2 million for the years ended December 31, 2023 and 2022, respectively, which equal 3.0% of net sales for those respective years.</w:t>
      </w:r>
    </w:p>
    <w:p>
      <w:pPr>
        <w:spacing w:after="0" w:line="166" w:lineRule="exact"/>
        <w:rPr>
          <w:sz w:val="20"/>
          <w:szCs w:val="20"/>
          <w:color w:val="auto"/>
        </w:rPr>
      </w:pPr>
    </w:p>
    <w:p>
      <w:pPr>
        <w:ind w:right="120" w:firstLine="751"/>
        <w:spacing w:after="0" w:line="267" w:lineRule="auto"/>
        <w:rPr>
          <w:sz w:val="20"/>
          <w:szCs w:val="20"/>
          <w:color w:val="auto"/>
        </w:rPr>
      </w:pPr>
      <w:r>
        <w:rPr>
          <w:rFonts w:ascii="Times New Roman" w:cs="Times New Roman" w:eastAsia="Times New Roman" w:hAnsi="Times New Roman"/>
          <w:sz w:val="16"/>
          <w:szCs w:val="16"/>
          <w:color w:val="auto"/>
        </w:rPr>
        <w:t>The Company is a party to three exclusive license agreements with Antecip Bioventures II LLC, an entity owned by Dr. Tabuteau. See Note 16 - License Agreements for further information regarding the license agreements.</w:t>
      </w: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80"/>
          </w:cols>
          <w:pgMar w:left="320" w:top="680" w:right="3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20" w:type="dxa"/>
            <w:vAlign w:val="bottom"/>
            <w:gridSpan w:val="20"/>
          </w:tcPr>
          <w:p>
            <w:pPr>
              <w:ind w:left="220"/>
              <w:spacing w:after="0"/>
              <w:rPr>
                <w:sz w:val="20"/>
                <w:szCs w:val="20"/>
                <w:color w:val="auto"/>
              </w:rPr>
            </w:pPr>
            <w:r>
              <w:rPr>
                <w:rFonts w:ascii="Times New Roman" w:cs="Times New Roman" w:eastAsia="Times New Roman" w:hAnsi="Times New Roman"/>
                <w:sz w:val="16"/>
                <w:szCs w:val="16"/>
                <w:b w:val="1"/>
                <w:bCs w:val="1"/>
                <w:color w:val="auto"/>
              </w:rPr>
              <w:t>INDEX OF EXHIBITS</w:t>
            </w:r>
          </w:p>
        </w:tc>
        <w:tc>
          <w:tcPr>
            <w:tcW w:w="0" w:type="dxa"/>
            <w:vAlign w:val="bottom"/>
          </w:tcPr>
          <w:p>
            <w:pPr>
              <w:spacing w:after="0"/>
              <w:rPr>
                <w:sz w:val="1"/>
                <w:szCs w:val="1"/>
                <w:color w:val="auto"/>
              </w:rPr>
            </w:pPr>
          </w:p>
        </w:tc>
      </w:tr>
      <w:tr>
        <w:trPr>
          <w:trHeight w:val="306"/>
        </w:trPr>
        <w:tc>
          <w:tcPr>
            <w:tcW w:w="104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940" w:type="dxa"/>
            <w:vAlign w:val="bottom"/>
            <w:gridSpan w:val="19"/>
            <w:vMerge w:val="restart"/>
          </w:tcPr>
          <w:p>
            <w:pPr>
              <w:ind w:left="58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162"/>
        </w:trPr>
        <w:tc>
          <w:tcPr>
            <w:tcW w:w="10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940" w:type="dxa"/>
            <w:vAlign w:val="bottom"/>
            <w:tcBorders>
              <w:bottom w:val="single" w:sz="8" w:color="auto"/>
            </w:tcBorders>
            <w:gridSpan w:val="1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1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40" w:type="dxa"/>
            <w:vAlign w:val="bottom"/>
            <w:tcBorders>
              <w:bottom w:val="single" w:sz="8" w:color="0000EE"/>
            </w:tcBorders>
            <w:gridSpan w:val="23"/>
          </w:tcPr>
          <w:p>
            <w:pPr>
              <w:spacing w:after="0"/>
              <w:rPr>
                <w:rFonts w:ascii="Times New Roman" w:cs="Times New Roman" w:eastAsia="Times New Roman" w:hAnsi="Times New Roman"/>
                <w:sz w:val="16"/>
                <w:szCs w:val="16"/>
                <w:color w:val="auto"/>
                <w:w w:val="97"/>
              </w:rPr>
            </w:pPr>
            <w:hyperlink r:id="rId509">
              <w:r>
                <w:rPr>
                  <w:rFonts w:ascii="Times New Roman" w:cs="Times New Roman" w:eastAsia="Times New Roman" w:hAnsi="Times New Roman"/>
                  <w:sz w:val="16"/>
                  <w:szCs w:val="16"/>
                  <w:color w:val="auto"/>
                  <w:w w:val="97"/>
                </w:rPr>
                <w:t>Amended and Restated Certificate of Incorporation of the Company (Incorporated by reference, Exhibit 3.1 to the Company’s Current Report on Form 8-K (No.</w:t>
              </w:r>
            </w:hyperlink>
          </w:p>
        </w:tc>
        <w:tc>
          <w:tcPr>
            <w:tcW w:w="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20" w:type="dxa"/>
            <w:vAlign w:val="bottom"/>
            <w:tcBorders>
              <w:bottom w:val="single" w:sz="8" w:color="0000EE"/>
            </w:tcBorders>
            <w:gridSpan w:val="4"/>
          </w:tcPr>
          <w:p>
            <w:pPr>
              <w:spacing w:after="0" w:line="167" w:lineRule="exact"/>
              <w:rPr>
                <w:rFonts w:ascii="Times New Roman" w:cs="Times New Roman" w:eastAsia="Times New Roman" w:hAnsi="Times New Roman"/>
                <w:sz w:val="16"/>
                <w:szCs w:val="16"/>
                <w:color w:val="auto"/>
                <w:w w:val="96"/>
              </w:rPr>
            </w:pPr>
            <w:hyperlink r:id="rId509">
              <w:r>
                <w:rPr>
                  <w:rFonts w:ascii="Times New Roman" w:cs="Times New Roman" w:eastAsia="Times New Roman" w:hAnsi="Times New Roman"/>
                  <w:sz w:val="16"/>
                  <w:szCs w:val="16"/>
                  <w:color w:val="auto"/>
                  <w:w w:val="96"/>
                </w:rPr>
                <w:t>001-37635) filed November 24, 2015).</w:t>
              </w:r>
            </w:hyperlink>
          </w:p>
        </w:tc>
        <w:tc>
          <w:tcPr>
            <w:tcW w:w="7680" w:type="dxa"/>
            <w:vAlign w:val="bottom"/>
            <w:gridSpan w:val="21"/>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1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tcBorders>
              <w:bottom w:val="single" w:sz="8" w:color="0000EE"/>
            </w:tcBorders>
            <w:gridSpan w:val="18"/>
          </w:tcPr>
          <w:p>
            <w:pPr>
              <w:spacing w:after="0"/>
              <w:rPr>
                <w:rFonts w:ascii="Times New Roman" w:cs="Times New Roman" w:eastAsia="Times New Roman" w:hAnsi="Times New Roman"/>
                <w:sz w:val="16"/>
                <w:szCs w:val="16"/>
                <w:color w:val="auto"/>
                <w:w w:val="97"/>
              </w:rPr>
            </w:pPr>
            <w:hyperlink r:id="rId510">
              <w:r>
                <w:rPr>
                  <w:rFonts w:ascii="Times New Roman" w:cs="Times New Roman" w:eastAsia="Times New Roman" w:hAnsi="Times New Roman"/>
                  <w:sz w:val="16"/>
                  <w:szCs w:val="16"/>
                  <w:color w:val="auto"/>
                  <w:w w:val="97"/>
                </w:rPr>
                <w:t>Amended and Restated Bylaws of the Company (Incorporated by reference, Exhibit 3.2 to the Company’s Current Report on Form 8-K (No. 001-37635) filed</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bottom w:val="single" w:sz="8" w:color="0000EE"/>
            </w:tcBorders>
            <w:gridSpan w:val="3"/>
          </w:tcPr>
          <w:p>
            <w:pPr>
              <w:spacing w:after="0" w:line="167" w:lineRule="exact"/>
              <w:rPr>
                <w:rFonts w:ascii="Times New Roman" w:cs="Times New Roman" w:eastAsia="Times New Roman" w:hAnsi="Times New Roman"/>
                <w:sz w:val="16"/>
                <w:szCs w:val="16"/>
                <w:color w:val="auto"/>
                <w:w w:val="96"/>
              </w:rPr>
            </w:pPr>
            <w:hyperlink r:id="rId510">
              <w:r>
                <w:rPr>
                  <w:rFonts w:ascii="Times New Roman" w:cs="Times New Roman" w:eastAsia="Times New Roman" w:hAnsi="Times New Roman"/>
                  <w:sz w:val="16"/>
                  <w:szCs w:val="16"/>
                  <w:color w:val="auto"/>
                  <w:w w:val="96"/>
                </w:rPr>
                <w:t>November 24, 2015).</w:t>
              </w:r>
            </w:hyperlink>
          </w:p>
        </w:tc>
        <w:tc>
          <w:tcPr>
            <w:tcW w:w="8760" w:type="dxa"/>
            <w:vAlign w:val="bottom"/>
            <w:gridSpan w:val="22"/>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1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5"/>
          </w:tcPr>
          <w:p>
            <w:pPr>
              <w:spacing w:after="0"/>
              <w:rPr>
                <w:rFonts w:ascii="Times New Roman" w:cs="Times New Roman" w:eastAsia="Times New Roman" w:hAnsi="Times New Roman"/>
                <w:sz w:val="16"/>
                <w:szCs w:val="16"/>
                <w:color w:val="auto"/>
                <w:w w:val="97"/>
              </w:rPr>
            </w:pPr>
            <w:hyperlink r:id="rId511">
              <w:r>
                <w:rPr>
                  <w:rFonts w:ascii="Times New Roman" w:cs="Times New Roman" w:eastAsia="Times New Roman" w:hAnsi="Times New Roman"/>
                  <w:sz w:val="16"/>
                  <w:szCs w:val="16"/>
                  <w:color w:val="auto"/>
                  <w:w w:val="97"/>
                </w:rPr>
                <w:t>Specimen Certificate evidencing shares of Company’s common stock (Incorporated by reference, Exhibit 4.1 to Amendment No. 1 to the Company’s Registration</w:t>
              </w:r>
            </w:hyperlink>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60" w:type="dxa"/>
            <w:vAlign w:val="bottom"/>
            <w:tcBorders>
              <w:top w:val="single" w:sz="8" w:color="0000EE"/>
              <w:bottom w:val="single" w:sz="8" w:color="0000EE"/>
            </w:tcBorders>
            <w:gridSpan w:val="6"/>
          </w:tcPr>
          <w:p>
            <w:pPr>
              <w:spacing w:after="0" w:line="167" w:lineRule="exact"/>
              <w:rPr>
                <w:rFonts w:ascii="Times New Roman" w:cs="Times New Roman" w:eastAsia="Times New Roman" w:hAnsi="Times New Roman"/>
                <w:sz w:val="16"/>
                <w:szCs w:val="16"/>
                <w:color w:val="auto"/>
                <w:w w:val="97"/>
              </w:rPr>
            </w:pPr>
            <w:hyperlink r:id="rId511">
              <w:r>
                <w:rPr>
                  <w:rFonts w:ascii="Times New Roman" w:cs="Times New Roman" w:eastAsia="Times New Roman" w:hAnsi="Times New Roman"/>
                  <w:sz w:val="16"/>
                  <w:szCs w:val="16"/>
                  <w:color w:val="auto"/>
                  <w:w w:val="97"/>
                </w:rPr>
                <w:t>Statement on Form S-1 (No. 333</w:t>
              </w:r>
              <w:r>
                <w:rPr>
                  <w:rFonts w:ascii="MS PGothic" w:cs="MS PGothic" w:eastAsia="MS PGothic" w:hAnsi="MS PGothic"/>
                  <w:sz w:val="16"/>
                  <w:szCs w:val="16"/>
                  <w:color w:val="auto"/>
                  <w:w w:val="97"/>
                </w:rPr>
                <w:t>‑</w:t>
              </w:r>
              <w:r>
                <w:rPr>
                  <w:rFonts w:ascii="Times New Roman" w:cs="Times New Roman" w:eastAsia="Times New Roman" w:hAnsi="Times New Roman"/>
                  <w:sz w:val="16"/>
                  <w:szCs w:val="16"/>
                  <w:color w:val="auto"/>
                  <w:w w:val="97"/>
                </w:rPr>
                <w:t>207393) filed October 30, 2015).</w:t>
              </w:r>
            </w:hyperlink>
          </w:p>
        </w:tc>
        <w:tc>
          <w:tcPr>
            <w:tcW w:w="5920" w:type="dxa"/>
            <w:vAlign w:val="bottom"/>
            <w:tcBorders>
              <w:top w:val="single" w:sz="8" w:color="0000EE"/>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1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EE"/>
            </w:tcBorders>
            <w:gridSpan w:val="24"/>
          </w:tcPr>
          <w:p>
            <w:pPr>
              <w:spacing w:after="0"/>
              <w:rPr>
                <w:rFonts w:ascii="Times New Roman" w:cs="Times New Roman" w:eastAsia="Times New Roman" w:hAnsi="Times New Roman"/>
                <w:sz w:val="16"/>
                <w:szCs w:val="16"/>
                <w:color w:val="auto"/>
                <w:w w:val="96"/>
              </w:rPr>
            </w:pPr>
            <w:hyperlink r:id="rId512">
              <w:r>
                <w:rPr>
                  <w:rFonts w:ascii="Times New Roman" w:cs="Times New Roman" w:eastAsia="Times New Roman" w:hAnsi="Times New Roman"/>
                  <w:sz w:val="16"/>
                  <w:szCs w:val="16"/>
                  <w:color w:val="auto"/>
                  <w:w w:val="96"/>
                </w:rPr>
                <w:t>Form of warrant to purchase shares of Company’s common stock issued in 2013 (Incorporated by reference, Exhibit 4.2 to the Company’s Registration Statement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gridSpan w:val="25"/>
          </w:tcPr>
          <w:p>
            <w:pPr>
              <w:spacing w:after="0" w:line="167" w:lineRule="exact"/>
              <w:rPr>
                <w:rFonts w:ascii="Times New Roman" w:cs="Times New Roman" w:eastAsia="Times New Roman" w:hAnsi="Times New Roman"/>
                <w:sz w:val="16"/>
                <w:szCs w:val="16"/>
                <w:color w:val="auto"/>
              </w:rPr>
            </w:pPr>
            <w:hyperlink r:id="rId512">
              <w:r>
                <w:rPr>
                  <w:rFonts w:ascii="Times New Roman" w:cs="Times New Roman" w:eastAsia="Times New Roman" w:hAnsi="Times New Roman"/>
                  <w:sz w:val="16"/>
                  <w:szCs w:val="16"/>
                  <w:color w:val="auto"/>
                </w:rPr>
                <w:t>on Form S-1 (No. 333-207393) filed October 13, 2015).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EE"/>
            </w:tcBorders>
            <w:gridSpan w:val="24"/>
          </w:tcPr>
          <w:p>
            <w:pPr>
              <w:spacing w:after="0"/>
              <w:rPr>
                <w:rFonts w:ascii="Times New Roman" w:cs="Times New Roman" w:eastAsia="Times New Roman" w:hAnsi="Times New Roman"/>
                <w:sz w:val="16"/>
                <w:szCs w:val="16"/>
                <w:color w:val="auto"/>
                <w:w w:val="96"/>
              </w:rPr>
            </w:pPr>
            <w:hyperlink r:id="rId513">
              <w:r>
                <w:rPr>
                  <w:rFonts w:ascii="Times New Roman" w:cs="Times New Roman" w:eastAsia="Times New Roman" w:hAnsi="Times New Roman"/>
                  <w:sz w:val="16"/>
                  <w:szCs w:val="16"/>
                  <w:color w:val="auto"/>
                  <w:w w:val="96"/>
                </w:rPr>
                <w:t>Form of warrant to purchase shares of Company’s common stock issued in 2014 (Incorporated by reference, Exhibit 4.3 to the Company’s Registration Statement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gridSpan w:val="25"/>
          </w:tcPr>
          <w:p>
            <w:pPr>
              <w:spacing w:after="0" w:line="167" w:lineRule="exact"/>
              <w:rPr>
                <w:rFonts w:ascii="Times New Roman" w:cs="Times New Roman" w:eastAsia="Times New Roman" w:hAnsi="Times New Roman"/>
                <w:sz w:val="16"/>
                <w:szCs w:val="16"/>
                <w:color w:val="auto"/>
              </w:rPr>
            </w:pPr>
            <w:hyperlink r:id="rId513">
              <w:r>
                <w:rPr>
                  <w:rFonts w:ascii="Times New Roman" w:cs="Times New Roman" w:eastAsia="Times New Roman" w:hAnsi="Times New Roman"/>
                  <w:sz w:val="16"/>
                  <w:szCs w:val="16"/>
                  <w:color w:val="auto"/>
                </w:rPr>
                <w:t>on Form S-1 (No. 333-207393) filed October 13, 2015).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80" w:type="dxa"/>
            <w:vAlign w:val="bottom"/>
            <w:tcBorders>
              <w:bottom w:val="single" w:sz="8" w:color="0000EE"/>
            </w:tcBorders>
            <w:gridSpan w:val="12"/>
          </w:tcPr>
          <w:p>
            <w:pPr>
              <w:spacing w:after="0" w:line="184" w:lineRule="exact"/>
              <w:rPr>
                <w:rFonts w:ascii="Times New Roman" w:cs="Times New Roman" w:eastAsia="Times New Roman" w:hAnsi="Times New Roman"/>
                <w:sz w:val="16"/>
                <w:szCs w:val="16"/>
                <w:color w:val="auto"/>
                <w:w w:val="96"/>
              </w:rPr>
            </w:pPr>
            <w:hyperlink r:id="rId514">
              <w:r>
                <w:rPr>
                  <w:rFonts w:ascii="Times New Roman" w:cs="Times New Roman" w:eastAsia="Times New Roman" w:hAnsi="Times New Roman"/>
                  <w:sz w:val="16"/>
                  <w:szCs w:val="16"/>
                  <w:color w:val="auto"/>
                  <w:w w:val="96"/>
                </w:rPr>
                <w:t>Form of Warrant (Incorporated by reference, Exhibit 4.1 to the Company’s Current Report on Form 8</w:t>
              </w:r>
            </w:hyperlink>
            <w:r>
              <w:rPr>
                <w:rFonts w:ascii="MS PGothic" w:cs="MS PGothic" w:eastAsia="MS PGothic" w:hAnsi="MS PGothic"/>
                <w:sz w:val="16"/>
                <w:szCs w:val="16"/>
                <w:color w:val="auto"/>
                <w:w w:val="96"/>
              </w:rPr>
              <w:t>‑</w:t>
            </w:r>
            <w:hyperlink r:id="rId514">
              <w:r>
                <w:rPr>
                  <w:rFonts w:ascii="Times New Roman" w:cs="Times New Roman" w:eastAsia="Times New Roman" w:hAnsi="Times New Roman"/>
                  <w:sz w:val="16"/>
                  <w:szCs w:val="16"/>
                  <w:color w:val="auto"/>
                  <w:w w:val="96"/>
                </w:rPr>
                <w:t>K filed December 4, 2017).</w:t>
              </w:r>
            </w:hyperlink>
          </w:p>
        </w:tc>
        <w:tc>
          <w:tcPr>
            <w:tcW w:w="20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EE"/>
            </w:tcBorders>
            <w:gridSpan w:val="20"/>
          </w:tcPr>
          <w:p>
            <w:pPr>
              <w:spacing w:after="0"/>
              <w:rPr>
                <w:rFonts w:ascii="Times New Roman" w:cs="Times New Roman" w:eastAsia="Times New Roman" w:hAnsi="Times New Roman"/>
                <w:sz w:val="16"/>
                <w:szCs w:val="16"/>
                <w:color w:val="auto"/>
                <w:w w:val="97"/>
              </w:rPr>
            </w:pPr>
            <w:hyperlink r:id="rId515">
              <w:r>
                <w:rPr>
                  <w:rFonts w:ascii="Times New Roman" w:cs="Times New Roman" w:eastAsia="Times New Roman" w:hAnsi="Times New Roman"/>
                  <w:sz w:val="16"/>
                  <w:szCs w:val="16"/>
                  <w:color w:val="auto"/>
                  <w:w w:val="97"/>
                </w:rPr>
                <w:t>Warrant Agreement, dated as of September 25, 2020, by and between Axsome Therapeutics, Inc. and Hercules Capital, Inc. (Incorporated by reference, Exhibit</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gridSpan w:val="25"/>
          </w:tcPr>
          <w:p>
            <w:pPr>
              <w:spacing w:after="0" w:line="167" w:lineRule="exact"/>
              <w:rPr>
                <w:rFonts w:ascii="Times New Roman" w:cs="Times New Roman" w:eastAsia="Times New Roman" w:hAnsi="Times New Roman"/>
                <w:sz w:val="16"/>
                <w:szCs w:val="16"/>
                <w:color w:val="auto"/>
              </w:rPr>
            </w:pPr>
            <w:hyperlink r:id="rId515">
              <w:r>
                <w:rPr>
                  <w:rFonts w:ascii="Times New Roman" w:cs="Times New Roman" w:eastAsia="Times New Roman" w:hAnsi="Times New Roman"/>
                  <w:sz w:val="16"/>
                  <w:szCs w:val="16"/>
                  <w:color w:val="auto"/>
                </w:rPr>
                <w:t>10.4 to the Company’s Quarterly Report on Form 10-Q, filed November 5, 2020).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6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tcBorders>
              <w:bottom w:val="single" w:sz="8" w:color="0000EE"/>
            </w:tcBorders>
            <w:gridSpan w:val="13"/>
          </w:tcPr>
          <w:p>
            <w:pPr>
              <w:spacing w:after="0"/>
              <w:rPr>
                <w:rFonts w:ascii="Times New Roman" w:cs="Times New Roman" w:eastAsia="Times New Roman" w:hAnsi="Times New Roman"/>
                <w:sz w:val="16"/>
                <w:szCs w:val="16"/>
                <w:color w:val="auto"/>
                <w:w w:val="96"/>
              </w:rPr>
            </w:pPr>
            <w:hyperlink r:id="rId516">
              <w:r>
                <w:rPr>
                  <w:rFonts w:ascii="Times New Roman" w:cs="Times New Roman" w:eastAsia="Times New Roman" w:hAnsi="Times New Roman"/>
                  <w:sz w:val="16"/>
                  <w:szCs w:val="16"/>
                  <w:color w:val="auto"/>
                  <w:w w:val="96"/>
                </w:rPr>
                <w:t>Description of Securities (Incorporated by reference, Exhibit 4.13, to the Company’s Annual Report on Form 10-K, filed March 12, 2020).</w:t>
              </w:r>
            </w:hyperlink>
          </w:p>
        </w:tc>
        <w:tc>
          <w:tcPr>
            <w:tcW w:w="14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EE"/>
            </w:tcBorders>
            <w:gridSpan w:val="20"/>
          </w:tcPr>
          <w:p>
            <w:pPr>
              <w:spacing w:after="0"/>
              <w:rPr>
                <w:rFonts w:ascii="Times New Roman" w:cs="Times New Roman" w:eastAsia="Times New Roman" w:hAnsi="Times New Roman"/>
                <w:sz w:val="16"/>
                <w:szCs w:val="16"/>
                <w:color w:val="auto"/>
                <w:w w:val="97"/>
              </w:rPr>
            </w:pPr>
            <w:hyperlink r:id="rId517">
              <w:r>
                <w:rPr>
                  <w:rFonts w:ascii="Times New Roman" w:cs="Times New Roman" w:eastAsia="Times New Roman" w:hAnsi="Times New Roman"/>
                  <w:sz w:val="16"/>
                  <w:szCs w:val="16"/>
                  <w:color w:val="auto"/>
                  <w:w w:val="97"/>
                </w:rPr>
                <w:t>Axsome Therapeutics, Inc. 2013 Equity Compensation Plan and Form of Nonqualified Stock Option Agreement thereunder (Incorporated by reference, Exhibit</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0" w:type="dxa"/>
            <w:vAlign w:val="bottom"/>
            <w:tcBorders>
              <w:bottom w:val="single" w:sz="8" w:color="0000EE"/>
            </w:tcBorders>
            <w:gridSpan w:val="10"/>
          </w:tcPr>
          <w:p>
            <w:pPr>
              <w:spacing w:after="0" w:line="167" w:lineRule="exact"/>
              <w:rPr>
                <w:rFonts w:ascii="Times New Roman" w:cs="Times New Roman" w:eastAsia="Times New Roman" w:hAnsi="Times New Roman"/>
                <w:sz w:val="16"/>
                <w:szCs w:val="16"/>
                <w:color w:val="auto"/>
                <w:w w:val="96"/>
              </w:rPr>
            </w:pPr>
            <w:hyperlink r:id="rId517">
              <w:r>
                <w:rPr>
                  <w:rFonts w:ascii="Times New Roman" w:cs="Times New Roman" w:eastAsia="Times New Roman" w:hAnsi="Times New Roman"/>
                  <w:sz w:val="16"/>
                  <w:szCs w:val="16"/>
                  <w:color w:val="auto"/>
                  <w:w w:val="96"/>
                </w:rPr>
                <w:t>10.1 to the Company’s Registration Statement on Form S-1 (No. 333-207393) filed October 13, 2015).</w:t>
              </w:r>
            </w:hyperlink>
          </w:p>
        </w:tc>
        <w:tc>
          <w:tcPr>
            <w:tcW w:w="370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1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Axsome Therapeutics, Inc. Amended and Restated 2015 Omnibus Incentive Compensation Plan.</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60" w:type="dxa"/>
            <w:vAlign w:val="bottom"/>
            <w:gridSpan w:val="5"/>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EE"/>
            </w:tcBorders>
            <w:gridSpan w:val="22"/>
          </w:tcPr>
          <w:p>
            <w:pPr>
              <w:spacing w:after="0"/>
              <w:rPr>
                <w:rFonts w:ascii="Times New Roman" w:cs="Times New Roman" w:eastAsia="Times New Roman" w:hAnsi="Times New Roman"/>
                <w:sz w:val="16"/>
                <w:szCs w:val="16"/>
                <w:color w:val="auto"/>
                <w:w w:val="97"/>
              </w:rPr>
            </w:pPr>
            <w:hyperlink r:id="rId518">
              <w:r>
                <w:rPr>
                  <w:rFonts w:ascii="Times New Roman" w:cs="Times New Roman" w:eastAsia="Times New Roman" w:hAnsi="Times New Roman"/>
                  <w:sz w:val="16"/>
                  <w:szCs w:val="16"/>
                  <w:color w:val="auto"/>
                  <w:w w:val="97"/>
                </w:rPr>
                <w:t>Axsome Therapeutics, Inc. Form of Stock Option Agreement pursuant to the Amended and Restated 2015 Omnibus Incentive Compensation Plan (Incorporated</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80" w:type="dxa"/>
            <w:vAlign w:val="bottom"/>
            <w:tcBorders>
              <w:bottom w:val="single" w:sz="8" w:color="0000EE"/>
            </w:tcBorders>
            <w:gridSpan w:val="11"/>
          </w:tcPr>
          <w:p>
            <w:pPr>
              <w:spacing w:after="0" w:line="167" w:lineRule="exact"/>
              <w:rPr>
                <w:rFonts w:ascii="Times New Roman" w:cs="Times New Roman" w:eastAsia="Times New Roman" w:hAnsi="Times New Roman"/>
                <w:sz w:val="16"/>
                <w:szCs w:val="16"/>
                <w:color w:val="auto"/>
                <w:w w:val="96"/>
              </w:rPr>
            </w:pPr>
            <w:hyperlink r:id="rId518">
              <w:r>
                <w:rPr>
                  <w:rFonts w:ascii="Times New Roman" w:cs="Times New Roman" w:eastAsia="Times New Roman" w:hAnsi="Times New Roman"/>
                  <w:sz w:val="16"/>
                  <w:szCs w:val="16"/>
                  <w:color w:val="auto"/>
                  <w:w w:val="96"/>
                </w:rPr>
                <w:t>by reference, Exhibit 99.2 to the Company’s Registration Statement on Form S-8 (No. 333-208579) filed December 16, 2015).</w:t>
              </w:r>
            </w:hyperlink>
          </w:p>
        </w:tc>
        <w:tc>
          <w:tcPr>
            <w:tcW w:w="222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1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tcBorders>
              <w:bottom w:val="single" w:sz="8" w:color="0000EE"/>
            </w:tcBorders>
            <w:gridSpan w:val="15"/>
          </w:tcPr>
          <w:p>
            <w:pPr>
              <w:spacing w:after="0"/>
              <w:rPr>
                <w:rFonts w:ascii="Times New Roman" w:cs="Times New Roman" w:eastAsia="Times New Roman" w:hAnsi="Times New Roman"/>
                <w:sz w:val="16"/>
                <w:szCs w:val="16"/>
                <w:color w:val="auto"/>
                <w:w w:val="97"/>
              </w:rPr>
            </w:pPr>
            <w:hyperlink r:id="rId519">
              <w:r>
                <w:rPr>
                  <w:rFonts w:ascii="Times New Roman" w:cs="Times New Roman" w:eastAsia="Times New Roman" w:hAnsi="Times New Roman"/>
                  <w:sz w:val="16"/>
                  <w:szCs w:val="16"/>
                  <w:color w:val="auto"/>
                  <w:w w:val="97"/>
                </w:rPr>
                <w:t>Axsome Therapeutics, Inc. Form of Restricted Stock Unit Agreement (Non-Executives) pursuant to the Amended and Restated 2015 Omnibus Incentive</w:t>
              </w:r>
            </w:hyperlink>
          </w:p>
        </w:tc>
        <w:tc>
          <w:tcPr>
            <w:tcW w:w="5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bottom w:val="single" w:sz="8" w:color="0000EE"/>
            </w:tcBorders>
            <w:gridSpan w:val="21"/>
          </w:tcPr>
          <w:p>
            <w:pPr>
              <w:spacing w:after="0" w:line="167" w:lineRule="exact"/>
              <w:rPr>
                <w:rFonts w:ascii="Times New Roman" w:cs="Times New Roman" w:eastAsia="Times New Roman" w:hAnsi="Times New Roman"/>
                <w:sz w:val="16"/>
                <w:szCs w:val="16"/>
                <w:color w:val="auto"/>
                <w:w w:val="96"/>
              </w:rPr>
            </w:pPr>
            <w:hyperlink r:id="rId519">
              <w:r>
                <w:rPr>
                  <w:rFonts w:ascii="Times New Roman" w:cs="Times New Roman" w:eastAsia="Times New Roman" w:hAnsi="Times New Roman"/>
                  <w:sz w:val="16"/>
                  <w:szCs w:val="16"/>
                  <w:color w:val="auto"/>
                  <w:w w:val="96"/>
                </w:rPr>
                <w:t>Compensation Plan (Incorporated by reference, Exhibit 99.3 to the Company’s Registration Statement on Form S-8 (File No. 333-238174), filed May 11, 2020).</w:t>
              </w:r>
            </w:hyperlink>
          </w:p>
        </w:tc>
        <w:tc>
          <w:tcPr>
            <w:tcW w:w="1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1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tcBorders>
              <w:bottom w:val="single" w:sz="8" w:color="0000EE"/>
            </w:tcBorders>
            <w:gridSpan w:val="17"/>
          </w:tcPr>
          <w:p>
            <w:pPr>
              <w:spacing w:after="0"/>
              <w:rPr>
                <w:rFonts w:ascii="Times New Roman" w:cs="Times New Roman" w:eastAsia="Times New Roman" w:hAnsi="Times New Roman"/>
                <w:sz w:val="16"/>
                <w:szCs w:val="16"/>
                <w:color w:val="auto"/>
                <w:w w:val="97"/>
              </w:rPr>
            </w:pPr>
            <w:hyperlink r:id="rId520">
              <w:r>
                <w:rPr>
                  <w:rFonts w:ascii="Times New Roman" w:cs="Times New Roman" w:eastAsia="Times New Roman" w:hAnsi="Times New Roman"/>
                  <w:sz w:val="16"/>
                  <w:szCs w:val="16"/>
                  <w:color w:val="auto"/>
                  <w:w w:val="97"/>
                </w:rPr>
                <w:t>Axsome Therapeutics, Inc. Form of Restricted Stock Unit Agreement (Executives and Non-Employee Directors) pursuant to the Amended and Restated 2015</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tcBorders>
              <w:bottom w:val="single" w:sz="8" w:color="0000EE"/>
            </w:tcBorders>
            <w:gridSpan w:val="19"/>
          </w:tcPr>
          <w:p>
            <w:pPr>
              <w:spacing w:after="0" w:line="167" w:lineRule="exact"/>
              <w:rPr>
                <w:rFonts w:ascii="Times New Roman" w:cs="Times New Roman" w:eastAsia="Times New Roman" w:hAnsi="Times New Roman"/>
                <w:sz w:val="16"/>
                <w:szCs w:val="16"/>
                <w:color w:val="auto"/>
                <w:w w:val="97"/>
              </w:rPr>
            </w:pPr>
            <w:hyperlink r:id="rId520">
              <w:r>
                <w:rPr>
                  <w:rFonts w:ascii="Times New Roman" w:cs="Times New Roman" w:eastAsia="Times New Roman" w:hAnsi="Times New Roman"/>
                  <w:sz w:val="16"/>
                  <w:szCs w:val="16"/>
                  <w:color w:val="auto"/>
                  <w:w w:val="97"/>
                </w:rPr>
                <w:t>Omnibus Incentive Compensation Plan (Incorporated by reference, Exhibit 99.4 to the Company’s Registration Statement on Form S-8 (File No. 333-238174),</w:t>
              </w:r>
            </w:hyperlink>
          </w:p>
        </w:tc>
        <w:tc>
          <w:tcPr>
            <w:tcW w:w="18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Borders>
              <w:bottom w:val="single" w:sz="8" w:color="0000EE"/>
            </w:tcBorders>
            <w:gridSpan w:val="2"/>
          </w:tcPr>
          <w:p>
            <w:pPr>
              <w:spacing w:after="0" w:line="167" w:lineRule="exact"/>
              <w:rPr>
                <w:rFonts w:ascii="Times New Roman" w:cs="Times New Roman" w:eastAsia="Times New Roman" w:hAnsi="Times New Roman"/>
                <w:sz w:val="16"/>
                <w:szCs w:val="16"/>
                <w:color w:val="auto"/>
                <w:w w:val="95"/>
              </w:rPr>
            </w:pPr>
            <w:hyperlink r:id="rId520">
              <w:r>
                <w:rPr>
                  <w:rFonts w:ascii="Times New Roman" w:cs="Times New Roman" w:eastAsia="Times New Roman" w:hAnsi="Times New Roman"/>
                  <w:sz w:val="16"/>
                  <w:szCs w:val="16"/>
                  <w:color w:val="auto"/>
                  <w:w w:val="95"/>
                </w:rPr>
                <w:t>filed May 11, 2020).</w:t>
              </w:r>
            </w:hyperlink>
          </w:p>
        </w:tc>
        <w:tc>
          <w:tcPr>
            <w:tcW w:w="8820" w:type="dxa"/>
            <w:vAlign w:val="bottom"/>
            <w:gridSpan w:val="23"/>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1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EE"/>
            </w:tcBorders>
            <w:gridSpan w:val="24"/>
          </w:tcPr>
          <w:p>
            <w:pPr>
              <w:spacing w:after="0"/>
              <w:rPr>
                <w:rFonts w:ascii="Times New Roman" w:cs="Times New Roman" w:eastAsia="Times New Roman" w:hAnsi="Times New Roman"/>
                <w:sz w:val="16"/>
                <w:szCs w:val="16"/>
                <w:color w:val="auto"/>
                <w:w w:val="97"/>
              </w:rPr>
            </w:pPr>
            <w:hyperlink r:id="rId521">
              <w:r>
                <w:rPr>
                  <w:rFonts w:ascii="Times New Roman" w:cs="Times New Roman" w:eastAsia="Times New Roman" w:hAnsi="Times New Roman"/>
                  <w:sz w:val="16"/>
                  <w:szCs w:val="16"/>
                  <w:color w:val="auto"/>
                  <w:w w:val="97"/>
                </w:rPr>
                <w:t>Axsome Therapeutics, Inc. 2023 Employee Stock Purchase Plan (Incorporated by reference, Exhibit 10.1 to the Company’s Current Report on Form 8-K, filed 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gridSpan w:val="25"/>
          </w:tcPr>
          <w:p>
            <w:pPr>
              <w:spacing w:after="0" w:line="167" w:lineRule="exact"/>
              <w:rPr>
                <w:rFonts w:ascii="Times New Roman" w:cs="Times New Roman" w:eastAsia="Times New Roman" w:hAnsi="Times New Roman"/>
                <w:sz w:val="16"/>
                <w:szCs w:val="16"/>
                <w:color w:val="auto"/>
              </w:rPr>
            </w:pPr>
            <w:hyperlink r:id="rId521">
              <w:r>
                <w:rPr>
                  <w:rFonts w:ascii="Times New Roman" w:cs="Times New Roman" w:eastAsia="Times New Roman" w:hAnsi="Times New Roman"/>
                  <w:sz w:val="16"/>
                  <w:szCs w:val="16"/>
                  <w:color w:val="auto"/>
                </w:rPr>
                <w:t>June 8, 2023).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bottom w:val="single" w:sz="8" w:color="0000EE"/>
            </w:tcBorders>
            <w:gridSpan w:val="16"/>
          </w:tcPr>
          <w:p>
            <w:pPr>
              <w:spacing w:after="0"/>
              <w:rPr>
                <w:rFonts w:ascii="Times New Roman" w:cs="Times New Roman" w:eastAsia="Times New Roman" w:hAnsi="Times New Roman"/>
                <w:sz w:val="16"/>
                <w:szCs w:val="16"/>
                <w:color w:val="auto"/>
                <w:w w:val="97"/>
              </w:rPr>
            </w:pPr>
            <w:hyperlink r:id="rId522">
              <w:r>
                <w:rPr>
                  <w:rFonts w:ascii="Times New Roman" w:cs="Times New Roman" w:eastAsia="Times New Roman" w:hAnsi="Times New Roman"/>
                  <w:sz w:val="16"/>
                  <w:szCs w:val="16"/>
                  <w:color w:val="auto"/>
                  <w:w w:val="97"/>
                </w:rPr>
                <w:t>License Agreement, dated January 12, 2012, by and between the Company and Antecip Bioventures II LLC, as modified by the First Amendment to License</w:t>
              </w:r>
            </w:hyperlink>
          </w:p>
        </w:tc>
        <w:tc>
          <w:tcPr>
            <w:tcW w:w="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bottom w:val="single" w:sz="8" w:color="0000EE"/>
            </w:tcBorders>
            <w:gridSpan w:val="18"/>
          </w:tcPr>
          <w:p>
            <w:pPr>
              <w:spacing w:after="0" w:line="167" w:lineRule="exact"/>
              <w:rPr>
                <w:rFonts w:ascii="Times New Roman" w:cs="Times New Roman" w:eastAsia="Times New Roman" w:hAnsi="Times New Roman"/>
                <w:sz w:val="16"/>
                <w:szCs w:val="16"/>
                <w:color w:val="auto"/>
                <w:w w:val="97"/>
              </w:rPr>
            </w:pPr>
            <w:hyperlink r:id="rId522">
              <w:r>
                <w:rPr>
                  <w:rFonts w:ascii="Times New Roman" w:cs="Times New Roman" w:eastAsia="Times New Roman" w:hAnsi="Times New Roman"/>
                  <w:sz w:val="16"/>
                  <w:szCs w:val="16"/>
                  <w:color w:val="auto"/>
                  <w:w w:val="97"/>
                </w:rPr>
                <w:t>Agreement, dated August 21, 2015, by and between the Company and Antecip Bioventures II LLC (Incorporated by reference, Exhibit 10.2 to the Company’s</w:t>
              </w:r>
            </w:hyperlink>
          </w:p>
        </w:tc>
        <w:tc>
          <w:tcPr>
            <w:tcW w:w="22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gridSpan w:val="25"/>
          </w:tcPr>
          <w:p>
            <w:pPr>
              <w:spacing w:after="0" w:line="167" w:lineRule="exact"/>
              <w:rPr>
                <w:rFonts w:ascii="Times New Roman" w:cs="Times New Roman" w:eastAsia="Times New Roman" w:hAnsi="Times New Roman"/>
                <w:sz w:val="16"/>
                <w:szCs w:val="16"/>
                <w:color w:val="auto"/>
              </w:rPr>
            </w:pPr>
            <w:hyperlink r:id="rId522">
              <w:r>
                <w:rPr>
                  <w:rFonts w:ascii="Times New Roman" w:cs="Times New Roman" w:eastAsia="Times New Roman" w:hAnsi="Times New Roman"/>
                  <w:sz w:val="16"/>
                  <w:szCs w:val="16"/>
                  <w:color w:val="auto"/>
                </w:rPr>
                <w:t>Registration Statement on Form S-1 (No. 333-207393) filed October 13, 2015).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40" w:type="dxa"/>
            <w:vAlign w:val="bottom"/>
            <w:gridSpan w:val="7"/>
            <w:shd w:val="clear" w:color="auto" w:fill="0000EE"/>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5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bottom w:val="single" w:sz="8" w:color="0000EE"/>
            </w:tcBorders>
            <w:gridSpan w:val="14"/>
          </w:tcPr>
          <w:p>
            <w:pPr>
              <w:spacing w:after="0"/>
              <w:rPr>
                <w:rFonts w:ascii="Times New Roman" w:cs="Times New Roman" w:eastAsia="Times New Roman" w:hAnsi="Times New Roman"/>
                <w:sz w:val="16"/>
                <w:szCs w:val="16"/>
                <w:color w:val="auto"/>
                <w:w w:val="97"/>
              </w:rPr>
            </w:pPr>
            <w:hyperlink r:id="rId523">
              <w:r>
                <w:rPr>
                  <w:rFonts w:ascii="Times New Roman" w:cs="Times New Roman" w:eastAsia="Times New Roman" w:hAnsi="Times New Roman"/>
                  <w:sz w:val="16"/>
                  <w:szCs w:val="16"/>
                  <w:color w:val="auto"/>
                  <w:w w:val="97"/>
                </w:rPr>
                <w:t>License Agreement, dated June 6, 2012, by and between the Company and Antecip Bioventures II LLC, as modified by the First Amendment to License</w:t>
              </w:r>
            </w:hyperlink>
          </w:p>
        </w:tc>
        <w:tc>
          <w:tcPr>
            <w:tcW w:w="5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bottom w:val="single" w:sz="8" w:color="0000EE"/>
            </w:tcBorders>
            <w:gridSpan w:val="18"/>
          </w:tcPr>
          <w:p>
            <w:pPr>
              <w:spacing w:after="0" w:line="167" w:lineRule="exact"/>
              <w:rPr>
                <w:rFonts w:ascii="Times New Roman" w:cs="Times New Roman" w:eastAsia="Times New Roman" w:hAnsi="Times New Roman"/>
                <w:sz w:val="16"/>
                <w:szCs w:val="16"/>
                <w:color w:val="auto"/>
                <w:w w:val="97"/>
              </w:rPr>
            </w:pPr>
            <w:hyperlink r:id="rId523">
              <w:r>
                <w:rPr>
                  <w:rFonts w:ascii="Times New Roman" w:cs="Times New Roman" w:eastAsia="Times New Roman" w:hAnsi="Times New Roman"/>
                  <w:sz w:val="16"/>
                  <w:szCs w:val="16"/>
                  <w:color w:val="auto"/>
                  <w:w w:val="97"/>
                </w:rPr>
                <w:t>Agreement, dated August 21, 2015, by and between the Company and Antecip Bioventures II LLC (Incorporated by reference, Exhibit 10.4 to the Company’s</w:t>
              </w:r>
            </w:hyperlink>
          </w:p>
        </w:tc>
        <w:tc>
          <w:tcPr>
            <w:tcW w:w="22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gridSpan w:val="25"/>
          </w:tcPr>
          <w:p>
            <w:pPr>
              <w:spacing w:after="0" w:line="167" w:lineRule="exact"/>
              <w:rPr>
                <w:rFonts w:ascii="Times New Roman" w:cs="Times New Roman" w:eastAsia="Times New Roman" w:hAnsi="Times New Roman"/>
                <w:sz w:val="16"/>
                <w:szCs w:val="16"/>
                <w:color w:val="auto"/>
              </w:rPr>
            </w:pPr>
            <w:hyperlink r:id="rId523">
              <w:r>
                <w:rPr>
                  <w:rFonts w:ascii="Times New Roman" w:cs="Times New Roman" w:eastAsia="Times New Roman" w:hAnsi="Times New Roman"/>
                  <w:sz w:val="16"/>
                  <w:szCs w:val="16"/>
                  <w:color w:val="auto"/>
                </w:rPr>
                <w:t>Registration Statement on Form S-1 (No. 333-207393) filed October 13, 2015).</w:t>
              </w:r>
            </w:hyperlink>
          </w:p>
        </w:tc>
        <w:tc>
          <w:tcPr>
            <w:tcW w:w="0" w:type="dxa"/>
            <w:vAlign w:val="bottom"/>
          </w:tcPr>
          <w:p>
            <w:pPr>
              <w:spacing w:after="0"/>
              <w:rPr>
                <w:sz w:val="1"/>
                <w:szCs w:val="1"/>
                <w:color w:val="auto"/>
              </w:rPr>
            </w:pPr>
          </w:p>
        </w:tc>
      </w:tr>
      <w:tr>
        <w:trPr>
          <w:trHeight w:val="563"/>
        </w:trPr>
        <w:tc>
          <w:tcPr>
            <w:tcW w:w="10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4940" w:type="dxa"/>
            <w:vAlign w:val="bottom"/>
            <w:tcBorders>
              <w:top w:val="single" w:sz="8" w:color="0000EE"/>
            </w:tcBorders>
            <w:gridSpan w:val="7"/>
          </w:tcPr>
          <w:p>
            <w:pPr>
              <w:ind w:left="4340"/>
              <w:spacing w:after="0"/>
              <w:rPr>
                <w:sz w:val="20"/>
                <w:szCs w:val="20"/>
                <w:color w:val="auto"/>
              </w:rPr>
            </w:pPr>
            <w:r>
              <w:rPr>
                <w:rFonts w:ascii="Times New Roman" w:cs="Times New Roman" w:eastAsia="Times New Roman" w:hAnsi="Times New Roman"/>
                <w:sz w:val="16"/>
                <w:szCs w:val="16"/>
                <w:color w:val="auto"/>
              </w:rPr>
              <w:t>128</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8"/>
        </w:trPr>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6">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10.9+</w:t>
            </w:r>
          </w:p>
        </w:tc>
        <w:tc>
          <w:tcPr>
            <w:tcW w:w="9640" w:type="dxa"/>
            <w:vAlign w:val="bottom"/>
            <w:tcBorders>
              <w:bottom w:val="single" w:sz="8" w:color="0000EE"/>
            </w:tcBorders>
            <w:gridSpan w:val="17"/>
          </w:tcPr>
          <w:p>
            <w:pPr>
              <w:spacing w:after="0"/>
              <w:rPr>
                <w:rFonts w:ascii="Times New Roman" w:cs="Times New Roman" w:eastAsia="Times New Roman" w:hAnsi="Times New Roman"/>
                <w:sz w:val="16"/>
                <w:szCs w:val="16"/>
                <w:color w:val="auto"/>
                <w:w w:val="97"/>
              </w:rPr>
            </w:pPr>
            <w:hyperlink r:id="rId527">
              <w:r>
                <w:rPr>
                  <w:rFonts w:ascii="Times New Roman" w:cs="Times New Roman" w:eastAsia="Times New Roman" w:hAnsi="Times New Roman"/>
                  <w:sz w:val="16"/>
                  <w:szCs w:val="16"/>
                  <w:color w:val="auto"/>
                  <w:w w:val="97"/>
                </w:rPr>
                <w:t>Consulting Agreement, dated April 13, 2012, by and between the Company and Mark Coleman, M.D., as modified by the First Amendment to Consulting</w:t>
              </w:r>
            </w:hyperlink>
          </w:p>
        </w:tc>
        <w:tc>
          <w:tcPr>
            <w:tcW w:w="460" w:type="dxa"/>
            <w:vAlign w:val="bottom"/>
            <w:gridSpan w:val="13"/>
          </w:tcPr>
          <w:p>
            <w:pPr>
              <w:spacing w:after="0"/>
              <w:rPr>
                <w:sz w:val="16"/>
                <w:szCs w:val="16"/>
                <w:color w:val="auto"/>
              </w:rPr>
            </w:pPr>
          </w:p>
        </w:tc>
      </w:tr>
      <w:tr>
        <w:trPr>
          <w:trHeight w:val="167"/>
        </w:trPr>
        <w:tc>
          <w:tcPr>
            <w:tcW w:w="1160" w:type="dxa"/>
            <w:vAlign w:val="bottom"/>
          </w:tcPr>
          <w:p>
            <w:pPr>
              <w:spacing w:after="0"/>
              <w:rPr>
                <w:sz w:val="14"/>
                <w:szCs w:val="14"/>
                <w:color w:val="auto"/>
              </w:rPr>
            </w:pPr>
          </w:p>
        </w:tc>
        <w:tc>
          <w:tcPr>
            <w:tcW w:w="9980" w:type="dxa"/>
            <w:vAlign w:val="bottom"/>
            <w:tcBorders>
              <w:bottom w:val="single" w:sz="8" w:color="0000EE"/>
            </w:tcBorders>
            <w:gridSpan w:val="24"/>
          </w:tcPr>
          <w:p>
            <w:pPr>
              <w:spacing w:after="0" w:line="167" w:lineRule="exact"/>
              <w:rPr>
                <w:rFonts w:ascii="Times New Roman" w:cs="Times New Roman" w:eastAsia="Times New Roman" w:hAnsi="Times New Roman"/>
                <w:sz w:val="16"/>
                <w:szCs w:val="16"/>
                <w:color w:val="auto"/>
                <w:w w:val="97"/>
              </w:rPr>
            </w:pPr>
            <w:hyperlink r:id="rId527">
              <w:r>
                <w:rPr>
                  <w:rFonts w:ascii="Times New Roman" w:cs="Times New Roman" w:eastAsia="Times New Roman" w:hAnsi="Times New Roman"/>
                  <w:sz w:val="16"/>
                  <w:szCs w:val="16"/>
                  <w:color w:val="auto"/>
                  <w:w w:val="97"/>
                </w:rPr>
                <w:t>Agreement, dated June 2, 2014, by and between the Company and Mark Coleman, M.D (Incorporated by reference, Exhibit 10.5 to the Company’s Registration</w:t>
              </w:r>
            </w:hyperlink>
          </w:p>
        </w:tc>
        <w:tc>
          <w:tcPr>
            <w:tcW w:w="120" w:type="dxa"/>
            <w:vAlign w:val="bottom"/>
            <w:gridSpan w:val="6"/>
          </w:tcPr>
          <w:p>
            <w:pPr>
              <w:spacing w:after="0"/>
              <w:rPr>
                <w:sz w:val="14"/>
                <w:szCs w:val="14"/>
                <w:color w:val="auto"/>
              </w:rPr>
            </w:pPr>
          </w:p>
        </w:tc>
      </w:tr>
      <w:tr>
        <w:trPr>
          <w:trHeight w:val="167"/>
        </w:trPr>
        <w:tc>
          <w:tcPr>
            <w:tcW w:w="1160" w:type="dxa"/>
            <w:vAlign w:val="bottom"/>
          </w:tcPr>
          <w:p>
            <w:pPr>
              <w:spacing w:after="0"/>
              <w:rPr>
                <w:sz w:val="14"/>
                <w:szCs w:val="14"/>
                <w:color w:val="auto"/>
              </w:rPr>
            </w:pPr>
          </w:p>
        </w:tc>
        <w:tc>
          <w:tcPr>
            <w:tcW w:w="10100" w:type="dxa"/>
            <w:vAlign w:val="bottom"/>
            <w:gridSpan w:val="30"/>
          </w:tcPr>
          <w:p>
            <w:pPr>
              <w:spacing w:after="0" w:line="167" w:lineRule="exact"/>
              <w:rPr>
                <w:rFonts w:ascii="Times New Roman" w:cs="Times New Roman" w:eastAsia="Times New Roman" w:hAnsi="Times New Roman"/>
                <w:sz w:val="16"/>
                <w:szCs w:val="16"/>
                <w:color w:val="auto"/>
              </w:rPr>
            </w:pPr>
            <w:hyperlink r:id="rId527">
              <w:r>
                <w:rPr>
                  <w:rFonts w:ascii="Times New Roman" w:cs="Times New Roman" w:eastAsia="Times New Roman" w:hAnsi="Times New Roman"/>
                  <w:sz w:val="16"/>
                  <w:szCs w:val="16"/>
                  <w:color w:val="auto"/>
                </w:rPr>
                <w:t>Statement on Form S-1 (No. 333-207393) filed October 13, 2015).</w:t>
              </w:r>
            </w:hyperlink>
          </w:p>
        </w:tc>
      </w:tr>
      <w:tr>
        <w:trPr>
          <w:trHeight w:val="20"/>
        </w:trPr>
        <w:tc>
          <w:tcPr>
            <w:tcW w:w="116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5"/>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10.10</w:t>
            </w:r>
          </w:p>
        </w:tc>
        <w:tc>
          <w:tcPr>
            <w:tcW w:w="9720" w:type="dxa"/>
            <w:vAlign w:val="bottom"/>
            <w:tcBorders>
              <w:bottom w:val="single" w:sz="8" w:color="0000EE"/>
            </w:tcBorders>
            <w:gridSpan w:val="18"/>
          </w:tcPr>
          <w:p>
            <w:pPr>
              <w:spacing w:after="0"/>
              <w:rPr>
                <w:rFonts w:ascii="Times New Roman" w:cs="Times New Roman" w:eastAsia="Times New Roman" w:hAnsi="Times New Roman"/>
                <w:sz w:val="16"/>
                <w:szCs w:val="16"/>
                <w:color w:val="auto"/>
                <w:w w:val="97"/>
              </w:rPr>
            </w:pPr>
            <w:hyperlink r:id="rId528">
              <w:r>
                <w:rPr>
                  <w:rFonts w:ascii="Times New Roman" w:cs="Times New Roman" w:eastAsia="Times New Roman" w:hAnsi="Times New Roman"/>
                  <w:sz w:val="16"/>
                  <w:szCs w:val="16"/>
                  <w:color w:val="auto"/>
                  <w:w w:val="97"/>
                </w:rPr>
                <w:t>Form of Purchase Agreement, dated as of November 30, 2017 among Axsome Therapeutics, Inc. and the purchasers thereunder (Incorporated by reference,</w:t>
              </w:r>
            </w:hyperlink>
          </w:p>
        </w:tc>
        <w:tc>
          <w:tcPr>
            <w:tcW w:w="380" w:type="dxa"/>
            <w:vAlign w:val="bottom"/>
            <w:gridSpan w:val="12"/>
          </w:tcPr>
          <w:p>
            <w:pPr>
              <w:spacing w:after="0"/>
              <w:rPr>
                <w:sz w:val="24"/>
                <w:szCs w:val="24"/>
                <w:color w:val="auto"/>
              </w:rPr>
            </w:pPr>
          </w:p>
        </w:tc>
      </w:tr>
      <w:tr>
        <w:trPr>
          <w:trHeight w:val="167"/>
        </w:trPr>
        <w:tc>
          <w:tcPr>
            <w:tcW w:w="1160" w:type="dxa"/>
            <w:vAlign w:val="bottom"/>
          </w:tcPr>
          <w:p>
            <w:pPr>
              <w:spacing w:after="0"/>
              <w:rPr>
                <w:sz w:val="14"/>
                <w:szCs w:val="14"/>
                <w:color w:val="auto"/>
              </w:rPr>
            </w:pPr>
          </w:p>
        </w:tc>
        <w:tc>
          <w:tcPr>
            <w:tcW w:w="5340" w:type="dxa"/>
            <w:vAlign w:val="bottom"/>
            <w:tcBorders>
              <w:bottom w:val="single" w:sz="8" w:color="0000EE"/>
            </w:tcBorders>
            <w:gridSpan w:val="11"/>
          </w:tcPr>
          <w:p>
            <w:pPr>
              <w:spacing w:after="0" w:line="167" w:lineRule="exact"/>
              <w:rPr>
                <w:rFonts w:ascii="Times New Roman" w:cs="Times New Roman" w:eastAsia="Times New Roman" w:hAnsi="Times New Roman"/>
                <w:sz w:val="16"/>
                <w:szCs w:val="16"/>
                <w:color w:val="auto"/>
                <w:w w:val="96"/>
              </w:rPr>
            </w:pPr>
            <w:hyperlink r:id="rId528">
              <w:r>
                <w:rPr>
                  <w:rFonts w:ascii="Times New Roman" w:cs="Times New Roman" w:eastAsia="Times New Roman" w:hAnsi="Times New Roman"/>
                  <w:sz w:val="16"/>
                  <w:szCs w:val="16"/>
                  <w:color w:val="auto"/>
                  <w:w w:val="96"/>
                </w:rPr>
                <w:t>Exhibit 10.1 to the Company’s Current Report on Form 8-K filed December 4, 2017).</w:t>
              </w:r>
            </w:hyperlink>
          </w:p>
        </w:tc>
        <w:tc>
          <w:tcPr>
            <w:tcW w:w="4760" w:type="dxa"/>
            <w:vAlign w:val="bottom"/>
            <w:gridSpan w:val="19"/>
          </w:tcPr>
          <w:p>
            <w:pPr>
              <w:spacing w:after="0"/>
              <w:rPr>
                <w:sz w:val="14"/>
                <w:szCs w:val="14"/>
                <w:color w:val="auto"/>
              </w:rPr>
            </w:pPr>
          </w:p>
        </w:tc>
      </w:tr>
      <w:tr>
        <w:trPr>
          <w:trHeight w:val="295"/>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10.11+</w:t>
            </w:r>
          </w:p>
        </w:tc>
        <w:tc>
          <w:tcPr>
            <w:tcW w:w="9820" w:type="dxa"/>
            <w:vAlign w:val="bottom"/>
            <w:tcBorders>
              <w:bottom w:val="single" w:sz="8" w:color="0000EE"/>
            </w:tcBorders>
            <w:gridSpan w:val="20"/>
          </w:tcPr>
          <w:p>
            <w:pPr>
              <w:spacing w:after="0"/>
              <w:rPr>
                <w:rFonts w:ascii="Times New Roman" w:cs="Times New Roman" w:eastAsia="Times New Roman" w:hAnsi="Times New Roman"/>
                <w:sz w:val="16"/>
                <w:szCs w:val="16"/>
                <w:color w:val="auto"/>
                <w:w w:val="96"/>
              </w:rPr>
            </w:pPr>
            <w:hyperlink r:id="rId529">
              <w:r>
                <w:rPr>
                  <w:rFonts w:ascii="Times New Roman" w:cs="Times New Roman" w:eastAsia="Times New Roman" w:hAnsi="Times New Roman"/>
                  <w:sz w:val="16"/>
                  <w:szCs w:val="16"/>
                  <w:color w:val="auto"/>
                  <w:w w:val="96"/>
                </w:rPr>
                <w:t>Nick Pizzie Offer Letter, dated April 16, 2018 (Incorporated by reference, Exhibit 10.1 to the Company’s Quarterly Report on Form 10-Q filed May 8, 2018).</w:t>
              </w:r>
            </w:hyperlink>
          </w:p>
        </w:tc>
        <w:tc>
          <w:tcPr>
            <w:tcW w:w="280" w:type="dxa"/>
            <w:vAlign w:val="bottom"/>
            <w:gridSpan w:val="10"/>
          </w:tcPr>
          <w:p>
            <w:pPr>
              <w:spacing w:after="0"/>
              <w:rPr>
                <w:sz w:val="24"/>
                <w:szCs w:val="24"/>
                <w:color w:val="auto"/>
              </w:rPr>
            </w:pPr>
          </w:p>
        </w:tc>
      </w:tr>
      <w:tr>
        <w:trPr>
          <w:trHeight w:val="295"/>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10.12</w:t>
            </w:r>
          </w:p>
        </w:tc>
        <w:tc>
          <w:tcPr>
            <w:tcW w:w="9940" w:type="dxa"/>
            <w:vAlign w:val="bottom"/>
            <w:tcBorders>
              <w:bottom w:val="single" w:sz="8" w:color="0000EE"/>
            </w:tcBorders>
            <w:gridSpan w:val="23"/>
          </w:tcPr>
          <w:p>
            <w:pPr>
              <w:spacing w:after="0"/>
              <w:rPr>
                <w:rFonts w:ascii="Times New Roman" w:cs="Times New Roman" w:eastAsia="Times New Roman" w:hAnsi="Times New Roman"/>
                <w:sz w:val="16"/>
                <w:szCs w:val="16"/>
                <w:color w:val="auto"/>
                <w:w w:val="97"/>
              </w:rPr>
            </w:pPr>
            <w:hyperlink r:id="rId530">
              <w:r>
                <w:rPr>
                  <w:rFonts w:ascii="Times New Roman" w:cs="Times New Roman" w:eastAsia="Times New Roman" w:hAnsi="Times New Roman"/>
                  <w:sz w:val="16"/>
                  <w:szCs w:val="16"/>
                  <w:color w:val="auto"/>
                  <w:w w:val="97"/>
                </w:rPr>
                <w:t>Form of Purchase Agreement, dated as of September 27, 2018, by and among the Company and the investors party thereto (Incorporated by reference, Exhibit</w:t>
              </w:r>
            </w:hyperlink>
          </w:p>
        </w:tc>
        <w:tc>
          <w:tcPr>
            <w:tcW w:w="160" w:type="dxa"/>
            <w:vAlign w:val="bottom"/>
            <w:gridSpan w:val="7"/>
          </w:tcPr>
          <w:p>
            <w:pPr>
              <w:spacing w:after="0"/>
              <w:rPr>
                <w:sz w:val="24"/>
                <w:szCs w:val="24"/>
                <w:color w:val="auto"/>
              </w:rPr>
            </w:pPr>
          </w:p>
        </w:tc>
      </w:tr>
      <w:tr>
        <w:trPr>
          <w:trHeight w:val="167"/>
        </w:trPr>
        <w:tc>
          <w:tcPr>
            <w:tcW w:w="1160" w:type="dxa"/>
            <w:vAlign w:val="bottom"/>
          </w:tcPr>
          <w:p>
            <w:pPr>
              <w:spacing w:after="0"/>
              <w:rPr>
                <w:sz w:val="14"/>
                <w:szCs w:val="14"/>
                <w:color w:val="auto"/>
              </w:rPr>
            </w:pPr>
          </w:p>
        </w:tc>
        <w:tc>
          <w:tcPr>
            <w:tcW w:w="4980" w:type="dxa"/>
            <w:vAlign w:val="bottom"/>
            <w:tcBorders>
              <w:bottom w:val="single" w:sz="8" w:color="0000EE"/>
            </w:tcBorders>
            <w:gridSpan w:val="8"/>
          </w:tcPr>
          <w:p>
            <w:pPr>
              <w:spacing w:after="0" w:line="167" w:lineRule="exact"/>
              <w:rPr>
                <w:rFonts w:ascii="Times New Roman" w:cs="Times New Roman" w:eastAsia="Times New Roman" w:hAnsi="Times New Roman"/>
                <w:sz w:val="16"/>
                <w:szCs w:val="16"/>
                <w:color w:val="auto"/>
                <w:w w:val="96"/>
              </w:rPr>
            </w:pPr>
            <w:hyperlink r:id="rId530">
              <w:r>
                <w:rPr>
                  <w:rFonts w:ascii="Times New Roman" w:cs="Times New Roman" w:eastAsia="Times New Roman" w:hAnsi="Times New Roman"/>
                  <w:sz w:val="16"/>
                  <w:szCs w:val="16"/>
                  <w:color w:val="auto"/>
                  <w:w w:val="96"/>
                </w:rPr>
                <w:t>10.1 to the Company’s Current Report on Form 8-K, filed September 28, 2018).</w:t>
              </w:r>
            </w:hyperlink>
          </w:p>
        </w:tc>
        <w:tc>
          <w:tcPr>
            <w:tcW w:w="5120" w:type="dxa"/>
            <w:vAlign w:val="bottom"/>
            <w:gridSpan w:val="22"/>
          </w:tcPr>
          <w:p>
            <w:pPr>
              <w:spacing w:after="0"/>
              <w:rPr>
                <w:sz w:val="14"/>
                <w:szCs w:val="14"/>
                <w:color w:val="auto"/>
              </w:rPr>
            </w:pPr>
          </w:p>
        </w:tc>
      </w:tr>
      <w:tr>
        <w:trPr>
          <w:trHeight w:val="295"/>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10.13+++</w:t>
            </w:r>
          </w:p>
        </w:tc>
        <w:tc>
          <w:tcPr>
            <w:tcW w:w="9740" w:type="dxa"/>
            <w:vAlign w:val="bottom"/>
            <w:tcBorders>
              <w:bottom w:val="single" w:sz="8" w:color="0000EE"/>
            </w:tcBorders>
            <w:gridSpan w:val="19"/>
          </w:tcPr>
          <w:p>
            <w:pPr>
              <w:spacing w:after="0"/>
              <w:rPr>
                <w:rFonts w:ascii="Times New Roman" w:cs="Times New Roman" w:eastAsia="Times New Roman" w:hAnsi="Times New Roman"/>
                <w:sz w:val="16"/>
                <w:szCs w:val="16"/>
                <w:color w:val="auto"/>
                <w:w w:val="97"/>
              </w:rPr>
            </w:pPr>
            <w:hyperlink r:id="rId531">
              <w:r>
                <w:rPr>
                  <w:rFonts w:ascii="Times New Roman" w:cs="Times New Roman" w:eastAsia="Times New Roman" w:hAnsi="Times New Roman"/>
                  <w:sz w:val="16"/>
                  <w:szCs w:val="16"/>
                  <w:color w:val="auto"/>
                  <w:w w:val="97"/>
                </w:rPr>
                <w:t>License Agreement, dated as of January 10, 2020, by and between the Company and Pfizer Inc. (Incorporated by reference, Exhibit 10.15 to the Company’s</w:t>
              </w:r>
            </w:hyperlink>
          </w:p>
        </w:tc>
        <w:tc>
          <w:tcPr>
            <w:tcW w:w="360" w:type="dxa"/>
            <w:vAlign w:val="bottom"/>
            <w:gridSpan w:val="11"/>
          </w:tcPr>
          <w:p>
            <w:pPr>
              <w:spacing w:after="0"/>
              <w:rPr>
                <w:sz w:val="24"/>
                <w:szCs w:val="24"/>
                <w:color w:val="auto"/>
              </w:rPr>
            </w:pPr>
          </w:p>
        </w:tc>
      </w:tr>
      <w:tr>
        <w:trPr>
          <w:trHeight w:val="167"/>
        </w:trPr>
        <w:tc>
          <w:tcPr>
            <w:tcW w:w="1160" w:type="dxa"/>
            <w:vAlign w:val="bottom"/>
          </w:tcPr>
          <w:p>
            <w:pPr>
              <w:spacing w:after="0"/>
              <w:rPr>
                <w:sz w:val="14"/>
                <w:szCs w:val="14"/>
                <w:color w:val="auto"/>
              </w:rPr>
            </w:pPr>
          </w:p>
        </w:tc>
        <w:tc>
          <w:tcPr>
            <w:tcW w:w="3300" w:type="dxa"/>
            <w:vAlign w:val="bottom"/>
            <w:tcBorders>
              <w:bottom w:val="single" w:sz="8" w:color="0000EE"/>
            </w:tcBorders>
            <w:gridSpan w:val="2"/>
          </w:tcPr>
          <w:p>
            <w:pPr>
              <w:spacing w:after="0" w:line="167" w:lineRule="exact"/>
              <w:rPr>
                <w:rFonts w:ascii="Times New Roman" w:cs="Times New Roman" w:eastAsia="Times New Roman" w:hAnsi="Times New Roman"/>
                <w:sz w:val="16"/>
                <w:szCs w:val="16"/>
                <w:color w:val="auto"/>
                <w:w w:val="96"/>
              </w:rPr>
            </w:pPr>
            <w:hyperlink r:id="rId531">
              <w:r>
                <w:rPr>
                  <w:rFonts w:ascii="Times New Roman" w:cs="Times New Roman" w:eastAsia="Times New Roman" w:hAnsi="Times New Roman"/>
                  <w:sz w:val="16"/>
                  <w:szCs w:val="16"/>
                  <w:color w:val="auto"/>
                  <w:w w:val="96"/>
                </w:rPr>
                <w:t>Annual Report on Form 10-K, filed March 12 2020).</w:t>
              </w:r>
            </w:hyperlink>
          </w:p>
        </w:tc>
        <w:tc>
          <w:tcPr>
            <w:tcW w:w="6800" w:type="dxa"/>
            <w:vAlign w:val="bottom"/>
            <w:gridSpan w:val="28"/>
          </w:tcPr>
          <w:p>
            <w:pPr>
              <w:spacing w:after="0"/>
              <w:rPr>
                <w:sz w:val="14"/>
                <w:szCs w:val="14"/>
                <w:color w:val="auto"/>
              </w:rPr>
            </w:pPr>
          </w:p>
        </w:tc>
      </w:tr>
      <w:tr>
        <w:trPr>
          <w:trHeight w:val="295"/>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10.14</w:t>
            </w:r>
          </w:p>
        </w:tc>
        <w:tc>
          <w:tcPr>
            <w:tcW w:w="10060" w:type="dxa"/>
            <w:vAlign w:val="bottom"/>
            <w:tcBorders>
              <w:bottom w:val="single" w:sz="8" w:color="0000EE"/>
            </w:tcBorders>
            <w:gridSpan w:val="28"/>
          </w:tcPr>
          <w:p>
            <w:pPr>
              <w:spacing w:after="0"/>
              <w:rPr>
                <w:rFonts w:ascii="Times New Roman" w:cs="Times New Roman" w:eastAsia="Times New Roman" w:hAnsi="Times New Roman"/>
                <w:sz w:val="16"/>
                <w:szCs w:val="16"/>
                <w:color w:val="auto"/>
                <w:w w:val="97"/>
              </w:rPr>
            </w:pPr>
            <w:hyperlink r:id="rId532">
              <w:r>
                <w:rPr>
                  <w:rFonts w:ascii="Times New Roman" w:cs="Times New Roman" w:eastAsia="Times New Roman" w:hAnsi="Times New Roman"/>
                  <w:sz w:val="16"/>
                  <w:szCs w:val="16"/>
                  <w:color w:val="auto"/>
                  <w:w w:val="97"/>
                </w:rPr>
                <w:t>Share Transfer Agreement by and between the Company and Pfizer Inc. (Incorporated by reference, Exhibit 10.1 to the Company’s Current Report on Form 8-K,</w:t>
              </w:r>
            </w:hyperlink>
          </w:p>
        </w:tc>
        <w:tc>
          <w:tcPr>
            <w:tcW w:w="40" w:type="dxa"/>
            <w:vAlign w:val="bottom"/>
            <w:gridSpan w:val="2"/>
          </w:tcPr>
          <w:p>
            <w:pPr>
              <w:spacing w:after="0"/>
              <w:rPr>
                <w:sz w:val="24"/>
                <w:szCs w:val="24"/>
                <w:color w:val="auto"/>
              </w:rPr>
            </w:pPr>
          </w:p>
        </w:tc>
      </w:tr>
      <w:tr>
        <w:trPr>
          <w:trHeight w:val="167"/>
        </w:trPr>
        <w:tc>
          <w:tcPr>
            <w:tcW w:w="1160" w:type="dxa"/>
            <w:vAlign w:val="bottom"/>
          </w:tcPr>
          <w:p>
            <w:pPr>
              <w:spacing w:after="0"/>
              <w:rPr>
                <w:sz w:val="14"/>
                <w:szCs w:val="14"/>
                <w:color w:val="auto"/>
              </w:rPr>
            </w:pPr>
          </w:p>
        </w:tc>
        <w:tc>
          <w:tcPr>
            <w:tcW w:w="10100" w:type="dxa"/>
            <w:vAlign w:val="bottom"/>
            <w:gridSpan w:val="30"/>
          </w:tcPr>
          <w:p>
            <w:pPr>
              <w:spacing w:after="0" w:line="167" w:lineRule="exact"/>
              <w:rPr>
                <w:rFonts w:ascii="Times New Roman" w:cs="Times New Roman" w:eastAsia="Times New Roman" w:hAnsi="Times New Roman"/>
                <w:sz w:val="16"/>
                <w:szCs w:val="16"/>
                <w:color w:val="auto"/>
              </w:rPr>
            </w:pPr>
            <w:hyperlink r:id="rId532">
              <w:r>
                <w:rPr>
                  <w:rFonts w:ascii="Times New Roman" w:cs="Times New Roman" w:eastAsia="Times New Roman" w:hAnsi="Times New Roman"/>
                  <w:sz w:val="16"/>
                  <w:szCs w:val="16"/>
                  <w:color w:val="auto"/>
                </w:rPr>
                <w:t>filed January 13, 2020).</w:t>
              </w:r>
            </w:hyperlink>
          </w:p>
        </w:tc>
      </w:tr>
      <w:tr>
        <w:trPr>
          <w:trHeight w:val="20"/>
        </w:trPr>
        <w:tc>
          <w:tcPr>
            <w:tcW w:w="116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5"/>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10.15</w:t>
            </w:r>
          </w:p>
        </w:tc>
        <w:tc>
          <w:tcPr>
            <w:tcW w:w="9920" w:type="dxa"/>
            <w:vAlign w:val="bottom"/>
            <w:tcBorders>
              <w:bottom w:val="single" w:sz="8" w:color="0000EE"/>
            </w:tcBorders>
            <w:gridSpan w:val="22"/>
          </w:tcPr>
          <w:p>
            <w:pPr>
              <w:spacing w:after="0"/>
              <w:rPr>
                <w:rFonts w:ascii="Times New Roman" w:cs="Times New Roman" w:eastAsia="Times New Roman" w:hAnsi="Times New Roman"/>
                <w:sz w:val="16"/>
                <w:szCs w:val="16"/>
                <w:color w:val="auto"/>
                <w:w w:val="97"/>
              </w:rPr>
            </w:pPr>
            <w:hyperlink r:id="rId533">
              <w:r>
                <w:rPr>
                  <w:rFonts w:ascii="Times New Roman" w:cs="Times New Roman" w:eastAsia="Times New Roman" w:hAnsi="Times New Roman"/>
                  <w:sz w:val="16"/>
                  <w:szCs w:val="16"/>
                  <w:color w:val="auto"/>
                  <w:w w:val="97"/>
                </w:rPr>
                <w:t>WeWork Membership Agreement effective as of August 1, 2020, by and between the Company and 22 Cortlandt Street HBQ LLC (Incorporated by reference,</w:t>
              </w:r>
            </w:hyperlink>
          </w:p>
        </w:tc>
        <w:tc>
          <w:tcPr>
            <w:tcW w:w="180" w:type="dxa"/>
            <w:vAlign w:val="bottom"/>
            <w:gridSpan w:val="8"/>
          </w:tcPr>
          <w:p>
            <w:pPr>
              <w:spacing w:after="0"/>
              <w:rPr>
                <w:sz w:val="24"/>
                <w:szCs w:val="24"/>
                <w:color w:val="auto"/>
              </w:rPr>
            </w:pPr>
          </w:p>
        </w:tc>
      </w:tr>
      <w:tr>
        <w:trPr>
          <w:trHeight w:val="167"/>
        </w:trPr>
        <w:tc>
          <w:tcPr>
            <w:tcW w:w="1160" w:type="dxa"/>
            <w:vAlign w:val="bottom"/>
          </w:tcPr>
          <w:p>
            <w:pPr>
              <w:spacing w:after="0"/>
              <w:rPr>
                <w:sz w:val="14"/>
                <w:szCs w:val="14"/>
                <w:color w:val="auto"/>
              </w:rPr>
            </w:pPr>
          </w:p>
        </w:tc>
        <w:tc>
          <w:tcPr>
            <w:tcW w:w="5460" w:type="dxa"/>
            <w:vAlign w:val="bottom"/>
            <w:tcBorders>
              <w:bottom w:val="single" w:sz="8" w:color="0000EE"/>
            </w:tcBorders>
            <w:gridSpan w:val="12"/>
          </w:tcPr>
          <w:p>
            <w:pPr>
              <w:spacing w:after="0" w:line="167" w:lineRule="exact"/>
              <w:rPr>
                <w:rFonts w:ascii="Times New Roman" w:cs="Times New Roman" w:eastAsia="Times New Roman" w:hAnsi="Times New Roman"/>
                <w:sz w:val="16"/>
                <w:szCs w:val="16"/>
                <w:color w:val="auto"/>
                <w:w w:val="96"/>
              </w:rPr>
            </w:pPr>
            <w:hyperlink r:id="rId533">
              <w:r>
                <w:rPr>
                  <w:rFonts w:ascii="Times New Roman" w:cs="Times New Roman" w:eastAsia="Times New Roman" w:hAnsi="Times New Roman"/>
                  <w:sz w:val="16"/>
                  <w:szCs w:val="16"/>
                  <w:color w:val="auto"/>
                  <w:w w:val="96"/>
                </w:rPr>
                <w:t>Exhibit 10.1 to the Company’s Quarterly Report on Form 10-Q, filed August 10, 2020).</w:t>
              </w:r>
            </w:hyperlink>
          </w:p>
        </w:tc>
        <w:tc>
          <w:tcPr>
            <w:tcW w:w="4640" w:type="dxa"/>
            <w:vAlign w:val="bottom"/>
            <w:gridSpan w:val="18"/>
          </w:tcPr>
          <w:p>
            <w:pPr>
              <w:spacing w:after="0"/>
              <w:rPr>
                <w:sz w:val="14"/>
                <w:szCs w:val="14"/>
                <w:color w:val="auto"/>
              </w:rPr>
            </w:pPr>
          </w:p>
        </w:tc>
      </w:tr>
      <w:tr>
        <w:trPr>
          <w:trHeight w:val="295"/>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10.16+++</w:t>
            </w:r>
          </w:p>
        </w:tc>
        <w:tc>
          <w:tcPr>
            <w:tcW w:w="9520" w:type="dxa"/>
            <w:vAlign w:val="bottom"/>
            <w:tcBorders>
              <w:bottom w:val="single" w:sz="8" w:color="0000EE"/>
            </w:tcBorders>
            <w:gridSpan w:val="15"/>
          </w:tcPr>
          <w:p>
            <w:pPr>
              <w:spacing w:after="0"/>
              <w:rPr>
                <w:rFonts w:ascii="Times New Roman" w:cs="Times New Roman" w:eastAsia="Times New Roman" w:hAnsi="Times New Roman"/>
                <w:sz w:val="16"/>
                <w:szCs w:val="16"/>
                <w:color w:val="auto"/>
                <w:w w:val="97"/>
              </w:rPr>
            </w:pPr>
            <w:hyperlink r:id="rId534">
              <w:r>
                <w:rPr>
                  <w:rFonts w:ascii="Times New Roman" w:cs="Times New Roman" w:eastAsia="Times New Roman" w:hAnsi="Times New Roman"/>
                  <w:sz w:val="16"/>
                  <w:szCs w:val="16"/>
                  <w:color w:val="auto"/>
                  <w:w w:val="97"/>
                </w:rPr>
                <w:t>Agreement, dated as of September 3, 2020, by and between Axsome Therapeutics, Inc. and David Marek (Incorporated by reference, Exhibit 10.2 to the</w:t>
              </w:r>
            </w:hyperlink>
          </w:p>
        </w:tc>
        <w:tc>
          <w:tcPr>
            <w:tcW w:w="580" w:type="dxa"/>
            <w:vAlign w:val="bottom"/>
            <w:gridSpan w:val="15"/>
          </w:tcPr>
          <w:p>
            <w:pPr>
              <w:spacing w:after="0"/>
              <w:rPr>
                <w:sz w:val="24"/>
                <w:szCs w:val="24"/>
                <w:color w:val="auto"/>
              </w:rPr>
            </w:pPr>
          </w:p>
        </w:tc>
      </w:tr>
      <w:tr>
        <w:trPr>
          <w:trHeight w:val="167"/>
        </w:trPr>
        <w:tc>
          <w:tcPr>
            <w:tcW w:w="1160" w:type="dxa"/>
            <w:vAlign w:val="bottom"/>
          </w:tcPr>
          <w:p>
            <w:pPr>
              <w:spacing w:after="0"/>
              <w:rPr>
                <w:sz w:val="14"/>
                <w:szCs w:val="14"/>
                <w:color w:val="auto"/>
              </w:rPr>
            </w:pPr>
          </w:p>
        </w:tc>
        <w:tc>
          <w:tcPr>
            <w:tcW w:w="10100" w:type="dxa"/>
            <w:vAlign w:val="bottom"/>
            <w:gridSpan w:val="30"/>
          </w:tcPr>
          <w:p>
            <w:pPr>
              <w:spacing w:after="0" w:line="167" w:lineRule="exact"/>
              <w:rPr>
                <w:rFonts w:ascii="Times New Roman" w:cs="Times New Roman" w:eastAsia="Times New Roman" w:hAnsi="Times New Roman"/>
                <w:sz w:val="16"/>
                <w:szCs w:val="16"/>
                <w:color w:val="auto"/>
              </w:rPr>
            </w:pPr>
            <w:hyperlink r:id="rId534">
              <w:r>
                <w:rPr>
                  <w:rFonts w:ascii="Times New Roman" w:cs="Times New Roman" w:eastAsia="Times New Roman" w:hAnsi="Times New Roman"/>
                  <w:sz w:val="16"/>
                  <w:szCs w:val="16"/>
                  <w:color w:val="auto"/>
                </w:rPr>
                <w:t>Company’s Amended Quarterly Report on Form 10-Q/A, filed November 6, 2020).</w:t>
              </w:r>
            </w:hyperlink>
          </w:p>
        </w:tc>
      </w:tr>
      <w:tr>
        <w:trPr>
          <w:trHeight w:val="20"/>
        </w:trPr>
        <w:tc>
          <w:tcPr>
            <w:tcW w:w="1160" w:type="dxa"/>
            <w:vAlign w:val="bottom"/>
          </w:tcPr>
          <w:p>
            <w:pPr>
              <w:spacing w:after="0" w:line="20" w:lineRule="exact"/>
              <w:rPr>
                <w:sz w:val="1"/>
                <w:szCs w:val="1"/>
                <w:color w:val="auto"/>
              </w:rPr>
            </w:pPr>
          </w:p>
        </w:tc>
        <w:tc>
          <w:tcPr>
            <w:tcW w:w="47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5"/>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10.17</w:t>
            </w:r>
          </w:p>
        </w:tc>
        <w:tc>
          <w:tcPr>
            <w:tcW w:w="9720" w:type="dxa"/>
            <w:vAlign w:val="bottom"/>
            <w:tcBorders>
              <w:bottom w:val="single" w:sz="8" w:color="0000EE"/>
            </w:tcBorders>
            <w:gridSpan w:val="18"/>
          </w:tcPr>
          <w:p>
            <w:pPr>
              <w:spacing w:after="0"/>
              <w:rPr>
                <w:rFonts w:ascii="Times New Roman" w:cs="Times New Roman" w:eastAsia="Times New Roman" w:hAnsi="Times New Roman"/>
                <w:sz w:val="16"/>
                <w:szCs w:val="16"/>
                <w:color w:val="auto"/>
                <w:w w:val="97"/>
              </w:rPr>
            </w:pPr>
            <w:hyperlink r:id="rId535">
              <w:r>
                <w:rPr>
                  <w:rFonts w:ascii="Times New Roman" w:cs="Times New Roman" w:eastAsia="Times New Roman" w:hAnsi="Times New Roman"/>
                  <w:sz w:val="16"/>
                  <w:szCs w:val="16"/>
                  <w:color w:val="auto"/>
                  <w:w w:val="97"/>
                </w:rPr>
                <w:t>Loan and Security Agreement, dated as of September 25, 2020, by and among Axsome Therapeutics, Inc., the Lenders who from time to time may be party</w:t>
              </w:r>
            </w:hyperlink>
          </w:p>
        </w:tc>
        <w:tc>
          <w:tcPr>
            <w:tcW w:w="380" w:type="dxa"/>
            <w:vAlign w:val="bottom"/>
            <w:gridSpan w:val="12"/>
          </w:tcPr>
          <w:p>
            <w:pPr>
              <w:spacing w:after="0"/>
              <w:rPr>
                <w:sz w:val="24"/>
                <w:szCs w:val="24"/>
                <w:color w:val="auto"/>
              </w:rPr>
            </w:pPr>
          </w:p>
        </w:tc>
      </w:tr>
      <w:tr>
        <w:trPr>
          <w:trHeight w:val="167"/>
        </w:trPr>
        <w:tc>
          <w:tcPr>
            <w:tcW w:w="1160" w:type="dxa"/>
            <w:vAlign w:val="bottom"/>
          </w:tcPr>
          <w:p>
            <w:pPr>
              <w:spacing w:after="0"/>
              <w:rPr>
                <w:sz w:val="14"/>
                <w:szCs w:val="14"/>
                <w:color w:val="auto"/>
              </w:rPr>
            </w:pPr>
          </w:p>
        </w:tc>
        <w:tc>
          <w:tcPr>
            <w:tcW w:w="9980" w:type="dxa"/>
            <w:vAlign w:val="bottom"/>
            <w:tcBorders>
              <w:bottom w:val="single" w:sz="8" w:color="0000EE"/>
            </w:tcBorders>
            <w:gridSpan w:val="24"/>
          </w:tcPr>
          <w:p>
            <w:pPr>
              <w:spacing w:after="0" w:line="167" w:lineRule="exact"/>
              <w:rPr>
                <w:rFonts w:ascii="Times New Roman" w:cs="Times New Roman" w:eastAsia="Times New Roman" w:hAnsi="Times New Roman"/>
                <w:sz w:val="16"/>
                <w:szCs w:val="16"/>
                <w:color w:val="auto"/>
                <w:w w:val="97"/>
              </w:rPr>
            </w:pPr>
            <w:hyperlink r:id="rId535">
              <w:r>
                <w:rPr>
                  <w:rFonts w:ascii="Times New Roman" w:cs="Times New Roman" w:eastAsia="Times New Roman" w:hAnsi="Times New Roman"/>
                  <w:sz w:val="16"/>
                  <w:szCs w:val="16"/>
                  <w:color w:val="auto"/>
                  <w:w w:val="97"/>
                </w:rPr>
                <w:t>thereto, and Hercules Capital, Inc., in its capacity as administrative agent and collateral agent for itself and the Lenders (Incorporated by reference, Exhibit 10.3</w:t>
              </w:r>
            </w:hyperlink>
          </w:p>
        </w:tc>
        <w:tc>
          <w:tcPr>
            <w:tcW w:w="120" w:type="dxa"/>
            <w:vAlign w:val="bottom"/>
            <w:gridSpan w:val="6"/>
          </w:tcPr>
          <w:p>
            <w:pPr>
              <w:spacing w:after="0"/>
              <w:rPr>
                <w:sz w:val="14"/>
                <w:szCs w:val="14"/>
                <w:color w:val="auto"/>
              </w:rPr>
            </w:pPr>
          </w:p>
        </w:tc>
      </w:tr>
      <w:tr>
        <w:trPr>
          <w:trHeight w:val="167"/>
        </w:trPr>
        <w:tc>
          <w:tcPr>
            <w:tcW w:w="1160" w:type="dxa"/>
            <w:vAlign w:val="bottom"/>
          </w:tcPr>
          <w:p>
            <w:pPr>
              <w:spacing w:after="0"/>
              <w:rPr>
                <w:sz w:val="14"/>
                <w:szCs w:val="14"/>
                <w:color w:val="auto"/>
              </w:rPr>
            </w:pPr>
          </w:p>
        </w:tc>
        <w:tc>
          <w:tcPr>
            <w:tcW w:w="4780" w:type="dxa"/>
            <w:vAlign w:val="bottom"/>
            <w:tcBorders>
              <w:bottom w:val="single" w:sz="8" w:color="0000EE"/>
            </w:tcBorders>
            <w:gridSpan w:val="5"/>
          </w:tcPr>
          <w:p>
            <w:pPr>
              <w:spacing w:after="0" w:line="167" w:lineRule="exact"/>
              <w:rPr>
                <w:rFonts w:ascii="Times New Roman" w:cs="Times New Roman" w:eastAsia="Times New Roman" w:hAnsi="Times New Roman"/>
                <w:sz w:val="16"/>
                <w:szCs w:val="16"/>
                <w:color w:val="auto"/>
                <w:w w:val="96"/>
              </w:rPr>
            </w:pPr>
            <w:hyperlink r:id="rId535">
              <w:r>
                <w:rPr>
                  <w:rFonts w:ascii="Times New Roman" w:cs="Times New Roman" w:eastAsia="Times New Roman" w:hAnsi="Times New Roman"/>
                  <w:sz w:val="16"/>
                  <w:szCs w:val="16"/>
                  <w:color w:val="auto"/>
                  <w:w w:val="96"/>
                </w:rPr>
                <w:t>to the Company’s Quarterly Report on Form 10-Q, filed November 5, 2020).</w:t>
              </w:r>
            </w:hyperlink>
          </w:p>
        </w:tc>
        <w:tc>
          <w:tcPr>
            <w:tcW w:w="5320" w:type="dxa"/>
            <w:vAlign w:val="bottom"/>
            <w:gridSpan w:val="25"/>
          </w:tcPr>
          <w:p>
            <w:pPr>
              <w:spacing w:after="0"/>
              <w:rPr>
                <w:sz w:val="14"/>
                <w:szCs w:val="14"/>
                <w:color w:val="auto"/>
              </w:rPr>
            </w:pPr>
          </w:p>
        </w:tc>
      </w:tr>
      <w:tr>
        <w:trPr>
          <w:trHeight w:val="295"/>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10.18+++</w:t>
            </w:r>
          </w:p>
        </w:tc>
        <w:tc>
          <w:tcPr>
            <w:tcW w:w="10000" w:type="dxa"/>
            <w:vAlign w:val="bottom"/>
            <w:tcBorders>
              <w:bottom w:val="single" w:sz="8" w:color="0000EE"/>
            </w:tcBorders>
            <w:gridSpan w:val="25"/>
          </w:tcPr>
          <w:p>
            <w:pPr>
              <w:spacing w:after="0"/>
              <w:rPr>
                <w:rFonts w:ascii="Times New Roman" w:cs="Times New Roman" w:eastAsia="Times New Roman" w:hAnsi="Times New Roman"/>
                <w:sz w:val="16"/>
                <w:szCs w:val="16"/>
                <w:color w:val="auto"/>
                <w:w w:val="97"/>
              </w:rPr>
            </w:pPr>
            <w:hyperlink r:id="rId536">
              <w:r>
                <w:rPr>
                  <w:rFonts w:ascii="Times New Roman" w:cs="Times New Roman" w:eastAsia="Times New Roman" w:hAnsi="Times New Roman"/>
                  <w:sz w:val="16"/>
                  <w:szCs w:val="16"/>
                  <w:color w:val="auto"/>
                  <w:w w:val="97"/>
                </w:rPr>
                <w:t>First Amendment to Loan and Security Agreement, dated as of October 14, 2021, by and among Axsome Therapeutics, Inc., the Lenders who from time to time</w:t>
              </w:r>
            </w:hyperlink>
          </w:p>
        </w:tc>
        <w:tc>
          <w:tcPr>
            <w:tcW w:w="100" w:type="dxa"/>
            <w:vAlign w:val="bottom"/>
            <w:gridSpan w:val="5"/>
          </w:tcPr>
          <w:p>
            <w:pPr>
              <w:spacing w:after="0"/>
              <w:rPr>
                <w:sz w:val="24"/>
                <w:szCs w:val="24"/>
                <w:color w:val="auto"/>
              </w:rPr>
            </w:pPr>
          </w:p>
        </w:tc>
      </w:tr>
      <w:tr>
        <w:trPr>
          <w:trHeight w:val="167"/>
        </w:trPr>
        <w:tc>
          <w:tcPr>
            <w:tcW w:w="1160" w:type="dxa"/>
            <w:vAlign w:val="bottom"/>
          </w:tcPr>
          <w:p>
            <w:pPr>
              <w:spacing w:after="0"/>
              <w:rPr>
                <w:sz w:val="14"/>
                <w:szCs w:val="14"/>
                <w:color w:val="auto"/>
              </w:rPr>
            </w:pPr>
          </w:p>
        </w:tc>
        <w:tc>
          <w:tcPr>
            <w:tcW w:w="10020" w:type="dxa"/>
            <w:vAlign w:val="bottom"/>
            <w:tcBorders>
              <w:bottom w:val="single" w:sz="8" w:color="0000EE"/>
            </w:tcBorders>
            <w:gridSpan w:val="26"/>
          </w:tcPr>
          <w:p>
            <w:pPr>
              <w:spacing w:after="0" w:line="167" w:lineRule="exact"/>
              <w:rPr>
                <w:rFonts w:ascii="Times New Roman" w:cs="Times New Roman" w:eastAsia="Times New Roman" w:hAnsi="Times New Roman"/>
                <w:sz w:val="16"/>
                <w:szCs w:val="16"/>
                <w:color w:val="auto"/>
                <w:w w:val="97"/>
              </w:rPr>
            </w:pPr>
            <w:hyperlink r:id="rId536">
              <w:r>
                <w:rPr>
                  <w:rFonts w:ascii="Times New Roman" w:cs="Times New Roman" w:eastAsia="Times New Roman" w:hAnsi="Times New Roman"/>
                  <w:sz w:val="16"/>
                  <w:szCs w:val="16"/>
                  <w:color w:val="auto"/>
                  <w:w w:val="97"/>
                </w:rPr>
                <w:t>may be party thereto, and Hercules Capital, Inc., in its capacity as administrative agent and collateral agent for itself and the Lenders (Incorporated by reference,</w:t>
              </w:r>
            </w:hyperlink>
          </w:p>
        </w:tc>
        <w:tc>
          <w:tcPr>
            <w:tcW w:w="80" w:type="dxa"/>
            <w:vAlign w:val="bottom"/>
            <w:gridSpan w:val="4"/>
          </w:tcPr>
          <w:p>
            <w:pPr>
              <w:spacing w:after="0"/>
              <w:rPr>
                <w:sz w:val="14"/>
                <w:szCs w:val="14"/>
                <w:color w:val="auto"/>
              </w:rPr>
            </w:pPr>
          </w:p>
        </w:tc>
      </w:tr>
      <w:tr>
        <w:trPr>
          <w:trHeight w:val="167"/>
        </w:trPr>
        <w:tc>
          <w:tcPr>
            <w:tcW w:w="1160" w:type="dxa"/>
            <w:vAlign w:val="bottom"/>
          </w:tcPr>
          <w:p>
            <w:pPr>
              <w:spacing w:after="0"/>
              <w:rPr>
                <w:sz w:val="14"/>
                <w:szCs w:val="14"/>
                <w:color w:val="auto"/>
              </w:rPr>
            </w:pPr>
          </w:p>
        </w:tc>
        <w:tc>
          <w:tcPr>
            <w:tcW w:w="5860" w:type="dxa"/>
            <w:vAlign w:val="bottom"/>
            <w:tcBorders>
              <w:bottom w:val="single" w:sz="8" w:color="0000EE"/>
            </w:tcBorders>
            <w:gridSpan w:val="13"/>
          </w:tcPr>
          <w:p>
            <w:pPr>
              <w:spacing w:after="0" w:line="167" w:lineRule="exact"/>
              <w:rPr>
                <w:rFonts w:ascii="Times New Roman" w:cs="Times New Roman" w:eastAsia="Times New Roman" w:hAnsi="Times New Roman"/>
                <w:sz w:val="16"/>
                <w:szCs w:val="16"/>
                <w:color w:val="auto"/>
                <w:w w:val="97"/>
              </w:rPr>
            </w:pPr>
            <w:hyperlink r:id="rId536">
              <w:r>
                <w:rPr>
                  <w:rFonts w:ascii="Times New Roman" w:cs="Times New Roman" w:eastAsia="Times New Roman" w:hAnsi="Times New Roman"/>
                  <w:sz w:val="16"/>
                  <w:szCs w:val="16"/>
                  <w:color w:val="auto"/>
                  <w:w w:val="97"/>
                </w:rPr>
                <w:t>Exhibit 10.1, to the Company’s Quarterly Report on Form 10-Q, filed on November 8, 2021).</w:t>
              </w:r>
            </w:hyperlink>
          </w:p>
        </w:tc>
        <w:tc>
          <w:tcPr>
            <w:tcW w:w="4240" w:type="dxa"/>
            <w:vAlign w:val="bottom"/>
            <w:gridSpan w:val="17"/>
          </w:tcPr>
          <w:p>
            <w:pPr>
              <w:spacing w:after="0"/>
              <w:rPr>
                <w:sz w:val="14"/>
                <w:szCs w:val="14"/>
                <w:color w:val="auto"/>
              </w:rPr>
            </w:pPr>
          </w:p>
        </w:tc>
      </w:tr>
      <w:tr>
        <w:trPr>
          <w:trHeight w:val="295"/>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10.19+++</w:t>
            </w:r>
          </w:p>
        </w:tc>
        <w:tc>
          <w:tcPr>
            <w:tcW w:w="10080" w:type="dxa"/>
            <w:vAlign w:val="bottom"/>
            <w:tcBorders>
              <w:bottom w:val="single" w:sz="8" w:color="0000EE"/>
            </w:tcBorders>
            <w:gridSpan w:val="29"/>
          </w:tcPr>
          <w:p>
            <w:pPr>
              <w:spacing w:after="0"/>
              <w:rPr>
                <w:rFonts w:ascii="Times New Roman" w:cs="Times New Roman" w:eastAsia="Times New Roman" w:hAnsi="Times New Roman"/>
                <w:sz w:val="16"/>
                <w:szCs w:val="16"/>
                <w:color w:val="auto"/>
                <w:w w:val="97"/>
              </w:rPr>
            </w:pPr>
            <w:hyperlink r:id="rId537">
              <w:r>
                <w:rPr>
                  <w:rFonts w:ascii="Times New Roman" w:cs="Times New Roman" w:eastAsia="Times New Roman" w:hAnsi="Times New Roman"/>
                  <w:sz w:val="16"/>
                  <w:szCs w:val="16"/>
                  <w:color w:val="auto"/>
                  <w:w w:val="97"/>
                </w:rPr>
                <w:t>Second Amendment to Loan and Security Agreement, dated as of March 27, 2022, by and among Axsome Therapeutics, Inc., the Lenders who from time to time</w:t>
              </w:r>
            </w:hyperlink>
          </w:p>
        </w:tc>
        <w:tc>
          <w:tcPr>
            <w:tcW w:w="20" w:type="dxa"/>
            <w:vAlign w:val="bottom"/>
          </w:tcPr>
          <w:p>
            <w:pPr>
              <w:spacing w:after="0"/>
              <w:rPr>
                <w:sz w:val="24"/>
                <w:szCs w:val="24"/>
                <w:color w:val="auto"/>
              </w:rPr>
            </w:pPr>
          </w:p>
        </w:tc>
      </w:tr>
      <w:tr>
        <w:trPr>
          <w:trHeight w:val="167"/>
        </w:trPr>
        <w:tc>
          <w:tcPr>
            <w:tcW w:w="1160" w:type="dxa"/>
            <w:vAlign w:val="bottom"/>
          </w:tcPr>
          <w:p>
            <w:pPr>
              <w:spacing w:after="0"/>
              <w:rPr>
                <w:sz w:val="14"/>
                <w:szCs w:val="14"/>
                <w:color w:val="auto"/>
              </w:rPr>
            </w:pPr>
          </w:p>
        </w:tc>
        <w:tc>
          <w:tcPr>
            <w:tcW w:w="10020" w:type="dxa"/>
            <w:vAlign w:val="bottom"/>
            <w:tcBorders>
              <w:bottom w:val="single" w:sz="8" w:color="0000EE"/>
            </w:tcBorders>
            <w:gridSpan w:val="26"/>
          </w:tcPr>
          <w:p>
            <w:pPr>
              <w:spacing w:after="0" w:line="167" w:lineRule="exact"/>
              <w:rPr>
                <w:rFonts w:ascii="Times New Roman" w:cs="Times New Roman" w:eastAsia="Times New Roman" w:hAnsi="Times New Roman"/>
                <w:sz w:val="16"/>
                <w:szCs w:val="16"/>
                <w:color w:val="auto"/>
                <w:w w:val="97"/>
              </w:rPr>
            </w:pPr>
            <w:hyperlink r:id="rId537">
              <w:r>
                <w:rPr>
                  <w:rFonts w:ascii="Times New Roman" w:cs="Times New Roman" w:eastAsia="Times New Roman" w:hAnsi="Times New Roman"/>
                  <w:sz w:val="16"/>
                  <w:szCs w:val="16"/>
                  <w:color w:val="auto"/>
                  <w:w w:val="97"/>
                </w:rPr>
                <w:t>may be party thereto, and Hercules Capital, Inc., in its capacity as administrative agent and collateral agent for itself and the Lenders (Incorporated by reference,</w:t>
              </w:r>
            </w:hyperlink>
          </w:p>
        </w:tc>
        <w:tc>
          <w:tcPr>
            <w:tcW w:w="80" w:type="dxa"/>
            <w:vAlign w:val="bottom"/>
            <w:gridSpan w:val="4"/>
          </w:tcPr>
          <w:p>
            <w:pPr>
              <w:spacing w:after="0"/>
              <w:rPr>
                <w:sz w:val="14"/>
                <w:szCs w:val="14"/>
                <w:color w:val="auto"/>
              </w:rPr>
            </w:pPr>
          </w:p>
        </w:tc>
      </w:tr>
      <w:tr>
        <w:trPr>
          <w:trHeight w:val="167"/>
        </w:trPr>
        <w:tc>
          <w:tcPr>
            <w:tcW w:w="1160" w:type="dxa"/>
            <w:vAlign w:val="bottom"/>
          </w:tcPr>
          <w:p>
            <w:pPr>
              <w:spacing w:after="0"/>
              <w:rPr>
                <w:sz w:val="14"/>
                <w:szCs w:val="14"/>
                <w:color w:val="auto"/>
              </w:rPr>
            </w:pPr>
          </w:p>
        </w:tc>
        <w:tc>
          <w:tcPr>
            <w:tcW w:w="5220" w:type="dxa"/>
            <w:vAlign w:val="bottom"/>
            <w:tcBorders>
              <w:bottom w:val="single" w:sz="8" w:color="0000EE"/>
            </w:tcBorders>
            <w:gridSpan w:val="10"/>
          </w:tcPr>
          <w:p>
            <w:pPr>
              <w:spacing w:after="0" w:line="167" w:lineRule="exact"/>
              <w:rPr>
                <w:rFonts w:ascii="Times New Roman" w:cs="Times New Roman" w:eastAsia="Times New Roman" w:hAnsi="Times New Roman"/>
                <w:sz w:val="16"/>
                <w:szCs w:val="16"/>
                <w:color w:val="auto"/>
                <w:w w:val="96"/>
              </w:rPr>
            </w:pPr>
            <w:hyperlink r:id="rId537">
              <w:r>
                <w:rPr>
                  <w:rFonts w:ascii="Times New Roman" w:cs="Times New Roman" w:eastAsia="Times New Roman" w:hAnsi="Times New Roman"/>
                  <w:sz w:val="16"/>
                  <w:szCs w:val="16"/>
                  <w:color w:val="auto"/>
                  <w:w w:val="96"/>
                </w:rPr>
                <w:t>Exhibit 10.1 to the Company’s Quarterly Report on Form 10-Q, filed May 2, 2022).</w:t>
              </w:r>
            </w:hyperlink>
          </w:p>
        </w:tc>
        <w:tc>
          <w:tcPr>
            <w:tcW w:w="4880" w:type="dxa"/>
            <w:vAlign w:val="bottom"/>
            <w:gridSpan w:val="20"/>
          </w:tcPr>
          <w:p>
            <w:pPr>
              <w:spacing w:after="0"/>
              <w:rPr>
                <w:sz w:val="14"/>
                <w:szCs w:val="14"/>
                <w:color w:val="auto"/>
              </w:rPr>
            </w:pPr>
          </w:p>
        </w:tc>
      </w:tr>
      <w:tr>
        <w:trPr>
          <w:trHeight w:val="295"/>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10.20+++</w:t>
            </w:r>
          </w:p>
        </w:tc>
        <w:tc>
          <w:tcPr>
            <w:tcW w:w="10080" w:type="dxa"/>
            <w:vAlign w:val="bottom"/>
            <w:tcBorders>
              <w:bottom w:val="single" w:sz="8" w:color="0000EE"/>
            </w:tcBorders>
            <w:gridSpan w:val="29"/>
          </w:tcPr>
          <w:p>
            <w:pPr>
              <w:spacing w:after="0"/>
              <w:rPr>
                <w:rFonts w:ascii="Times New Roman" w:cs="Times New Roman" w:eastAsia="Times New Roman" w:hAnsi="Times New Roman"/>
                <w:sz w:val="16"/>
                <w:szCs w:val="16"/>
                <w:color w:val="auto"/>
                <w:w w:val="97"/>
              </w:rPr>
            </w:pPr>
            <w:hyperlink r:id="rId538">
              <w:r>
                <w:rPr>
                  <w:rFonts w:ascii="Times New Roman" w:cs="Times New Roman" w:eastAsia="Times New Roman" w:hAnsi="Times New Roman"/>
                  <w:sz w:val="16"/>
                  <w:szCs w:val="16"/>
                  <w:color w:val="auto"/>
                  <w:w w:val="97"/>
                </w:rPr>
                <w:t>Third Amendment to Loan and Security Agreement, dated January 9, 2023, by and among Axsome Therapeutics, Inc., the Lenders who from time to time may be</w:t>
              </w:r>
            </w:hyperlink>
          </w:p>
        </w:tc>
        <w:tc>
          <w:tcPr>
            <w:tcW w:w="20" w:type="dxa"/>
            <w:vAlign w:val="bottom"/>
          </w:tcPr>
          <w:p>
            <w:pPr>
              <w:spacing w:after="0"/>
              <w:rPr>
                <w:sz w:val="24"/>
                <w:szCs w:val="24"/>
                <w:color w:val="auto"/>
              </w:rPr>
            </w:pPr>
          </w:p>
        </w:tc>
      </w:tr>
      <w:tr>
        <w:trPr>
          <w:trHeight w:val="167"/>
        </w:trPr>
        <w:tc>
          <w:tcPr>
            <w:tcW w:w="1160" w:type="dxa"/>
            <w:vAlign w:val="bottom"/>
          </w:tcPr>
          <w:p>
            <w:pPr>
              <w:spacing w:after="0"/>
              <w:rPr>
                <w:sz w:val="14"/>
                <w:szCs w:val="14"/>
                <w:color w:val="auto"/>
              </w:rPr>
            </w:pPr>
          </w:p>
        </w:tc>
        <w:tc>
          <w:tcPr>
            <w:tcW w:w="10040" w:type="dxa"/>
            <w:vAlign w:val="bottom"/>
            <w:tcBorders>
              <w:bottom w:val="single" w:sz="8" w:color="0000EE"/>
            </w:tcBorders>
            <w:gridSpan w:val="27"/>
          </w:tcPr>
          <w:p>
            <w:pPr>
              <w:spacing w:after="0" w:line="167" w:lineRule="exact"/>
              <w:rPr>
                <w:rFonts w:ascii="Times New Roman" w:cs="Times New Roman" w:eastAsia="Times New Roman" w:hAnsi="Times New Roman"/>
                <w:sz w:val="16"/>
                <w:szCs w:val="16"/>
                <w:color w:val="auto"/>
                <w:w w:val="97"/>
              </w:rPr>
            </w:pPr>
            <w:hyperlink r:id="rId538">
              <w:r>
                <w:rPr>
                  <w:rFonts w:ascii="Times New Roman" w:cs="Times New Roman" w:eastAsia="Times New Roman" w:hAnsi="Times New Roman"/>
                  <w:sz w:val="16"/>
                  <w:szCs w:val="16"/>
                  <w:color w:val="auto"/>
                  <w:w w:val="97"/>
                </w:rPr>
                <w:t>party thereto, and Hercules Capital, Inc., in its capacity as administrative agent and collateral agent for itself and the Lenders (Incorporated by reference, Exhibit</w:t>
              </w:r>
            </w:hyperlink>
          </w:p>
        </w:tc>
        <w:tc>
          <w:tcPr>
            <w:tcW w:w="60" w:type="dxa"/>
            <w:vAlign w:val="bottom"/>
            <w:gridSpan w:val="3"/>
          </w:tcPr>
          <w:p>
            <w:pPr>
              <w:spacing w:after="0"/>
              <w:rPr>
                <w:sz w:val="14"/>
                <w:szCs w:val="14"/>
                <w:color w:val="auto"/>
              </w:rPr>
            </w:pPr>
          </w:p>
        </w:tc>
      </w:tr>
      <w:tr>
        <w:trPr>
          <w:trHeight w:val="167"/>
        </w:trPr>
        <w:tc>
          <w:tcPr>
            <w:tcW w:w="1160" w:type="dxa"/>
            <w:vAlign w:val="bottom"/>
          </w:tcPr>
          <w:p>
            <w:pPr>
              <w:spacing w:after="0"/>
              <w:rPr>
                <w:sz w:val="14"/>
                <w:szCs w:val="14"/>
                <w:color w:val="auto"/>
              </w:rPr>
            </w:pPr>
          </w:p>
        </w:tc>
        <w:tc>
          <w:tcPr>
            <w:tcW w:w="4720" w:type="dxa"/>
            <w:vAlign w:val="bottom"/>
            <w:tcBorders>
              <w:bottom w:val="single" w:sz="8" w:color="0000EE"/>
            </w:tcBorders>
            <w:gridSpan w:val="4"/>
          </w:tcPr>
          <w:p>
            <w:pPr>
              <w:spacing w:after="0" w:line="167" w:lineRule="exact"/>
              <w:rPr>
                <w:rFonts w:ascii="Times New Roman" w:cs="Times New Roman" w:eastAsia="Times New Roman" w:hAnsi="Times New Roman"/>
                <w:sz w:val="16"/>
                <w:szCs w:val="16"/>
                <w:color w:val="auto"/>
                <w:w w:val="96"/>
              </w:rPr>
            </w:pPr>
            <w:hyperlink r:id="rId538">
              <w:r>
                <w:rPr>
                  <w:rFonts w:ascii="Times New Roman" w:cs="Times New Roman" w:eastAsia="Times New Roman" w:hAnsi="Times New Roman"/>
                  <w:sz w:val="16"/>
                  <w:szCs w:val="16"/>
                  <w:color w:val="auto"/>
                  <w:w w:val="96"/>
                </w:rPr>
                <w:t>10.2 to the Company’s Quarterly Report on Form 10-Q, filed May 9, 2023).</w:t>
              </w:r>
            </w:hyperlink>
          </w:p>
        </w:tc>
        <w:tc>
          <w:tcPr>
            <w:tcW w:w="5380" w:type="dxa"/>
            <w:vAlign w:val="bottom"/>
            <w:gridSpan w:val="26"/>
          </w:tcPr>
          <w:p>
            <w:pPr>
              <w:spacing w:after="0"/>
              <w:rPr>
                <w:sz w:val="14"/>
                <w:szCs w:val="14"/>
                <w:color w:val="auto"/>
              </w:rPr>
            </w:pPr>
          </w:p>
        </w:tc>
      </w:tr>
      <w:tr>
        <w:trPr>
          <w:trHeight w:val="295"/>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10.21</w:t>
            </w:r>
          </w:p>
        </w:tc>
        <w:tc>
          <w:tcPr>
            <w:tcW w:w="9980" w:type="dxa"/>
            <w:vAlign w:val="bottom"/>
            <w:tcBorders>
              <w:bottom w:val="single" w:sz="8" w:color="0000EE"/>
            </w:tcBorders>
            <w:gridSpan w:val="24"/>
          </w:tcPr>
          <w:p>
            <w:pPr>
              <w:spacing w:after="0"/>
              <w:rPr>
                <w:rFonts w:ascii="Times New Roman" w:cs="Times New Roman" w:eastAsia="Times New Roman" w:hAnsi="Times New Roman"/>
                <w:sz w:val="16"/>
                <w:szCs w:val="16"/>
                <w:color w:val="auto"/>
                <w:w w:val="97"/>
              </w:rPr>
            </w:pPr>
            <w:hyperlink r:id="rId539">
              <w:r>
                <w:rPr>
                  <w:rFonts w:ascii="Times New Roman" w:cs="Times New Roman" w:eastAsia="Times New Roman" w:hAnsi="Times New Roman"/>
                  <w:sz w:val="16"/>
                  <w:szCs w:val="16"/>
                  <w:color w:val="auto"/>
                  <w:w w:val="97"/>
                </w:rPr>
                <w:t>Fourth Amendment to Loan and Security Agreement, dated May 8, 2023, by and among Axsome Therapeutics, Inc., the Lenders who from time to time may be</w:t>
              </w:r>
            </w:hyperlink>
          </w:p>
        </w:tc>
        <w:tc>
          <w:tcPr>
            <w:tcW w:w="120" w:type="dxa"/>
            <w:vAlign w:val="bottom"/>
            <w:gridSpan w:val="6"/>
          </w:tcPr>
          <w:p>
            <w:pPr>
              <w:spacing w:after="0"/>
              <w:rPr>
                <w:sz w:val="24"/>
                <w:szCs w:val="24"/>
                <w:color w:val="auto"/>
              </w:rPr>
            </w:pPr>
          </w:p>
        </w:tc>
      </w:tr>
      <w:tr>
        <w:trPr>
          <w:trHeight w:val="167"/>
        </w:trPr>
        <w:tc>
          <w:tcPr>
            <w:tcW w:w="1160" w:type="dxa"/>
            <w:vAlign w:val="bottom"/>
          </w:tcPr>
          <w:p>
            <w:pPr>
              <w:spacing w:after="0"/>
              <w:rPr>
                <w:sz w:val="14"/>
                <w:szCs w:val="14"/>
                <w:color w:val="auto"/>
              </w:rPr>
            </w:pPr>
          </w:p>
        </w:tc>
        <w:tc>
          <w:tcPr>
            <w:tcW w:w="10040" w:type="dxa"/>
            <w:vAlign w:val="bottom"/>
            <w:tcBorders>
              <w:bottom w:val="single" w:sz="8" w:color="0000EE"/>
            </w:tcBorders>
            <w:gridSpan w:val="27"/>
          </w:tcPr>
          <w:p>
            <w:pPr>
              <w:spacing w:after="0" w:line="167" w:lineRule="exact"/>
              <w:rPr>
                <w:rFonts w:ascii="Times New Roman" w:cs="Times New Roman" w:eastAsia="Times New Roman" w:hAnsi="Times New Roman"/>
                <w:sz w:val="16"/>
                <w:szCs w:val="16"/>
                <w:color w:val="auto"/>
                <w:w w:val="97"/>
              </w:rPr>
            </w:pPr>
            <w:hyperlink r:id="rId539">
              <w:r>
                <w:rPr>
                  <w:rFonts w:ascii="Times New Roman" w:cs="Times New Roman" w:eastAsia="Times New Roman" w:hAnsi="Times New Roman"/>
                  <w:sz w:val="16"/>
                  <w:szCs w:val="16"/>
                  <w:color w:val="auto"/>
                  <w:w w:val="97"/>
                </w:rPr>
                <w:t>party thereto, and Hercules Capital, Inc., in its capacity as administrative agent and collateral agent for itself and the Lenders (Incorporated by reference, Exhibit</w:t>
              </w:r>
            </w:hyperlink>
          </w:p>
        </w:tc>
        <w:tc>
          <w:tcPr>
            <w:tcW w:w="60" w:type="dxa"/>
            <w:vAlign w:val="bottom"/>
            <w:gridSpan w:val="3"/>
          </w:tcPr>
          <w:p>
            <w:pPr>
              <w:spacing w:after="0"/>
              <w:rPr>
                <w:sz w:val="14"/>
                <w:szCs w:val="14"/>
                <w:color w:val="auto"/>
              </w:rPr>
            </w:pPr>
          </w:p>
        </w:tc>
      </w:tr>
      <w:tr>
        <w:trPr>
          <w:trHeight w:val="167"/>
        </w:trPr>
        <w:tc>
          <w:tcPr>
            <w:tcW w:w="1160" w:type="dxa"/>
            <w:vAlign w:val="bottom"/>
          </w:tcPr>
          <w:p>
            <w:pPr>
              <w:spacing w:after="0"/>
              <w:rPr>
                <w:sz w:val="14"/>
                <w:szCs w:val="14"/>
                <w:color w:val="auto"/>
              </w:rPr>
            </w:pPr>
          </w:p>
        </w:tc>
        <w:tc>
          <w:tcPr>
            <w:tcW w:w="10100" w:type="dxa"/>
            <w:vAlign w:val="bottom"/>
            <w:gridSpan w:val="30"/>
          </w:tcPr>
          <w:p>
            <w:pPr>
              <w:spacing w:after="0" w:line="167" w:lineRule="exact"/>
              <w:rPr>
                <w:rFonts w:ascii="Times New Roman" w:cs="Times New Roman" w:eastAsia="Times New Roman" w:hAnsi="Times New Roman"/>
                <w:sz w:val="16"/>
                <w:szCs w:val="16"/>
                <w:color w:val="auto"/>
              </w:rPr>
            </w:pPr>
            <w:hyperlink r:id="rId539">
              <w:r>
                <w:rPr>
                  <w:rFonts w:ascii="Times New Roman" w:cs="Times New Roman" w:eastAsia="Times New Roman" w:hAnsi="Times New Roman"/>
                  <w:sz w:val="16"/>
                  <w:szCs w:val="16"/>
                  <w:color w:val="auto"/>
                </w:rPr>
                <w:t>10.1 to the Company’s Quarterly Report on Form 10-Q, filed August 7, 2023).</w:t>
              </w:r>
            </w:hyperlink>
          </w:p>
        </w:tc>
      </w:tr>
      <w:tr>
        <w:trPr>
          <w:trHeight w:val="20"/>
        </w:trPr>
        <w:tc>
          <w:tcPr>
            <w:tcW w:w="1160" w:type="dxa"/>
            <w:vAlign w:val="bottom"/>
          </w:tcPr>
          <w:p>
            <w:pPr>
              <w:spacing w:after="0" w:line="20" w:lineRule="exact"/>
              <w:rPr>
                <w:sz w:val="1"/>
                <w:szCs w:val="1"/>
                <w:color w:val="auto"/>
              </w:rPr>
            </w:pPr>
          </w:p>
        </w:tc>
        <w:tc>
          <w:tcPr>
            <w:tcW w:w="488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r>
      <w:tr>
        <w:trPr>
          <w:trHeight w:val="295"/>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10.22</w:t>
            </w:r>
          </w:p>
        </w:tc>
        <w:tc>
          <w:tcPr>
            <w:tcW w:w="9580" w:type="dxa"/>
            <w:vAlign w:val="bottom"/>
            <w:tcBorders>
              <w:bottom w:val="single" w:sz="8" w:color="0000EE"/>
            </w:tcBorders>
            <w:gridSpan w:val="16"/>
          </w:tcPr>
          <w:p>
            <w:pPr>
              <w:spacing w:after="0"/>
              <w:rPr>
                <w:rFonts w:ascii="Times New Roman" w:cs="Times New Roman" w:eastAsia="Times New Roman" w:hAnsi="Times New Roman"/>
                <w:sz w:val="16"/>
                <w:szCs w:val="16"/>
                <w:color w:val="auto"/>
                <w:w w:val="97"/>
              </w:rPr>
            </w:pPr>
            <w:hyperlink r:id="rId540">
              <w:r>
                <w:rPr>
                  <w:rFonts w:ascii="Times New Roman" w:cs="Times New Roman" w:eastAsia="Times New Roman" w:hAnsi="Times New Roman"/>
                  <w:sz w:val="16"/>
                  <w:szCs w:val="16"/>
                  <w:color w:val="auto"/>
                  <w:w w:val="97"/>
                </w:rPr>
                <w:t>Direct Agreement, by and among Axsome Therapeutics, Inc., Antecip Bioventures II LLC, and Hercules Capital Inc., as collateral agent for itself and the</w:t>
              </w:r>
            </w:hyperlink>
          </w:p>
        </w:tc>
        <w:tc>
          <w:tcPr>
            <w:tcW w:w="520" w:type="dxa"/>
            <w:vAlign w:val="bottom"/>
            <w:gridSpan w:val="14"/>
          </w:tcPr>
          <w:p>
            <w:pPr>
              <w:spacing w:after="0"/>
              <w:rPr>
                <w:sz w:val="24"/>
                <w:szCs w:val="24"/>
                <w:color w:val="auto"/>
              </w:rPr>
            </w:pPr>
          </w:p>
        </w:tc>
      </w:tr>
      <w:tr>
        <w:trPr>
          <w:trHeight w:val="167"/>
        </w:trPr>
        <w:tc>
          <w:tcPr>
            <w:tcW w:w="1160" w:type="dxa"/>
            <w:vAlign w:val="bottom"/>
          </w:tcPr>
          <w:p>
            <w:pPr>
              <w:spacing w:after="0"/>
              <w:rPr>
                <w:sz w:val="14"/>
                <w:szCs w:val="14"/>
                <w:color w:val="auto"/>
              </w:rPr>
            </w:pPr>
          </w:p>
        </w:tc>
        <w:tc>
          <w:tcPr>
            <w:tcW w:w="10100" w:type="dxa"/>
            <w:vAlign w:val="bottom"/>
            <w:gridSpan w:val="30"/>
          </w:tcPr>
          <w:p>
            <w:pPr>
              <w:spacing w:after="0" w:line="167" w:lineRule="exact"/>
              <w:rPr>
                <w:rFonts w:ascii="Times New Roman" w:cs="Times New Roman" w:eastAsia="Times New Roman" w:hAnsi="Times New Roman"/>
                <w:sz w:val="16"/>
                <w:szCs w:val="16"/>
                <w:color w:val="auto"/>
              </w:rPr>
            </w:pPr>
            <w:hyperlink r:id="rId540">
              <w:r>
                <w:rPr>
                  <w:rFonts w:ascii="Times New Roman" w:cs="Times New Roman" w:eastAsia="Times New Roman" w:hAnsi="Times New Roman"/>
                  <w:sz w:val="16"/>
                  <w:szCs w:val="16"/>
                  <w:color w:val="auto"/>
                </w:rPr>
                <w:t>Lenders (Incorporated by reference, Exhibit 10.5 to the Company’s Quarterly Report on Form 10-Q, filed November 5, 2020).</w:t>
              </w:r>
            </w:hyperlink>
          </w:p>
        </w:tc>
      </w:tr>
      <w:tr>
        <w:trPr>
          <w:trHeight w:val="20"/>
        </w:trPr>
        <w:tc>
          <w:tcPr>
            <w:tcW w:w="1160" w:type="dxa"/>
            <w:vAlign w:val="bottom"/>
          </w:tcPr>
          <w:p>
            <w:pPr>
              <w:spacing w:after="0" w:line="20" w:lineRule="exact"/>
              <w:rPr>
                <w:sz w:val="1"/>
                <w:szCs w:val="1"/>
                <w:color w:val="auto"/>
              </w:rPr>
            </w:pPr>
          </w:p>
        </w:tc>
        <w:tc>
          <w:tcPr>
            <w:tcW w:w="4960" w:type="dxa"/>
            <w:vAlign w:val="bottom"/>
            <w:gridSpan w:val="7"/>
            <w:shd w:val="clear" w:color="auto" w:fill="0000EE"/>
          </w:tcPr>
          <w:p>
            <w:pPr>
              <w:spacing w:after="0" w:line="20" w:lineRule="exact"/>
              <w:rPr>
                <w:sz w:val="1"/>
                <w:szCs w:val="1"/>
                <w:color w:val="auto"/>
              </w:rPr>
            </w:pPr>
          </w:p>
        </w:tc>
        <w:tc>
          <w:tcPr>
            <w:tcW w:w="2900" w:type="dxa"/>
            <w:vAlign w:val="bottom"/>
            <w:gridSpan w:val="7"/>
            <w:shd w:val="clear" w:color="auto" w:fill="0000EE"/>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r>
      <w:tr>
        <w:trPr>
          <w:trHeight w:val="295"/>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10.23+++</w:t>
            </w:r>
          </w:p>
        </w:tc>
        <w:tc>
          <w:tcPr>
            <w:tcW w:w="9900" w:type="dxa"/>
            <w:vAlign w:val="bottom"/>
            <w:tcBorders>
              <w:bottom w:val="single" w:sz="8" w:color="0000EE"/>
            </w:tcBorders>
            <w:gridSpan w:val="21"/>
          </w:tcPr>
          <w:p>
            <w:pPr>
              <w:spacing w:after="0"/>
              <w:rPr>
                <w:rFonts w:ascii="Times New Roman" w:cs="Times New Roman" w:eastAsia="Times New Roman" w:hAnsi="Times New Roman"/>
                <w:sz w:val="16"/>
                <w:szCs w:val="16"/>
                <w:color w:val="auto"/>
                <w:w w:val="97"/>
              </w:rPr>
            </w:pPr>
            <w:hyperlink r:id="rId541">
              <w:r>
                <w:rPr>
                  <w:rFonts w:ascii="Times New Roman" w:cs="Times New Roman" w:eastAsia="Times New Roman" w:hAnsi="Times New Roman"/>
                  <w:sz w:val="16"/>
                  <w:szCs w:val="16"/>
                  <w:color w:val="auto"/>
                  <w:w w:val="97"/>
                </w:rPr>
                <w:t>Asset Purchase Agreement, dated as of March 25, 2022, between Jazz Pharmaceuticals plc and Axsome Therapeutics, Inc. (Incorporated by reference, Exhibit</w:t>
              </w:r>
            </w:hyperlink>
          </w:p>
        </w:tc>
        <w:tc>
          <w:tcPr>
            <w:tcW w:w="200" w:type="dxa"/>
            <w:vAlign w:val="bottom"/>
            <w:gridSpan w:val="9"/>
          </w:tcPr>
          <w:p>
            <w:pPr>
              <w:spacing w:after="0"/>
              <w:rPr>
                <w:sz w:val="24"/>
                <w:szCs w:val="24"/>
                <w:color w:val="auto"/>
              </w:rPr>
            </w:pPr>
          </w:p>
        </w:tc>
      </w:tr>
      <w:tr>
        <w:trPr>
          <w:trHeight w:val="167"/>
        </w:trPr>
        <w:tc>
          <w:tcPr>
            <w:tcW w:w="1160" w:type="dxa"/>
            <w:vAlign w:val="bottom"/>
          </w:tcPr>
          <w:p>
            <w:pPr>
              <w:spacing w:after="0"/>
              <w:rPr>
                <w:sz w:val="14"/>
                <w:szCs w:val="14"/>
                <w:color w:val="auto"/>
              </w:rPr>
            </w:pPr>
          </w:p>
        </w:tc>
        <w:tc>
          <w:tcPr>
            <w:tcW w:w="10100" w:type="dxa"/>
            <w:vAlign w:val="bottom"/>
            <w:gridSpan w:val="30"/>
          </w:tcPr>
          <w:p>
            <w:pPr>
              <w:spacing w:after="0" w:line="167" w:lineRule="exact"/>
              <w:rPr>
                <w:rFonts w:ascii="Times New Roman" w:cs="Times New Roman" w:eastAsia="Times New Roman" w:hAnsi="Times New Roman"/>
                <w:sz w:val="16"/>
                <w:szCs w:val="16"/>
                <w:color w:val="auto"/>
              </w:rPr>
            </w:pPr>
            <w:hyperlink r:id="rId541">
              <w:r>
                <w:rPr>
                  <w:rFonts w:ascii="Times New Roman" w:cs="Times New Roman" w:eastAsia="Times New Roman" w:hAnsi="Times New Roman"/>
                  <w:sz w:val="16"/>
                  <w:szCs w:val="16"/>
                  <w:color w:val="auto"/>
                </w:rPr>
                <w:t>10.1 to the Company’s Current Report on Form 8-K, filed on March 31, 2022).</w:t>
              </w:r>
            </w:hyperlink>
          </w:p>
        </w:tc>
      </w:tr>
      <w:tr>
        <w:trPr>
          <w:trHeight w:val="563"/>
        </w:trPr>
        <w:tc>
          <w:tcPr>
            <w:tcW w:w="1160" w:type="dxa"/>
            <w:vAlign w:val="bottom"/>
          </w:tcPr>
          <w:p>
            <w:pPr>
              <w:spacing w:after="0"/>
              <w:rPr>
                <w:sz w:val="24"/>
                <w:szCs w:val="24"/>
                <w:color w:val="auto"/>
              </w:rPr>
            </w:pPr>
          </w:p>
        </w:tc>
        <w:tc>
          <w:tcPr>
            <w:tcW w:w="4720" w:type="dxa"/>
            <w:vAlign w:val="bottom"/>
            <w:tcBorders>
              <w:top w:val="single" w:sz="8" w:color="0000EE"/>
            </w:tcBorders>
            <w:gridSpan w:val="4"/>
          </w:tcPr>
          <w:p>
            <w:pPr>
              <w:ind w:left="4340"/>
              <w:spacing w:after="0"/>
              <w:rPr>
                <w:sz w:val="20"/>
                <w:szCs w:val="20"/>
                <w:color w:val="auto"/>
              </w:rPr>
            </w:pPr>
            <w:r>
              <w:rPr>
                <w:rFonts w:ascii="Times New Roman" w:cs="Times New Roman" w:eastAsia="Times New Roman" w:hAnsi="Times New Roman"/>
                <w:sz w:val="16"/>
                <w:szCs w:val="16"/>
                <w:color w:val="auto"/>
              </w:rPr>
              <w:t>129</w:t>
            </w: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58"/>
        </w:trPr>
        <w:tc>
          <w:tcPr>
            <w:tcW w:w="1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165" w:name="page166"/>
    <w:bookmarkEnd w:id="165"/>
    <w:p>
      <w:pPr>
        <w:ind w:left="7"/>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560070"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4">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355"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10.24</w:t>
            </w:r>
          </w:p>
        </w:tc>
        <w:tc>
          <w:tcPr>
            <w:tcW w:w="10060" w:type="dxa"/>
            <w:vAlign w:val="bottom"/>
            <w:tcBorders>
              <w:bottom w:val="single" w:sz="8" w:color="0000EE"/>
            </w:tcBorders>
            <w:gridSpan w:val="17"/>
          </w:tcPr>
          <w:p>
            <w:pPr>
              <w:spacing w:after="0"/>
              <w:rPr>
                <w:rFonts w:ascii="Times New Roman" w:cs="Times New Roman" w:eastAsia="Times New Roman" w:hAnsi="Times New Roman"/>
                <w:sz w:val="16"/>
                <w:szCs w:val="16"/>
                <w:color w:val="auto"/>
                <w:w w:val="97"/>
              </w:rPr>
            </w:pPr>
            <w:hyperlink r:id="rId545">
              <w:r>
                <w:rPr>
                  <w:rFonts w:ascii="Times New Roman" w:cs="Times New Roman" w:eastAsia="Times New Roman" w:hAnsi="Times New Roman"/>
                  <w:sz w:val="16"/>
                  <w:szCs w:val="16"/>
                  <w:color w:val="auto"/>
                  <w:w w:val="97"/>
                </w:rPr>
                <w:t>Form of Warrant Agreement, dated as of May 9, 2022, between Axsome Therapeutics, Inc. and Hercules Capital, Inc. (Incorporated by reference, Exhibit 10.1 to</w:t>
              </w:r>
            </w:hyperlink>
          </w:p>
        </w:tc>
      </w:tr>
      <w:tr>
        <w:trPr>
          <w:trHeight w:val="167"/>
        </w:trPr>
        <w:tc>
          <w:tcPr>
            <w:tcW w:w="1160" w:type="dxa"/>
            <w:vAlign w:val="bottom"/>
          </w:tcPr>
          <w:p>
            <w:pPr>
              <w:spacing w:after="0"/>
              <w:rPr>
                <w:sz w:val="14"/>
                <w:szCs w:val="14"/>
                <w:color w:val="auto"/>
              </w:rPr>
            </w:pPr>
          </w:p>
        </w:tc>
        <w:tc>
          <w:tcPr>
            <w:tcW w:w="4420" w:type="dxa"/>
            <w:vAlign w:val="bottom"/>
            <w:tcBorders>
              <w:bottom w:val="single" w:sz="8" w:color="0000EE"/>
            </w:tcBorders>
            <w:gridSpan w:val="8"/>
          </w:tcPr>
          <w:p>
            <w:pPr>
              <w:spacing w:after="0" w:line="167" w:lineRule="exact"/>
              <w:rPr>
                <w:rFonts w:ascii="Times New Roman" w:cs="Times New Roman" w:eastAsia="Times New Roman" w:hAnsi="Times New Roman"/>
                <w:sz w:val="16"/>
                <w:szCs w:val="16"/>
                <w:color w:val="auto"/>
                <w:w w:val="96"/>
              </w:rPr>
            </w:pPr>
            <w:hyperlink r:id="rId545">
              <w:r>
                <w:rPr>
                  <w:rFonts w:ascii="Times New Roman" w:cs="Times New Roman" w:eastAsia="Times New Roman" w:hAnsi="Times New Roman"/>
                  <w:sz w:val="16"/>
                  <w:szCs w:val="16"/>
                  <w:color w:val="auto"/>
                  <w:w w:val="96"/>
                </w:rPr>
                <w:t>the Company’s Quarterly Report on Form 10-Q, filed August 9, 2022).</w:t>
              </w:r>
            </w:hyperlink>
          </w:p>
        </w:tc>
        <w:tc>
          <w:tcPr>
            <w:tcW w:w="5640" w:type="dxa"/>
            <w:vAlign w:val="bottom"/>
            <w:gridSpan w:val="9"/>
          </w:tcPr>
          <w:p>
            <w:pPr>
              <w:spacing w:after="0"/>
              <w:rPr>
                <w:sz w:val="14"/>
                <w:szCs w:val="14"/>
                <w:color w:val="auto"/>
              </w:rPr>
            </w:pPr>
          </w:p>
        </w:tc>
      </w:tr>
      <w:tr>
        <w:trPr>
          <w:trHeight w:val="295"/>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10.25</w:t>
            </w:r>
          </w:p>
        </w:tc>
        <w:tc>
          <w:tcPr>
            <w:tcW w:w="10060" w:type="dxa"/>
            <w:vAlign w:val="bottom"/>
            <w:tcBorders>
              <w:bottom w:val="single" w:sz="8" w:color="0000EE"/>
            </w:tcBorders>
            <w:gridSpan w:val="17"/>
          </w:tcPr>
          <w:p>
            <w:pPr>
              <w:spacing w:after="0"/>
              <w:rPr>
                <w:rFonts w:ascii="Times New Roman" w:cs="Times New Roman" w:eastAsia="Times New Roman" w:hAnsi="Times New Roman"/>
                <w:sz w:val="16"/>
                <w:szCs w:val="16"/>
                <w:color w:val="auto"/>
                <w:w w:val="97"/>
              </w:rPr>
            </w:pPr>
            <w:hyperlink r:id="rId546">
              <w:r>
                <w:rPr>
                  <w:rFonts w:ascii="Times New Roman" w:cs="Times New Roman" w:eastAsia="Times New Roman" w:hAnsi="Times New Roman"/>
                  <w:sz w:val="16"/>
                  <w:szCs w:val="16"/>
                  <w:color w:val="auto"/>
                  <w:w w:val="97"/>
                </w:rPr>
                <w:t>Share Transfer Agreement, dated as of May 9, 2022, between Axsome Therapeutics, Inc., Hercules Capital, Inc., Hercules Private Global Venture Growth Fund I</w:t>
              </w:r>
            </w:hyperlink>
          </w:p>
        </w:tc>
      </w:tr>
      <w:tr>
        <w:trPr>
          <w:trHeight w:val="167"/>
        </w:trPr>
        <w:tc>
          <w:tcPr>
            <w:tcW w:w="1160" w:type="dxa"/>
            <w:vAlign w:val="bottom"/>
          </w:tcPr>
          <w:p>
            <w:pPr>
              <w:spacing w:after="0"/>
              <w:rPr>
                <w:sz w:val="14"/>
                <w:szCs w:val="14"/>
                <w:color w:val="auto"/>
              </w:rPr>
            </w:pPr>
          </w:p>
        </w:tc>
        <w:tc>
          <w:tcPr>
            <w:tcW w:w="10060" w:type="dxa"/>
            <w:vAlign w:val="bottom"/>
            <w:gridSpan w:val="17"/>
          </w:tcPr>
          <w:p>
            <w:pPr>
              <w:spacing w:after="0" w:line="167" w:lineRule="exact"/>
              <w:rPr>
                <w:rFonts w:ascii="Times New Roman" w:cs="Times New Roman" w:eastAsia="Times New Roman" w:hAnsi="Times New Roman"/>
                <w:sz w:val="16"/>
                <w:szCs w:val="16"/>
                <w:color w:val="auto"/>
                <w:w w:val="98"/>
              </w:rPr>
            </w:pPr>
            <w:hyperlink r:id="rId546">
              <w:r>
                <w:rPr>
                  <w:rFonts w:ascii="Times New Roman" w:cs="Times New Roman" w:eastAsia="Times New Roman" w:hAnsi="Times New Roman"/>
                  <w:sz w:val="16"/>
                  <w:szCs w:val="16"/>
                  <w:color w:val="auto"/>
                  <w:w w:val="98"/>
                </w:rPr>
                <w:t>L.P. and Hercules Private Credit Fund I L.P. (Incorporated by reference, Exhibit 10.2 to the Company’s Quarterly Report on Form 10-Q, filed August 9, 2022).</w:t>
              </w:r>
            </w:hyperlink>
          </w:p>
        </w:tc>
      </w:tr>
      <w:tr>
        <w:trPr>
          <w:trHeight w:val="295"/>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10.26+++</w:t>
            </w:r>
          </w:p>
        </w:tc>
        <w:tc>
          <w:tcPr>
            <w:tcW w:w="988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6"/>
                <w:szCs w:val="16"/>
                <w:color w:val="auto"/>
                <w:w w:val="97"/>
              </w:rPr>
            </w:pPr>
            <w:hyperlink r:id="rId547">
              <w:r>
                <w:rPr>
                  <w:rFonts w:ascii="Times New Roman" w:cs="Times New Roman" w:eastAsia="Times New Roman" w:hAnsi="Times New Roman"/>
                  <w:sz w:val="16"/>
                  <w:szCs w:val="16"/>
                  <w:color w:val="auto"/>
                  <w:w w:val="97"/>
                </w:rPr>
                <w:t>License Agreement, dated February 21, 2023, by and between Axsome Malta Ltd. and Atnahs Pharma UK Limited (Incorporated by reference, Exhibit 10.1 to</w:t>
              </w:r>
            </w:hyperlink>
          </w:p>
        </w:tc>
        <w:tc>
          <w:tcPr>
            <w:tcW w:w="40" w:type="dxa"/>
            <w:vAlign w:val="bottom"/>
            <w:tcBorders>
              <w:bottom w:val="single" w:sz="8" w:color="0000EE"/>
            </w:tcBorders>
          </w:tcPr>
          <w:p>
            <w:pPr>
              <w:spacing w:after="0"/>
              <w:rPr>
                <w:sz w:val="24"/>
                <w:szCs w:val="24"/>
                <w:color w:val="auto"/>
              </w:rPr>
            </w:pPr>
          </w:p>
        </w:tc>
        <w:tc>
          <w:tcPr>
            <w:tcW w:w="140" w:type="dxa"/>
            <w:vAlign w:val="bottom"/>
            <w:gridSpan w:val="2"/>
          </w:tcPr>
          <w:p>
            <w:pPr>
              <w:spacing w:after="0"/>
              <w:rPr>
                <w:sz w:val="24"/>
                <w:szCs w:val="24"/>
                <w:color w:val="auto"/>
              </w:rPr>
            </w:pPr>
          </w:p>
        </w:tc>
      </w:tr>
      <w:tr>
        <w:trPr>
          <w:trHeight w:val="167"/>
        </w:trPr>
        <w:tc>
          <w:tcPr>
            <w:tcW w:w="1160" w:type="dxa"/>
            <w:vAlign w:val="bottom"/>
          </w:tcPr>
          <w:p>
            <w:pPr>
              <w:spacing w:after="0"/>
              <w:rPr>
                <w:sz w:val="14"/>
                <w:szCs w:val="14"/>
                <w:color w:val="auto"/>
              </w:rPr>
            </w:pPr>
          </w:p>
        </w:tc>
        <w:tc>
          <w:tcPr>
            <w:tcW w:w="10060" w:type="dxa"/>
            <w:vAlign w:val="bottom"/>
            <w:gridSpan w:val="17"/>
          </w:tcPr>
          <w:p>
            <w:pPr>
              <w:spacing w:after="0" w:line="167" w:lineRule="exact"/>
              <w:rPr>
                <w:rFonts w:ascii="Times New Roman" w:cs="Times New Roman" w:eastAsia="Times New Roman" w:hAnsi="Times New Roman"/>
                <w:sz w:val="16"/>
                <w:szCs w:val="16"/>
                <w:color w:val="auto"/>
              </w:rPr>
            </w:pPr>
            <w:hyperlink r:id="rId547">
              <w:r>
                <w:rPr>
                  <w:rFonts w:ascii="Times New Roman" w:cs="Times New Roman" w:eastAsia="Times New Roman" w:hAnsi="Times New Roman"/>
                  <w:sz w:val="16"/>
                  <w:szCs w:val="16"/>
                  <w:color w:val="auto"/>
                </w:rPr>
                <w:t>the Company’s Quarterly Report on Form 10-Q, filed May 9, 2023).</w:t>
              </w:r>
            </w:hyperlink>
          </w:p>
        </w:tc>
      </w:tr>
      <w:tr>
        <w:trPr>
          <w:trHeight w:val="20"/>
        </w:trPr>
        <w:tc>
          <w:tcPr>
            <w:tcW w:w="1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5"/>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10.27+++</w:t>
            </w:r>
          </w:p>
        </w:tc>
        <w:tc>
          <w:tcPr>
            <w:tcW w:w="10000" w:type="dxa"/>
            <w:vAlign w:val="bottom"/>
            <w:tcBorders>
              <w:bottom w:val="single" w:sz="8" w:color="0000EE"/>
            </w:tcBorders>
            <w:gridSpan w:val="16"/>
          </w:tcPr>
          <w:p>
            <w:pPr>
              <w:spacing w:after="0"/>
              <w:rPr>
                <w:rFonts w:ascii="Times New Roman" w:cs="Times New Roman" w:eastAsia="Times New Roman" w:hAnsi="Times New Roman"/>
                <w:sz w:val="16"/>
                <w:szCs w:val="16"/>
                <w:color w:val="auto"/>
                <w:w w:val="97"/>
              </w:rPr>
            </w:pPr>
            <w:hyperlink r:id="rId548">
              <w:r>
                <w:rPr>
                  <w:rFonts w:ascii="Times New Roman" w:cs="Times New Roman" w:eastAsia="Times New Roman" w:hAnsi="Times New Roman"/>
                  <w:sz w:val="16"/>
                  <w:szCs w:val="16"/>
                  <w:color w:val="auto"/>
                  <w:w w:val="97"/>
                </w:rPr>
                <w:t>Sublease, dated February 21, 2023, between Advance Magazine Publishers d/b/a Conde Nast and Axsome Therapeutics, Inc (Incorporated by reference, Exhibit</w:t>
              </w:r>
            </w:hyperlink>
          </w:p>
        </w:tc>
        <w:tc>
          <w:tcPr>
            <w:tcW w:w="60" w:type="dxa"/>
            <w:vAlign w:val="bottom"/>
          </w:tcPr>
          <w:p>
            <w:pPr>
              <w:spacing w:after="0"/>
              <w:rPr>
                <w:sz w:val="24"/>
                <w:szCs w:val="24"/>
                <w:color w:val="auto"/>
              </w:rPr>
            </w:pPr>
          </w:p>
        </w:tc>
      </w:tr>
      <w:tr>
        <w:trPr>
          <w:trHeight w:val="167"/>
        </w:trPr>
        <w:tc>
          <w:tcPr>
            <w:tcW w:w="1160" w:type="dxa"/>
            <w:vAlign w:val="bottom"/>
          </w:tcPr>
          <w:p>
            <w:pPr>
              <w:spacing w:after="0"/>
              <w:rPr>
                <w:sz w:val="14"/>
                <w:szCs w:val="14"/>
                <w:color w:val="auto"/>
              </w:rPr>
            </w:pPr>
          </w:p>
        </w:tc>
        <w:tc>
          <w:tcPr>
            <w:tcW w:w="4720" w:type="dxa"/>
            <w:vAlign w:val="bottom"/>
            <w:tcBorders>
              <w:bottom w:val="single" w:sz="8" w:color="0000EE"/>
            </w:tcBorders>
            <w:gridSpan w:val="9"/>
          </w:tcPr>
          <w:p>
            <w:pPr>
              <w:spacing w:after="0" w:line="167" w:lineRule="exact"/>
              <w:rPr>
                <w:rFonts w:ascii="Times New Roman" w:cs="Times New Roman" w:eastAsia="Times New Roman" w:hAnsi="Times New Roman"/>
                <w:sz w:val="16"/>
                <w:szCs w:val="16"/>
                <w:color w:val="auto"/>
                <w:w w:val="96"/>
              </w:rPr>
            </w:pPr>
            <w:hyperlink r:id="rId548">
              <w:r>
                <w:rPr>
                  <w:rFonts w:ascii="Times New Roman" w:cs="Times New Roman" w:eastAsia="Times New Roman" w:hAnsi="Times New Roman"/>
                  <w:sz w:val="16"/>
                  <w:szCs w:val="16"/>
                  <w:color w:val="auto"/>
                  <w:w w:val="96"/>
                </w:rPr>
                <w:t>10.3 to the Company’s Quarterly Report on Form 10-Q, filed May 9, 2023).</w:t>
              </w:r>
            </w:hyperlink>
          </w:p>
        </w:tc>
        <w:tc>
          <w:tcPr>
            <w:tcW w:w="5340" w:type="dxa"/>
            <w:vAlign w:val="bottom"/>
            <w:gridSpan w:val="8"/>
          </w:tcPr>
          <w:p>
            <w:pPr>
              <w:spacing w:after="0"/>
              <w:rPr>
                <w:sz w:val="14"/>
                <w:szCs w:val="14"/>
                <w:color w:val="auto"/>
              </w:rPr>
            </w:pPr>
          </w:p>
        </w:tc>
      </w:tr>
      <w:tr>
        <w:trPr>
          <w:trHeight w:val="295"/>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19.1**</w:t>
            </w:r>
          </w:p>
        </w:tc>
        <w:tc>
          <w:tcPr>
            <w:tcW w:w="31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auto"/>
                <w:w w:val="96"/>
              </w:rPr>
              <w:t>Axsome Therapeutics, Inc. Insider Trading Policy.</w:t>
            </w:r>
          </w:p>
        </w:tc>
        <w:tc>
          <w:tcPr>
            <w:tcW w:w="6920" w:type="dxa"/>
            <w:vAlign w:val="bottom"/>
            <w:gridSpan w:val="12"/>
          </w:tcPr>
          <w:p>
            <w:pPr>
              <w:spacing w:after="0"/>
              <w:rPr>
                <w:sz w:val="24"/>
                <w:szCs w:val="24"/>
                <w:color w:val="auto"/>
              </w:rPr>
            </w:pPr>
          </w:p>
        </w:tc>
      </w:tr>
      <w:tr>
        <w:trPr>
          <w:trHeight w:val="295"/>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21.1**</w:t>
            </w:r>
          </w:p>
        </w:tc>
        <w:tc>
          <w:tcPr>
            <w:tcW w:w="18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auto"/>
                <w:w w:val="96"/>
              </w:rPr>
              <w:t>Subsidiaries of the Company.</w:t>
            </w:r>
          </w:p>
        </w:tc>
        <w:tc>
          <w:tcPr>
            <w:tcW w:w="8220" w:type="dxa"/>
            <w:vAlign w:val="bottom"/>
            <w:gridSpan w:val="15"/>
          </w:tcPr>
          <w:p>
            <w:pPr>
              <w:spacing w:after="0"/>
              <w:rPr>
                <w:sz w:val="24"/>
                <w:szCs w:val="24"/>
                <w:color w:val="auto"/>
              </w:rPr>
            </w:pPr>
          </w:p>
        </w:tc>
      </w:tr>
      <w:tr>
        <w:trPr>
          <w:trHeight w:val="295"/>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23.1**</w:t>
            </w:r>
          </w:p>
        </w:tc>
        <w:tc>
          <w:tcPr>
            <w:tcW w:w="1006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Consent of Deloitte &amp; Touche LLP.</w:t>
            </w:r>
          </w:p>
        </w:tc>
      </w:tr>
      <w:tr>
        <w:trPr>
          <w:trHeight w:val="295"/>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23.2**</w:t>
            </w:r>
          </w:p>
        </w:tc>
        <w:tc>
          <w:tcPr>
            <w:tcW w:w="22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auto"/>
              </w:rPr>
              <w:t>Consent of Ernst &amp; Young LLP.</w:t>
            </w:r>
          </w:p>
        </w:tc>
        <w:tc>
          <w:tcPr>
            <w:tcW w:w="7860" w:type="dxa"/>
            <w:vAlign w:val="bottom"/>
            <w:gridSpan w:val="13"/>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295"/>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31.1**</w:t>
            </w:r>
          </w:p>
        </w:tc>
        <w:tc>
          <w:tcPr>
            <w:tcW w:w="1006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Certification of Principal Executive Officer pursuant to Rule 13a-14(a)/15d-14(a), as adopted pursuant to Section 302 of the Sarbanes-Oxley Act of 2002.</w:t>
            </w:r>
          </w:p>
        </w:tc>
      </w:tr>
      <w:tr>
        <w:trPr>
          <w:trHeight w:val="295"/>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31.2**</w:t>
            </w:r>
          </w:p>
        </w:tc>
        <w:tc>
          <w:tcPr>
            <w:tcW w:w="956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6"/>
                <w:szCs w:val="16"/>
                <w:color w:val="auto"/>
                <w:w w:val="97"/>
              </w:rPr>
              <w:t>Certification of Principal Financial Officer pursuant to Rule 13a-14(a)/15d-14(a), as adopted pursuant to Section 302 of the Sarbanes-Oxley Act of 2002.</w:t>
            </w:r>
          </w:p>
        </w:tc>
        <w:tc>
          <w:tcPr>
            <w:tcW w:w="500" w:type="dxa"/>
            <w:vAlign w:val="bottom"/>
            <w:gridSpan w:val="6"/>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960" w:type="dxa"/>
            <w:vAlign w:val="bottom"/>
            <w:gridSpan w:val="5"/>
            <w:shd w:val="clear" w:color="auto" w:fill="0000EE"/>
          </w:tcPr>
          <w:p>
            <w:pPr>
              <w:spacing w:after="0" w:line="20" w:lineRule="exact"/>
              <w:rPr>
                <w:sz w:val="1"/>
                <w:szCs w:val="1"/>
                <w:color w:val="auto"/>
              </w:rPr>
            </w:pPr>
          </w:p>
        </w:tc>
        <w:tc>
          <w:tcPr>
            <w:tcW w:w="592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295"/>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32.1**</w:t>
            </w:r>
          </w:p>
        </w:tc>
        <w:tc>
          <w:tcPr>
            <w:tcW w:w="97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6"/>
                <w:szCs w:val="16"/>
                <w:color w:val="auto"/>
                <w:w w:val="97"/>
              </w:rPr>
              <w:t>Certification of Principal Executive Officer pursuant to 18 U.S.C. §1350, as adopted pursuant to Section 906 of the Sarbanes-Oxley Act of 2002 (furnished</w:t>
            </w:r>
          </w:p>
        </w:tc>
        <w:tc>
          <w:tcPr>
            <w:tcW w:w="360" w:type="dxa"/>
            <w:vAlign w:val="bottom"/>
            <w:gridSpan w:val="4"/>
          </w:tcPr>
          <w:p>
            <w:pPr>
              <w:spacing w:after="0"/>
              <w:rPr>
                <w:sz w:val="24"/>
                <w:szCs w:val="24"/>
                <w:color w:val="auto"/>
              </w:rPr>
            </w:pPr>
          </w:p>
        </w:tc>
      </w:tr>
      <w:tr>
        <w:trPr>
          <w:trHeight w:val="167"/>
        </w:trPr>
        <w:tc>
          <w:tcPr>
            <w:tcW w:w="1160" w:type="dxa"/>
            <w:vAlign w:val="bottom"/>
          </w:tcPr>
          <w:p>
            <w:pPr>
              <w:spacing w:after="0"/>
              <w:rPr>
                <w:sz w:val="14"/>
                <w:szCs w:val="14"/>
                <w:color w:val="auto"/>
              </w:rPr>
            </w:pPr>
          </w:p>
        </w:tc>
        <w:tc>
          <w:tcPr>
            <w:tcW w:w="640" w:type="dxa"/>
            <w:vAlign w:val="bottom"/>
            <w:tcBorders>
              <w:bottom w:val="single" w:sz="8" w:color="0000EE"/>
            </w:tcBorders>
          </w:tcPr>
          <w:p>
            <w:pPr>
              <w:spacing w:after="0" w:line="167" w:lineRule="exact"/>
              <w:rPr>
                <w:sz w:val="20"/>
                <w:szCs w:val="20"/>
                <w:color w:val="auto"/>
              </w:rPr>
            </w:pPr>
            <w:r>
              <w:rPr>
                <w:rFonts w:ascii="Times New Roman" w:cs="Times New Roman" w:eastAsia="Times New Roman" w:hAnsi="Times New Roman"/>
                <w:sz w:val="16"/>
                <w:szCs w:val="16"/>
                <w:color w:val="auto"/>
                <w:w w:val="94"/>
              </w:rPr>
              <w:t>herewith).</w:t>
            </w:r>
          </w:p>
        </w:tc>
        <w:tc>
          <w:tcPr>
            <w:tcW w:w="9420" w:type="dxa"/>
            <w:vAlign w:val="bottom"/>
            <w:gridSpan w:val="16"/>
          </w:tcPr>
          <w:p>
            <w:pPr>
              <w:spacing w:after="0"/>
              <w:rPr>
                <w:sz w:val="14"/>
                <w:szCs w:val="14"/>
                <w:color w:val="auto"/>
              </w:rPr>
            </w:pPr>
          </w:p>
        </w:tc>
      </w:tr>
      <w:tr>
        <w:trPr>
          <w:trHeight w:val="295"/>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32.2**</w:t>
            </w:r>
          </w:p>
        </w:tc>
        <w:tc>
          <w:tcPr>
            <w:tcW w:w="96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6"/>
                <w:szCs w:val="16"/>
                <w:color w:val="auto"/>
                <w:w w:val="97"/>
              </w:rPr>
              <w:t>Certification of Principal Financial Officer pursuant to 18 U.S.C. §1350, as adopted pursuant to Section 906 of the Sarbanes-Oxley Act of 2002 (furnished</w:t>
            </w:r>
          </w:p>
        </w:tc>
        <w:tc>
          <w:tcPr>
            <w:tcW w:w="400" w:type="dxa"/>
            <w:vAlign w:val="bottom"/>
            <w:gridSpan w:val="5"/>
          </w:tcPr>
          <w:p>
            <w:pPr>
              <w:spacing w:after="0"/>
              <w:rPr>
                <w:sz w:val="24"/>
                <w:szCs w:val="24"/>
                <w:color w:val="auto"/>
              </w:rPr>
            </w:pPr>
          </w:p>
        </w:tc>
      </w:tr>
      <w:tr>
        <w:trPr>
          <w:trHeight w:val="167"/>
        </w:trPr>
        <w:tc>
          <w:tcPr>
            <w:tcW w:w="1160" w:type="dxa"/>
            <w:vAlign w:val="bottom"/>
          </w:tcPr>
          <w:p>
            <w:pPr>
              <w:spacing w:after="0"/>
              <w:rPr>
                <w:sz w:val="14"/>
                <w:szCs w:val="14"/>
                <w:color w:val="auto"/>
              </w:rPr>
            </w:pPr>
          </w:p>
        </w:tc>
        <w:tc>
          <w:tcPr>
            <w:tcW w:w="640" w:type="dxa"/>
            <w:vAlign w:val="bottom"/>
            <w:tcBorders>
              <w:bottom w:val="single" w:sz="8" w:color="0000EE"/>
            </w:tcBorders>
          </w:tcPr>
          <w:p>
            <w:pPr>
              <w:spacing w:after="0" w:line="167" w:lineRule="exact"/>
              <w:rPr>
                <w:sz w:val="20"/>
                <w:szCs w:val="20"/>
                <w:color w:val="auto"/>
              </w:rPr>
            </w:pPr>
            <w:r>
              <w:rPr>
                <w:rFonts w:ascii="Times New Roman" w:cs="Times New Roman" w:eastAsia="Times New Roman" w:hAnsi="Times New Roman"/>
                <w:sz w:val="16"/>
                <w:szCs w:val="16"/>
                <w:color w:val="auto"/>
                <w:w w:val="94"/>
              </w:rPr>
              <w:t>herewith).</w:t>
            </w:r>
          </w:p>
        </w:tc>
        <w:tc>
          <w:tcPr>
            <w:tcW w:w="9420" w:type="dxa"/>
            <w:vAlign w:val="bottom"/>
            <w:gridSpan w:val="16"/>
          </w:tcPr>
          <w:p>
            <w:pPr>
              <w:spacing w:after="0"/>
              <w:rPr>
                <w:sz w:val="14"/>
                <w:szCs w:val="14"/>
                <w:color w:val="auto"/>
              </w:rPr>
            </w:pPr>
          </w:p>
        </w:tc>
      </w:tr>
      <w:tr>
        <w:trPr>
          <w:trHeight w:val="295"/>
        </w:trPr>
        <w:tc>
          <w:tcPr>
            <w:tcW w:w="1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97.1**</w:t>
            </w:r>
          </w:p>
        </w:tc>
        <w:tc>
          <w:tcPr>
            <w:tcW w:w="1006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Axsome Therapeutics, Inc. Dodd-Frank Clawback Policy.</w:t>
            </w:r>
          </w:p>
        </w:tc>
      </w:tr>
      <w:tr>
        <w:trPr>
          <w:trHeight w:val="20"/>
        </w:trPr>
        <w:tc>
          <w:tcPr>
            <w:tcW w:w="1160" w:type="dxa"/>
            <w:vAlign w:val="bottom"/>
          </w:tcPr>
          <w:p>
            <w:pPr>
              <w:spacing w:after="0" w:line="20" w:lineRule="exact"/>
              <w:rPr>
                <w:sz w:val="1"/>
                <w:szCs w:val="1"/>
                <w:color w:val="auto"/>
              </w:rPr>
            </w:pPr>
          </w:p>
        </w:tc>
        <w:tc>
          <w:tcPr>
            <w:tcW w:w="3600" w:type="dxa"/>
            <w:vAlign w:val="bottom"/>
            <w:gridSpan w:val="6"/>
            <w:shd w:val="clear" w:color="auto" w:fill="0000EE"/>
          </w:tcPr>
          <w:p>
            <w:pPr>
              <w:spacing w:after="0" w:line="20" w:lineRule="exact"/>
              <w:rPr>
                <w:sz w:val="1"/>
                <w:szCs w:val="1"/>
                <w:color w:val="auto"/>
              </w:rPr>
            </w:pPr>
          </w:p>
        </w:tc>
        <w:tc>
          <w:tcPr>
            <w:tcW w:w="6460" w:type="dxa"/>
            <w:vAlign w:val="bottom"/>
            <w:gridSpan w:val="11"/>
          </w:tcPr>
          <w:p>
            <w:pPr>
              <w:spacing w:after="0" w:line="20" w:lineRule="exact"/>
              <w:rPr>
                <w:sz w:val="1"/>
                <w:szCs w:val="1"/>
                <w:color w:val="auto"/>
              </w:rPr>
            </w:pPr>
          </w:p>
        </w:tc>
      </w:tr>
      <w:tr>
        <w:trPr>
          <w:trHeight w:val="31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006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Instance Document (the instance document does not appear in the Interactive Data File because its XBRL tags are embedded within the Inline</w:t>
            </w:r>
          </w:p>
        </w:tc>
      </w:tr>
      <w:tr>
        <w:trPr>
          <w:trHeight w:val="203"/>
        </w:trPr>
        <w:tc>
          <w:tcPr>
            <w:tcW w:w="1160" w:type="dxa"/>
            <w:vAlign w:val="bottom"/>
          </w:tcPr>
          <w:p>
            <w:pPr>
              <w:spacing w:after="0"/>
              <w:rPr>
                <w:sz w:val="17"/>
                <w:szCs w:val="17"/>
                <w:color w:val="auto"/>
              </w:rPr>
            </w:pPr>
          </w:p>
        </w:tc>
        <w:tc>
          <w:tcPr>
            <w:tcW w:w="1006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XBRL document)</w:t>
            </w:r>
          </w:p>
        </w:tc>
      </w:tr>
      <w:tr>
        <w:trPr>
          <w:trHeight w:val="315"/>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06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315"/>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006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Database Document</w:t>
            </w:r>
          </w:p>
        </w:tc>
      </w:tr>
      <w:tr>
        <w:trPr>
          <w:trHeight w:val="292"/>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006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315"/>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006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315"/>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006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bl>
    <w:p>
      <w:pPr>
        <w:spacing w:after="0" w:line="112" w:lineRule="exact"/>
        <w:rPr>
          <w:sz w:val="20"/>
          <w:szCs w:val="20"/>
          <w:color w:val="auto"/>
        </w:rPr>
      </w:pPr>
    </w:p>
    <w:p>
      <w:pPr>
        <w:ind w:left="1167" w:hanging="1155"/>
        <w:spacing w:after="0"/>
        <w:tabs>
          <w:tab w:leader="none" w:pos="1167"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with applicable taxonomy extension information contained in Exhibits 101.)</w:t>
      </w:r>
    </w:p>
    <w:p>
      <w:pPr>
        <w:spacing w:after="0" w:line="259" w:lineRule="exact"/>
        <w:rPr>
          <w:rFonts w:ascii="Times New Roman" w:cs="Times New Roman" w:eastAsia="Times New Roman" w:hAnsi="Times New Roman"/>
          <w:sz w:val="16"/>
          <w:szCs w:val="16"/>
          <w:color w:val="auto"/>
        </w:rPr>
      </w:pPr>
    </w:p>
    <w:p>
      <w:pPr>
        <w:ind w:left="307" w:hanging="307"/>
        <w:spacing w:after="0"/>
        <w:tabs>
          <w:tab w:leader="none" w:pos="307"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or compensatory plan.</w:t>
      </w:r>
    </w:p>
    <w:p>
      <w:pPr>
        <w:spacing w:after="0" w:line="96" w:lineRule="exact"/>
        <w:rPr>
          <w:sz w:val="20"/>
          <w:szCs w:val="20"/>
          <w:color w:val="auto"/>
        </w:rPr>
      </w:pPr>
    </w:p>
    <w:p>
      <w:pPr>
        <w:ind w:left="747" w:right="340" w:hanging="747"/>
        <w:spacing w:after="0" w:line="267" w:lineRule="auto"/>
        <w:tabs>
          <w:tab w:leader="none" w:pos="307"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 treatment has been granted with respect to certain portions of this exhibit. Omitted portions have been filed separately with the U.S. Securities and Exchange Commission.</w:t>
      </w:r>
    </w:p>
    <w:p>
      <w:pPr>
        <w:spacing w:after="0" w:line="57" w:lineRule="exact"/>
        <w:rPr>
          <w:sz w:val="20"/>
          <w:szCs w:val="20"/>
          <w:color w:val="auto"/>
        </w:rPr>
      </w:pPr>
    </w:p>
    <w:p>
      <w:pPr>
        <w:ind w:left="7" w:right="4560" w:hanging="7"/>
        <w:spacing w:after="0" w:line="389" w:lineRule="auto"/>
        <w:tabs>
          <w:tab w:leader="none" w:pos="318"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portions of this exhibit have been redacted pursuant to Item 601(b)(10)(iv) of Regulation S-K. ** Filed herewith.</w:t>
      </w:r>
    </w:p>
    <w:p>
      <w:pPr>
        <w:spacing w:after="0" w:line="115"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414655</wp:posOffset>
            </wp:positionV>
            <wp:extent cx="7176135" cy="4000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7"/>
          </w:cols>
          <w:pgMar w:left="313" w:top="680" w:right="3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0">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We may voluntarily include a summary of information required by Form 10-K under this Item 16. We have elected not to include such summary information.</w:t>
      </w:r>
    </w:p>
    <w:p>
      <w:pPr>
        <w:spacing w:after="0" w:line="200" w:lineRule="exact"/>
        <w:rPr>
          <w:sz w:val="20"/>
          <w:szCs w:val="20"/>
          <w:color w:val="auto"/>
        </w:rPr>
      </w:pPr>
    </w:p>
    <w:p>
      <w:pPr>
        <w:spacing w:after="0" w:line="2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540"/>
          </w:cols>
          <w:pgMar w:left="320" w:top="680" w:right="10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2"/>
          <w:szCs w:val="12"/>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60070"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2">
                      <a:extLst>
                        <a:ext uri="{28A0092B-C50C-407E-A947-70E740481C1C}"/>
                      </a:extLst>
                    </a:blip>
                    <a:srcRect/>
                    <a:stretch>
                      <a:fillRect/>
                    </a:stretch>
                  </pic:blipFill>
                  <pic:spPr bwMode="auto">
                    <a:xfrm>
                      <a:off x="0" y="0"/>
                      <a:ext cx="560070" cy="7620"/>
                    </a:xfrm>
                    <a:prstGeom prst="rect">
                      <a:avLst/>
                    </a:prstGeom>
                    <a:noFill/>
                  </pic:spPr>
                </pic:pic>
              </a:graphicData>
            </a:graphic>
          </wp:anchor>
        </w:drawing>
      </w: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1" w:lineRule="exact"/>
        <w:rPr>
          <w:sz w:val="20"/>
          <w:szCs w:val="20"/>
          <w:color w:val="auto"/>
        </w:rPr>
      </w:pPr>
    </w:p>
    <w:p>
      <w:pPr>
        <w:ind w:right="200" w:firstLine="751"/>
        <w:spacing w:after="0" w:line="267"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as amended, the registrant has duly caused this report to be signed on its behalf by the undersigned, thereunto duly authorized, on this 23rd day of February 2024.</w:t>
      </w:r>
    </w:p>
    <w:p>
      <w:pPr>
        <w:spacing w:after="0" w:line="39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color w:val="auto"/>
        </w:rPr>
        <w:t>AXSOME THERAPEUTICS, INC.</w:t>
      </w:r>
    </w:p>
    <w:p>
      <w:pPr>
        <w:spacing w:after="0" w:line="236" w:lineRule="exact"/>
        <w:rPr>
          <w:sz w:val="20"/>
          <w:szCs w:val="20"/>
          <w:color w:val="auto"/>
        </w:rPr>
      </w:pPr>
    </w:p>
    <w:tbl>
      <w:tblPr>
        <w:tblLayout w:type="fixed"/>
        <w:tblInd w:w="5680" w:type="dxa"/>
        <w:tblCellMar>
          <w:top w:w="0" w:type="dxa"/>
          <w:left w:w="0" w:type="dxa"/>
          <w:bottom w:w="0" w:type="dxa"/>
          <w:right w:w="0" w:type="dxa"/>
        </w:tblCellMar>
      </w:tblPr>
      <w:tr>
        <w:trPr>
          <w:trHeight w:val="203"/>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/s/ Herriot Tabuteau, M.D.</w:t>
            </w:r>
          </w:p>
        </w:tc>
      </w:tr>
      <w:tr>
        <w:trPr>
          <w:trHeight w:val="213"/>
        </w:trPr>
        <w:tc>
          <w:tcPr>
            <w:tcW w:w="56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Herriot Tabuteau, M.D.</w:t>
            </w:r>
          </w:p>
        </w:tc>
      </w:tr>
      <w:tr>
        <w:trPr>
          <w:trHeight w:val="210"/>
        </w:trPr>
        <w:tc>
          <w:tcPr>
            <w:tcW w:w="56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Chief Executive Officer</w:t>
            </w:r>
          </w:p>
        </w:tc>
      </w:tr>
    </w:tbl>
    <w:p>
      <w:pPr>
        <w:spacing w:after="0" w:line="206" w:lineRule="exact"/>
        <w:rPr>
          <w:sz w:val="20"/>
          <w:szCs w:val="20"/>
          <w:color w:val="auto"/>
        </w:rPr>
      </w:pPr>
    </w:p>
    <w:p>
      <w:pPr>
        <w:jc w:val="both"/>
        <w:ind w:firstLine="751"/>
        <w:spacing w:after="0" w:line="267"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this report has been signed by the following persons on behalf of the registrant and in the capacities and on the dates indicated:</w:t>
      </w:r>
    </w:p>
    <w:p>
      <w:pPr>
        <w:sectPr>
          <w:pgSz w:w="11900" w:h="16838" w:orient="portrait"/>
          <w:cols w:equalWidth="0" w:num="1">
            <w:col w:w="11200"/>
          </w:cols>
          <w:pgMar w:left="320" w:top="680" w:right="379" w:bottom="1440" w:gutter="0" w:footer="0" w:header="0"/>
        </w:sectPr>
      </w:pPr>
    </w:p>
    <w:p>
      <w:pPr>
        <w:spacing w:after="0" w:line="21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28575</wp:posOffset>
            </wp:positionV>
            <wp:extent cx="2475230"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3">
                      <a:extLst>
                        <a:ext uri="{28A0092B-C50C-407E-A947-70E740481C1C}"/>
                      </a:extLst>
                    </a:blip>
                    <a:srcRect/>
                    <a:stretch>
                      <a:fillRect/>
                    </a:stretch>
                  </pic:blipFill>
                  <pic:spPr bwMode="auto">
                    <a:xfrm>
                      <a:off x="0" y="0"/>
                      <a:ext cx="2475230" cy="7620"/>
                    </a:xfrm>
                    <a:prstGeom prst="rect">
                      <a:avLst/>
                    </a:prstGeom>
                    <a:noFill/>
                  </pic:spPr>
                </pic:pic>
              </a:graphicData>
            </a:graphic>
          </wp:anchor>
        </w:drawing>
      </w:r>
    </w:p>
    <w:p>
      <w:pPr>
        <w:spacing w:after="0" w:line="27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12065</wp:posOffset>
            </wp:positionV>
            <wp:extent cx="2475230"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4">
                      <a:extLst>
                        <a:ext uri="{28A0092B-C50C-407E-A947-70E740481C1C}"/>
                      </a:extLst>
                    </a:blip>
                    <a:srcRect/>
                    <a:stretch>
                      <a:fillRect/>
                    </a:stretch>
                  </pic:blipFill>
                  <pic:spPr bwMode="auto">
                    <a:xfrm>
                      <a:off x="0" y="0"/>
                      <a:ext cx="2475230" cy="7620"/>
                    </a:xfrm>
                    <a:prstGeom prst="rect">
                      <a:avLst/>
                    </a:prstGeom>
                    <a:noFill/>
                  </pic:spPr>
                </pic:pic>
              </a:graphicData>
            </a:graphic>
          </wp:anchor>
        </w:drawing>
      </w:r>
    </w:p>
    <w:p>
      <w:pPr>
        <w:spacing w:after="0" w:line="1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Herriot Tabuteau, M.D.</w:t>
      </w:r>
    </w:p>
    <w:p>
      <w:pPr>
        <w:spacing w:after="0" w:line="32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12065</wp:posOffset>
            </wp:positionV>
            <wp:extent cx="2475230" cy="76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5">
                      <a:extLst>
                        <a:ext uri="{28A0092B-C50C-407E-A947-70E740481C1C}"/>
                      </a:extLst>
                    </a:blip>
                    <a:srcRect/>
                    <a:stretch>
                      <a:fillRect/>
                    </a:stretch>
                  </pic:blipFill>
                  <pic:spPr bwMode="auto">
                    <a:xfrm>
                      <a:off x="0" y="0"/>
                      <a:ext cx="2475230" cy="7620"/>
                    </a:xfrm>
                    <a:prstGeom prst="rect">
                      <a:avLst/>
                    </a:prstGeom>
                    <a:noFill/>
                  </pic:spPr>
                </pic:pic>
              </a:graphicData>
            </a:graphic>
          </wp:anchor>
        </w:drawing>
      </w:r>
    </w:p>
    <w:p>
      <w:pPr>
        <w:spacing w:after="0" w:line="1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Nick Pizzie</w:t>
      </w:r>
    </w:p>
    <w:p>
      <w:pPr>
        <w:spacing w:after="0" w:line="34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/s/ Roger Jeffs,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12065</wp:posOffset>
            </wp:positionV>
            <wp:extent cx="2475230"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6">
                      <a:extLst>
                        <a:ext uri="{28A0092B-C50C-407E-A947-70E740481C1C}"/>
                      </a:extLst>
                    </a:blip>
                    <a:srcRect/>
                    <a:stretch>
                      <a:fillRect/>
                    </a:stretch>
                  </pic:blipFill>
                  <pic:spPr bwMode="auto">
                    <a:xfrm>
                      <a:off x="0" y="0"/>
                      <a:ext cx="2475230" cy="7620"/>
                    </a:xfrm>
                    <a:prstGeom prst="rect">
                      <a:avLst/>
                    </a:prstGeom>
                    <a:noFill/>
                  </pic:spPr>
                </pic:pic>
              </a:graphicData>
            </a:graphic>
          </wp:anchor>
        </w:drawing>
      </w:r>
    </w:p>
    <w:p>
      <w:pPr>
        <w:spacing w:after="0" w:line="1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Roger Jeffs, Ph.D.</w:t>
      </w:r>
    </w:p>
    <w:p>
      <w:pPr>
        <w:spacing w:after="0" w:line="25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/s/ Mark Coleman,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12065</wp:posOffset>
            </wp:positionV>
            <wp:extent cx="2475230" cy="76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7">
                      <a:extLst>
                        <a:ext uri="{28A0092B-C50C-407E-A947-70E740481C1C}"/>
                      </a:extLst>
                    </a:blip>
                    <a:srcRect/>
                    <a:stretch>
                      <a:fillRect/>
                    </a:stretch>
                  </pic:blipFill>
                  <pic:spPr bwMode="auto">
                    <a:xfrm>
                      <a:off x="0" y="0"/>
                      <a:ext cx="2475230" cy="7620"/>
                    </a:xfrm>
                    <a:prstGeom prst="rect">
                      <a:avLst/>
                    </a:prstGeom>
                    <a:noFill/>
                  </pic:spPr>
                </pic:pic>
              </a:graphicData>
            </a:graphic>
          </wp:anchor>
        </w:drawing>
      </w:r>
    </w:p>
    <w:p>
      <w:pPr>
        <w:spacing w:after="0" w:line="1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Mark Coleman, M.D.</w:t>
      </w:r>
    </w:p>
    <w:p>
      <w:pPr>
        <w:spacing w:after="0" w:line="25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/s/ Mark Saad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12065</wp:posOffset>
            </wp:positionV>
            <wp:extent cx="2475230" cy="76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8">
                      <a:extLst>
                        <a:ext uri="{28A0092B-C50C-407E-A947-70E740481C1C}"/>
                      </a:extLst>
                    </a:blip>
                    <a:srcRect/>
                    <a:stretch>
                      <a:fillRect/>
                    </a:stretch>
                  </pic:blipFill>
                  <pic:spPr bwMode="auto">
                    <a:xfrm>
                      <a:off x="0" y="0"/>
                      <a:ext cx="2475230" cy="7620"/>
                    </a:xfrm>
                    <a:prstGeom prst="rect">
                      <a:avLst/>
                    </a:prstGeom>
                    <a:noFill/>
                  </pic:spPr>
                </pic:pic>
              </a:graphicData>
            </a:graphic>
          </wp:anchor>
        </w:drawing>
      </w:r>
    </w:p>
    <w:p>
      <w:pPr>
        <w:spacing w:after="0" w:line="1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Mark Saad</w:t>
      </w:r>
    </w:p>
    <w:p>
      <w:pPr>
        <w:spacing w:after="0" w:line="25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4"/>
          <w:szCs w:val="14"/>
          <w:color w:val="auto"/>
        </w:rPr>
        <w:t>/s/ Susan Mahony,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26670</wp:posOffset>
            </wp:positionV>
            <wp:extent cx="2475230" cy="76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9">
                      <a:extLst>
                        <a:ext uri="{28A0092B-C50C-407E-A947-70E740481C1C}"/>
                      </a:extLst>
                    </a:blip>
                    <a:srcRect/>
                    <a:stretch>
                      <a:fillRect/>
                    </a:stretch>
                  </pic:blipFill>
                  <pic:spPr bwMode="auto">
                    <a:xfrm>
                      <a:off x="0" y="0"/>
                      <a:ext cx="2475230" cy="7620"/>
                    </a:xfrm>
                    <a:prstGeom prst="rect">
                      <a:avLst/>
                    </a:prstGeom>
                    <a:noFill/>
                  </pic:spPr>
                </pic:pic>
              </a:graphicData>
            </a:graphic>
          </wp:anchor>
        </w:drawing>
      </w:r>
    </w:p>
    <w:p>
      <w:pPr>
        <w:spacing w:after="0" w:line="4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Susan Mahony, Ph.D., M.B.A.</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ind w:left="220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24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24"/>
        </w:trPr>
        <w:tc>
          <w:tcPr>
            <w:tcW w:w="47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0"/>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 and Chairman of the Board (Principal Executive</w:t>
            </w:r>
          </w:p>
        </w:tc>
        <w:tc>
          <w:tcPr>
            <w:tcW w:w="22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February 23, 2024</w:t>
            </w:r>
          </w:p>
        </w:tc>
        <w:tc>
          <w:tcPr>
            <w:tcW w:w="0" w:type="dxa"/>
            <w:vAlign w:val="bottom"/>
          </w:tcPr>
          <w:p>
            <w:pPr>
              <w:spacing w:after="0"/>
              <w:rPr>
                <w:sz w:val="1"/>
                <w:szCs w:val="1"/>
                <w:color w:val="auto"/>
              </w:rPr>
            </w:pPr>
          </w:p>
        </w:tc>
      </w:tr>
      <w:tr>
        <w:trPr>
          <w:trHeight w:val="109"/>
        </w:trPr>
        <w:tc>
          <w:tcPr>
            <w:tcW w:w="4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Officer)</w:t>
            </w:r>
          </w:p>
        </w:tc>
        <w:tc>
          <w:tcPr>
            <w:tcW w:w="22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470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8"/>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22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February 23, 2024</w:t>
            </w:r>
          </w:p>
        </w:tc>
        <w:tc>
          <w:tcPr>
            <w:tcW w:w="0" w:type="dxa"/>
            <w:vAlign w:val="bottom"/>
          </w:tcPr>
          <w:p>
            <w:pPr>
              <w:spacing w:after="0"/>
              <w:rPr>
                <w:sz w:val="1"/>
                <w:szCs w:val="1"/>
                <w:color w:val="auto"/>
              </w:rPr>
            </w:pPr>
          </w:p>
        </w:tc>
      </w:tr>
      <w:tr>
        <w:trPr>
          <w:trHeight w:val="105"/>
        </w:trPr>
        <w:tc>
          <w:tcPr>
            <w:tcW w:w="4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c>
          <w:tcPr>
            <w:tcW w:w="22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7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0"/>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2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February 23, 2024</w:t>
            </w:r>
          </w:p>
        </w:tc>
        <w:tc>
          <w:tcPr>
            <w:tcW w:w="0" w:type="dxa"/>
            <w:vAlign w:val="bottom"/>
          </w:tcPr>
          <w:p>
            <w:pPr>
              <w:spacing w:after="0"/>
              <w:rPr>
                <w:sz w:val="1"/>
                <w:szCs w:val="1"/>
                <w:color w:val="auto"/>
              </w:rPr>
            </w:pPr>
          </w:p>
        </w:tc>
      </w:tr>
      <w:tr>
        <w:trPr>
          <w:trHeight w:val="665"/>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2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February 23, 2024</w:t>
            </w:r>
          </w:p>
        </w:tc>
        <w:tc>
          <w:tcPr>
            <w:tcW w:w="0" w:type="dxa"/>
            <w:vAlign w:val="bottom"/>
          </w:tcPr>
          <w:p>
            <w:pPr>
              <w:spacing w:after="0"/>
              <w:rPr>
                <w:sz w:val="1"/>
                <w:szCs w:val="1"/>
                <w:color w:val="auto"/>
              </w:rPr>
            </w:pPr>
          </w:p>
        </w:tc>
      </w:tr>
      <w:tr>
        <w:trPr>
          <w:trHeight w:val="665"/>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2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February 23, 2024</w:t>
            </w:r>
          </w:p>
        </w:tc>
        <w:tc>
          <w:tcPr>
            <w:tcW w:w="0" w:type="dxa"/>
            <w:vAlign w:val="bottom"/>
          </w:tcPr>
          <w:p>
            <w:pPr>
              <w:spacing w:after="0"/>
              <w:rPr>
                <w:sz w:val="1"/>
                <w:szCs w:val="1"/>
                <w:color w:val="auto"/>
              </w:rPr>
            </w:pPr>
          </w:p>
        </w:tc>
      </w:tr>
      <w:tr>
        <w:trPr>
          <w:trHeight w:val="665"/>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2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February 23, 2024</w:t>
            </w:r>
          </w:p>
        </w:tc>
        <w:tc>
          <w:tcPr>
            <w:tcW w:w="0" w:type="dxa"/>
            <w:vAlign w:val="bottom"/>
          </w:tcPr>
          <w:p>
            <w:pPr>
              <w:spacing w:after="0"/>
              <w:rPr>
                <w:sz w:val="1"/>
                <w:szCs w:val="1"/>
                <w:color w:val="auto"/>
              </w:rPr>
            </w:pPr>
          </w:p>
        </w:tc>
      </w:tr>
    </w:tbl>
    <w:p>
      <w:pPr>
        <w:spacing w:after="0" w:line="298" w:lineRule="exact"/>
        <w:rPr>
          <w:sz w:val="20"/>
          <w:szCs w:val="20"/>
          <w:color w:val="auto"/>
        </w:rPr>
      </w:pPr>
    </w:p>
    <w:p>
      <w:pPr>
        <w:sectPr>
          <w:pgSz w:w="11900" w:h="16838" w:orient="portrait"/>
          <w:cols w:equalWidth="0" w:num="2">
            <w:col w:w="3540" w:space="720"/>
            <w:col w:w="6940"/>
          </w:cols>
          <w:pgMar w:left="320" w:top="680" w:right="379" w:bottom="1440" w:gutter="0" w:footer="0" w:header="0"/>
          <w:type w:val="continuous"/>
        </w:sect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680" w:right="379" w:bottom="1440" w:gutter="0" w:footer="0" w:header="0"/>
          <w:type w:val="continuous"/>
        </w:sectPr>
      </w:pPr>
    </w:p>
    <w:bookmarkStart w:id="168" w:name="page169"/>
    <w:bookmarkEnd w:id="168"/>
    <w:p>
      <w:pPr>
        <w:jc w:val="right"/>
        <w:spacing w:after="0"/>
        <w:rPr>
          <w:sz w:val="20"/>
          <w:szCs w:val="20"/>
          <w:color w:val="auto"/>
        </w:rPr>
      </w:pPr>
      <w:r>
        <w:rPr>
          <w:rFonts w:ascii="Arial" w:cs="Arial" w:eastAsia="Arial" w:hAnsi="Arial"/>
          <w:sz w:val="16"/>
          <w:szCs w:val="16"/>
          <w:b w:val="1"/>
          <w:bCs w:val="1"/>
          <w:color w:val="auto"/>
        </w:rPr>
        <w:t>Exhibit</w:t>
      </w:r>
      <w:r>
        <w:rPr>
          <w:rFonts w:ascii="Times New Roman" w:cs="Times New Roman" w:eastAsia="Times New Roman" w:hAnsi="Times New Roman"/>
          <w:sz w:val="16"/>
          <w:szCs w:val="16"/>
          <w:color w:val="auto"/>
        </w:rPr>
        <w:t>​</w:t>
      </w:r>
      <w:r>
        <w:rPr>
          <w:rFonts w:ascii="Arial" w:cs="Arial" w:eastAsia="Arial" w:hAnsi="Arial"/>
          <w:sz w:val="16"/>
          <w:szCs w:val="16"/>
          <w:b w:val="1"/>
          <w:bCs w:val="1"/>
          <w:color w:val="auto"/>
        </w:rPr>
        <w:t xml:space="preserve"> 10.2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AXSOME THERAPEUTICS,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AMENDED AND RESTATED 2015 OMNIBUS INCENTIVE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COMPENSATION PLAN</w:t>
      </w:r>
    </w:p>
    <w:p>
      <w:pPr>
        <w:spacing w:after="0" w:line="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w:t>
      </w:r>
    </w:p>
    <w:p>
      <w:pPr>
        <w:spacing w:after="0" w:line="3" w:lineRule="exact"/>
        <w:rPr>
          <w:sz w:val="20"/>
          <w:szCs w:val="20"/>
          <w:color w:val="auto"/>
        </w:rPr>
      </w:pPr>
    </w:p>
    <w:p>
      <w:pPr>
        <w:jc w:val="both"/>
        <w:ind w:right="20" w:firstLine="751"/>
        <w:spacing w:after="0" w:line="244" w:lineRule="auto"/>
        <w:rPr>
          <w:sz w:val="20"/>
          <w:szCs w:val="20"/>
          <w:color w:val="auto"/>
        </w:rPr>
      </w:pPr>
      <w:r>
        <w:rPr>
          <w:rFonts w:ascii="Times New Roman" w:cs="Times New Roman" w:eastAsia="Times New Roman" w:hAnsi="Times New Roman"/>
          <w:sz w:val="16"/>
          <w:szCs w:val="16"/>
          <w:color w:val="auto"/>
        </w:rPr>
        <w:t>Effective as of the Effective Date (as defined below), the Axsome Therapeutics, Inc. 2015 Omnibus Incentive Compensation Plan (the “</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is hereby established as a successor to the 2013 Equity Compensation Plan (the “</w:t>
      </w:r>
      <w:r>
        <w:rPr>
          <w:rFonts w:ascii="Times New Roman" w:cs="Times New Roman" w:eastAsia="Times New Roman" w:hAnsi="Times New Roman"/>
          <w:sz w:val="16"/>
          <w:szCs w:val="16"/>
          <w:u w:val="single" w:color="auto"/>
          <w:color w:val="auto"/>
        </w:rPr>
        <w:t>2013 Plan</w:t>
      </w:r>
      <w:r>
        <w:rPr>
          <w:rFonts w:ascii="Times New Roman" w:cs="Times New Roman" w:eastAsia="Times New Roman" w:hAnsi="Times New Roman"/>
          <w:sz w:val="16"/>
          <w:szCs w:val="16"/>
          <w:color w:val="auto"/>
        </w:rPr>
        <w:t>”). The 2013 Plan is hereby merged with and into this Plan effective as of the Effective Date, and no additional grants shall be made thereafter under the 2013 Plan. Outstanding grants under the 2013 Plan shall continue in effect according to their terms as in effect before the Effective Date, consistent with the 2013 Plan, and the shares with respect to outstanding grants under the 2013 Plan shall be issued or transferred under this Plan.</w:t>
      </w:r>
    </w:p>
    <w:p>
      <w:pPr>
        <w:spacing w:after="0" w:line="169" w:lineRule="exact"/>
        <w:rPr>
          <w:sz w:val="20"/>
          <w:szCs w:val="20"/>
          <w:color w:val="auto"/>
        </w:rPr>
      </w:pPr>
    </w:p>
    <w:p>
      <w:pPr>
        <w:jc w:val="both"/>
        <w:ind w:firstLine="751"/>
        <w:spacing w:after="0" w:line="251" w:lineRule="auto"/>
        <w:rPr>
          <w:sz w:val="20"/>
          <w:szCs w:val="20"/>
          <w:color w:val="auto"/>
        </w:rPr>
      </w:pPr>
      <w:r>
        <w:rPr>
          <w:rFonts w:ascii="Times New Roman" w:cs="Times New Roman" w:eastAsia="Times New Roman" w:hAnsi="Times New Roman"/>
          <w:sz w:val="16"/>
          <w:szCs w:val="16"/>
          <w:color w:val="auto"/>
        </w:rPr>
        <w:t>The purpose of the Plan is (i) to provide employees of Axsome Therapeutics, Inc.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its subsidiaries, certain consultants and advisors who perform services for the Company or its subsidiaries, and non-employee members of the Board of Directors of the Company with the opportunity to receive grants of incentive stock options, nonqualified stock options, stock appreciation rights, stock awards, stock units, and other stock-based awards, and (ii) to provide selected executive employees with the opportunity to receive cash awards that are considered “qualified performance-based compensation” under section 162(m) of the Code (as defined below).</w:t>
      </w:r>
    </w:p>
    <w:p>
      <w:pPr>
        <w:spacing w:after="0" w:line="164" w:lineRule="exact"/>
        <w:rPr>
          <w:sz w:val="20"/>
          <w:szCs w:val="20"/>
          <w:color w:val="auto"/>
        </w:rPr>
      </w:pPr>
    </w:p>
    <w:p>
      <w:pPr>
        <w:jc w:val="both"/>
        <w:ind w:firstLine="751"/>
        <w:spacing w:after="0" w:line="267" w:lineRule="auto"/>
        <w:rPr>
          <w:sz w:val="20"/>
          <w:szCs w:val="20"/>
          <w:color w:val="auto"/>
        </w:rPr>
      </w:pPr>
      <w:r>
        <w:rPr>
          <w:rFonts w:ascii="Times New Roman" w:cs="Times New Roman" w:eastAsia="Times New Roman" w:hAnsi="Times New Roman"/>
          <w:sz w:val="16"/>
          <w:szCs w:val="16"/>
          <w:color w:val="auto"/>
        </w:rPr>
        <w:t>The Company believes that the Plan will encourage the participants to contribute materially to the growth of the Company, thereby benefitting the Company’s stockholders, and will align the economic interests of the participants with those of the stockholders.</w:t>
      </w:r>
    </w:p>
    <w:p>
      <w:pPr>
        <w:spacing w:after="0" w:line="1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Section 1. Definitions</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following terms shall have the meanings set forth below for purposes of the Plan:</w:t>
      </w:r>
    </w:p>
    <w:p>
      <w:pPr>
        <w:spacing w:after="0" w:line="189" w:lineRule="exact"/>
        <w:rPr>
          <w:sz w:val="20"/>
          <w:szCs w:val="20"/>
          <w:color w:val="auto"/>
        </w:rPr>
      </w:pPr>
    </w:p>
    <w:p>
      <w:pPr>
        <w:ind w:left="1700" w:hanging="205"/>
        <w:spacing w:after="0"/>
        <w:tabs>
          <w:tab w:leader="none" w:pos="17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shall mean the Board of Directors of the Company.</w:t>
      </w:r>
    </w:p>
    <w:p>
      <w:pPr>
        <w:spacing w:after="0" w:line="189" w:lineRule="exact"/>
        <w:rPr>
          <w:rFonts w:ascii="Times New Roman" w:cs="Times New Roman" w:eastAsia="Times New Roman" w:hAnsi="Times New Roman"/>
          <w:sz w:val="16"/>
          <w:szCs w:val="16"/>
          <w:color w:val="auto"/>
        </w:rPr>
      </w:pPr>
    </w:p>
    <w:p>
      <w:pPr>
        <w:ind w:left="1720" w:hanging="225"/>
        <w:spacing w:after="0"/>
        <w:tabs>
          <w:tab w:leader="none" w:pos="17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Cash Award</w:t>
      </w:r>
      <w:r>
        <w:rPr>
          <w:rFonts w:ascii="Times New Roman" w:cs="Times New Roman" w:eastAsia="Times New Roman" w:hAnsi="Times New Roman"/>
          <w:sz w:val="16"/>
          <w:szCs w:val="16"/>
          <w:color w:val="auto"/>
        </w:rPr>
        <w:t>” shall mean a cash incentive payment awarded under the Plan as described under Section 11.</w:t>
      </w:r>
    </w:p>
    <w:p>
      <w:pPr>
        <w:spacing w:after="0" w:line="189" w:lineRule="exact"/>
        <w:rPr>
          <w:rFonts w:ascii="Times New Roman" w:cs="Times New Roman" w:eastAsia="Times New Roman" w:hAnsi="Times New Roman"/>
          <w:sz w:val="16"/>
          <w:szCs w:val="16"/>
          <w:color w:val="auto"/>
        </w:rPr>
      </w:pPr>
    </w:p>
    <w:p>
      <w:pPr>
        <w:jc w:val="both"/>
        <w:ind w:firstLine="1495"/>
        <w:spacing w:after="0" w:line="248" w:lineRule="auto"/>
        <w:tabs>
          <w:tab w:leader="none" w:pos="1713"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Cause</w:t>
      </w:r>
      <w:r>
        <w:rPr>
          <w:rFonts w:ascii="Times New Roman" w:cs="Times New Roman" w:eastAsia="Times New Roman" w:hAnsi="Times New Roman"/>
          <w:sz w:val="16"/>
          <w:szCs w:val="16"/>
          <w:color w:val="auto"/>
        </w:rPr>
        <w:t>” shall have the meaning given to that term in any written employment agreement, offer letter or severance agreement between the Employer and the Participant, or if no such agreement exists or if such term is not defined therein, and unless otherwise defined in the Grant Instrument, Cause shall mean a finding by the Committee that the Participant (i) has breached his or her employment or service contract with the Employer, (ii) has engaged in disloyalty to the Employer, including, without limitation, fraud, embezzlement, theft, commission of a felony or proven dishonesty, (iii) has disclosed trade secrets or confidential information of the Employer to persons not entitled to receive such information, (iv) has breached any written non-competition, non-solicitation, invention assignment or confidentiality agreement between the Participant and the Employer or (v) has engaged in such other behavior detrimental to the interests of the Employer as the Committee determines.</w:t>
      </w:r>
    </w:p>
    <w:p>
      <w:pPr>
        <w:spacing w:after="0" w:line="166" w:lineRule="exact"/>
        <w:rPr>
          <w:rFonts w:ascii="Times New Roman" w:cs="Times New Roman" w:eastAsia="Times New Roman" w:hAnsi="Times New Roman"/>
          <w:sz w:val="16"/>
          <w:szCs w:val="16"/>
          <w:color w:val="auto"/>
        </w:rPr>
      </w:pPr>
    </w:p>
    <w:p>
      <w:pPr>
        <w:ind w:left="1720" w:hanging="225"/>
        <w:spacing w:after="0"/>
        <w:tabs>
          <w:tab w:leader="none" w:pos="17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set forth in a Grant Instrument, a “</w:t>
      </w:r>
      <w:r>
        <w:rPr>
          <w:rFonts w:ascii="Times New Roman" w:cs="Times New Roman" w:eastAsia="Times New Roman" w:hAnsi="Times New Roman"/>
          <w:sz w:val="16"/>
          <w:szCs w:val="16"/>
          <w:u w:val="single" w:color="auto"/>
          <w:color w:val="auto"/>
        </w:rPr>
        <w:t>Change of Control</w:t>
      </w:r>
      <w:r>
        <w:rPr>
          <w:rFonts w:ascii="Times New Roman" w:cs="Times New Roman" w:eastAsia="Times New Roman" w:hAnsi="Times New Roman"/>
          <w:sz w:val="16"/>
          <w:szCs w:val="16"/>
          <w:color w:val="auto"/>
        </w:rPr>
        <w:t>” shall be deemed to have occurred if:</w:t>
      </w:r>
    </w:p>
    <w:p>
      <w:pPr>
        <w:spacing w:after="0" w:line="189" w:lineRule="exact"/>
        <w:rPr>
          <w:rFonts w:ascii="Times New Roman" w:cs="Times New Roman" w:eastAsia="Times New Roman" w:hAnsi="Times New Roman"/>
          <w:sz w:val="16"/>
          <w:szCs w:val="16"/>
          <w:color w:val="auto"/>
        </w:rPr>
      </w:pPr>
    </w:p>
    <w:p>
      <w:pPr>
        <w:jc w:val="both"/>
        <w:ind w:firstLine="2246"/>
        <w:spacing w:after="0" w:line="249" w:lineRule="auto"/>
        <w:tabs>
          <w:tab w:leader="none" w:pos="2438"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(as such term is used in sections 13(d) and 14(d) of the Exchange Act) becomes a “beneficial owner” (as defined in Rule 13d-3 under the Exchange Act), directly or indirectly, of securities of the Company representing more than 50% of the voting power of the then outstanding securities of the Company; provided that a Change of Control shall not be deemed to occur as a result of a transaction in which the Company becomes a subsidiary of another corporation and in which the stockholders of the Company, immediately prior to the transaction, will beneficially own, immediately after the transaction, shares entitling such stockholders to more than 50% of all votes to which all stockholders of the parent corporation would be entitled in the election of directors.</w:t>
      </w:r>
    </w:p>
    <w:p>
      <w:pPr>
        <w:spacing w:after="0" w:line="165" w:lineRule="exact"/>
        <w:rPr>
          <w:rFonts w:ascii="Times New Roman" w:cs="Times New Roman" w:eastAsia="Times New Roman" w:hAnsi="Times New Roman"/>
          <w:sz w:val="16"/>
          <w:szCs w:val="16"/>
          <w:color w:val="auto"/>
        </w:rPr>
      </w:pPr>
    </w:p>
    <w:p>
      <w:pPr>
        <w:jc w:val="both"/>
        <w:ind w:firstLine="2246"/>
        <w:spacing w:after="0" w:line="293" w:lineRule="auto"/>
        <w:tabs>
          <w:tab w:leader="none" w:pos="2503"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consummation of (A) a merger or consolidation of the Company with another corporation where, immediately after the merger or consolidation, the stockholders of the Company immediately prior to the merger or consolidation will not beneficially own, in substantially the same proportion as ownership immediately prior to the merger or consolidation, shares entitling such stockholders to more than 50% of all votes to which all stockholders of the surviving corporation would be entitled in the election of directors, or where the members of the Board, immediately prior to the merger or consolidation, will not, immediately after the merger or consolidation, constitute a majority of the board of directors of the surviving corporation, or (B) a sale or other disposition of all or substantially all of the assets of the Company.</w:t>
      </w:r>
    </w:p>
    <w:p>
      <w:pPr>
        <w:spacing w:after="0" w:line="137" w:lineRule="exact"/>
        <w:rPr>
          <w:rFonts w:ascii="Times New Roman" w:cs="Times New Roman" w:eastAsia="Times New Roman" w:hAnsi="Times New Roman"/>
          <w:sz w:val="14"/>
          <w:szCs w:val="14"/>
          <w:color w:val="auto"/>
        </w:rPr>
      </w:pPr>
    </w:p>
    <w:p>
      <w:pPr>
        <w:jc w:val="both"/>
        <w:ind w:firstLine="2246"/>
        <w:spacing w:after="0" w:line="251" w:lineRule="auto"/>
        <w:tabs>
          <w:tab w:leader="none" w:pos="2525"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change in the composition of the Board over a period of 12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516890</wp:posOffset>
            </wp:positionV>
            <wp:extent cx="7176135" cy="400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3" w:right="319" w:bottom="1440" w:gutter="0" w:footer="0" w:header="0"/>
        </w:sectPr>
      </w:pPr>
    </w:p>
    <w:bookmarkStart w:id="169" w:name="page170"/>
    <w:bookmarkEnd w:id="169"/>
    <w:p>
      <w:pPr>
        <w:ind w:left="2240"/>
        <w:spacing w:after="0"/>
        <w:rPr>
          <w:sz w:val="20"/>
          <w:szCs w:val="20"/>
          <w:color w:val="auto"/>
        </w:rPr>
      </w:pPr>
      <w:r>
        <w:rPr>
          <w:rFonts w:ascii="Times New Roman" w:cs="Times New Roman" w:eastAsia="Times New Roman" w:hAnsi="Times New Roman"/>
          <w:sz w:val="16"/>
          <w:szCs w:val="16"/>
          <w:color w:val="auto"/>
        </w:rPr>
        <w:t>(iv) The approval by the stockholders of the Company of a plan of complete liquidation or dissolution of the Company.</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Committee may modify the definition of Change of Control for a particular Grant as the Committee deems appropriate to comply with section 409A of the Code or otherwise. Notwithstanding the foregoing, if a Grant constitutes deferred compensation subject to section 409A of the Code and the Grant provides for payment upon a Change of Control, then no Change of Control shall be deemed to have occurred upon an event described in items (i) - (iv) above unless the event would also constitute a change in ownership or effective control of, or a change in the ownership of a substantial portion of the assets of, the Company under section 409A of the Code.</w:t>
      </w:r>
    </w:p>
    <w:p>
      <w:pPr>
        <w:spacing w:after="0" w:line="164" w:lineRule="exact"/>
        <w:rPr>
          <w:sz w:val="20"/>
          <w:szCs w:val="20"/>
          <w:color w:val="auto"/>
        </w:rPr>
      </w:pPr>
    </w:p>
    <w:p>
      <w:pPr>
        <w:ind w:left="1700" w:hanging="205"/>
        <w:spacing w:after="0"/>
        <w:tabs>
          <w:tab w:leader="none" w:pos="17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CEO</w:t>
      </w:r>
      <w:r>
        <w:rPr>
          <w:rFonts w:ascii="Times New Roman" w:cs="Times New Roman" w:eastAsia="Times New Roman" w:hAnsi="Times New Roman"/>
          <w:sz w:val="16"/>
          <w:szCs w:val="16"/>
          <w:color w:val="auto"/>
        </w:rPr>
        <w:t>” shall mean the Chief Executive Officer of the Company.</w:t>
      </w:r>
    </w:p>
    <w:p>
      <w:pPr>
        <w:spacing w:after="0" w:line="189" w:lineRule="exact"/>
        <w:rPr>
          <w:rFonts w:ascii="Times New Roman" w:cs="Times New Roman" w:eastAsia="Times New Roman" w:hAnsi="Times New Roman"/>
          <w:sz w:val="16"/>
          <w:szCs w:val="16"/>
          <w:color w:val="auto"/>
        </w:rPr>
      </w:pPr>
    </w:p>
    <w:p>
      <w:pPr>
        <w:ind w:left="1680" w:hanging="185"/>
        <w:spacing w:after="0"/>
        <w:tabs>
          <w:tab w:leader="none" w:pos="16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shall mean the Internal Revenue Code of 1986, as amended.</w:t>
      </w:r>
    </w:p>
    <w:p>
      <w:pPr>
        <w:spacing w:after="0" w:line="189" w:lineRule="exact"/>
        <w:rPr>
          <w:rFonts w:ascii="Times New Roman" w:cs="Times New Roman" w:eastAsia="Times New Roman" w:hAnsi="Times New Roman"/>
          <w:sz w:val="16"/>
          <w:szCs w:val="16"/>
          <w:color w:val="auto"/>
        </w:rPr>
      </w:pPr>
    </w:p>
    <w:p>
      <w:pPr>
        <w:jc w:val="both"/>
        <w:ind w:firstLine="1495"/>
        <w:spacing w:after="0" w:line="249" w:lineRule="auto"/>
        <w:tabs>
          <w:tab w:leader="none" w:pos="1722"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Committee</w:t>
      </w:r>
      <w:r>
        <w:rPr>
          <w:rFonts w:ascii="Times New Roman" w:cs="Times New Roman" w:eastAsia="Times New Roman" w:hAnsi="Times New Roman"/>
          <w:sz w:val="16"/>
          <w:szCs w:val="16"/>
          <w:color w:val="auto"/>
        </w:rPr>
        <w:t>” shall mean the Compensation Committee of the Board or another committee appointed by the Board to administer the Plan. With respect to Grants that are intended to be “qualified performance-based compensation” under section 162(m) of the Code, the Committee shall consist of two or more persons appointed by the Board, all of whom shall be “outside directors” as defined under section 162(m) of the Code. The Committee shall consist of directors who are “non-employee directors” as defined under Rule 16b-3 promulgated under the Exchange Act and “independent directors,” as determined in accordance with the independence standards established by the stock exchange on which the Company Stock is at the time primarily traded.</w:t>
      </w:r>
    </w:p>
    <w:p>
      <w:pPr>
        <w:spacing w:after="0" w:line="165" w:lineRule="exact"/>
        <w:rPr>
          <w:rFonts w:ascii="Times New Roman" w:cs="Times New Roman" w:eastAsia="Times New Roman" w:hAnsi="Times New Roman"/>
          <w:sz w:val="16"/>
          <w:szCs w:val="16"/>
          <w:color w:val="auto"/>
        </w:rPr>
      </w:pPr>
    </w:p>
    <w:p>
      <w:pPr>
        <w:ind w:left="1720" w:hanging="225"/>
        <w:spacing w:after="0"/>
        <w:tabs>
          <w:tab w:leader="none" w:pos="17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shall mean Axsome Therapeutics, Inc. and shall include its successors.</w:t>
      </w:r>
    </w:p>
    <w:p>
      <w:pPr>
        <w:spacing w:after="0" w:line="189" w:lineRule="exact"/>
        <w:rPr>
          <w:rFonts w:ascii="Times New Roman" w:cs="Times New Roman" w:eastAsia="Times New Roman" w:hAnsi="Times New Roman"/>
          <w:sz w:val="16"/>
          <w:szCs w:val="16"/>
          <w:color w:val="auto"/>
        </w:rPr>
      </w:pPr>
    </w:p>
    <w:p>
      <w:pPr>
        <w:ind w:left="1680" w:hanging="185"/>
        <w:spacing w:after="0"/>
        <w:tabs>
          <w:tab w:leader="none" w:pos="16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Stock</w:t>
      </w:r>
      <w:r>
        <w:rPr>
          <w:rFonts w:ascii="Times New Roman" w:cs="Times New Roman" w:eastAsia="Times New Roman" w:hAnsi="Times New Roman"/>
          <w:sz w:val="16"/>
          <w:szCs w:val="16"/>
          <w:color w:val="auto"/>
        </w:rPr>
        <w:t>” shall mean common stock of the Company.</w:t>
      </w:r>
    </w:p>
    <w:p>
      <w:pPr>
        <w:spacing w:after="0" w:line="189" w:lineRule="exact"/>
        <w:rPr>
          <w:rFonts w:ascii="Times New Roman" w:cs="Times New Roman" w:eastAsia="Times New Roman" w:hAnsi="Times New Roman"/>
          <w:sz w:val="16"/>
          <w:szCs w:val="16"/>
          <w:color w:val="auto"/>
        </w:rPr>
      </w:pPr>
    </w:p>
    <w:p>
      <w:pPr>
        <w:ind w:right="20" w:firstLine="1495"/>
        <w:spacing w:after="0" w:line="267" w:lineRule="auto"/>
        <w:tabs>
          <w:tab w:leader="none" w:pos="168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shall mean a Participant’s becoming disabled within the meaning of section 22(e)(3) of the Code, within the meaning of the Employer’s long-term disability plan applicable to the Participant or as otherwise determined by the Committee and set forth in the Grant Instrument.</w:t>
      </w:r>
    </w:p>
    <w:p>
      <w:pPr>
        <w:spacing w:after="0" w:line="150" w:lineRule="exact"/>
        <w:rPr>
          <w:rFonts w:ascii="Times New Roman" w:cs="Times New Roman" w:eastAsia="Times New Roman" w:hAnsi="Times New Roman"/>
          <w:sz w:val="16"/>
          <w:szCs w:val="16"/>
          <w:color w:val="auto"/>
        </w:rPr>
      </w:pPr>
    </w:p>
    <w:p>
      <w:pPr>
        <w:jc w:val="both"/>
        <w:ind w:right="20" w:firstLine="1495"/>
        <w:spacing w:after="0" w:line="309" w:lineRule="auto"/>
        <w:tabs>
          <w:tab w:leader="none" w:pos="172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Dividend Equivalent</w:t>
      </w:r>
      <w:r>
        <w:rPr>
          <w:rFonts w:ascii="Times New Roman" w:cs="Times New Roman" w:eastAsia="Times New Roman" w:hAnsi="Times New Roman"/>
          <w:sz w:val="14"/>
          <w:szCs w:val="14"/>
          <w:color w:val="auto"/>
        </w:rPr>
        <w:t>” shall mean an amount determined by multiplying the number of shares of Company Stock subject to a Stock Unit or Other Stock-Based Award by the per-share cash dividend paid by the Company on its outstanding Company Stock, or the per-share Fair Market Value of any dividend paid on its outstanding Company Stock in consideration other than cash. If interest is credited on accumulated divided equivalents, the term “Dividend Equivalent” shall include the accrued interest.</w:t>
      </w:r>
    </w:p>
    <w:p>
      <w:pPr>
        <w:spacing w:after="0" w:line="125" w:lineRule="exact"/>
        <w:rPr>
          <w:rFonts w:ascii="Times New Roman" w:cs="Times New Roman" w:eastAsia="Times New Roman" w:hAnsi="Times New Roman"/>
          <w:sz w:val="14"/>
          <w:szCs w:val="14"/>
          <w:color w:val="auto"/>
        </w:rPr>
      </w:pPr>
    </w:p>
    <w:p>
      <w:pPr>
        <w:jc w:val="both"/>
        <w:ind w:firstLine="1495"/>
        <w:spacing w:after="0" w:line="255" w:lineRule="auto"/>
        <w:tabs>
          <w:tab w:leader="none" w:pos="1699"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shall mean the business day immediately preceding the date at which the registration statement for the initial public offering of the Company Stock is declared effective by the Securities and Exchange Commission and the Company Stock is priced for the initial public offering of such Company Stock, subject to approval of the Plan by the stockholders of the Company.</w:t>
      </w:r>
    </w:p>
    <w:p>
      <w:pPr>
        <w:spacing w:after="0" w:line="160" w:lineRule="exact"/>
        <w:rPr>
          <w:rFonts w:ascii="Times New Roman" w:cs="Times New Roman" w:eastAsia="Times New Roman" w:hAnsi="Times New Roman"/>
          <w:sz w:val="16"/>
          <w:szCs w:val="16"/>
          <w:color w:val="auto"/>
        </w:rPr>
      </w:pPr>
    </w:p>
    <w:p>
      <w:pPr>
        <w:jc w:val="both"/>
        <w:ind w:firstLine="1495"/>
        <w:spacing w:after="0" w:line="251" w:lineRule="auto"/>
        <w:tabs>
          <w:tab w:leader="none" w:pos="1776"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Employee</w:t>
      </w:r>
      <w:r>
        <w:rPr>
          <w:rFonts w:ascii="Times New Roman" w:cs="Times New Roman" w:eastAsia="Times New Roman" w:hAnsi="Times New Roman"/>
          <w:sz w:val="16"/>
          <w:szCs w:val="16"/>
          <w:color w:val="auto"/>
        </w:rPr>
        <w:t>” shall mean an employee of the Employer (including an officer or director who is also an employee), but excluding any person who is classified by the Employer as a “contractor” or “consultant,” no matter how characterized by the Internal Revenue Service, other governmental agency or a court. Any change of characterization of an individual by the Internal Revenue Service or any court or government agency shall have no effect upon the classification of an individual as an Employee for purposes of this Plan, unless the Committee determines otherwise.</w:t>
      </w:r>
    </w:p>
    <w:p>
      <w:pPr>
        <w:spacing w:after="0" w:line="163" w:lineRule="exact"/>
        <w:rPr>
          <w:rFonts w:ascii="Times New Roman" w:cs="Times New Roman" w:eastAsia="Times New Roman" w:hAnsi="Times New Roman"/>
          <w:sz w:val="16"/>
          <w:szCs w:val="16"/>
          <w:color w:val="auto"/>
        </w:rPr>
      </w:pPr>
    </w:p>
    <w:p>
      <w:pPr>
        <w:jc w:val="both"/>
        <w:ind w:firstLine="1495"/>
        <w:spacing w:after="0" w:line="251" w:lineRule="auto"/>
        <w:tabs>
          <w:tab w:leader="none" w:pos="1722"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Employed by, or providing service to, the Employer</w:t>
      </w:r>
      <w:r>
        <w:rPr>
          <w:rFonts w:ascii="Times New Roman" w:cs="Times New Roman" w:eastAsia="Times New Roman" w:hAnsi="Times New Roman"/>
          <w:sz w:val="16"/>
          <w:szCs w:val="16"/>
          <w:color w:val="auto"/>
        </w:rPr>
        <w:t>” shall mean employment or service as an Employee, Key Advisor or member of the Board (so that, for purposes of exercising Options and SARs and satisfying conditions with respect to Stock Awards, Stock Units, Other Stock-Based Awards and Cash Awards, a Participant shall not be considered to have terminated employment or service until the Participant ceases to be an Employee, Key Advisor and member of the Board), unless the Committee determines otherwise.</w:t>
      </w:r>
    </w:p>
    <w:p>
      <w:pPr>
        <w:spacing w:after="0" w:line="163" w:lineRule="exact"/>
        <w:rPr>
          <w:rFonts w:ascii="Times New Roman" w:cs="Times New Roman" w:eastAsia="Times New Roman" w:hAnsi="Times New Roman"/>
          <w:sz w:val="16"/>
          <w:szCs w:val="16"/>
          <w:color w:val="auto"/>
        </w:rPr>
      </w:pPr>
    </w:p>
    <w:p>
      <w:pPr>
        <w:ind w:left="1720" w:hanging="225"/>
        <w:spacing w:after="0"/>
        <w:tabs>
          <w:tab w:leader="none" w:pos="17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Employer</w:t>
      </w:r>
      <w:r>
        <w:rPr>
          <w:rFonts w:ascii="Times New Roman" w:cs="Times New Roman" w:eastAsia="Times New Roman" w:hAnsi="Times New Roman"/>
          <w:sz w:val="16"/>
          <w:szCs w:val="16"/>
          <w:color w:val="auto"/>
        </w:rPr>
        <w:t>” shall mean the Company and its subsidiaries.</w:t>
      </w:r>
    </w:p>
    <w:p>
      <w:pPr>
        <w:spacing w:after="0" w:line="189" w:lineRule="exact"/>
        <w:rPr>
          <w:rFonts w:ascii="Times New Roman" w:cs="Times New Roman" w:eastAsia="Times New Roman" w:hAnsi="Times New Roman"/>
          <w:sz w:val="16"/>
          <w:szCs w:val="16"/>
          <w:color w:val="auto"/>
        </w:rPr>
      </w:pPr>
    </w:p>
    <w:p>
      <w:pPr>
        <w:ind w:left="1720" w:hanging="225"/>
        <w:spacing w:after="0"/>
        <w:tabs>
          <w:tab w:leader="none" w:pos="17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shall mean the Securities Exchange Act of 1934, as amended.</w:t>
      </w:r>
    </w:p>
    <w:p>
      <w:pPr>
        <w:spacing w:after="0" w:line="189" w:lineRule="exact"/>
        <w:rPr>
          <w:rFonts w:ascii="Times New Roman" w:cs="Times New Roman" w:eastAsia="Times New Roman" w:hAnsi="Times New Roman"/>
          <w:sz w:val="16"/>
          <w:szCs w:val="16"/>
          <w:color w:val="auto"/>
        </w:rPr>
      </w:pPr>
    </w:p>
    <w:p>
      <w:pPr>
        <w:ind w:left="1720" w:hanging="225"/>
        <w:spacing w:after="0"/>
        <w:tabs>
          <w:tab w:leader="none" w:pos="17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 shall mean the per share price at which shares of Company Stock may be purchased under an Option, as designated by the Committee.</w:t>
      </w:r>
    </w:p>
    <w:p>
      <w:pPr>
        <w:spacing w:after="0" w:line="212" w:lineRule="exact"/>
        <w:rPr>
          <w:rFonts w:ascii="Times New Roman" w:cs="Times New Roman" w:eastAsia="Times New Roman" w:hAnsi="Times New Roman"/>
          <w:sz w:val="14"/>
          <w:szCs w:val="14"/>
          <w:color w:val="auto"/>
        </w:rPr>
      </w:pPr>
    </w:p>
    <w:p>
      <w:pPr>
        <w:ind w:left="1680" w:hanging="185"/>
        <w:spacing w:after="0"/>
        <w:tabs>
          <w:tab w:leader="none" w:pos="16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Fair Market Value</w:t>
      </w:r>
      <w:r>
        <w:rPr>
          <w:rFonts w:ascii="Times New Roman" w:cs="Times New Roman" w:eastAsia="Times New Roman" w:hAnsi="Times New Roman"/>
          <w:sz w:val="16"/>
          <w:szCs w:val="16"/>
          <w:color w:val="auto"/>
        </w:rPr>
        <w:t>” shall mean:</w:t>
      </w:r>
    </w:p>
    <w:p>
      <w:pPr>
        <w:spacing w:after="0" w:line="189" w:lineRule="exact"/>
        <w:rPr>
          <w:rFonts w:ascii="Times New Roman" w:cs="Times New Roman" w:eastAsia="Times New Roman" w:hAnsi="Times New Roman"/>
          <w:sz w:val="16"/>
          <w:szCs w:val="16"/>
          <w:color w:val="auto"/>
        </w:rPr>
      </w:pPr>
    </w:p>
    <w:p>
      <w:pPr>
        <w:jc w:val="both"/>
        <w:ind w:firstLine="2246"/>
        <w:spacing w:after="0" w:line="255" w:lineRule="auto"/>
        <w:tabs>
          <w:tab w:leader="none" w:pos="2444"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Stock is publicly traded, the Fair Market Value per share shall be determined as follows: (A) if the principal trading market for the Company Stock is a national securities exchange, the closing sales price during regular trading hours on the relevant date or, if there were no trades on that date, the latest preceding date upon which a sale was reported, or (B)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514350</wp:posOffset>
            </wp:positionV>
            <wp:extent cx="7176135" cy="4000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3" w:right="319" w:bottom="1440" w:gutter="0" w:footer="0" w:header="0"/>
        </w:sectPr>
      </w:pPr>
    </w:p>
    <w:bookmarkStart w:id="170" w:name="page171"/>
    <w:bookmarkEnd w:id="170"/>
    <w:p>
      <w:pPr>
        <w:ind w:right="20"/>
        <w:spacing w:after="0" w:line="267" w:lineRule="auto"/>
        <w:rPr>
          <w:sz w:val="20"/>
          <w:szCs w:val="20"/>
          <w:color w:val="auto"/>
        </w:rPr>
      </w:pPr>
      <w:r>
        <w:rPr>
          <w:rFonts w:ascii="Times New Roman" w:cs="Times New Roman" w:eastAsia="Times New Roman" w:hAnsi="Times New Roman"/>
          <w:sz w:val="16"/>
          <w:szCs w:val="16"/>
          <w:color w:val="auto"/>
        </w:rPr>
        <w:t>Company Stock is not principally traded on any such exchange, the last reported sale price of a share of Company Stock during regular trading hours on the relevant date, as reported by the OTC Bulletin Board.</w:t>
      </w:r>
    </w:p>
    <w:p>
      <w:pPr>
        <w:spacing w:after="0" w:line="151" w:lineRule="exact"/>
        <w:rPr>
          <w:sz w:val="20"/>
          <w:szCs w:val="20"/>
          <w:color w:val="auto"/>
        </w:rPr>
      </w:pPr>
    </w:p>
    <w:p>
      <w:pPr>
        <w:ind w:right="20" w:firstLine="2246"/>
        <w:spacing w:after="0" w:line="267" w:lineRule="auto"/>
        <w:tabs>
          <w:tab w:leader="none" w:pos="2488"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Stock is not publicly traded or, if publicly traded, is not subject to reported transactions as set forth above, the Fair Market Value per share shall be determined by the Committee through any reasonable valuation method authorized under the Code.</w:t>
      </w:r>
    </w:p>
    <w:p>
      <w:pPr>
        <w:spacing w:after="0" w:line="150" w:lineRule="exact"/>
        <w:rPr>
          <w:rFonts w:ascii="Times New Roman" w:cs="Times New Roman" w:eastAsia="Times New Roman" w:hAnsi="Times New Roman"/>
          <w:sz w:val="16"/>
          <w:szCs w:val="16"/>
          <w:color w:val="auto"/>
        </w:rPr>
      </w:pPr>
    </w:p>
    <w:p>
      <w:pPr>
        <w:jc w:val="both"/>
        <w:ind w:right="20" w:firstLine="2246"/>
        <w:spacing w:after="0" w:line="255" w:lineRule="auto"/>
        <w:tabs>
          <w:tab w:leader="none" w:pos="2544"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Grant is made effective on the date that the registration statement for the initial public offering of the Company Stock is declared effective by the Securities and Exchange Commission and the Company Stock is priced for the initial public offering of such Company Stock, then the Fair Market Value per share shall be equal to the per share price of Company Stock offered to the public in such initial public offering.</w:t>
      </w:r>
    </w:p>
    <w:p>
      <w:pPr>
        <w:spacing w:after="0" w:line="160" w:lineRule="exact"/>
        <w:rPr>
          <w:rFonts w:ascii="Times New Roman" w:cs="Times New Roman" w:eastAsia="Times New Roman" w:hAnsi="Times New Roman"/>
          <w:sz w:val="16"/>
          <w:szCs w:val="16"/>
          <w:color w:val="auto"/>
        </w:rPr>
      </w:pPr>
    </w:p>
    <w:p>
      <w:pPr>
        <w:ind w:left="1700" w:hanging="205"/>
        <w:spacing w:after="0"/>
        <w:tabs>
          <w:tab w:leader="none" w:pos="17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shall mean United States Generally Accepted Accounting Principles.</w:t>
      </w:r>
    </w:p>
    <w:p>
      <w:pPr>
        <w:spacing w:after="0" w:line="189" w:lineRule="exact"/>
        <w:rPr>
          <w:rFonts w:ascii="Times New Roman" w:cs="Times New Roman" w:eastAsia="Times New Roman" w:hAnsi="Times New Roman"/>
          <w:sz w:val="16"/>
          <w:szCs w:val="16"/>
          <w:color w:val="auto"/>
        </w:rPr>
      </w:pPr>
    </w:p>
    <w:p>
      <w:pPr>
        <w:ind w:left="1680" w:hanging="185"/>
        <w:spacing w:after="0"/>
        <w:tabs>
          <w:tab w:leader="none" w:pos="16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Grant</w:t>
      </w:r>
      <w:r>
        <w:rPr>
          <w:rFonts w:ascii="Times New Roman" w:cs="Times New Roman" w:eastAsia="Times New Roman" w:hAnsi="Times New Roman"/>
          <w:sz w:val="16"/>
          <w:szCs w:val="16"/>
          <w:color w:val="auto"/>
        </w:rPr>
        <w:t>” shall mean an Option, SAR, Stock Award, Stock Unit, Other Stock-Based Award or Cash Award granted under the Plan.</w:t>
      </w:r>
    </w:p>
    <w:p>
      <w:pPr>
        <w:spacing w:after="0" w:line="189" w:lineRule="exact"/>
        <w:rPr>
          <w:rFonts w:ascii="Times New Roman" w:cs="Times New Roman" w:eastAsia="Times New Roman" w:hAnsi="Times New Roman"/>
          <w:sz w:val="16"/>
          <w:szCs w:val="16"/>
          <w:color w:val="auto"/>
        </w:rPr>
      </w:pPr>
    </w:p>
    <w:p>
      <w:pPr>
        <w:ind w:left="1720" w:hanging="225"/>
        <w:spacing w:after="0"/>
        <w:tabs>
          <w:tab w:leader="none" w:pos="17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Grant Instrument</w:t>
      </w:r>
      <w:r>
        <w:rPr>
          <w:rFonts w:ascii="Times New Roman" w:cs="Times New Roman" w:eastAsia="Times New Roman" w:hAnsi="Times New Roman"/>
          <w:sz w:val="16"/>
          <w:szCs w:val="16"/>
          <w:color w:val="auto"/>
        </w:rPr>
        <w:t>” shall mean the written agreement that sets forth the terms and conditions of a Grant, including all amendments thereto.</w:t>
      </w:r>
    </w:p>
    <w:p>
      <w:pPr>
        <w:spacing w:after="0" w:line="189" w:lineRule="exact"/>
        <w:rPr>
          <w:rFonts w:ascii="Times New Roman" w:cs="Times New Roman" w:eastAsia="Times New Roman" w:hAnsi="Times New Roman"/>
          <w:sz w:val="16"/>
          <w:szCs w:val="16"/>
          <w:color w:val="auto"/>
        </w:rPr>
      </w:pPr>
    </w:p>
    <w:p>
      <w:pPr>
        <w:ind w:left="1720" w:hanging="225"/>
        <w:spacing w:after="0"/>
        <w:tabs>
          <w:tab w:leader="none" w:pos="17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Incentive Stock Option</w:t>
      </w:r>
      <w:r>
        <w:rPr>
          <w:rFonts w:ascii="Times New Roman" w:cs="Times New Roman" w:eastAsia="Times New Roman" w:hAnsi="Times New Roman"/>
          <w:sz w:val="16"/>
          <w:szCs w:val="16"/>
          <w:color w:val="auto"/>
        </w:rPr>
        <w:t>” shall mean an Option that is intended to meet the requirements of an incentive stock option under section 422 of the Code.</w:t>
      </w:r>
    </w:p>
    <w:p>
      <w:pPr>
        <w:spacing w:after="0" w:line="189" w:lineRule="exact"/>
        <w:rPr>
          <w:rFonts w:ascii="Times New Roman" w:cs="Times New Roman" w:eastAsia="Times New Roman" w:hAnsi="Times New Roman"/>
          <w:sz w:val="16"/>
          <w:szCs w:val="16"/>
          <w:color w:val="auto"/>
        </w:rPr>
      </w:pPr>
    </w:p>
    <w:p>
      <w:pPr>
        <w:ind w:left="1740" w:hanging="245"/>
        <w:spacing w:after="0"/>
        <w:tabs>
          <w:tab w:leader="none" w:pos="174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Key Advisor</w:t>
      </w:r>
      <w:r>
        <w:rPr>
          <w:rFonts w:ascii="Times New Roman" w:cs="Times New Roman" w:eastAsia="Times New Roman" w:hAnsi="Times New Roman"/>
          <w:sz w:val="16"/>
          <w:szCs w:val="16"/>
          <w:color w:val="auto"/>
        </w:rPr>
        <w:t>” shall mean a consultant or advisor of the Employer.</w:t>
      </w:r>
    </w:p>
    <w:p>
      <w:pPr>
        <w:spacing w:after="0" w:line="189" w:lineRule="exact"/>
        <w:rPr>
          <w:rFonts w:ascii="Times New Roman" w:cs="Times New Roman" w:eastAsia="Times New Roman" w:hAnsi="Times New Roman"/>
          <w:sz w:val="16"/>
          <w:szCs w:val="16"/>
          <w:color w:val="auto"/>
        </w:rPr>
      </w:pPr>
    </w:p>
    <w:p>
      <w:pPr>
        <w:ind w:left="1720" w:hanging="225"/>
        <w:spacing w:after="0"/>
        <w:tabs>
          <w:tab w:leader="none" w:pos="17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Non-Employee Director</w:t>
      </w:r>
      <w:r>
        <w:rPr>
          <w:rFonts w:ascii="Times New Roman" w:cs="Times New Roman" w:eastAsia="Times New Roman" w:hAnsi="Times New Roman"/>
          <w:sz w:val="16"/>
          <w:szCs w:val="16"/>
          <w:color w:val="auto"/>
        </w:rPr>
        <w:t>” shall mean a member of the Board who is not an Employee.</w:t>
      </w:r>
    </w:p>
    <w:p>
      <w:pPr>
        <w:spacing w:after="0" w:line="189" w:lineRule="exact"/>
        <w:rPr>
          <w:rFonts w:ascii="Times New Roman" w:cs="Times New Roman" w:eastAsia="Times New Roman" w:hAnsi="Times New Roman"/>
          <w:sz w:val="16"/>
          <w:szCs w:val="16"/>
          <w:color w:val="auto"/>
        </w:rPr>
      </w:pPr>
    </w:p>
    <w:p>
      <w:pPr>
        <w:ind w:left="1720" w:hanging="225"/>
        <w:spacing w:after="0"/>
        <w:tabs>
          <w:tab w:leader="none" w:pos="17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Nonqualified Stock Option</w:t>
      </w:r>
      <w:r>
        <w:rPr>
          <w:rFonts w:ascii="Times New Roman" w:cs="Times New Roman" w:eastAsia="Times New Roman" w:hAnsi="Times New Roman"/>
          <w:sz w:val="16"/>
          <w:szCs w:val="16"/>
          <w:color w:val="auto"/>
        </w:rPr>
        <w:t>” shall mean an Option that is not intended to be taxed as an incentive stock option under section 422 of the Code.</w:t>
      </w:r>
    </w:p>
    <w:p>
      <w:pPr>
        <w:spacing w:after="0" w:line="189" w:lineRule="exact"/>
        <w:rPr>
          <w:rFonts w:ascii="Times New Roman" w:cs="Times New Roman" w:eastAsia="Times New Roman" w:hAnsi="Times New Roman"/>
          <w:sz w:val="16"/>
          <w:szCs w:val="16"/>
          <w:color w:val="auto"/>
        </w:rPr>
      </w:pPr>
    </w:p>
    <w:p>
      <w:pPr>
        <w:ind w:left="1700" w:hanging="205"/>
        <w:spacing w:after="0"/>
        <w:tabs>
          <w:tab w:leader="none" w:pos="17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Option</w:t>
      </w:r>
      <w:r>
        <w:rPr>
          <w:rFonts w:ascii="Times New Roman" w:cs="Times New Roman" w:eastAsia="Times New Roman" w:hAnsi="Times New Roman"/>
          <w:sz w:val="16"/>
          <w:szCs w:val="16"/>
          <w:color w:val="auto"/>
        </w:rPr>
        <w:t>” shall mean an option to purchase shares of Company Stock, as described in Section 6.</w:t>
      </w:r>
    </w:p>
    <w:p>
      <w:pPr>
        <w:spacing w:after="0" w:line="189" w:lineRule="exact"/>
        <w:rPr>
          <w:sz w:val="20"/>
          <w:szCs w:val="20"/>
          <w:color w:val="auto"/>
        </w:rPr>
      </w:pPr>
    </w:p>
    <w:p>
      <w:pPr>
        <w:ind w:right="20" w:firstLine="1495"/>
        <w:spacing w:after="0" w:line="267" w:lineRule="auto"/>
        <w:tabs>
          <w:tab w:leader="none" w:pos="1794"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Other Stock-Based Award</w:t>
      </w:r>
      <w:r>
        <w:rPr>
          <w:rFonts w:ascii="Times New Roman" w:cs="Times New Roman" w:eastAsia="Times New Roman" w:hAnsi="Times New Roman"/>
          <w:sz w:val="16"/>
          <w:szCs w:val="16"/>
          <w:color w:val="auto"/>
        </w:rPr>
        <w:t>” shall mean any Grant based on, measured by or payable in Company Stock (other than an Option, Stock Unit, Stock Award, or SAR), as described in Section 10.</w:t>
      </w:r>
    </w:p>
    <w:p>
      <w:pPr>
        <w:spacing w:after="0" w:line="150" w:lineRule="exact"/>
        <w:rPr>
          <w:rFonts w:ascii="Times New Roman" w:cs="Times New Roman" w:eastAsia="Times New Roman" w:hAnsi="Times New Roman"/>
          <w:sz w:val="16"/>
          <w:szCs w:val="16"/>
          <w:color w:val="auto"/>
        </w:rPr>
      </w:pPr>
    </w:p>
    <w:p>
      <w:pPr>
        <w:ind w:left="1800" w:hanging="305"/>
        <w:spacing w:after="0"/>
        <w:tabs>
          <w:tab w:leader="none" w:pos="18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Participant</w:t>
      </w:r>
      <w:r>
        <w:rPr>
          <w:rFonts w:ascii="Times New Roman" w:cs="Times New Roman" w:eastAsia="Times New Roman" w:hAnsi="Times New Roman"/>
          <w:sz w:val="16"/>
          <w:szCs w:val="16"/>
          <w:color w:val="auto"/>
        </w:rPr>
        <w:t>” shall mean an Employee, Key Advisor or Non-Employee Director designated by the Committee to participate in the Plan.</w:t>
      </w:r>
    </w:p>
    <w:p>
      <w:pPr>
        <w:spacing w:after="0" w:line="189" w:lineRule="exact"/>
        <w:rPr>
          <w:rFonts w:ascii="Times New Roman" w:cs="Times New Roman" w:eastAsia="Times New Roman" w:hAnsi="Times New Roman"/>
          <w:sz w:val="16"/>
          <w:szCs w:val="16"/>
          <w:color w:val="auto"/>
        </w:rPr>
      </w:pPr>
    </w:p>
    <w:p>
      <w:pPr>
        <w:ind w:left="1780" w:hanging="285"/>
        <w:spacing w:after="0"/>
        <w:tabs>
          <w:tab w:leader="none" w:pos="17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Performance-Based Grant</w:t>
      </w:r>
      <w:r>
        <w:rPr>
          <w:rFonts w:ascii="Times New Roman" w:cs="Times New Roman" w:eastAsia="Times New Roman" w:hAnsi="Times New Roman"/>
          <w:sz w:val="16"/>
          <w:szCs w:val="16"/>
          <w:color w:val="auto"/>
        </w:rPr>
        <w:t>” shall have the meaning given that term in Section 13.</w:t>
      </w:r>
    </w:p>
    <w:p>
      <w:pPr>
        <w:spacing w:after="0" w:line="189" w:lineRule="exact"/>
        <w:rPr>
          <w:rFonts w:ascii="Times New Roman" w:cs="Times New Roman" w:eastAsia="Times New Roman" w:hAnsi="Times New Roman"/>
          <w:sz w:val="16"/>
          <w:szCs w:val="16"/>
          <w:color w:val="auto"/>
        </w:rPr>
      </w:pPr>
    </w:p>
    <w:p>
      <w:pPr>
        <w:ind w:left="1800" w:hanging="305"/>
        <w:spacing w:after="0"/>
        <w:tabs>
          <w:tab w:leader="none" w:pos="18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shall mean this Axsome Therapeutics, Inc. 2015 Omnibus Incentive Compensation Plan, as in effect from time to time.</w:t>
      </w:r>
    </w:p>
    <w:p>
      <w:pPr>
        <w:spacing w:after="0" w:line="189" w:lineRule="exact"/>
        <w:rPr>
          <w:rFonts w:ascii="Times New Roman" w:cs="Times New Roman" w:eastAsia="Times New Roman" w:hAnsi="Times New Roman"/>
          <w:sz w:val="16"/>
          <w:szCs w:val="16"/>
          <w:color w:val="auto"/>
        </w:rPr>
      </w:pPr>
    </w:p>
    <w:p>
      <w:pPr>
        <w:ind w:left="1780" w:hanging="285"/>
        <w:spacing w:after="0"/>
        <w:tabs>
          <w:tab w:leader="none" w:pos="17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Reliance Period</w:t>
      </w:r>
      <w:r>
        <w:rPr>
          <w:rFonts w:ascii="Times New Roman" w:cs="Times New Roman" w:eastAsia="Times New Roman" w:hAnsi="Times New Roman"/>
          <w:sz w:val="16"/>
          <w:szCs w:val="16"/>
          <w:color w:val="auto"/>
        </w:rPr>
        <w:t>” shall have the meaning given that term in Section 19(c)(i).</w:t>
      </w:r>
    </w:p>
    <w:p>
      <w:pPr>
        <w:spacing w:after="0" w:line="189" w:lineRule="exact"/>
        <w:rPr>
          <w:rFonts w:ascii="Times New Roman" w:cs="Times New Roman" w:eastAsia="Times New Roman" w:hAnsi="Times New Roman"/>
          <w:sz w:val="16"/>
          <w:szCs w:val="16"/>
          <w:color w:val="auto"/>
        </w:rPr>
      </w:pPr>
    </w:p>
    <w:p>
      <w:pPr>
        <w:ind w:left="1740" w:hanging="245"/>
        <w:spacing w:after="0"/>
        <w:tabs>
          <w:tab w:leader="none" w:pos="17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Restriction Period</w:t>
      </w:r>
      <w:r>
        <w:rPr>
          <w:rFonts w:ascii="Times New Roman" w:cs="Times New Roman" w:eastAsia="Times New Roman" w:hAnsi="Times New Roman"/>
          <w:sz w:val="16"/>
          <w:szCs w:val="16"/>
          <w:color w:val="auto"/>
        </w:rPr>
        <w:t>” shall have the meaning given that term in Section 7(a).</w:t>
      </w:r>
    </w:p>
    <w:p>
      <w:pPr>
        <w:spacing w:after="0" w:line="189" w:lineRule="exact"/>
        <w:rPr>
          <w:rFonts w:ascii="Times New Roman" w:cs="Times New Roman" w:eastAsia="Times New Roman" w:hAnsi="Times New Roman"/>
          <w:sz w:val="16"/>
          <w:szCs w:val="16"/>
          <w:color w:val="auto"/>
        </w:rPr>
      </w:pPr>
    </w:p>
    <w:p>
      <w:pPr>
        <w:ind w:left="1800" w:hanging="305"/>
        <w:spacing w:after="0"/>
        <w:tabs>
          <w:tab w:leader="none" w:pos="18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SAR</w:t>
      </w:r>
      <w:r>
        <w:rPr>
          <w:rFonts w:ascii="Times New Roman" w:cs="Times New Roman" w:eastAsia="Times New Roman" w:hAnsi="Times New Roman"/>
          <w:sz w:val="16"/>
          <w:szCs w:val="16"/>
          <w:color w:val="auto"/>
        </w:rPr>
        <w:t>” shall mean a stock appreciation right, as described in Section 9.</w:t>
      </w:r>
    </w:p>
    <w:p>
      <w:pPr>
        <w:spacing w:after="0" w:line="189" w:lineRule="exact"/>
        <w:rPr>
          <w:rFonts w:ascii="Times New Roman" w:cs="Times New Roman" w:eastAsia="Times New Roman" w:hAnsi="Times New Roman"/>
          <w:sz w:val="16"/>
          <w:szCs w:val="16"/>
          <w:color w:val="auto"/>
        </w:rPr>
      </w:pPr>
    </w:p>
    <w:p>
      <w:pPr>
        <w:ind w:left="1800" w:hanging="305"/>
        <w:spacing w:after="0"/>
        <w:tabs>
          <w:tab w:leader="none" w:pos="18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Stock Award</w:t>
      </w:r>
      <w:r>
        <w:rPr>
          <w:rFonts w:ascii="Times New Roman" w:cs="Times New Roman" w:eastAsia="Times New Roman" w:hAnsi="Times New Roman"/>
          <w:sz w:val="16"/>
          <w:szCs w:val="16"/>
          <w:color w:val="auto"/>
        </w:rPr>
        <w:t>” shall mean an award of Company Stock, as described in Section 7.</w:t>
      </w:r>
    </w:p>
    <w:p>
      <w:pPr>
        <w:spacing w:after="0" w:line="189" w:lineRule="exact"/>
        <w:rPr>
          <w:rFonts w:ascii="Times New Roman" w:cs="Times New Roman" w:eastAsia="Times New Roman" w:hAnsi="Times New Roman"/>
          <w:sz w:val="16"/>
          <w:szCs w:val="16"/>
          <w:color w:val="auto"/>
        </w:rPr>
      </w:pPr>
    </w:p>
    <w:p>
      <w:pPr>
        <w:ind w:left="1720" w:hanging="225"/>
        <w:spacing w:after="0"/>
        <w:tabs>
          <w:tab w:leader="none" w:pos="17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Stock Unit</w:t>
      </w:r>
      <w:r>
        <w:rPr>
          <w:rFonts w:ascii="Times New Roman" w:cs="Times New Roman" w:eastAsia="Times New Roman" w:hAnsi="Times New Roman"/>
          <w:sz w:val="16"/>
          <w:szCs w:val="16"/>
          <w:color w:val="auto"/>
        </w:rPr>
        <w:t>” shall mean an award of a phantom unit representing a share of Company Stock, as described in Section 8.</w:t>
      </w:r>
    </w:p>
    <w:p>
      <w:pPr>
        <w:spacing w:after="0" w:line="189" w:lineRule="exact"/>
        <w:rPr>
          <w:rFonts w:ascii="Times New Roman" w:cs="Times New Roman" w:eastAsia="Times New Roman" w:hAnsi="Times New Roman"/>
          <w:sz w:val="16"/>
          <w:szCs w:val="16"/>
          <w:color w:val="auto"/>
        </w:rPr>
      </w:pPr>
    </w:p>
    <w:p>
      <w:pPr>
        <w:ind w:left="1720" w:hanging="225"/>
        <w:spacing w:after="0"/>
        <w:tabs>
          <w:tab w:leader="none" w:pos="17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Substitute Awards</w:t>
      </w:r>
      <w:r>
        <w:rPr>
          <w:rFonts w:ascii="Times New Roman" w:cs="Times New Roman" w:eastAsia="Times New Roman" w:hAnsi="Times New Roman"/>
          <w:sz w:val="16"/>
          <w:szCs w:val="16"/>
          <w:color w:val="auto"/>
        </w:rPr>
        <w:t>” shall have the meaning given that term in Section 4(b).</w:t>
      </w:r>
    </w:p>
    <w:p>
      <w:pPr>
        <w:spacing w:after="0" w:line="200" w:lineRule="exact"/>
        <w:rPr>
          <w:sz w:val="20"/>
          <w:szCs w:val="20"/>
          <w:color w:val="auto"/>
        </w:rPr>
      </w:pPr>
    </w:p>
    <w:p>
      <w:pPr>
        <w:spacing w:after="0" w:line="363" w:lineRule="exact"/>
        <w:rPr>
          <w:sz w:val="20"/>
          <w:szCs w:val="20"/>
          <w:color w:val="auto"/>
        </w:rPr>
      </w:pPr>
    </w:p>
    <w:p>
      <w:pPr>
        <w:ind w:firstLine="1495"/>
        <w:spacing w:after="0" w:line="267" w:lineRule="auto"/>
        <w:tabs>
          <w:tab w:leader="none" w:pos="1724"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Committee</w:t>
      </w:r>
      <w:r>
        <w:rPr>
          <w:rFonts w:ascii="Times New Roman" w:cs="Times New Roman" w:eastAsia="Times New Roman" w:hAnsi="Times New Roman"/>
          <w:sz w:val="16"/>
          <w:szCs w:val="16"/>
          <w:color w:val="auto"/>
        </w:rPr>
        <w:t>. The Plan shall be administered and interpreted by the Committee; provided, however, that any Grants to members of the Board must be authorized by the Board. The Committee may delegate authority to one or more subcommittees, as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508635</wp:posOffset>
            </wp:positionV>
            <wp:extent cx="7176135" cy="4000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3" w:right="319" w:bottom="1440" w:gutter="0" w:footer="0" w:header="0"/>
        </w:sectPr>
      </w:pPr>
    </w:p>
    <w:bookmarkStart w:id="171" w:name="page172"/>
    <w:bookmarkEnd w:id="171"/>
    <w:p>
      <w:pPr>
        <w:spacing w:after="0" w:line="267" w:lineRule="auto"/>
        <w:rPr>
          <w:sz w:val="20"/>
          <w:szCs w:val="20"/>
          <w:color w:val="auto"/>
        </w:rPr>
      </w:pPr>
      <w:r>
        <w:rPr>
          <w:rFonts w:ascii="Times New Roman" w:cs="Times New Roman" w:eastAsia="Times New Roman" w:hAnsi="Times New Roman"/>
          <w:sz w:val="16"/>
          <w:szCs w:val="16"/>
          <w:color w:val="auto"/>
        </w:rPr>
        <w:t>deems appropriate. To the extent that the Board, a subcommittee or the CEO, as described below, administers the Plan, references in the Plan to the “</w:t>
      </w:r>
      <w:r>
        <w:rPr>
          <w:rFonts w:ascii="Times New Roman" w:cs="Times New Roman" w:eastAsia="Times New Roman" w:hAnsi="Times New Roman"/>
          <w:sz w:val="16"/>
          <w:szCs w:val="16"/>
          <w:u w:val="single" w:color="auto"/>
          <w:color w:val="auto"/>
        </w:rPr>
        <w:t>Committee</w:t>
      </w:r>
      <w:r>
        <w:rPr>
          <w:rFonts w:ascii="Times New Roman" w:cs="Times New Roman" w:eastAsia="Times New Roman" w:hAnsi="Times New Roman"/>
          <w:sz w:val="16"/>
          <w:szCs w:val="16"/>
          <w:color w:val="auto"/>
        </w:rPr>
        <w:t>” shall be deemed to refer to the Board or such subcommittee or the CEO.</w:t>
      </w:r>
    </w:p>
    <w:p>
      <w:pPr>
        <w:spacing w:after="0" w:line="149" w:lineRule="exact"/>
        <w:rPr>
          <w:sz w:val="20"/>
          <w:szCs w:val="20"/>
          <w:color w:val="auto"/>
        </w:rPr>
      </w:pPr>
    </w:p>
    <w:p>
      <w:pPr>
        <w:jc w:val="both"/>
        <w:ind w:firstLine="1495"/>
        <w:spacing w:after="0" w:line="257" w:lineRule="auto"/>
        <w:tabs>
          <w:tab w:leader="none" w:pos="1721"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Delegation to CEO</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Subject to compliance with applicable law and applicable stock exchange requirements, the Committee may delegate all or part of its authority and power to the CEO, as it deems appropriate, with respect to Grants to Employees or Key Advisors who are not executive officers under section 16 of the Exchange Act and provided the Grants are not intended to be Performance-Based Grants as described in Section 13.</w:t>
      </w:r>
    </w:p>
    <w:p>
      <w:pPr>
        <w:spacing w:after="0" w:line="157" w:lineRule="exact"/>
        <w:rPr>
          <w:rFonts w:ascii="Times New Roman" w:cs="Times New Roman" w:eastAsia="Times New Roman" w:hAnsi="Times New Roman"/>
          <w:sz w:val="16"/>
          <w:szCs w:val="16"/>
          <w:color w:val="auto"/>
        </w:rPr>
      </w:pPr>
    </w:p>
    <w:p>
      <w:pPr>
        <w:jc w:val="both"/>
        <w:ind w:firstLine="1495"/>
        <w:spacing w:after="0" w:line="251" w:lineRule="auto"/>
        <w:tabs>
          <w:tab w:leader="none" w:pos="1713"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Committee Authority</w:t>
      </w:r>
      <w:r>
        <w:rPr>
          <w:rFonts w:ascii="Times New Roman" w:cs="Times New Roman" w:eastAsia="Times New Roman" w:hAnsi="Times New Roman"/>
          <w:sz w:val="16"/>
          <w:szCs w:val="16"/>
          <w:color w:val="auto"/>
        </w:rPr>
        <w:t>. The Committee shall have the sole authority to (i) determine the individuals to whom Grants shall be made under the Plan, (ii) determine the type, size, terms and conditions of the Grants to be made to each such individual, (iii) determine the time when the Grants will be made and the duration of any applicable exercise or restriction period, including the criteria for exercisability and the acceleration of exercisability, (v) amend the terms of any previously issued Grant, subject to the provisions of Section 19 below, and (vi) deal with any other matters arising under the Plan.</w:t>
      </w:r>
    </w:p>
    <w:p>
      <w:pPr>
        <w:spacing w:after="0" w:line="163" w:lineRule="exact"/>
        <w:rPr>
          <w:rFonts w:ascii="Times New Roman" w:cs="Times New Roman" w:eastAsia="Times New Roman" w:hAnsi="Times New Roman"/>
          <w:sz w:val="16"/>
          <w:szCs w:val="16"/>
          <w:color w:val="auto"/>
        </w:rPr>
      </w:pPr>
    </w:p>
    <w:p>
      <w:pPr>
        <w:jc w:val="both"/>
        <w:ind w:firstLine="1495"/>
        <w:spacing w:after="0" w:line="293" w:lineRule="auto"/>
        <w:tabs>
          <w:tab w:leader="none" w:pos="1733"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Committee Determinations</w:t>
      </w:r>
      <w:r>
        <w:rPr>
          <w:rFonts w:ascii="Times New Roman" w:cs="Times New Roman" w:eastAsia="Times New Roman" w:hAnsi="Times New Roman"/>
          <w:sz w:val="14"/>
          <w:szCs w:val="14"/>
          <w:color w:val="auto"/>
        </w:rPr>
        <w:t>. The Committee shall have full power and express discretionary authority to administer and interpret the Plan, to make factual determinations and to adopt or amend such rules, regulations, agreements and instruments for implementing the Plan and for the conduct of its business as it deems necessary or advisable, in its sole discretion. The Committee’s interpretations of the Plan and all determinations made by the Committee pursuant to the powers vested in it hereunder shall be conclusive and binding on all persons having any interest in the Plan or in any awards granted hereunder. All powers of the Committee shall be executed in its sole discretion, in the best interest of the Company, not as a fiduciary, and in keeping with the objectives of the Plan and need not be uniform as to similarly situated individuals.</w:t>
      </w:r>
    </w:p>
    <w:p>
      <w:pPr>
        <w:spacing w:after="0" w:line="137" w:lineRule="exact"/>
        <w:rPr>
          <w:rFonts w:ascii="Times New Roman" w:cs="Times New Roman" w:eastAsia="Times New Roman" w:hAnsi="Times New Roman"/>
          <w:sz w:val="14"/>
          <w:szCs w:val="14"/>
          <w:color w:val="auto"/>
        </w:rPr>
      </w:pPr>
    </w:p>
    <w:p>
      <w:pPr>
        <w:jc w:val="both"/>
        <w:ind w:firstLine="1495"/>
        <w:spacing w:after="0" w:line="249" w:lineRule="auto"/>
        <w:tabs>
          <w:tab w:leader="none" w:pos="1724"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 No member of the Committee and no employee of the Company shall be liable for any act or failure to act with respect to the Plan, except in circumstances involving his or her bad faith or willful misconduct, or for any act or failure to act hereunder by any other member of the Committee or employee or by any agent to whom duties in connection with the administration of this Plan have been delegated. The Company shall indemnify members of the Committee and any agent of the Committee who is an employee of the Company or a subsidiary against any and all liabilities or expenses to which they may be subjected by reason of any act or failure to act with respect to their duties on behalf of the Plan, except in circumstances involving such person’s bad faith or willful misconduct.</w:t>
      </w:r>
    </w:p>
    <w:p>
      <w:pPr>
        <w:spacing w:after="0" w:line="1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Section 3. Grants</w:t>
      </w:r>
    </w:p>
    <w:p>
      <w:pPr>
        <w:spacing w:after="0" w:line="191" w:lineRule="exact"/>
        <w:rPr>
          <w:sz w:val="20"/>
          <w:szCs w:val="20"/>
          <w:color w:val="auto"/>
        </w:rPr>
      </w:pPr>
    </w:p>
    <w:p>
      <w:pPr>
        <w:jc w:val="both"/>
        <w:ind w:firstLine="751"/>
        <w:spacing w:after="0" w:line="248" w:lineRule="auto"/>
        <w:rPr>
          <w:sz w:val="20"/>
          <w:szCs w:val="20"/>
          <w:color w:val="auto"/>
        </w:rPr>
      </w:pPr>
      <w:r>
        <w:rPr>
          <w:rFonts w:ascii="Times New Roman" w:cs="Times New Roman" w:eastAsia="Times New Roman" w:hAnsi="Times New Roman"/>
          <w:sz w:val="16"/>
          <w:szCs w:val="16"/>
          <w:color w:val="auto"/>
        </w:rPr>
        <w:t>Grants under the Plan may consist of Options as described in Section 6, Stock Awards as described in Section 7, Stock Units as described in Section 8, SARs as described in Section 9, Other Stock-Based Awards as described in Section 10, and Cash Awards as described in Section 11. All Grants shall be subject to the terms and conditions set forth herein and to such other terms and conditions consistent with this Plan as the Committee deems appropriate and as are specified in writing by the Committee to the individual in the Grant Instrument. All Grants shall be made conditional upon the Participant’s acknowledgement, in writing or by acceptance of the Grant, that all decisions and determinations of the Committee shall be final and binding on the Participant, his or her beneficiaries and any other person having or claiming an interest under such Grant. Grants under a particular Section of the Plan need not be uniform as among the Participants.</w:t>
      </w:r>
    </w:p>
    <w:p>
      <w:pPr>
        <w:spacing w:after="0" w:line="1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Section 4. Shares Subject to the Plan</w:t>
      </w:r>
    </w:p>
    <w:p>
      <w:pPr>
        <w:spacing w:after="0" w:line="191" w:lineRule="exact"/>
        <w:rPr>
          <w:sz w:val="20"/>
          <w:szCs w:val="20"/>
          <w:color w:val="auto"/>
        </w:rPr>
      </w:pPr>
    </w:p>
    <w:p>
      <w:pPr>
        <w:jc w:val="both"/>
        <w:ind w:firstLine="1495"/>
        <w:spacing w:after="0" w:line="247" w:lineRule="auto"/>
        <w:tabs>
          <w:tab w:leader="none" w:pos="1713"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Shares Authorized</w:t>
      </w:r>
      <w:r>
        <w:rPr>
          <w:rFonts w:ascii="Times New Roman" w:cs="Times New Roman" w:eastAsia="Times New Roman" w:hAnsi="Times New Roman"/>
          <w:sz w:val="16"/>
          <w:szCs w:val="16"/>
          <w:color w:val="auto"/>
        </w:rPr>
        <w:t>. Subject to adjustment as described below in Section 4(d), the aggregate number of shares of Company Stock that may be issued or transferred under the Plan shall be equal to the sum of the following: (i) 3,500,000, plus (ii) the number of shares of Company Stock subject to outstanding grants under the 2013 Plan as of the Effective Date, plus (iii) the number of shares of Company Stock remaining available for issuance under the 2013 Plan but not subject to previously exercised, vested or paid grants as of the Effective Date; provided, however, that the aggregate number of shares of Company Stock that may be issued or transferred under the Plan pursuant to Incentive Stock Options shall not exceed 3,500,000 shares of Company Stock. In addition, as of the first trading day of January during the term of the Plan, beginning with calendar year 2017, an additional positive number of shares of Company Stock shall be added to the number of shares of Company Stock authorized to be issued or transferred under the Plan and the number of shares authorized to be issued or transferred pursuant to Incentive Stock Options, equal to 4% of the total number of shares of Company Stock outstanding on the last trading day in December of the immediately preceding calendar year.</w:t>
      </w:r>
    </w:p>
    <w:p>
      <w:pPr>
        <w:spacing w:after="0" w:line="165" w:lineRule="exact"/>
        <w:rPr>
          <w:rFonts w:ascii="Times New Roman" w:cs="Times New Roman" w:eastAsia="Times New Roman" w:hAnsi="Times New Roman"/>
          <w:sz w:val="16"/>
          <w:szCs w:val="16"/>
          <w:color w:val="auto"/>
        </w:rPr>
      </w:pPr>
    </w:p>
    <w:p>
      <w:pPr>
        <w:jc w:val="both"/>
        <w:ind w:firstLine="1495"/>
        <w:spacing w:after="0" w:line="247" w:lineRule="auto"/>
        <w:tabs>
          <w:tab w:leader="none" w:pos="1721"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Source of Shares; Share Counting</w:t>
      </w:r>
      <w:r>
        <w:rPr>
          <w:rFonts w:ascii="Times New Roman" w:cs="Times New Roman" w:eastAsia="Times New Roman" w:hAnsi="Times New Roman"/>
          <w:sz w:val="16"/>
          <w:szCs w:val="16"/>
          <w:color w:val="auto"/>
        </w:rPr>
        <w:t>. Shares issued or transferred under the Plan may be authorized but unissued shares of Company Stock or reacquired shares of Company Stock, including shares purchased by the Company on the open market for purposes of the Plan. If and to the extent Options or SARs granted under the Plan (including options granted under the 2013 Plan) terminate, expire or are canceled, forfeited, exchanged or surrendered without having been exercised, or if any Stock Awards, Stock Units or Other Stock-Based Awards are forfeited, terminated or otherwise not paid in full, the shares subject to such Grants shall again be available for purposes of the Plan. If shares of Company Stock otherwise issuable under the Plan are surrendered in payment of the Exercise Price of an Option, then the number of shares of Company Stock available for issuance under the Plan shall be reduced only by the net number of shares actually issued by the Company upon such exercise and not by the gross number of shares as to which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519430</wp:posOffset>
            </wp:positionV>
            <wp:extent cx="7176135" cy="4000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3" w:right="319" w:bottom="1440" w:gutter="0" w:footer="0" w:header="0"/>
        </w:sectPr>
      </w:pPr>
    </w:p>
    <w:bookmarkStart w:id="172" w:name="page173"/>
    <w:bookmarkEnd w:id="172"/>
    <w:p>
      <w:pPr>
        <w:jc w:val="both"/>
        <w:ind w:left="7"/>
        <w:spacing w:after="0" w:line="281" w:lineRule="auto"/>
        <w:rPr>
          <w:sz w:val="20"/>
          <w:szCs w:val="20"/>
          <w:color w:val="auto"/>
        </w:rPr>
      </w:pPr>
      <w:r>
        <w:rPr>
          <w:rFonts w:ascii="Times New Roman" w:cs="Times New Roman" w:eastAsia="Times New Roman" w:hAnsi="Times New Roman"/>
          <w:sz w:val="14"/>
          <w:szCs w:val="14"/>
          <w:color w:val="auto"/>
        </w:rPr>
        <w:t>Option is exercised. Upon the exercise of any SAR under the Plan, the number of shares of Company Stock available for issuance under the Plan shall be reduced by only by the net number of shares actually issued by the Company upon such exercise. If shares of Company Stock otherwise issuable under the Plan are withheld by the Company in satisfaction of the withholding taxes incurred in connection with the issuance, vesting or exercise of any Grant or the issuance of Company Stock thereunder, then the number of shares of Company Stock available for issuance under the Plan shall be reduced by the net number of shares issued, vested or exercised under such Grant, calculated in each instance after payment of such share withholding. To the extent any Grants are paid in cash, and not in shares of Company Stock, any shares previously subject to such Grants shall again be available for issuance or transfer under the Plan. In addition, (i) shares issued or transferred under Grants made pursuant to an assumption, substitution or exchange for previously granted awards of a company acquired by the Company in a transaction (“</w:t>
      </w:r>
      <w:r>
        <w:rPr>
          <w:rFonts w:ascii="Times New Roman" w:cs="Times New Roman" w:eastAsia="Times New Roman" w:hAnsi="Times New Roman"/>
          <w:sz w:val="14"/>
          <w:szCs w:val="14"/>
          <w:u w:val="single" w:color="auto"/>
          <w:color w:val="auto"/>
        </w:rPr>
        <w:t>Substitute Awards</w:t>
      </w:r>
      <w:r>
        <w:rPr>
          <w:rFonts w:ascii="Times New Roman" w:cs="Times New Roman" w:eastAsia="Times New Roman" w:hAnsi="Times New Roman"/>
          <w:sz w:val="14"/>
          <w:szCs w:val="14"/>
          <w:color w:val="auto"/>
        </w:rPr>
        <w:t>”) shall not reduce the number of shares of Company Stock available under the Plan and</w:t>
      </w:r>
    </w:p>
    <w:p>
      <w:pPr>
        <w:spacing w:after="0" w:line="3" w:lineRule="exact"/>
        <w:rPr>
          <w:sz w:val="20"/>
          <w:szCs w:val="20"/>
          <w:color w:val="auto"/>
        </w:rPr>
      </w:pPr>
    </w:p>
    <w:p>
      <w:pPr>
        <w:ind w:left="7" w:hanging="7"/>
        <w:spacing w:after="0" w:line="247" w:lineRule="auto"/>
        <w:tabs>
          <w:tab w:leader="none" w:pos="23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available shares under a stockholder approved plan of an acquired company (as appropriately adjusted to reflect the transaction) may be used for Grants under the Plan and shall not reduce the Plan’s share reserve (subject to applicable stock exchange listing and Code requirements).</w:t>
      </w:r>
    </w:p>
    <w:p>
      <w:pPr>
        <w:spacing w:after="0" w:line="165" w:lineRule="exact"/>
        <w:rPr>
          <w:rFonts w:ascii="Times New Roman" w:cs="Times New Roman" w:eastAsia="Times New Roman" w:hAnsi="Times New Roman"/>
          <w:sz w:val="16"/>
          <w:szCs w:val="16"/>
          <w:color w:val="auto"/>
        </w:rPr>
      </w:pPr>
    </w:p>
    <w:p>
      <w:pPr>
        <w:ind w:left="1707" w:hanging="205"/>
        <w:spacing w:after="0"/>
        <w:tabs>
          <w:tab w:leader="none" w:pos="1707"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Individual Limits</w:t>
      </w:r>
      <w:r>
        <w:rPr>
          <w:rFonts w:ascii="Times New Roman" w:cs="Times New Roman" w:eastAsia="Times New Roman" w:hAnsi="Times New Roman"/>
          <w:sz w:val="16"/>
          <w:szCs w:val="16"/>
          <w:color w:val="auto"/>
        </w:rPr>
        <w:t>. Subject to adjustment as described below in Section 4(d), the following Grant limitations shall apply:</w:t>
      </w:r>
    </w:p>
    <w:p>
      <w:pPr>
        <w:spacing w:after="0" w:line="189" w:lineRule="exact"/>
        <w:rPr>
          <w:rFonts w:ascii="Times New Roman" w:cs="Times New Roman" w:eastAsia="Times New Roman" w:hAnsi="Times New Roman"/>
          <w:sz w:val="16"/>
          <w:szCs w:val="16"/>
          <w:color w:val="auto"/>
        </w:rPr>
      </w:pPr>
    </w:p>
    <w:p>
      <w:pPr>
        <w:jc w:val="both"/>
        <w:ind w:left="7" w:right="20" w:firstLine="2246"/>
        <w:spacing w:after="0" w:line="255" w:lineRule="auto"/>
        <w:tabs>
          <w:tab w:leader="none" w:pos="2486" w:val="left"/>
        </w:tabs>
        <w:numPr>
          <w:ilvl w:val="2"/>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Performance-Based Grants measured in shares of Company Stock (whether payable in Company Stock, cash or a combination of both), the maximum number of shares of Company Stock for which such Grants may be made to any Employee in any calendar year shall not exceed 1,750,000 shares of Company Stock in the aggregate.</w:t>
      </w:r>
    </w:p>
    <w:p>
      <w:pPr>
        <w:spacing w:after="0" w:line="160" w:lineRule="exact"/>
        <w:rPr>
          <w:rFonts w:ascii="Times New Roman" w:cs="Times New Roman" w:eastAsia="Times New Roman" w:hAnsi="Times New Roman"/>
          <w:sz w:val="16"/>
          <w:szCs w:val="16"/>
          <w:color w:val="auto"/>
        </w:rPr>
      </w:pPr>
    </w:p>
    <w:p>
      <w:pPr>
        <w:jc w:val="both"/>
        <w:ind w:left="7" w:firstLine="2246"/>
        <w:spacing w:after="0" w:line="251" w:lineRule="auto"/>
        <w:tabs>
          <w:tab w:leader="none" w:pos="2504" w:val="left"/>
        </w:tabs>
        <w:numPr>
          <w:ilvl w:val="2"/>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Performance-Based Grants measured in cash dollars (whether payable in cash, Company Stock or a combination of both), including Cash Awards, the maximum dollar amount for which such Grants may be paid to any Employee with respect to each 12 month period within a performance period shall not exceed $9,000,000. If a performance period includes more than one year, the amount payable with respect to each 12 month period shall be determined by dividing the total amount payable for the performance period by the number of years in the performance period.</w:t>
      </w:r>
    </w:p>
    <w:p>
      <w:pPr>
        <w:spacing w:after="0" w:line="163" w:lineRule="exact"/>
        <w:rPr>
          <w:rFonts w:ascii="Times New Roman" w:cs="Times New Roman" w:eastAsia="Times New Roman" w:hAnsi="Times New Roman"/>
          <w:sz w:val="16"/>
          <w:szCs w:val="16"/>
          <w:color w:val="auto"/>
        </w:rPr>
      </w:pPr>
    </w:p>
    <w:p>
      <w:pPr>
        <w:ind w:left="7" w:right="20" w:firstLine="2246"/>
        <w:spacing w:after="0" w:line="267" w:lineRule="auto"/>
        <w:tabs>
          <w:tab w:leader="none" w:pos="2553" w:val="left"/>
        </w:tabs>
        <w:numPr>
          <w:ilvl w:val="2"/>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dividends with respect to Stock Awards that are Performance-Based Grants and Dividend Equivalents that are Performance-Based Grants, an Employee may not accrue an aggregate amount of dividends and Dividend Equivalents in excess of $2,000,000 in any calendar year.</w:t>
      </w:r>
    </w:p>
    <w:p>
      <w:pPr>
        <w:spacing w:after="0" w:line="150" w:lineRule="exact"/>
        <w:rPr>
          <w:rFonts w:ascii="Times New Roman" w:cs="Times New Roman" w:eastAsia="Times New Roman" w:hAnsi="Times New Roman"/>
          <w:sz w:val="16"/>
          <w:szCs w:val="16"/>
          <w:color w:val="auto"/>
        </w:rPr>
      </w:pPr>
    </w:p>
    <w:p>
      <w:pPr>
        <w:jc w:val="both"/>
        <w:ind w:left="7" w:right="20" w:firstLine="2246"/>
        <w:spacing w:after="0" w:line="255" w:lineRule="auto"/>
        <w:tabs>
          <w:tab w:leader="none" w:pos="2523" w:val="left"/>
        </w:tabs>
        <w:numPr>
          <w:ilvl w:val="2"/>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grant date fair value of shares of Company Stock subject to Grants made to any Non-Employee Director during any calendar year, taken together with any cash fees earned by such Non-Employee Director for services rendered during the calendar year, shall not exceed $750,000, with exceptions only in extraordinary circumstances and with the value of such Grants calculated based on the grant date fair value of such Grants for financial reporting purposes.</w:t>
      </w:r>
    </w:p>
    <w:p>
      <w:pPr>
        <w:spacing w:after="0" w:line="160" w:lineRule="exact"/>
        <w:rPr>
          <w:rFonts w:ascii="Times New Roman" w:cs="Times New Roman" w:eastAsia="Times New Roman" w:hAnsi="Times New Roman"/>
          <w:sz w:val="16"/>
          <w:szCs w:val="16"/>
          <w:color w:val="auto"/>
        </w:rPr>
      </w:pPr>
    </w:p>
    <w:p>
      <w:pPr>
        <w:ind w:left="7" w:right="20" w:firstLine="2246"/>
        <w:spacing w:after="0" w:line="267" w:lineRule="auto"/>
        <w:tabs>
          <w:tab w:leader="none" w:pos="2487" w:val="left"/>
        </w:tabs>
        <w:numPr>
          <w:ilvl w:val="2"/>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the individual limits described in subsections (i), (ii) and (iii) shall be increased to two times the otherwise applicable limits with respect to Performance-Based Grants that are made on or around the date of hire to a newly hired Employee.</w:t>
      </w:r>
    </w:p>
    <w:p>
      <w:pPr>
        <w:spacing w:after="0" w:line="150" w:lineRule="exact"/>
        <w:rPr>
          <w:rFonts w:ascii="Times New Roman" w:cs="Times New Roman" w:eastAsia="Times New Roman" w:hAnsi="Times New Roman"/>
          <w:sz w:val="16"/>
          <w:szCs w:val="16"/>
          <w:color w:val="auto"/>
        </w:rPr>
      </w:pPr>
    </w:p>
    <w:p>
      <w:pPr>
        <w:jc w:val="both"/>
        <w:ind w:left="7" w:firstLine="1495"/>
        <w:spacing w:after="0" w:line="284" w:lineRule="auto"/>
        <w:tabs>
          <w:tab w:leader="none" w:pos="1751"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Adjustments</w:t>
      </w:r>
      <w:r>
        <w:rPr>
          <w:rFonts w:ascii="Times New Roman" w:cs="Times New Roman" w:eastAsia="Times New Roman" w:hAnsi="Times New Roman"/>
          <w:sz w:val="14"/>
          <w:szCs w:val="14"/>
          <w:color w:val="auto"/>
        </w:rPr>
        <w:t>. If there is any change in the number or kind of shares of Company Stock outstanding by reason of (i) a stock dividend, spinoff, recapitalization, stock split, or combination or exchange of shares, (ii) a merger, reorganization or consolidation, (iii) a reclassification or change in par value, or (iv) any other extraordinary or unusual event affecting the outstanding Company Stock as a class without the Company’s receipt of consideration, or if the value of outstanding shares of Company Stock is substantially reduced as a result of a spinoff or the Company’s payment of an extraordinary dividend or distribution, the maximum number and kind of shares of Company Stock available for issuance under the Plan, the maximum number and kind of shares of Company Stock for which any individual may receive Grants in any year, the kind and number of shares covered by outstanding Grants, the kind and number of shares issued and to be issued under the Plan, and the price per share or the applicable market value of such Grants shall be equitably adjusted by the Committee to reflect any increase or decrease in the number of, or change in the kind or value of, the issued shares of Company Stock to preclude, to the extent practicable, the enlargement or dilution of rights and benefits under the Plan and such outstanding Grants; provided, however, that any fractional shares resulting from such adjustment shall be eliminated. In addition, in the event of a Change of Control, the provisions of Section 14 of the Plan shall apply. Any adjustments to outstanding Grants shall be consistent with section 409A or 424 of the Code, to the extent applicable. The adjustments of Grants under this Section 4(d) shall include adjustment of shares, Exercise Price of Stock Options, base amount of SARs, performance goals or other terms and conditions, as the Committee deems appropriate. The Committee shall have the sole discretion and authority to determine what appropriate adjustments shall be made and any adjustments determined by the Committee shall be final, binding and conclusive.</w:t>
      </w:r>
    </w:p>
    <w:p>
      <w:pPr>
        <w:spacing w:after="0" w:line="330"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16"/>
          <w:szCs w:val="16"/>
          <w:i w:val="1"/>
          <w:iCs w:val="1"/>
          <w:color w:val="auto"/>
        </w:rPr>
        <w:t>Section 5. Eligibility for Participation</w:t>
      </w:r>
    </w:p>
    <w:p>
      <w:pPr>
        <w:spacing w:after="0" w:line="191" w:lineRule="exact"/>
        <w:rPr>
          <w:sz w:val="20"/>
          <w:szCs w:val="20"/>
          <w:color w:val="auto"/>
        </w:rPr>
      </w:pPr>
    </w:p>
    <w:p>
      <w:pPr>
        <w:jc w:val="both"/>
        <w:ind w:left="7" w:firstLine="1495"/>
        <w:spacing w:after="0" w:line="255" w:lineRule="auto"/>
        <w:tabs>
          <w:tab w:leader="none" w:pos="1719"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Eligible Persons</w:t>
      </w:r>
      <w:r>
        <w:rPr>
          <w:rFonts w:ascii="Times New Roman" w:cs="Times New Roman" w:eastAsia="Times New Roman" w:hAnsi="Times New Roman"/>
          <w:sz w:val="16"/>
          <w:szCs w:val="16"/>
          <w:color w:val="auto"/>
        </w:rPr>
        <w:t>. All Employees and Non-Employee Directors shall be eligible to participate in the Plan. Key Advisors shall be eligible to participate in the Plan if the Key Advisors render bona fide services to the Employer, the services are not in connection with the offer and sale of securities in a capital-raising transaction, and the Key Advisors do not directly or indirectly promote or maintain a market for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514350</wp:posOffset>
            </wp:positionV>
            <wp:extent cx="7176135" cy="4000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683" w:right="319" w:bottom="1440" w:gutter="0" w:footer="0" w:header="0"/>
        </w:sectPr>
      </w:pPr>
    </w:p>
    <w:bookmarkStart w:id="173" w:name="page174"/>
    <w:bookmarkEnd w:id="173"/>
    <w:p>
      <w:pPr>
        <w:ind w:firstLine="1495"/>
        <w:spacing w:after="0" w:line="267" w:lineRule="auto"/>
        <w:tabs>
          <w:tab w:leader="none" w:pos="1721"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Selection of Participants</w:t>
      </w:r>
      <w:r>
        <w:rPr>
          <w:rFonts w:ascii="Times New Roman" w:cs="Times New Roman" w:eastAsia="Times New Roman" w:hAnsi="Times New Roman"/>
          <w:sz w:val="16"/>
          <w:szCs w:val="16"/>
          <w:color w:val="auto"/>
        </w:rPr>
        <w:t>. The Committee shall select the Employees, Non-Employee Directors and Key Advisors to receive Grants and shall determine the number of shares of Company Stock subject to a particular Grant in such manner as the Committee determines.</w:t>
      </w:r>
    </w:p>
    <w:p>
      <w:pPr>
        <w:spacing w:after="0" w:line="1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Section 6. Options</w:t>
      </w:r>
    </w:p>
    <w:p>
      <w:pPr>
        <w:spacing w:after="0" w:line="191" w:lineRule="exact"/>
        <w:rPr>
          <w:sz w:val="20"/>
          <w:szCs w:val="20"/>
          <w:color w:val="auto"/>
        </w:rPr>
      </w:pPr>
    </w:p>
    <w:p>
      <w:pPr>
        <w:ind w:right="20" w:firstLine="751"/>
        <w:spacing w:after="0" w:line="267" w:lineRule="auto"/>
        <w:rPr>
          <w:sz w:val="20"/>
          <w:szCs w:val="20"/>
          <w:color w:val="auto"/>
        </w:rPr>
      </w:pPr>
      <w:r>
        <w:rPr>
          <w:rFonts w:ascii="Times New Roman" w:cs="Times New Roman" w:eastAsia="Times New Roman" w:hAnsi="Times New Roman"/>
          <w:sz w:val="16"/>
          <w:szCs w:val="16"/>
          <w:color w:val="auto"/>
        </w:rPr>
        <w:t>The Committee may grant Options to an Employee, Non-Employee Director or Key Advisor upon such terms as the Committee deems appropriate. The following provisions are applicable to Options:</w:t>
      </w:r>
    </w:p>
    <w:p>
      <w:pPr>
        <w:spacing w:after="0" w:line="151" w:lineRule="exact"/>
        <w:rPr>
          <w:sz w:val="20"/>
          <w:szCs w:val="20"/>
          <w:color w:val="auto"/>
        </w:rPr>
      </w:pPr>
    </w:p>
    <w:p>
      <w:pPr>
        <w:ind w:firstLine="1495"/>
        <w:spacing w:after="0" w:line="267" w:lineRule="auto"/>
        <w:tabs>
          <w:tab w:leader="none" w:pos="1713"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Number of Shares</w:t>
      </w:r>
      <w:r>
        <w:rPr>
          <w:rFonts w:ascii="Times New Roman" w:cs="Times New Roman" w:eastAsia="Times New Roman" w:hAnsi="Times New Roman"/>
          <w:sz w:val="16"/>
          <w:szCs w:val="16"/>
          <w:color w:val="auto"/>
        </w:rPr>
        <w:t>. The Committee shall determine the number of shares of Company Stock that will be subject to each Grant of Options to Employees, Non-Employee Directors and Key Advisors.</w:t>
      </w:r>
    </w:p>
    <w:p>
      <w:pPr>
        <w:spacing w:after="0" w:line="150" w:lineRule="exact"/>
        <w:rPr>
          <w:rFonts w:ascii="Times New Roman" w:cs="Times New Roman" w:eastAsia="Times New Roman" w:hAnsi="Times New Roman"/>
          <w:sz w:val="16"/>
          <w:szCs w:val="16"/>
          <w:color w:val="auto"/>
        </w:rPr>
      </w:pPr>
    </w:p>
    <w:p>
      <w:pPr>
        <w:ind w:left="1720" w:hanging="225"/>
        <w:spacing w:after="0"/>
        <w:tabs>
          <w:tab w:leader="none" w:pos="17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Type of Option and Exercise Price</w:t>
      </w:r>
      <w:r>
        <w:rPr>
          <w:rFonts w:ascii="Times New Roman" w:cs="Times New Roman" w:eastAsia="Times New Roman" w:hAnsi="Times New Roman"/>
          <w:sz w:val="16"/>
          <w:szCs w:val="16"/>
          <w:color w:val="auto"/>
        </w:rPr>
        <w:t>.</w:t>
      </w:r>
    </w:p>
    <w:p>
      <w:pPr>
        <w:spacing w:after="0" w:line="189" w:lineRule="exact"/>
        <w:rPr>
          <w:rFonts w:ascii="Times New Roman" w:cs="Times New Roman" w:eastAsia="Times New Roman" w:hAnsi="Times New Roman"/>
          <w:sz w:val="16"/>
          <w:szCs w:val="16"/>
          <w:color w:val="auto"/>
        </w:rPr>
      </w:pPr>
    </w:p>
    <w:p>
      <w:pPr>
        <w:jc w:val="both"/>
        <w:ind w:firstLine="2246"/>
        <w:spacing w:after="0" w:line="255" w:lineRule="auto"/>
        <w:tabs>
          <w:tab w:leader="none" w:pos="2442"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Committee may grant Incentive Stock Options or Nonqualified Stock Options or any combination of the two, all in accordance with the terms and conditions set forth herein. Incentive Stock Options may be granted only to employees of the Company or its parent or subsidiary corporations, as defined in section 424 of the Code. Nonqualified Stock Options may be granted to Employees, Non-Employee Directors and Key Advisors.</w:t>
      </w:r>
    </w:p>
    <w:p>
      <w:pPr>
        <w:spacing w:after="0" w:line="160" w:lineRule="exact"/>
        <w:rPr>
          <w:rFonts w:ascii="Times New Roman" w:cs="Times New Roman" w:eastAsia="Times New Roman" w:hAnsi="Times New Roman"/>
          <w:sz w:val="16"/>
          <w:szCs w:val="16"/>
          <w:color w:val="auto"/>
        </w:rPr>
      </w:pPr>
    </w:p>
    <w:p>
      <w:pPr>
        <w:jc w:val="both"/>
        <w:ind w:firstLine="2246"/>
        <w:spacing w:after="0" w:line="299" w:lineRule="auto"/>
        <w:tabs>
          <w:tab w:leader="none" w:pos="2489"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of Company Stock subject to an Option shall be determined by the Committee and shall be equal to or greater than the Fair Market Value of a share of Company Stock on the date the Option is granted. However, an Incentive Stock Option may not be granted to an Employee who, at the time of grant, owns stock possessing more than 10% of the total combined voting power of all classes of stock of the Company, or any parent or subsidiary corporation of the Company, as defined in section 424 of the Code, unless the Exercise Price per share is not less than 110% of the Fair Market Value of a share of Company Stock on the date of grant.</w:t>
      </w:r>
    </w:p>
    <w:p>
      <w:pPr>
        <w:spacing w:after="0" w:line="131" w:lineRule="exact"/>
        <w:rPr>
          <w:rFonts w:ascii="Times New Roman" w:cs="Times New Roman" w:eastAsia="Times New Roman" w:hAnsi="Times New Roman"/>
          <w:sz w:val="14"/>
          <w:szCs w:val="14"/>
          <w:color w:val="auto"/>
        </w:rPr>
      </w:pPr>
    </w:p>
    <w:p>
      <w:pPr>
        <w:jc w:val="both"/>
        <w:ind w:firstLine="1495"/>
        <w:spacing w:after="0" w:line="248" w:lineRule="auto"/>
        <w:tabs>
          <w:tab w:leader="none" w:pos="1724"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Term</w:t>
      </w:r>
      <w:r>
        <w:rPr>
          <w:rFonts w:ascii="Times New Roman" w:cs="Times New Roman" w:eastAsia="Times New Roman" w:hAnsi="Times New Roman"/>
          <w:sz w:val="16"/>
          <w:szCs w:val="16"/>
          <w:color w:val="auto"/>
        </w:rPr>
        <w:t>. The Committee shall determine the term of each Option. The term of any Option shall not exceed ten years from the date of grant. However, an Incentive Stock Option that is granted to an Employee who, at the time of grant, owns stock possessing more than 10% of the total combined voting power of all classes of stock of the Company, or any parent or subsidiary corporation of the Company, as defined in section 424 of the Code, may not have a term that exceeds five years from the date of grant. Notwithstanding the foregoing, in the event that on the last business day of the term of an Option (other than an Incentive Stock Option), the exercise of the Option is prohibited by applicable law, including a prohibition on purchases or sales of Company Stock under the Company’s insider trading policy, the term of the Option shall be extended for a period of 30 days following the end of the legal prohibition, unless the Committee determines otherwise.</w:t>
      </w:r>
    </w:p>
    <w:p>
      <w:pPr>
        <w:spacing w:after="0" w:line="166" w:lineRule="exact"/>
        <w:rPr>
          <w:rFonts w:ascii="Times New Roman" w:cs="Times New Roman" w:eastAsia="Times New Roman" w:hAnsi="Times New Roman"/>
          <w:sz w:val="16"/>
          <w:szCs w:val="16"/>
          <w:color w:val="auto"/>
        </w:rPr>
      </w:pPr>
    </w:p>
    <w:p>
      <w:pPr>
        <w:ind w:firstLine="1495"/>
        <w:spacing w:after="0" w:line="340" w:lineRule="auto"/>
        <w:tabs>
          <w:tab w:leader="none" w:pos="1745"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Exercisability of Options</w:t>
      </w:r>
      <w:r>
        <w:rPr>
          <w:rFonts w:ascii="Times New Roman" w:cs="Times New Roman" w:eastAsia="Times New Roman" w:hAnsi="Times New Roman"/>
          <w:sz w:val="14"/>
          <w:szCs w:val="14"/>
          <w:color w:val="auto"/>
        </w:rPr>
        <w:t>. Options shall become exercisable in accordance with such terms and conditions, consistent with the Plan, as may be determined by the Committee and specified in the Grant Instrument. The Committee may accelerate the exercisability of any or all outstanding Options at any time for any reason.</w:t>
      </w:r>
    </w:p>
    <w:p>
      <w:pPr>
        <w:spacing w:after="0" w:line="104" w:lineRule="exact"/>
        <w:rPr>
          <w:rFonts w:ascii="Times New Roman" w:cs="Times New Roman" w:eastAsia="Times New Roman" w:hAnsi="Times New Roman"/>
          <w:sz w:val="14"/>
          <w:szCs w:val="14"/>
          <w:color w:val="auto"/>
        </w:rPr>
      </w:pPr>
    </w:p>
    <w:p>
      <w:pPr>
        <w:jc w:val="both"/>
        <w:ind w:firstLine="1495"/>
        <w:spacing w:after="0" w:line="255" w:lineRule="auto"/>
        <w:tabs>
          <w:tab w:leader="none" w:pos="1724"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Grants to Non-Exempt Employees</w:t>
      </w:r>
      <w:r>
        <w:rPr>
          <w:rFonts w:ascii="Times New Roman" w:cs="Times New Roman" w:eastAsia="Times New Roman" w:hAnsi="Times New Roman"/>
          <w:sz w:val="16"/>
          <w:szCs w:val="16"/>
          <w:color w:val="auto"/>
        </w:rPr>
        <w:t>. Notwithstanding the foregoing, Options granted to persons who are non-exempt employees under the Fair Labor Standards Act of 1938, as amended, may not be exercisable for at least six months after the date of grant (except that such Options may become exercisable, as determined by the Committee, upon the Participant’s death, Disability or retirement, or upon a Change of Control or other circumstances permitted by applicable regulations).</w:t>
      </w:r>
    </w:p>
    <w:p>
      <w:pPr>
        <w:spacing w:after="0" w:line="160" w:lineRule="exact"/>
        <w:rPr>
          <w:rFonts w:ascii="Times New Roman" w:cs="Times New Roman" w:eastAsia="Times New Roman" w:hAnsi="Times New Roman"/>
          <w:sz w:val="16"/>
          <w:szCs w:val="16"/>
          <w:color w:val="auto"/>
        </w:rPr>
      </w:pPr>
    </w:p>
    <w:p>
      <w:pPr>
        <w:jc w:val="both"/>
        <w:ind w:firstLine="1495"/>
        <w:spacing w:after="0" w:line="255" w:lineRule="auto"/>
        <w:tabs>
          <w:tab w:leader="none" w:pos="1696"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Employment or Service</w:t>
      </w:r>
      <w:r>
        <w:rPr>
          <w:rFonts w:ascii="Times New Roman" w:cs="Times New Roman" w:eastAsia="Times New Roman" w:hAnsi="Times New Roman"/>
          <w:sz w:val="16"/>
          <w:szCs w:val="16"/>
          <w:color w:val="auto"/>
        </w:rPr>
        <w:t>. Except as provided in the Grant Instrument, an Option may only be exercised while the Participant is employed by, or providing services to, the Employer. The Committee shall determine in the Grant Instrument under what circumstances and during what time periods a Participant may exercise an Option after termination of employment or service.</w:t>
      </w:r>
    </w:p>
    <w:p>
      <w:pPr>
        <w:spacing w:after="0" w:line="160" w:lineRule="exact"/>
        <w:rPr>
          <w:rFonts w:ascii="Times New Roman" w:cs="Times New Roman" w:eastAsia="Times New Roman" w:hAnsi="Times New Roman"/>
          <w:sz w:val="16"/>
          <w:szCs w:val="16"/>
          <w:color w:val="auto"/>
        </w:rPr>
      </w:pPr>
    </w:p>
    <w:p>
      <w:pPr>
        <w:jc w:val="both"/>
        <w:ind w:firstLine="1495"/>
        <w:spacing w:after="0" w:line="246" w:lineRule="auto"/>
        <w:tabs>
          <w:tab w:leader="none" w:pos="1733"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of Options</w:t>
      </w:r>
      <w:r>
        <w:rPr>
          <w:rFonts w:ascii="Times New Roman" w:cs="Times New Roman" w:eastAsia="Times New Roman" w:hAnsi="Times New Roman"/>
          <w:sz w:val="16"/>
          <w:szCs w:val="16"/>
          <w:color w:val="auto"/>
        </w:rPr>
        <w:t>. A Participant may exercise an Option that has become exercisable, in whole or in part, by delivering a notice of exercise to the Company. The Participant shall pay the Exercise Price for an Option as specified by the Committee (i) in cash, (ii) unless the Committee determines otherwise, by delivering shares of Company Stock owned by the Participant and having a Fair Market Value on the date of exercise at least equal to the Exercise Price or by attestation (on a form prescribed by the Committee) to ownership of shares of Company Stock having a Fair Market Value on the date of exercise at least equal to the Exercise Price, (iii) by payment through a broker in accordance with procedures permitted by Regulation T of the Federal Reserve Board, (iv) by withholding shares of Company Stock subject to the exercisable Option, which have a Fair Market Value on the date of exercise equal to the Exercise Price, or (v) by such other method as the Committee may approve. Shares of Company Stock used to exercise an Option shall have been held by the Participant for the requisite period of time necessary to avoid adverse accounting consequences to the Company with respect to the Option. Payment for the shares to be issued or transferred pursuant to the Option, and any required withholding taxes, must be received by the Company by the time specified by the Committee depending on the type of payment being made, but in all cases prior to the issuance or transfer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520700</wp:posOffset>
            </wp:positionV>
            <wp:extent cx="7176135" cy="4000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3" w:right="319" w:bottom="1440" w:gutter="0" w:footer="0" w:header="0"/>
        </w:sectPr>
      </w:pPr>
    </w:p>
    <w:bookmarkStart w:id="174" w:name="page175"/>
    <w:bookmarkEnd w:id="174"/>
    <w:p>
      <w:pPr>
        <w:jc w:val="both"/>
        <w:ind w:firstLine="1495"/>
        <w:spacing w:after="0" w:line="255" w:lineRule="auto"/>
        <w:tabs>
          <w:tab w:leader="none" w:pos="1721"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Limits on Incentive Stock Options</w:t>
      </w:r>
      <w:r>
        <w:rPr>
          <w:rFonts w:ascii="Times New Roman" w:cs="Times New Roman" w:eastAsia="Times New Roman" w:hAnsi="Times New Roman"/>
          <w:sz w:val="16"/>
          <w:szCs w:val="16"/>
          <w:color w:val="auto"/>
        </w:rPr>
        <w:t>. Each Incentive Stock Option shall provide that, if the aggregate Fair Market Value of the Company Stock on the date of the grant with respect to which Incentive Stock Options are exercisable for the first time by a Participant during any calendar year, under the Plan or any other stock option plan of the Company or a parent or subsidiary, exceeds $100,000, then the Option, as to the excess, shall be treated as a Nonqualified Stock Option.</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Section 7. Stock Awards</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The Committee may issue or transfer shares of Company Stock to an Employee, Non-Employee Director or Key Advisor under a Stock Award, upon such terms as the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Committee deems appropriate. The following provisions are applicable to Stock Awards:</w:t>
      </w:r>
    </w:p>
    <w:p>
      <w:pPr>
        <w:spacing w:after="0" w:line="174" w:lineRule="exact"/>
        <w:rPr>
          <w:sz w:val="20"/>
          <w:szCs w:val="20"/>
          <w:color w:val="auto"/>
        </w:rPr>
      </w:pPr>
    </w:p>
    <w:p>
      <w:pPr>
        <w:jc w:val="both"/>
        <w:ind w:firstLine="1495"/>
        <w:spacing w:after="0" w:line="249" w:lineRule="auto"/>
        <w:tabs>
          <w:tab w:leader="none" w:pos="1713"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 Requirements</w:t>
      </w:r>
      <w:r>
        <w:rPr>
          <w:rFonts w:ascii="Times New Roman" w:cs="Times New Roman" w:eastAsia="Times New Roman" w:hAnsi="Times New Roman"/>
          <w:sz w:val="16"/>
          <w:szCs w:val="16"/>
          <w:color w:val="auto"/>
        </w:rPr>
        <w:t>. Shares of Company Stock issued or transferred pursuant to Stock Awards may be issued or transferred for consideration or for no consideration, and subject to restrictions or no restrictions, as determined by the Committee. The Committee may, but shall not be required to, establish conditions under which restrictions on Stock Awards shall lapse over a period of time or according to such other criteria as the Committee deems appropriate, including, without limitation, restrictions based upon the achievement of specific performance goals. The period of time during which the Stock Awards will remain subject to restrictions will be designated in the Grant Instrument as the “</w:t>
      </w:r>
      <w:r>
        <w:rPr>
          <w:rFonts w:ascii="Times New Roman" w:cs="Times New Roman" w:eastAsia="Times New Roman" w:hAnsi="Times New Roman"/>
          <w:sz w:val="16"/>
          <w:szCs w:val="16"/>
          <w:u w:val="single" w:color="auto"/>
          <w:color w:val="auto"/>
        </w:rPr>
        <w:t>Restriction Period</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ind w:right="20" w:firstLine="1495"/>
        <w:spacing w:after="0" w:line="267" w:lineRule="auto"/>
        <w:tabs>
          <w:tab w:leader="none" w:pos="1721"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Number of Shares</w:t>
      </w:r>
      <w:r>
        <w:rPr>
          <w:rFonts w:ascii="Times New Roman" w:cs="Times New Roman" w:eastAsia="Times New Roman" w:hAnsi="Times New Roman"/>
          <w:sz w:val="16"/>
          <w:szCs w:val="16"/>
          <w:color w:val="auto"/>
        </w:rPr>
        <w:t>. The Committee shall determine the number of shares of Company Stock to be issued or transferred pursuant to a Stock Award and the restrictions applicable to such shares.</w:t>
      </w:r>
    </w:p>
    <w:p>
      <w:pPr>
        <w:spacing w:after="0" w:line="150" w:lineRule="exact"/>
        <w:rPr>
          <w:rFonts w:ascii="Times New Roman" w:cs="Times New Roman" w:eastAsia="Times New Roman" w:hAnsi="Times New Roman"/>
          <w:sz w:val="16"/>
          <w:szCs w:val="16"/>
          <w:color w:val="auto"/>
        </w:rPr>
      </w:pPr>
    </w:p>
    <w:p>
      <w:pPr>
        <w:jc w:val="both"/>
        <w:ind w:firstLine="1495"/>
        <w:spacing w:after="0" w:line="251" w:lineRule="auto"/>
        <w:tabs>
          <w:tab w:leader="none" w:pos="1713"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Requirement of Employment or Service</w:t>
      </w:r>
      <w:r>
        <w:rPr>
          <w:rFonts w:ascii="Times New Roman" w:cs="Times New Roman" w:eastAsia="Times New Roman" w:hAnsi="Times New Roman"/>
          <w:sz w:val="16"/>
          <w:szCs w:val="16"/>
          <w:color w:val="auto"/>
        </w:rPr>
        <w:t>. If the Participant ceases to be employed by, or provide service to, the Employer during a period designated in the Grant Instrument as the Restriction Period, or if other specified conditions are not met, the Stock Award shall terminate as to all shares covered by the Grant as to which the restrictions have not lapsed, and those shares of Company Stock must be immediately returned to the Company. The Committee may, however, provide for complete or partial exceptions to this requirement as it deems appropriate.</w:t>
      </w:r>
    </w:p>
    <w:p>
      <w:pPr>
        <w:spacing w:after="0" w:line="163" w:lineRule="exact"/>
        <w:rPr>
          <w:rFonts w:ascii="Times New Roman" w:cs="Times New Roman" w:eastAsia="Times New Roman" w:hAnsi="Times New Roman"/>
          <w:sz w:val="16"/>
          <w:szCs w:val="16"/>
          <w:color w:val="auto"/>
        </w:rPr>
      </w:pPr>
    </w:p>
    <w:p>
      <w:pPr>
        <w:jc w:val="both"/>
        <w:ind w:right="20" w:firstLine="1495"/>
        <w:spacing w:after="0" w:line="293" w:lineRule="auto"/>
        <w:tabs>
          <w:tab w:leader="none" w:pos="1721"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Restrictions on Transfer and Legend on Stock Certificate</w:t>
      </w:r>
      <w:r>
        <w:rPr>
          <w:rFonts w:ascii="Times New Roman" w:cs="Times New Roman" w:eastAsia="Times New Roman" w:hAnsi="Times New Roman"/>
          <w:sz w:val="14"/>
          <w:szCs w:val="14"/>
          <w:color w:val="auto"/>
        </w:rPr>
        <w:t>. During the Restriction Period, a Participant may not sell, assign, transfer, pledge or otherwise dispose of the shares of a Stock Award except under Section 17 below. Unless otherwise determined by the Committee, the Company will retain possession of certificates for shares of Stock Awards until all restrictions on such shares have lapsed. Each certificate for a Stock Award, unless held by the Company, shall contain a legend giving appropriate notice of the restrictions in the Grant. The Participant shall be entitled to have the legend removed from the stock certificate covering the shares subject to restrictions when all restrictions on such shares have lapsed. The Committee may determine that the Company will not issue certificates for Stock Awards until all restrictions on such shares have lapsed.</w:t>
      </w:r>
    </w:p>
    <w:p>
      <w:pPr>
        <w:spacing w:after="0" w:line="137" w:lineRule="exact"/>
        <w:rPr>
          <w:rFonts w:ascii="Times New Roman" w:cs="Times New Roman" w:eastAsia="Times New Roman" w:hAnsi="Times New Roman"/>
          <w:sz w:val="14"/>
          <w:szCs w:val="14"/>
          <w:color w:val="auto"/>
        </w:rPr>
      </w:pPr>
    </w:p>
    <w:p>
      <w:pPr>
        <w:jc w:val="both"/>
        <w:ind w:firstLine="1495"/>
        <w:spacing w:after="0" w:line="251" w:lineRule="auto"/>
        <w:tabs>
          <w:tab w:leader="none" w:pos="1713"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 to Vote and to Receive Dividends</w:t>
      </w:r>
      <w:r>
        <w:rPr>
          <w:rFonts w:ascii="Times New Roman" w:cs="Times New Roman" w:eastAsia="Times New Roman" w:hAnsi="Times New Roman"/>
          <w:sz w:val="16"/>
          <w:szCs w:val="16"/>
          <w:color w:val="auto"/>
        </w:rPr>
        <w:t>. Unless the Committee determines otherwise, during the Restriction Period, the Participant shall have the right to vote shares of Stock Awards and to receive any dividends or other distributions paid on such shares, subject to any restrictions deemed appropriate by the Committee, including, without limitation, the achievement of specific performance goals. Dividends with respect to Stock Awards that vest based on performance shall vest if and to the extent that the underlying Stock Award vests, as determined by the Committee.</w:t>
      </w:r>
    </w:p>
    <w:p>
      <w:pPr>
        <w:spacing w:after="0" w:line="163" w:lineRule="exact"/>
        <w:rPr>
          <w:rFonts w:ascii="Times New Roman" w:cs="Times New Roman" w:eastAsia="Times New Roman" w:hAnsi="Times New Roman"/>
          <w:sz w:val="16"/>
          <w:szCs w:val="16"/>
          <w:color w:val="auto"/>
        </w:rPr>
      </w:pPr>
    </w:p>
    <w:p>
      <w:pPr>
        <w:jc w:val="both"/>
        <w:ind w:firstLine="1495"/>
        <w:spacing w:after="0" w:line="255" w:lineRule="auto"/>
        <w:tabs>
          <w:tab w:leader="none" w:pos="1696"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Lapse of Restrictions</w:t>
      </w:r>
      <w:r>
        <w:rPr>
          <w:rFonts w:ascii="Times New Roman" w:cs="Times New Roman" w:eastAsia="Times New Roman" w:hAnsi="Times New Roman"/>
          <w:sz w:val="16"/>
          <w:szCs w:val="16"/>
          <w:color w:val="auto"/>
        </w:rPr>
        <w:t>. All restrictions imposed on Stock Awards shall lapse upon the expiration of the applicable Restriction Period and the satisfaction of all conditions, if any, imposed by the Committee. The Committee may determine, as to any or all Stock Awards, that the restrictions shall lapse without regard to any Restriction Period.</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Section 8. Stock Units</w:t>
      </w:r>
    </w:p>
    <w:p>
      <w:pPr>
        <w:spacing w:after="0" w:line="191" w:lineRule="exact"/>
        <w:rPr>
          <w:sz w:val="20"/>
          <w:szCs w:val="20"/>
          <w:color w:val="auto"/>
        </w:rPr>
      </w:pPr>
    </w:p>
    <w:p>
      <w:pPr>
        <w:ind w:right="20" w:firstLine="751"/>
        <w:spacing w:after="0" w:line="267" w:lineRule="auto"/>
        <w:rPr>
          <w:sz w:val="20"/>
          <w:szCs w:val="20"/>
          <w:color w:val="auto"/>
        </w:rPr>
      </w:pPr>
      <w:r>
        <w:rPr>
          <w:rFonts w:ascii="Times New Roman" w:cs="Times New Roman" w:eastAsia="Times New Roman" w:hAnsi="Times New Roman"/>
          <w:sz w:val="16"/>
          <w:szCs w:val="16"/>
          <w:color w:val="auto"/>
        </w:rPr>
        <w:t>The Committee may grant Stock Units, each of which shall represent one hypothetical share of Company Stock, to an Employee, Non-Employee Director or Key Advisor upon such terms and conditions as the Committee deems appropriate. The following provisions are applicable to Stock Units:</w:t>
      </w:r>
    </w:p>
    <w:p>
      <w:pPr>
        <w:spacing w:after="0" w:line="151" w:lineRule="exact"/>
        <w:rPr>
          <w:sz w:val="20"/>
          <w:szCs w:val="20"/>
          <w:color w:val="auto"/>
        </w:rPr>
      </w:pPr>
    </w:p>
    <w:p>
      <w:pPr>
        <w:jc w:val="both"/>
        <w:ind w:right="20" w:firstLine="1495"/>
        <w:spacing w:after="0" w:line="255" w:lineRule="auto"/>
        <w:tabs>
          <w:tab w:leader="none" w:pos="1713"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Crediting of Units</w:t>
      </w:r>
      <w:r>
        <w:rPr>
          <w:rFonts w:ascii="Times New Roman" w:cs="Times New Roman" w:eastAsia="Times New Roman" w:hAnsi="Times New Roman"/>
          <w:sz w:val="16"/>
          <w:szCs w:val="16"/>
          <w:color w:val="auto"/>
        </w:rPr>
        <w:t>. Each Stock Unit shall represent the right of the Participant to receive a share of Company Stock or an amount of cash based on the value of a share of Company Stock, if and when specified conditions are met. All Stock Units shall be credited to bookkeeping accounts established on the Company’s records for purposes of the Plan.</w:t>
      </w:r>
    </w:p>
    <w:p>
      <w:pPr>
        <w:spacing w:after="0" w:line="160" w:lineRule="exact"/>
        <w:rPr>
          <w:rFonts w:ascii="Times New Roman" w:cs="Times New Roman" w:eastAsia="Times New Roman" w:hAnsi="Times New Roman"/>
          <w:sz w:val="16"/>
          <w:szCs w:val="16"/>
          <w:color w:val="auto"/>
        </w:rPr>
      </w:pPr>
    </w:p>
    <w:p>
      <w:pPr>
        <w:jc w:val="both"/>
        <w:ind w:firstLine="1495"/>
        <w:spacing w:after="0" w:line="255" w:lineRule="auto"/>
        <w:tabs>
          <w:tab w:leader="none" w:pos="1733"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Terms of Stock Units</w:t>
      </w:r>
      <w:r>
        <w:rPr>
          <w:rFonts w:ascii="Times New Roman" w:cs="Times New Roman" w:eastAsia="Times New Roman" w:hAnsi="Times New Roman"/>
          <w:sz w:val="16"/>
          <w:szCs w:val="16"/>
          <w:color w:val="auto"/>
        </w:rPr>
        <w:t>. The Committee may grant Stock Units that vest and are payable if specified performance goals or other conditions are met, or under other circumstances. Stock Units may be paid at the end of a specified performance period or other period, or payment may be deferred to a date authorized by the Committee. The Committee shall determine the number of Stock Units to be granted and the requirements applicable to such Stock Units.</w:t>
      </w:r>
    </w:p>
    <w:p>
      <w:pPr>
        <w:spacing w:after="0" w:line="160" w:lineRule="exact"/>
        <w:rPr>
          <w:rFonts w:ascii="Times New Roman" w:cs="Times New Roman" w:eastAsia="Times New Roman" w:hAnsi="Times New Roman"/>
          <w:sz w:val="16"/>
          <w:szCs w:val="16"/>
          <w:color w:val="auto"/>
        </w:rPr>
      </w:pPr>
    </w:p>
    <w:p>
      <w:pPr>
        <w:ind w:firstLine="1495"/>
        <w:spacing w:after="0" w:line="267" w:lineRule="auto"/>
        <w:tabs>
          <w:tab w:leader="none" w:pos="1713"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Requirement of Employment or Service</w:t>
      </w:r>
      <w:r>
        <w:rPr>
          <w:rFonts w:ascii="Times New Roman" w:cs="Times New Roman" w:eastAsia="Times New Roman" w:hAnsi="Times New Roman"/>
          <w:sz w:val="16"/>
          <w:szCs w:val="16"/>
          <w:color w:val="auto"/>
        </w:rPr>
        <w:t>. If the Participant ceases to be employed by, or provide service to, the Employer prior to the vesting of Stock Units, or if other conditions established by the Committee are not met, the Participant’s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508635</wp:posOffset>
            </wp:positionV>
            <wp:extent cx="7176135" cy="4000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3" w:right="3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6"/>
          <w:szCs w:val="16"/>
          <w:color w:val="auto"/>
        </w:rPr>
        <w:t>Units shall be forfeited. The Committee may, however, provide for complete or partial exceptions to this requirement as it deems appropriate.</w:t>
      </w:r>
    </w:p>
    <w:p>
      <w:pPr>
        <w:spacing w:after="0" w:line="189" w:lineRule="exact"/>
        <w:rPr>
          <w:sz w:val="20"/>
          <w:szCs w:val="20"/>
          <w:color w:val="auto"/>
        </w:rPr>
      </w:pPr>
    </w:p>
    <w:p>
      <w:pPr>
        <w:ind w:firstLine="1495"/>
        <w:spacing w:after="0" w:line="267" w:lineRule="auto"/>
        <w:tabs>
          <w:tab w:leader="none" w:pos="1721"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With Respect to Stock Units</w:t>
      </w:r>
      <w:r>
        <w:rPr>
          <w:rFonts w:ascii="Times New Roman" w:cs="Times New Roman" w:eastAsia="Times New Roman" w:hAnsi="Times New Roman"/>
          <w:sz w:val="16"/>
          <w:szCs w:val="16"/>
          <w:color w:val="auto"/>
        </w:rPr>
        <w:t>. Payments with respect to Stock Units shall be made in cash, Company Stock or any combination of the foregoing, as the Committee shall determine.</w:t>
      </w:r>
    </w:p>
    <w:p>
      <w:pPr>
        <w:spacing w:after="0" w:line="1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Section 9. Stock Appreciation Rights</w:t>
      </w:r>
    </w:p>
    <w:p>
      <w:pPr>
        <w:spacing w:after="0" w:line="191" w:lineRule="exact"/>
        <w:rPr>
          <w:sz w:val="20"/>
          <w:szCs w:val="20"/>
          <w:color w:val="auto"/>
        </w:rPr>
      </w:pPr>
    </w:p>
    <w:p>
      <w:pPr>
        <w:ind w:right="20" w:firstLine="751"/>
        <w:spacing w:after="0" w:line="267" w:lineRule="auto"/>
        <w:rPr>
          <w:sz w:val="20"/>
          <w:szCs w:val="20"/>
          <w:color w:val="auto"/>
        </w:rPr>
      </w:pPr>
      <w:r>
        <w:rPr>
          <w:rFonts w:ascii="Times New Roman" w:cs="Times New Roman" w:eastAsia="Times New Roman" w:hAnsi="Times New Roman"/>
          <w:sz w:val="16"/>
          <w:szCs w:val="16"/>
          <w:color w:val="auto"/>
        </w:rPr>
        <w:t>The Committee may grant SARs to an Employee, Non-Employee Director or Key Advisor separately or in tandem with any Option. The following provisions are applicable to SARs:</w:t>
      </w:r>
    </w:p>
    <w:p>
      <w:pPr>
        <w:spacing w:after="0" w:line="151" w:lineRule="exact"/>
        <w:rPr>
          <w:sz w:val="20"/>
          <w:szCs w:val="20"/>
          <w:color w:val="auto"/>
        </w:rPr>
      </w:pPr>
    </w:p>
    <w:p>
      <w:pPr>
        <w:jc w:val="both"/>
        <w:ind w:firstLine="1495"/>
        <w:spacing w:after="0" w:line="288" w:lineRule="auto"/>
        <w:tabs>
          <w:tab w:leader="none" w:pos="1724"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 Requirements</w:t>
      </w:r>
      <w:r>
        <w:rPr>
          <w:rFonts w:ascii="Times New Roman" w:cs="Times New Roman" w:eastAsia="Times New Roman" w:hAnsi="Times New Roman"/>
          <w:sz w:val="14"/>
          <w:szCs w:val="14"/>
          <w:color w:val="auto"/>
        </w:rPr>
        <w:t>. The Committee may grant SARs to an Employee, Non-Employee Director or Key Advisor separately or in tandem with any Option (for all or a portion of the applicable Option). Tandem SARs may be granted either at the time the Option is granted or at any time thereafter while the Option remains outstanding; provided, however, that, in the case of an Incentive Stock Option, SARs may be granted only at the time of the grant of the Incentive Stock Option. The Committee shall establish the base amount of the SAR at the time the SAR is granted. The base amount of each SAR shall be equal to or greater than the Fair Market Value of a share of Company Stock as of the date of grant of the SAR. The term of any SAR shall not exceed ten years from the date of grant. Notwithstanding the foregoing, in the event that on the last business day of the term of a SAR, the exercise of the SAR is prohibited by applicable law, including a prohibition on purchases or sales of Company Stock under the Company’s insider trading policy, the term shall be extended for a period of 30 days following the end of the legal prohibition, unless the Committee determines otherwise.</w:t>
      </w:r>
    </w:p>
    <w:p>
      <w:pPr>
        <w:spacing w:after="0" w:line="141" w:lineRule="exact"/>
        <w:rPr>
          <w:rFonts w:ascii="Times New Roman" w:cs="Times New Roman" w:eastAsia="Times New Roman" w:hAnsi="Times New Roman"/>
          <w:sz w:val="14"/>
          <w:szCs w:val="14"/>
          <w:color w:val="auto"/>
        </w:rPr>
      </w:pPr>
    </w:p>
    <w:p>
      <w:pPr>
        <w:jc w:val="both"/>
        <w:ind w:firstLine="1495"/>
        <w:spacing w:after="0" w:line="251" w:lineRule="auto"/>
        <w:tabs>
          <w:tab w:leader="none" w:pos="1721"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Tandem SARs</w:t>
      </w:r>
      <w:r>
        <w:rPr>
          <w:rFonts w:ascii="Times New Roman" w:cs="Times New Roman" w:eastAsia="Times New Roman" w:hAnsi="Times New Roman"/>
          <w:sz w:val="16"/>
          <w:szCs w:val="16"/>
          <w:color w:val="auto"/>
        </w:rPr>
        <w:t>. In the case of tandem SARs, the number of SARs granted to a Participant that shall be exercisable during a specified period shall not exceed the number of shares of Company Stock that the Participant may purchase upon the exercise of the related Option during such period. Upon the exercise of an Option, the SARs relating to the Company Stock covered by such Option shall terminate. Upon the exercise of SARs, the related Option shall terminate to the extent of an equal number of shares of Company Stock.</w:t>
      </w:r>
    </w:p>
    <w:p>
      <w:pPr>
        <w:spacing w:after="0" w:line="163" w:lineRule="exact"/>
        <w:rPr>
          <w:rFonts w:ascii="Times New Roman" w:cs="Times New Roman" w:eastAsia="Times New Roman" w:hAnsi="Times New Roman"/>
          <w:sz w:val="16"/>
          <w:szCs w:val="16"/>
          <w:color w:val="auto"/>
        </w:rPr>
      </w:pPr>
    </w:p>
    <w:p>
      <w:pPr>
        <w:jc w:val="both"/>
        <w:ind w:right="20" w:firstLine="1495"/>
        <w:spacing w:after="0" w:line="251" w:lineRule="auto"/>
        <w:tabs>
          <w:tab w:leader="none" w:pos="1713"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Exercisability</w:t>
      </w:r>
      <w:r>
        <w:rPr>
          <w:rFonts w:ascii="Times New Roman" w:cs="Times New Roman" w:eastAsia="Times New Roman" w:hAnsi="Times New Roman"/>
          <w:sz w:val="16"/>
          <w:szCs w:val="16"/>
          <w:color w:val="auto"/>
        </w:rPr>
        <w:t>. An SAR shall be exercisable during the period specified by the Committee in the Grant Instrument and shall be subject to such vesting and other restrictions as may be specified in the Grant Instrument. The Committee may accelerate the exercisability of any or all outstanding SARs at any time for any reason. SARs may only be exercised while the Participant is employed by, or providing service to, the Employer or during the applicable period after termination of employment or service as specified by the Committee. A tandem SAR shall be exercisable only during the period when the Option to which it is related is also exercisable.</w:t>
      </w:r>
    </w:p>
    <w:p>
      <w:pPr>
        <w:spacing w:after="0" w:line="163" w:lineRule="exact"/>
        <w:rPr>
          <w:rFonts w:ascii="Times New Roman" w:cs="Times New Roman" w:eastAsia="Times New Roman" w:hAnsi="Times New Roman"/>
          <w:sz w:val="16"/>
          <w:szCs w:val="16"/>
          <w:color w:val="auto"/>
        </w:rPr>
      </w:pPr>
    </w:p>
    <w:p>
      <w:pPr>
        <w:jc w:val="both"/>
        <w:ind w:firstLine="1495"/>
        <w:spacing w:after="0" w:line="255" w:lineRule="auto"/>
        <w:tabs>
          <w:tab w:leader="none" w:pos="1733"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Grants to Non-Exempt Employees</w:t>
      </w:r>
      <w:r>
        <w:rPr>
          <w:rFonts w:ascii="Times New Roman" w:cs="Times New Roman" w:eastAsia="Times New Roman" w:hAnsi="Times New Roman"/>
          <w:sz w:val="16"/>
          <w:szCs w:val="16"/>
          <w:color w:val="auto"/>
        </w:rPr>
        <w:t>. Notwithstanding the foregoing, SARs granted to persons who are non-exempt employees under the Fair Labor Standards Act of 1938, as amended, may not be exercisable for at least six months after the date of grant (except that such SARs may become exercisable, as determined by the Committee, upon the Participant’s death, Disability or retirement, or upon a Change of Control or other circumstances permitted by applicable regulations).</w:t>
      </w:r>
    </w:p>
    <w:p>
      <w:pPr>
        <w:spacing w:after="0" w:line="160" w:lineRule="exact"/>
        <w:rPr>
          <w:rFonts w:ascii="Times New Roman" w:cs="Times New Roman" w:eastAsia="Times New Roman" w:hAnsi="Times New Roman"/>
          <w:sz w:val="16"/>
          <w:szCs w:val="16"/>
          <w:color w:val="auto"/>
        </w:rPr>
      </w:pPr>
    </w:p>
    <w:p>
      <w:pPr>
        <w:jc w:val="both"/>
        <w:ind w:firstLine="1495"/>
        <w:spacing w:after="0" w:line="255" w:lineRule="auto"/>
        <w:tabs>
          <w:tab w:leader="none" w:pos="1713"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Value of SARs</w:t>
      </w:r>
      <w:r>
        <w:rPr>
          <w:rFonts w:ascii="Times New Roman" w:cs="Times New Roman" w:eastAsia="Times New Roman" w:hAnsi="Times New Roman"/>
          <w:sz w:val="16"/>
          <w:szCs w:val="16"/>
          <w:color w:val="auto"/>
        </w:rPr>
        <w:t>. When a Participant exercises SARs, the Participant shall receive in settlement of such SARs an amount equal to the value of the stock appreciation for the number of SARs exercised. The stock appreciation for an SAR is the amount by which the Fair Market Value of the underlying Company Stock on the date of exercise of the SAR exceeds the base amount of the SAR as described in subsection (a).</w:t>
      </w:r>
    </w:p>
    <w:p>
      <w:pPr>
        <w:spacing w:after="0" w:line="160" w:lineRule="exact"/>
        <w:rPr>
          <w:rFonts w:ascii="Times New Roman" w:cs="Times New Roman" w:eastAsia="Times New Roman" w:hAnsi="Times New Roman"/>
          <w:sz w:val="16"/>
          <w:szCs w:val="16"/>
          <w:color w:val="auto"/>
        </w:rPr>
      </w:pPr>
    </w:p>
    <w:p>
      <w:pPr>
        <w:jc w:val="both"/>
        <w:ind w:firstLine="1495"/>
        <w:spacing w:after="0" w:line="255" w:lineRule="auto"/>
        <w:tabs>
          <w:tab w:leader="none" w:pos="1696"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Form of Payment</w:t>
      </w:r>
      <w:r>
        <w:rPr>
          <w:rFonts w:ascii="Times New Roman" w:cs="Times New Roman" w:eastAsia="Times New Roman" w:hAnsi="Times New Roman"/>
          <w:sz w:val="16"/>
          <w:szCs w:val="16"/>
          <w:color w:val="auto"/>
        </w:rPr>
        <w:t>. The appreciation in an SAR shall be paid in shares of Company Stock, cash or any combination of the foregoing, as the Committee shall determine. For purposes of calculating the number of shares of Company Stock to be received, shares of Company Stock shall be valued at their Fair Market Value on the date of exercise of the SAR.</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Section 10. Other Stock-Based Awards</w:t>
      </w:r>
    </w:p>
    <w:p>
      <w:pPr>
        <w:spacing w:after="0" w:line="191" w:lineRule="exact"/>
        <w:rPr>
          <w:sz w:val="20"/>
          <w:szCs w:val="20"/>
          <w:color w:val="auto"/>
        </w:rPr>
      </w:pPr>
    </w:p>
    <w:p>
      <w:pPr>
        <w:jc w:val="both"/>
        <w:ind w:firstLine="751"/>
        <w:spacing w:after="0" w:line="251" w:lineRule="auto"/>
        <w:rPr>
          <w:sz w:val="20"/>
          <w:szCs w:val="20"/>
          <w:color w:val="auto"/>
        </w:rPr>
      </w:pPr>
      <w:r>
        <w:rPr>
          <w:rFonts w:ascii="Times New Roman" w:cs="Times New Roman" w:eastAsia="Times New Roman" w:hAnsi="Times New Roman"/>
          <w:sz w:val="16"/>
          <w:szCs w:val="16"/>
          <w:color w:val="auto"/>
        </w:rPr>
        <w:t>The Committee may grant Other Stock-Based Awards, which are awards (other than those described in Sections 6, 7, 8 and 9 of the Plan) that are based on or measured by Company Stock, to any Employee, Non-Employee Director or Key Advisor, on such terms and conditions as the Committee shall determine. Other Stock-Based Awards may be awarded subject to the achievement of performance goals or other conditions and may be payable in cash, Company Stock or any combination of the foregoing, as the Committee shall determine.</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Section 11. Cash Awards</w:t>
      </w:r>
    </w:p>
    <w:p>
      <w:pPr>
        <w:spacing w:after="0" w:line="191" w:lineRule="exact"/>
        <w:rPr>
          <w:sz w:val="20"/>
          <w:szCs w:val="20"/>
          <w:color w:val="auto"/>
        </w:rPr>
      </w:pPr>
    </w:p>
    <w:p>
      <w:pPr>
        <w:jc w:val="both"/>
        <w:ind w:firstLine="751"/>
        <w:spacing w:after="0" w:line="255" w:lineRule="auto"/>
        <w:rPr>
          <w:sz w:val="20"/>
          <w:szCs w:val="20"/>
          <w:color w:val="auto"/>
        </w:rPr>
      </w:pPr>
      <w:r>
        <w:rPr>
          <w:rFonts w:ascii="Times New Roman" w:cs="Times New Roman" w:eastAsia="Times New Roman" w:hAnsi="Times New Roman"/>
          <w:sz w:val="16"/>
          <w:szCs w:val="16"/>
          <w:color w:val="auto"/>
        </w:rPr>
        <w:t>The Committee may grant Cash Awards to Employees who are executive officers and other key employees of the Company. The Committee shall determine the terms and conditions applicable to Cash Awards, including the criteria for the vesting and payment of Cash Awards. Cash Awards shall be based on such measures as the Committee deems appropriate and need not relate to the value of shares of Company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514350</wp:posOffset>
            </wp:positionV>
            <wp:extent cx="7176135" cy="4000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3" w:right="319" w:bottom="1440" w:gutter="0" w:footer="0" w:header="0"/>
        </w:sectPr>
      </w:pPr>
    </w:p>
    <w:bookmarkStart w:id="176" w:name="page177"/>
    <w:bookmarkEnd w:id="176"/>
    <w:p>
      <w:pPr>
        <w:ind w:left="747"/>
        <w:spacing w:after="0"/>
        <w:rPr>
          <w:sz w:val="20"/>
          <w:szCs w:val="20"/>
          <w:color w:val="auto"/>
        </w:rPr>
      </w:pPr>
      <w:r>
        <w:rPr>
          <w:rFonts w:ascii="Times New Roman" w:cs="Times New Roman" w:eastAsia="Times New Roman" w:hAnsi="Times New Roman"/>
          <w:sz w:val="16"/>
          <w:szCs w:val="16"/>
          <w:i w:val="1"/>
          <w:iCs w:val="1"/>
          <w:color w:val="auto"/>
        </w:rPr>
        <w:t>Section 12. Dividend Equivalents</w:t>
      </w:r>
    </w:p>
    <w:p>
      <w:pPr>
        <w:spacing w:after="0" w:line="191" w:lineRule="exact"/>
        <w:rPr>
          <w:sz w:val="20"/>
          <w:szCs w:val="20"/>
          <w:color w:val="auto"/>
        </w:rPr>
      </w:pPr>
    </w:p>
    <w:p>
      <w:pPr>
        <w:jc w:val="both"/>
        <w:ind w:left="7" w:firstLine="751"/>
        <w:spacing w:after="0" w:line="251" w:lineRule="auto"/>
        <w:rPr>
          <w:sz w:val="20"/>
          <w:szCs w:val="20"/>
          <w:color w:val="auto"/>
        </w:rPr>
      </w:pPr>
      <w:r>
        <w:rPr>
          <w:rFonts w:ascii="Times New Roman" w:cs="Times New Roman" w:eastAsia="Times New Roman" w:hAnsi="Times New Roman"/>
          <w:sz w:val="16"/>
          <w:szCs w:val="16"/>
          <w:color w:val="auto"/>
        </w:rPr>
        <w:t>The Committee may grant Dividend Equivalents in connection with Stock Units or Other Stock-Based Awards. Dividend Equivalents may be paid currently or accrued as contingent cash obligations and may be payable in cash or shares of Company Stock, and upon such terms and conditions as the Committee shall determine. Dividend Equivalents that vest based on performance shall vest and be paid only if and to the extent the underlying Stock Units or Other Stock-Based Awards vest and are paid, as determined by the Committee.</w:t>
      </w:r>
    </w:p>
    <w:p>
      <w:pPr>
        <w:spacing w:after="0" w:line="162"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16"/>
          <w:szCs w:val="16"/>
          <w:i w:val="1"/>
          <w:iCs w:val="1"/>
          <w:color w:val="auto"/>
        </w:rPr>
        <w:t>Section 13. Qualified Performance-Based Compensation</w:t>
      </w:r>
    </w:p>
    <w:p>
      <w:pPr>
        <w:spacing w:after="0" w:line="191" w:lineRule="exact"/>
        <w:rPr>
          <w:sz w:val="20"/>
          <w:szCs w:val="20"/>
          <w:color w:val="auto"/>
        </w:rPr>
      </w:pPr>
    </w:p>
    <w:p>
      <w:pPr>
        <w:jc w:val="both"/>
        <w:ind w:left="7" w:firstLine="751"/>
        <w:spacing w:after="0" w:line="255" w:lineRule="auto"/>
        <w:rPr>
          <w:sz w:val="20"/>
          <w:szCs w:val="20"/>
          <w:color w:val="auto"/>
        </w:rPr>
      </w:pPr>
      <w:r>
        <w:rPr>
          <w:rFonts w:ascii="Times New Roman" w:cs="Times New Roman" w:eastAsia="Times New Roman" w:hAnsi="Times New Roman"/>
          <w:sz w:val="16"/>
          <w:szCs w:val="16"/>
          <w:color w:val="auto"/>
        </w:rPr>
        <w:t>The Committee may determine that Stock Awards, Stock Units, Other Stock-Based Awards, Cash Awards and Dividend Equivalents granted to an Employee shall be considered “qualified performance-based compensation” under section 162(m) of the Code (“Performance-Based Grants”). The following provisions shall apply to Stock Awards, Stock Units, Other Stock-Based Awards, Cash Awards and Dividend Equivalents that are to be considered Performance-Based Grants:</w:t>
      </w:r>
    </w:p>
    <w:p>
      <w:pPr>
        <w:spacing w:after="0" w:line="160" w:lineRule="exact"/>
        <w:rPr>
          <w:sz w:val="20"/>
          <w:szCs w:val="20"/>
          <w:color w:val="auto"/>
        </w:rPr>
      </w:pPr>
    </w:p>
    <w:p>
      <w:pPr>
        <w:ind w:left="1707" w:hanging="205"/>
        <w:spacing w:after="0"/>
        <w:tabs>
          <w:tab w:leader="none" w:pos="1707"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Goals</w:t>
      </w:r>
      <w:r>
        <w:rPr>
          <w:rFonts w:ascii="Times New Roman" w:cs="Times New Roman" w:eastAsia="Times New Roman" w:hAnsi="Times New Roman"/>
          <w:sz w:val="16"/>
          <w:szCs w:val="16"/>
          <w:color w:val="auto"/>
        </w:rPr>
        <w:t>.</w:t>
      </w:r>
    </w:p>
    <w:p>
      <w:pPr>
        <w:spacing w:after="0" w:line="189" w:lineRule="exact"/>
        <w:rPr>
          <w:rFonts w:ascii="Times New Roman" w:cs="Times New Roman" w:eastAsia="Times New Roman" w:hAnsi="Times New Roman"/>
          <w:sz w:val="16"/>
          <w:szCs w:val="16"/>
          <w:color w:val="auto"/>
        </w:rPr>
      </w:pPr>
    </w:p>
    <w:p>
      <w:pPr>
        <w:ind w:left="2447" w:hanging="194"/>
        <w:spacing w:after="0"/>
        <w:tabs>
          <w:tab w:leader="none" w:pos="2447" w:val="left"/>
        </w:tabs>
        <w:numPr>
          <w:ilvl w:val="2"/>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Performance-Based Grants are granted, the Committee shall establish in writing (A) the objective performance goals that must be met,</w:t>
      </w:r>
    </w:p>
    <w:p>
      <w:pPr>
        <w:spacing w:after="0" w:line="41" w:lineRule="exact"/>
        <w:rPr>
          <w:rFonts w:ascii="Times New Roman" w:cs="Times New Roman" w:eastAsia="Times New Roman" w:hAnsi="Times New Roman"/>
          <w:sz w:val="14"/>
          <w:szCs w:val="14"/>
          <w:color w:val="auto"/>
        </w:rPr>
      </w:pPr>
    </w:p>
    <w:p>
      <w:pPr>
        <w:ind w:left="7" w:hanging="7"/>
        <w:spacing w:after="0" w:line="247" w:lineRule="auto"/>
        <w:tabs>
          <w:tab w:leader="none" w:pos="27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period during which the performance will be measured, (C) the maximum amounts that may be paid if the performance goals are met, and (D) any other conditions that the Committee deems appropriate and consistent with the Plan and section 162(m) of the Code.</w:t>
      </w:r>
    </w:p>
    <w:p>
      <w:pPr>
        <w:spacing w:after="0" w:line="165" w:lineRule="exact"/>
        <w:rPr>
          <w:rFonts w:ascii="Times New Roman" w:cs="Times New Roman" w:eastAsia="Times New Roman" w:hAnsi="Times New Roman"/>
          <w:sz w:val="16"/>
          <w:szCs w:val="16"/>
          <w:color w:val="auto"/>
        </w:rPr>
      </w:pPr>
    </w:p>
    <w:p>
      <w:pPr>
        <w:jc w:val="both"/>
        <w:ind w:left="7" w:firstLine="2246"/>
        <w:spacing w:after="0" w:line="282" w:lineRule="auto"/>
        <w:tabs>
          <w:tab w:leader="none" w:pos="2491" w:val="left"/>
        </w:tabs>
        <w:numPr>
          <w:ilvl w:val="2"/>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goals may be established on an absolute or relative basis and may be established on a corporate-wide basis or with respect to one or more business units, divisions, subsidiaries or business segments. Relative performance may be measured against a group of peer companies, a financial market index or other objective and quantifiable indices. The Committee shall use objectively determinable performance goals based on one or more of the following criteria: cash flow; earnings (including gross margin, earnings before interest and taxes, earnings before taxes, earnings before interest, taxes, depreciation, amortization and charges for stock-based compensation, earnings before interest, taxes, depreciation and amortization, and net earnings); earnings per share; growth in earnings or earnings per share; stock price; return on equity or average stockholder equity; total stockholder return or growth in total stockholder return either directly or in relation to a comparative group; return on capital; return on assets or net assets; revenue, growth in revenue or return on sales; income or net income; operating income, net operating income or net operating income after tax; operating profit or net operating profit; operating margin; return on operating revenue or return on operating profit; regulatory filings; regulatory approvals, litigation and regulatory resolution goals; other operational, regulatory or departmental objectives; budget comparisons; growth in stockholder value relative to established indexes, or another peer group or peer group index; development and implementation of strategic plans and/or organizational restructuring goals; development and implementation of risk and crisis management programs; improvement in workforce diversity; compliance requirements and compliance relief; safety goals; productivity goals; workforce management and succession planning goals; economic value added (including typical adjustments consistently applied from generally accepted accounting principles required to determine economic value added performance measures); measures of customer satisfaction, employee satisfaction or staff development; development or marketing collaborations, formations of joint ventures or partnerships or the completion of other similar transactions intended to enhance the Corporation’s revenue or profitability or enhance its customer base; merger and acquisitions; licensing transactions; intellectual property milestones; clinical trial progress milestones; scientific publication milestones; research and development milestones; financing milestones; strategic partnership milestones; and other similar criteria consistent with the foregoing. Any performance criteria that are financial metrics may be determined in accordance with GAAP, or may be adjusted when established to include or exclude any items otherwise includable or excludable under GAAP.</w:t>
      </w:r>
    </w:p>
    <w:p>
      <w:pPr>
        <w:spacing w:after="0" w:line="200" w:lineRule="exact"/>
        <w:rPr>
          <w:rFonts w:ascii="Times New Roman" w:cs="Times New Roman" w:eastAsia="Times New Roman" w:hAnsi="Times New Roman"/>
          <w:sz w:val="14"/>
          <w:szCs w:val="14"/>
          <w:color w:val="auto"/>
        </w:rPr>
      </w:pPr>
    </w:p>
    <w:p>
      <w:pPr>
        <w:spacing w:after="0" w:line="323" w:lineRule="exact"/>
        <w:rPr>
          <w:rFonts w:ascii="Times New Roman" w:cs="Times New Roman" w:eastAsia="Times New Roman" w:hAnsi="Times New Roman"/>
          <w:sz w:val="14"/>
          <w:szCs w:val="14"/>
          <w:color w:val="auto"/>
        </w:rPr>
      </w:pPr>
    </w:p>
    <w:p>
      <w:pPr>
        <w:jc w:val="both"/>
        <w:ind w:left="7" w:firstLine="2246"/>
        <w:spacing w:after="0" w:line="247" w:lineRule="auto"/>
        <w:tabs>
          <w:tab w:leader="none" w:pos="2547" w:val="left"/>
        </w:tabs>
        <w:numPr>
          <w:ilvl w:val="2"/>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establishing performance goals, the Committee may, no later than the date on which such performance goals are to be established in accordance with Section 13(b) below, provide for the exclusion of the effects of items such as the following, to the extent identified in the audited financial statements of the Company, including footnotes, in the Management Discussion and Analysis of Financial Condition and Results of Operations accompanying such financial statements, or as otherwise specified by the Committee: (A) restructurings, discontinued operations, extraordinary items, and other unusual, infrequent or non-recurring charges or events, (B) asset write-downs, (C) significant litigation or claim judgments or settlements, (D) acquisitions or divestitures, (E) any 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 (H) a change in the fiscal year of the Company, (I) the cumulative effects of tax or accounting changes in accordance with GAAP, or (J) the effect of changes in other laws or regulatory rules affecting reported results.</w:t>
      </w:r>
    </w:p>
    <w:p>
      <w:pPr>
        <w:spacing w:after="0" w:line="165" w:lineRule="exact"/>
        <w:rPr>
          <w:rFonts w:ascii="Times New Roman" w:cs="Times New Roman" w:eastAsia="Times New Roman" w:hAnsi="Times New Roman"/>
          <w:sz w:val="16"/>
          <w:szCs w:val="16"/>
          <w:color w:val="auto"/>
        </w:rPr>
      </w:pPr>
    </w:p>
    <w:p>
      <w:pPr>
        <w:jc w:val="both"/>
        <w:ind w:left="7" w:right="20" w:firstLine="1495"/>
        <w:spacing w:after="0" w:line="249" w:lineRule="auto"/>
        <w:tabs>
          <w:tab w:leader="none" w:pos="1728"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Establishment of Goals</w:t>
      </w:r>
      <w:r>
        <w:rPr>
          <w:rFonts w:ascii="Times New Roman" w:cs="Times New Roman" w:eastAsia="Times New Roman" w:hAnsi="Times New Roman"/>
          <w:sz w:val="16"/>
          <w:szCs w:val="16"/>
          <w:color w:val="auto"/>
        </w:rPr>
        <w:t>. The Committee shall establish the performance goals in writing either before the beginning of the performance period or during a period ending no later than the earlier of (i) 90 days after the beginning of the performance period or (ii) the date on which 25% of the performance period has been completed, or such other date as may be required or permitted under applicable regulations under section 162(m) of the Code. The performance goals shall satisfy the requirements for “qualified performance-based compensation,” including the requirement that the achievement of the goals be substantially uncertain at the time they are established and that the goals be established in such a way that a third party with knowledge of the relevant facts could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518160</wp:posOffset>
            </wp:positionV>
            <wp:extent cx="7176135" cy="4000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681" w:right="319" w:bottom="1440" w:gutter="0" w:footer="0" w:header="0"/>
        </w:sectPr>
      </w:pPr>
    </w:p>
    <w:bookmarkStart w:id="177" w:name="page178"/>
    <w:bookmarkEnd w:id="177"/>
    <w:p>
      <w:pPr>
        <w:ind w:right="20"/>
        <w:spacing w:after="0" w:line="267" w:lineRule="auto"/>
        <w:rPr>
          <w:sz w:val="20"/>
          <w:szCs w:val="20"/>
          <w:color w:val="auto"/>
        </w:rPr>
      </w:pPr>
      <w:r>
        <w:rPr>
          <w:rFonts w:ascii="Times New Roman" w:cs="Times New Roman" w:eastAsia="Times New Roman" w:hAnsi="Times New Roman"/>
          <w:sz w:val="16"/>
          <w:szCs w:val="16"/>
          <w:color w:val="auto"/>
        </w:rPr>
        <w:t>whether and to what extent the performance goals have been met. The Committee shall not have discretion to increase the amount of compensation that is payable upon achievement of the designated performance goals.</w:t>
      </w:r>
    </w:p>
    <w:p>
      <w:pPr>
        <w:spacing w:after="0" w:line="151" w:lineRule="exact"/>
        <w:rPr>
          <w:sz w:val="20"/>
          <w:szCs w:val="20"/>
          <w:color w:val="auto"/>
        </w:rPr>
      </w:pPr>
    </w:p>
    <w:p>
      <w:pPr>
        <w:jc w:val="both"/>
        <w:ind w:right="20" w:firstLine="1495"/>
        <w:spacing w:after="0" w:line="255" w:lineRule="auto"/>
        <w:tabs>
          <w:tab w:leader="none" w:pos="1713"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Certification of Results</w:t>
      </w:r>
      <w:r>
        <w:rPr>
          <w:rFonts w:ascii="Times New Roman" w:cs="Times New Roman" w:eastAsia="Times New Roman" w:hAnsi="Times New Roman"/>
          <w:sz w:val="16"/>
          <w:szCs w:val="16"/>
          <w:color w:val="auto"/>
        </w:rPr>
        <w:t>. The Committee shall certify achievement of the performance goals after the end of the applicable performance period. If and to the extent that the Committee does not certify that the performance goals have been met, the Performance-Based Grants granted for the performance period shall be forfeited or shall not be made or paid, as applicable.</w:t>
      </w:r>
    </w:p>
    <w:p>
      <w:pPr>
        <w:spacing w:after="0" w:line="160" w:lineRule="exact"/>
        <w:rPr>
          <w:rFonts w:ascii="Times New Roman" w:cs="Times New Roman" w:eastAsia="Times New Roman" w:hAnsi="Times New Roman"/>
          <w:sz w:val="16"/>
          <w:szCs w:val="16"/>
          <w:color w:val="auto"/>
        </w:rPr>
      </w:pPr>
    </w:p>
    <w:p>
      <w:pPr>
        <w:jc w:val="both"/>
        <w:ind w:firstLine="1495"/>
        <w:spacing w:after="0" w:line="255" w:lineRule="auto"/>
        <w:tabs>
          <w:tab w:leader="none" w:pos="1721"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Death, Disability or Other Circumstances</w:t>
      </w:r>
      <w:r>
        <w:rPr>
          <w:rFonts w:ascii="Times New Roman" w:cs="Times New Roman" w:eastAsia="Times New Roman" w:hAnsi="Times New Roman"/>
          <w:sz w:val="16"/>
          <w:szCs w:val="16"/>
          <w:color w:val="auto"/>
        </w:rPr>
        <w:t>. The Committee may provide that Performance-Based Grants shall be payable or restrictions on such Grants shall lapse, in whole or in part, in the event of the Participant’s death or Disability, on or after a Change of Control, or under other circumstances consistent with the Treasury regulations and rulings under section 162(m) of the Code.</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Section 14. Consequences of a Change of Control</w:t>
      </w:r>
    </w:p>
    <w:p>
      <w:pPr>
        <w:spacing w:after="0" w:line="191" w:lineRule="exact"/>
        <w:rPr>
          <w:sz w:val="20"/>
          <w:szCs w:val="20"/>
          <w:color w:val="auto"/>
        </w:rPr>
      </w:pPr>
    </w:p>
    <w:p>
      <w:pPr>
        <w:jc w:val="both"/>
        <w:ind w:firstLine="1495"/>
        <w:spacing w:after="0" w:line="251" w:lineRule="auto"/>
        <w:tabs>
          <w:tab w:leader="none" w:pos="1713"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Assumption of Outstanding Grants</w:t>
      </w:r>
      <w:r>
        <w:rPr>
          <w:rFonts w:ascii="Times New Roman" w:cs="Times New Roman" w:eastAsia="Times New Roman" w:hAnsi="Times New Roman"/>
          <w:sz w:val="16"/>
          <w:szCs w:val="16"/>
          <w:color w:val="auto"/>
        </w:rPr>
        <w:t>. Upon a Change of Control where the Company is not the surviving corporation (or survives only as a subsidiary of another corporation), unless the Committee determines otherwise, all outstanding Grants that are not exercised or paid at the time of the Change of Control shall be assumed by, or replaced with grants that have comparable terms by, the surviving corporation (or a parent or subsidiary of the surviving corporation). After a Change of Control, references to the “Company” as they relate to employment matters shall include the successor employer in the transaction, subject to applicable law.</w:t>
      </w:r>
    </w:p>
    <w:p>
      <w:pPr>
        <w:spacing w:after="0" w:line="163" w:lineRule="exact"/>
        <w:rPr>
          <w:rFonts w:ascii="Times New Roman" w:cs="Times New Roman" w:eastAsia="Times New Roman" w:hAnsi="Times New Roman"/>
          <w:sz w:val="16"/>
          <w:szCs w:val="16"/>
          <w:color w:val="auto"/>
        </w:rPr>
      </w:pPr>
    </w:p>
    <w:p>
      <w:pPr>
        <w:jc w:val="both"/>
        <w:ind w:firstLine="1495"/>
        <w:spacing w:after="0" w:line="251" w:lineRule="auto"/>
        <w:tabs>
          <w:tab w:leader="none" w:pos="1721"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Upon Certain Terminations of Employment</w:t>
      </w:r>
      <w:r>
        <w:rPr>
          <w:rFonts w:ascii="Times New Roman" w:cs="Times New Roman" w:eastAsia="Times New Roman" w:hAnsi="Times New Roman"/>
          <w:sz w:val="16"/>
          <w:szCs w:val="16"/>
          <w:color w:val="auto"/>
        </w:rPr>
        <w:t>. Unless the Grant Instrument provides otherwise, if a Participant’s employment is terminated by the Company without Cause upon or within 12 months following a Change of Control, the Participant’s outstanding Grants shall become fully vested as of the date of such termination; provided that if the vesting of any such Grants is based, in whole or in part, on performance, the applicable Grant Instrument shall specify how the portion of the Grant that becomes vested pursuant to this Section 14(b) shall be calculated.</w:t>
      </w:r>
    </w:p>
    <w:p>
      <w:pPr>
        <w:spacing w:after="0" w:line="163" w:lineRule="exact"/>
        <w:rPr>
          <w:rFonts w:ascii="Times New Roman" w:cs="Times New Roman" w:eastAsia="Times New Roman" w:hAnsi="Times New Roman"/>
          <w:sz w:val="16"/>
          <w:szCs w:val="16"/>
          <w:color w:val="auto"/>
        </w:rPr>
      </w:pPr>
    </w:p>
    <w:p>
      <w:pPr>
        <w:jc w:val="both"/>
        <w:ind w:firstLine="1495"/>
        <w:spacing w:after="0" w:line="245" w:lineRule="auto"/>
        <w:tabs>
          <w:tab w:leader="none" w:pos="1724"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Alternatives</w:t>
      </w:r>
      <w:r>
        <w:rPr>
          <w:rFonts w:ascii="Times New Roman" w:cs="Times New Roman" w:eastAsia="Times New Roman" w:hAnsi="Times New Roman"/>
          <w:sz w:val="16"/>
          <w:szCs w:val="16"/>
          <w:color w:val="auto"/>
        </w:rPr>
        <w:t>. In the event of a Change of Control, if any outstanding Grants are not assumed by, or replaced with grants that have comparable terms by, the surviving corporation (or a parent or subsidiary of the surviving corporation), the Committee may take any of the following actions with respect to any or all outstanding Grants, without the consent of any Participant: (i) the Committee may determine that outstanding Stock Options and SARs shall automatically accelerate and become fully exercisable and the restrictions and conditions on outstanding Stock Awards, Stock Units, Cash Awards and Dividend Equivalents shall immediately lapse; (ii) the Committee may determine that Participants shall receive a payment in settlement of outstanding Stock Units, Cash Awards or Dividend Equivalents, in such amount and form as may be determined by the Committee; (ii) the Committee may require that Participants surrender their outstanding Stock Options and SARs in exchange for a payment by the Company, in cash or Company Stock as determined by the Committee, in an amount equal to the amount, if any, by which the then Fair Market Value of the shares of Company Stock subject to the Participant’s unexercised Stock Options and SARs exceeds the Stock Option Exercise Price or SAR base amount, and (iv) after giving Participants an opportunity to exercise all of their outstanding Stock Options and SARs, the Committee may terminate any or all unexercised Stock Options and SARs at such time as the Committee deems appropriate. Such surrender, termination or payment shall take place as of the date of the Change of Control or such other date as the Committee may specify. Without limiting the foregoing, if the per share Fair Market Value of the Company Stock does not exceed the per share Stock Option Exercise Price or SAR base amount, as applicable, the Company shall not be required to make any payment to the participant upon surrender of the Stock Option or SAR.</w:t>
      </w:r>
    </w:p>
    <w:p>
      <w:pPr>
        <w:spacing w:after="0" w:line="1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Section 15. Deferrals</w:t>
      </w:r>
    </w:p>
    <w:p>
      <w:pPr>
        <w:spacing w:after="0" w:line="191" w:lineRule="exact"/>
        <w:rPr>
          <w:sz w:val="20"/>
          <w:szCs w:val="20"/>
          <w:color w:val="auto"/>
        </w:rPr>
      </w:pPr>
    </w:p>
    <w:p>
      <w:pPr>
        <w:jc w:val="both"/>
        <w:ind w:right="20" w:firstLine="751"/>
        <w:spacing w:after="0" w:line="309" w:lineRule="auto"/>
        <w:rPr>
          <w:sz w:val="20"/>
          <w:szCs w:val="20"/>
          <w:color w:val="auto"/>
        </w:rPr>
      </w:pPr>
      <w:r>
        <w:rPr>
          <w:rFonts w:ascii="Times New Roman" w:cs="Times New Roman" w:eastAsia="Times New Roman" w:hAnsi="Times New Roman"/>
          <w:sz w:val="14"/>
          <w:szCs w:val="14"/>
          <w:color w:val="auto"/>
        </w:rPr>
        <w:t>The Committee may permit or require a Participant to defer receipt of the payment of cash or the delivery of shares that would otherwise be due to such Participant in connection with any Grant. If any such deferral election is permitted or required, the Committee shall establish rules and procedures for such deferrals and may provide for interest or other earnings to be paid on such deferrals. The rules and procedures for any such deferrals shall be consistent with applicable requirements of section 409A of the Code.</w:t>
      </w:r>
    </w:p>
    <w:p>
      <w:pPr>
        <w:spacing w:after="0" w:line="1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Section 16. Withholding of Taxes</w:t>
      </w:r>
    </w:p>
    <w:p>
      <w:pPr>
        <w:spacing w:after="0" w:line="191" w:lineRule="exact"/>
        <w:rPr>
          <w:sz w:val="20"/>
          <w:szCs w:val="20"/>
          <w:color w:val="auto"/>
        </w:rPr>
      </w:pPr>
    </w:p>
    <w:p>
      <w:pPr>
        <w:jc w:val="both"/>
        <w:ind w:firstLine="1495"/>
        <w:spacing w:after="0" w:line="251" w:lineRule="auto"/>
        <w:tabs>
          <w:tab w:leader="none" w:pos="1713"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Required Withholding</w:t>
      </w:r>
      <w:r>
        <w:rPr>
          <w:rFonts w:ascii="Times New Roman" w:cs="Times New Roman" w:eastAsia="Times New Roman" w:hAnsi="Times New Roman"/>
          <w:sz w:val="16"/>
          <w:szCs w:val="16"/>
          <w:color w:val="auto"/>
        </w:rPr>
        <w:t>. All Grants under the Plan shall be subject to applicable United States federal (including FICA), state and local, foreign country or other tax withholding requirements. The Employer may require that the Participant or other person receiving Grants or exercising Grants pay to the Employer an amount sufficient to satisfy such tax withholding requirements with respect to such Grants, or the Employer may deduct from other wages and compensation paid by the Employer the amount of any withholding taxes due with respect to such Grants.</w:t>
      </w:r>
    </w:p>
    <w:p>
      <w:pPr>
        <w:spacing w:after="0" w:line="163" w:lineRule="exact"/>
        <w:rPr>
          <w:rFonts w:ascii="Times New Roman" w:cs="Times New Roman" w:eastAsia="Times New Roman" w:hAnsi="Times New Roman"/>
          <w:sz w:val="16"/>
          <w:szCs w:val="16"/>
          <w:color w:val="auto"/>
        </w:rPr>
      </w:pPr>
    </w:p>
    <w:p>
      <w:pPr>
        <w:jc w:val="both"/>
        <w:ind w:firstLine="1495"/>
        <w:spacing w:after="0" w:line="251" w:lineRule="auto"/>
        <w:tabs>
          <w:tab w:leader="none" w:pos="1721"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Share Withholding</w:t>
      </w:r>
      <w:r>
        <w:rPr>
          <w:rFonts w:ascii="Times New Roman" w:cs="Times New Roman" w:eastAsia="Times New Roman" w:hAnsi="Times New Roman"/>
          <w:sz w:val="16"/>
          <w:szCs w:val="16"/>
          <w:color w:val="auto"/>
        </w:rPr>
        <w:t>. The Committee may permit or require the Employer’s tax withholding obligation with respect to Grants paid in Company Stock to be satisfied by having shares withheld up to an amount that does not exceed the Participant’s applicable withholding tax rate for United States federal (including FICA), state and local tax liabilities. The Committee may, in its discretion, and subject to such rules as the Committee may adopt, allow Participants to elect to have such share withholding applied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516890</wp:posOffset>
            </wp:positionV>
            <wp:extent cx="7176135" cy="4000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3" w:right="319" w:bottom="1440" w:gutter="0" w:footer="0" w:header="0"/>
        </w:sectPr>
      </w:pPr>
    </w:p>
    <w:bookmarkStart w:id="178" w:name="page179"/>
    <w:bookmarkEnd w:id="178"/>
    <w:p>
      <w:pPr>
        <w:ind w:right="20"/>
        <w:spacing w:after="0" w:line="267" w:lineRule="auto"/>
        <w:rPr>
          <w:sz w:val="20"/>
          <w:szCs w:val="20"/>
          <w:color w:val="auto"/>
        </w:rPr>
      </w:pPr>
      <w:r>
        <w:rPr>
          <w:rFonts w:ascii="Times New Roman" w:cs="Times New Roman" w:eastAsia="Times New Roman" w:hAnsi="Times New Roman"/>
          <w:sz w:val="16"/>
          <w:szCs w:val="16"/>
          <w:color w:val="auto"/>
        </w:rPr>
        <w:t>all or a portion of the tax withholding obligation arising in connection with any particular Grant. Unless the Committee determines otherwise, share withholding for taxes shall not exceed the Participant’s minimum applicable tax withholding amount.</w:t>
      </w:r>
    </w:p>
    <w:p>
      <w:pPr>
        <w:spacing w:after="0" w:line="1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Section 17. Transferability of Grants</w:t>
      </w:r>
    </w:p>
    <w:p>
      <w:pPr>
        <w:spacing w:after="0" w:line="191" w:lineRule="exact"/>
        <w:rPr>
          <w:sz w:val="20"/>
          <w:szCs w:val="20"/>
          <w:color w:val="auto"/>
        </w:rPr>
      </w:pPr>
    </w:p>
    <w:p>
      <w:pPr>
        <w:jc w:val="both"/>
        <w:ind w:firstLine="1495"/>
        <w:spacing w:after="0" w:line="249" w:lineRule="auto"/>
        <w:tabs>
          <w:tab w:leader="none" w:pos="1713"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Nontransferability of Grants</w:t>
      </w:r>
      <w:r>
        <w:rPr>
          <w:rFonts w:ascii="Times New Roman" w:cs="Times New Roman" w:eastAsia="Times New Roman" w:hAnsi="Times New Roman"/>
          <w:sz w:val="16"/>
          <w:szCs w:val="16"/>
          <w:color w:val="auto"/>
        </w:rPr>
        <w:t>. Except as described in subsection (b) below, only the Participant may exercise rights under a Grant during the Participant’s lifetime. A Participant may not transfer those rights except (i) by will or by the laws of descent and distribution or (ii) with respect to Grants other than Incentive Stock Options, pursuant to a domestic relations order. When a Participant dies, the personal representative or other person entitled to succeed to the rights of the Participant may exercise such rights. Any such successor must furnish proof satisfactory to the Company of his or her right to receive the Grant under the Participant’s will or under the applicable laws of descent and distribution.</w:t>
      </w:r>
    </w:p>
    <w:p>
      <w:pPr>
        <w:spacing w:after="0" w:line="165" w:lineRule="exact"/>
        <w:rPr>
          <w:rFonts w:ascii="Times New Roman" w:cs="Times New Roman" w:eastAsia="Times New Roman" w:hAnsi="Times New Roman"/>
          <w:sz w:val="16"/>
          <w:szCs w:val="16"/>
          <w:color w:val="auto"/>
        </w:rPr>
      </w:pPr>
    </w:p>
    <w:p>
      <w:pPr>
        <w:jc w:val="both"/>
        <w:ind w:firstLine="1495"/>
        <w:spacing w:after="0" w:line="251" w:lineRule="auto"/>
        <w:tabs>
          <w:tab w:leader="none" w:pos="1733"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of Nonqualified Stock Options</w:t>
      </w:r>
      <w:r>
        <w:rPr>
          <w:rFonts w:ascii="Times New Roman" w:cs="Times New Roman" w:eastAsia="Times New Roman" w:hAnsi="Times New Roman"/>
          <w:sz w:val="16"/>
          <w:szCs w:val="16"/>
          <w:color w:val="auto"/>
        </w:rPr>
        <w:t>. Notwithstanding the foregoing, the Committee may provide, in a Grant Instrument, that a Participant may transfer Nonqualified Stock Options to family members, or one or more trusts or other entities for the benefit of or owned by family members, consistent with the applicable securities laws, according to such terms as the Committee may determine; provided that the Participant receives no consideration for the transfer of an Option and the transferred Option shall continue to be subject to the same terms and conditions as were applicable to the Option immediately before the transfer.</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Section 18. Requirements for Issuance or Transfer of Shares</w:t>
      </w:r>
    </w:p>
    <w:p>
      <w:pPr>
        <w:spacing w:after="0" w:line="191" w:lineRule="exact"/>
        <w:rPr>
          <w:sz w:val="20"/>
          <w:szCs w:val="20"/>
          <w:color w:val="auto"/>
        </w:rPr>
      </w:pPr>
    </w:p>
    <w:p>
      <w:pPr>
        <w:jc w:val="both"/>
        <w:ind w:firstLine="751"/>
        <w:spacing w:after="0" w:line="248" w:lineRule="auto"/>
        <w:rPr>
          <w:sz w:val="20"/>
          <w:szCs w:val="20"/>
          <w:color w:val="auto"/>
        </w:rPr>
      </w:pPr>
      <w:r>
        <w:rPr>
          <w:rFonts w:ascii="Times New Roman" w:cs="Times New Roman" w:eastAsia="Times New Roman" w:hAnsi="Times New Roman"/>
          <w:sz w:val="16"/>
          <w:szCs w:val="16"/>
          <w:color w:val="auto"/>
        </w:rPr>
        <w:t>No Company Stock shall be issued or transferred in connection with any Grant hereunder unless and until all legal requirements applicable to the issuance or transfer of such Company Stock have been complied with to the satisfaction of the Committee. The Committee shall have the right to condition any Grant on the Participant’s undertaking in writing to comply with such restrictions on his or her subsequent disposition of the shares of Company Stock as the Committee shall deem necessary or advisable, and certificates representing such shares may be legended to reflect any such restrictions. Certificates representing shares of Company Stock issued or transferred under the Plan may be subject to such stop-transfer orders and other restrictions as the Committee deems appropriate to comply with applicable laws, regulations and interpretations, including any requirement that a legend be placed thereon.</w:t>
      </w:r>
    </w:p>
    <w:p>
      <w:pPr>
        <w:spacing w:after="0" w:line="1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Section 19. Amendment and Termination of the Plan</w:t>
      </w:r>
    </w:p>
    <w:p>
      <w:pPr>
        <w:spacing w:after="0" w:line="191" w:lineRule="exact"/>
        <w:rPr>
          <w:sz w:val="20"/>
          <w:szCs w:val="20"/>
          <w:color w:val="auto"/>
        </w:rPr>
      </w:pPr>
    </w:p>
    <w:p>
      <w:pPr>
        <w:ind w:firstLine="1495"/>
        <w:spacing w:after="0" w:line="267" w:lineRule="auto"/>
        <w:tabs>
          <w:tab w:leader="none" w:pos="1713"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The Board may amend or terminate the Plan at any time; provided, however, that the Board shall not amend the Plan without stockholder approval if such approval is required in order to comply with the Code or other applicable law, or to comply with applicable stock exchange requirements.</w:t>
      </w:r>
    </w:p>
    <w:p>
      <w:pPr>
        <w:spacing w:after="0" w:line="150" w:lineRule="exact"/>
        <w:rPr>
          <w:rFonts w:ascii="Times New Roman" w:cs="Times New Roman" w:eastAsia="Times New Roman" w:hAnsi="Times New Roman"/>
          <w:sz w:val="16"/>
          <w:szCs w:val="16"/>
          <w:color w:val="auto"/>
        </w:rPr>
      </w:pPr>
    </w:p>
    <w:p>
      <w:pPr>
        <w:jc w:val="both"/>
        <w:ind w:firstLine="1495"/>
        <w:spacing w:after="0" w:line="247" w:lineRule="auto"/>
        <w:tabs>
          <w:tab w:leader="none" w:pos="1721"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Repricing of Options or SARs</w:t>
      </w:r>
      <w:r>
        <w:rPr>
          <w:rFonts w:ascii="Times New Roman" w:cs="Times New Roman" w:eastAsia="Times New Roman" w:hAnsi="Times New Roman"/>
          <w:sz w:val="16"/>
          <w:szCs w:val="16"/>
          <w:color w:val="auto"/>
        </w:rPr>
        <w:t>. Except in connection with a corporate transaction involving the Company (including, without limitation, any stock dividend, distribution (whether in the form of cash, Company Stock, other securities or property), stock split, extraordinary cash dividend, recapitalization, change in control, reorganization, merger, consolidation, split-up, spin-off, combination, repurchase or exchange of shares of Company Stock or other securities, or similar transactions), the Company may not, without obtaining stockholder approval, (i) amend the terms of outstanding Stock Options or SARs to reduce the Exercise Price of such outstanding Stock Options or base price of such SARs, (ii) cancel outstanding Stock Options or SARs in exchange for Stock Options or SARs with an Exercise Price or base price, as applicable, that is less than the Exercise Price or base price of the original Stock Options or SARs or (iii) cancel outstanding Stock Options or SARs with an Exercise Price or base price, as applicable, above the current stock price in exchange for cash or other securities.</w:t>
      </w:r>
    </w:p>
    <w:p>
      <w:pPr>
        <w:spacing w:after="0" w:line="168" w:lineRule="exact"/>
        <w:rPr>
          <w:rFonts w:ascii="Times New Roman" w:cs="Times New Roman" w:eastAsia="Times New Roman" w:hAnsi="Times New Roman"/>
          <w:sz w:val="16"/>
          <w:szCs w:val="16"/>
          <w:color w:val="auto"/>
        </w:rPr>
      </w:pPr>
    </w:p>
    <w:p>
      <w:pPr>
        <w:ind w:left="1700" w:hanging="205"/>
        <w:spacing w:after="0"/>
        <w:tabs>
          <w:tab w:leader="none" w:pos="170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Stockholder Approval Requirements</w:t>
      </w:r>
      <w:r>
        <w:rPr>
          <w:rFonts w:ascii="Times New Roman" w:cs="Times New Roman" w:eastAsia="Times New Roman" w:hAnsi="Times New Roman"/>
          <w:sz w:val="16"/>
          <w:szCs w:val="16"/>
          <w:color w:val="auto"/>
        </w:rPr>
        <w:t>.</w:t>
      </w:r>
    </w:p>
    <w:p>
      <w:pPr>
        <w:spacing w:after="0" w:line="189" w:lineRule="exact"/>
        <w:rPr>
          <w:rFonts w:ascii="Times New Roman" w:cs="Times New Roman" w:eastAsia="Times New Roman" w:hAnsi="Times New Roman"/>
          <w:sz w:val="16"/>
          <w:szCs w:val="16"/>
          <w:color w:val="auto"/>
        </w:rPr>
      </w:pPr>
    </w:p>
    <w:p>
      <w:pPr>
        <w:jc w:val="both"/>
        <w:ind w:firstLine="2246"/>
        <w:spacing w:after="0" w:line="249" w:lineRule="auto"/>
        <w:tabs>
          <w:tab w:leader="none" w:pos="2444"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is intended to comply with the transition relief set forth at Treas. Reg. §1.162-27(f)(1) for companies that become publicly held in connection with an initial public offering, which applies until the first to occur of (A) the expiration of the Plan, (B) a material modification of the Plan within the meaning of section 162(m) and the regulations thereunder, (C) the issuance of all Company Stock authorized under the Plan, or (D) the first meeting of stockholders at which directors are to be elected that occurs after the close of the third calendar year following the calendar year in which the initial public offering occurs (the period commencing on the initial public offering and ending on the first to occur of the foregoing events shall be hereinafter referred to as the “</w:t>
      </w:r>
      <w:r>
        <w:rPr>
          <w:rFonts w:ascii="Times New Roman" w:cs="Times New Roman" w:eastAsia="Times New Roman" w:hAnsi="Times New Roman"/>
          <w:sz w:val="16"/>
          <w:szCs w:val="16"/>
          <w:u w:val="single" w:color="auto"/>
          <w:color w:val="auto"/>
        </w:rPr>
        <w:t>Reliance Period</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jc w:val="both"/>
        <w:ind w:firstLine="2246"/>
        <w:spacing w:after="0" w:line="251" w:lineRule="auto"/>
        <w:tabs>
          <w:tab w:leader="none" w:pos="2486"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Reliance Period, if Grants are to be made as “qualified performance-based compensation” under section 162(m) of the Code, the Plan must be approved by the stockholders in accordance with section 162(m). Following such stockholder approval, the Plan must be reapproved by the stockholders no later than the first stockholders meeting that occurs in the fifth year following the year in which the stockholders previously approved the Plan, if additional Grants are to be made as Performance-Based Grants under Section 13 and if required by section 162(m) of the Code or the regulations thereunder.</w:t>
      </w:r>
    </w:p>
    <w:p>
      <w:pPr>
        <w:spacing w:after="0" w:line="163" w:lineRule="exact"/>
        <w:rPr>
          <w:rFonts w:ascii="Times New Roman" w:cs="Times New Roman" w:eastAsia="Times New Roman" w:hAnsi="Times New Roman"/>
          <w:sz w:val="16"/>
          <w:szCs w:val="16"/>
          <w:color w:val="auto"/>
        </w:rPr>
      </w:pPr>
    </w:p>
    <w:p>
      <w:pPr>
        <w:ind w:right="20" w:firstLine="1495"/>
        <w:spacing w:after="0" w:line="267" w:lineRule="auto"/>
        <w:tabs>
          <w:tab w:leader="none" w:pos="1721"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Plan</w:t>
      </w:r>
      <w:r>
        <w:rPr>
          <w:rFonts w:ascii="Times New Roman" w:cs="Times New Roman" w:eastAsia="Times New Roman" w:hAnsi="Times New Roman"/>
          <w:sz w:val="16"/>
          <w:szCs w:val="16"/>
          <w:color w:val="auto"/>
        </w:rPr>
        <w:t>. The Plan shall terminate on the day immediately preceding the tenth anniversary of its Effective Date, unless the Plan is terminated earlier by the Board or is extended by the Board with the approval of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508635</wp:posOffset>
            </wp:positionV>
            <wp:extent cx="7176135" cy="4000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3" w:right="319" w:bottom="1440" w:gutter="0" w:footer="0" w:header="0"/>
        </w:sectPr>
      </w:pPr>
    </w:p>
    <w:bookmarkStart w:id="179" w:name="page180"/>
    <w:bookmarkEnd w:id="179"/>
    <w:p>
      <w:pPr>
        <w:jc w:val="both"/>
        <w:ind w:left="-740" w:firstLine="1495"/>
        <w:spacing w:after="0" w:line="251" w:lineRule="auto"/>
        <w:tabs>
          <w:tab w:leader="none" w:pos="984"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and Amendment of Outstanding Grants</w:t>
      </w:r>
      <w:r>
        <w:rPr>
          <w:rFonts w:ascii="Times New Roman" w:cs="Times New Roman" w:eastAsia="Times New Roman" w:hAnsi="Times New Roman"/>
          <w:sz w:val="16"/>
          <w:szCs w:val="16"/>
          <w:color w:val="auto"/>
        </w:rPr>
        <w:t>. A termination or amendment of the Plan that occurs after a Grant is made shall not materially impair the rights of a Participant unless the Participant consents or unless the Committee acts under Section 20(f) below. The termination of the Plan shall not impair the power and authority of the Committee with respect to an outstanding Grant. Whether or not the Plan has terminated, an outstanding Grant may be terminated or amended under Section 20(f) below or may be amended by agreement of the Company and the Participant consistent with the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Section 20. Miscellaneous</w:t>
      </w:r>
    </w:p>
    <w:p>
      <w:pPr>
        <w:spacing w:after="0" w:line="191" w:lineRule="exact"/>
        <w:rPr>
          <w:sz w:val="20"/>
          <w:szCs w:val="20"/>
          <w:color w:val="auto"/>
        </w:rPr>
      </w:pPr>
    </w:p>
    <w:p>
      <w:pPr>
        <w:jc w:val="both"/>
        <w:ind w:left="-740" w:firstLine="1495"/>
        <w:spacing w:after="0" w:line="247" w:lineRule="auto"/>
        <w:tabs>
          <w:tab w:leader="none" w:pos="973"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Grants in Connection with Corporate Transactions and Otherwise</w:t>
      </w:r>
      <w:r>
        <w:rPr>
          <w:rFonts w:ascii="Times New Roman" w:cs="Times New Roman" w:eastAsia="Times New Roman" w:hAnsi="Times New Roman"/>
          <w:sz w:val="16"/>
          <w:szCs w:val="16"/>
          <w:color w:val="auto"/>
        </w:rPr>
        <w:t>. Nothing contained in the Plan shall be construed to (i) limit the right of the Committee to make Grants under the Plan in connection with the acquisition, by purchase, lease, merger, consolidation or otherwise, of the business or assets of any corporation, firm or association, including Grants to employees thereof who become Employees, or (ii) limit the right of the Company to grant stock options or make other awards outside of the Plan. The Committee may make a Grant to an employee of another corporation who becomes an Employee by reason of a corporate merger, consolidation, acquisition of stock or property, reorganization or liquidation involving the Company, in substitution for a stock option or stock awards grant made by such corporation. Notwithstanding anything in the Plan to the contrary, the Committee may establish such terms and conditions of the new Grants as it deems appropriate, including setting the Exercise Price of Options or the base price of SARs at a price necessary to retain for the Participant the same economic value as the prior options or rights.</w:t>
      </w:r>
    </w:p>
    <w:p>
      <w:pPr>
        <w:spacing w:after="0" w:line="168" w:lineRule="exact"/>
        <w:rPr>
          <w:rFonts w:ascii="Times New Roman" w:cs="Times New Roman" w:eastAsia="Times New Roman" w:hAnsi="Times New Roman"/>
          <w:sz w:val="16"/>
          <w:szCs w:val="16"/>
          <w:color w:val="auto"/>
        </w:rPr>
      </w:pPr>
    </w:p>
    <w:p>
      <w:pPr>
        <w:ind w:left="-740" w:firstLine="1495"/>
        <w:spacing w:after="0" w:line="267" w:lineRule="auto"/>
        <w:tabs>
          <w:tab w:leader="none" w:pos="993"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Document</w:t>
      </w:r>
      <w:r>
        <w:rPr>
          <w:rFonts w:ascii="Times New Roman" w:cs="Times New Roman" w:eastAsia="Times New Roman" w:hAnsi="Times New Roman"/>
          <w:sz w:val="16"/>
          <w:szCs w:val="16"/>
          <w:color w:val="auto"/>
        </w:rPr>
        <w:t>. The Plan shall be the controlling document. No other statements, representations, explanatory materials or examples, oral or written, may amend the Plan in any manner. The Plan shall be binding upon and enforceable against the Company and its successors and assigns.</w:t>
      </w:r>
    </w:p>
    <w:p>
      <w:pPr>
        <w:spacing w:after="0" w:line="150" w:lineRule="exact"/>
        <w:rPr>
          <w:rFonts w:ascii="Times New Roman" w:cs="Times New Roman" w:eastAsia="Times New Roman" w:hAnsi="Times New Roman"/>
          <w:sz w:val="16"/>
          <w:szCs w:val="16"/>
          <w:color w:val="auto"/>
        </w:rPr>
      </w:pPr>
    </w:p>
    <w:p>
      <w:pPr>
        <w:ind w:left="-740" w:right="20" w:firstLine="1495"/>
        <w:spacing w:after="0" w:line="267" w:lineRule="auto"/>
        <w:tabs>
          <w:tab w:leader="none" w:pos="984"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Funding of the Plan</w:t>
      </w:r>
      <w:r>
        <w:rPr>
          <w:rFonts w:ascii="Times New Roman" w:cs="Times New Roman" w:eastAsia="Times New Roman" w:hAnsi="Times New Roman"/>
          <w:sz w:val="16"/>
          <w:szCs w:val="16"/>
          <w:color w:val="auto"/>
        </w:rPr>
        <w:t>. The Plan shall be unfunded. The Company shall not be required to establish any special or separate fund or to make any other segregation of assets to assure the payment of any Grants under the Plan.</w:t>
      </w:r>
    </w:p>
    <w:p>
      <w:pPr>
        <w:spacing w:after="0" w:line="150" w:lineRule="exact"/>
        <w:rPr>
          <w:rFonts w:ascii="Times New Roman" w:cs="Times New Roman" w:eastAsia="Times New Roman" w:hAnsi="Times New Roman"/>
          <w:sz w:val="16"/>
          <w:szCs w:val="16"/>
          <w:color w:val="auto"/>
        </w:rPr>
      </w:pPr>
    </w:p>
    <w:p>
      <w:pPr>
        <w:jc w:val="both"/>
        <w:ind w:left="-740" w:firstLine="1495"/>
        <w:spacing w:after="0" w:line="255" w:lineRule="auto"/>
        <w:tabs>
          <w:tab w:leader="none" w:pos="993"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Rights of Participants</w:t>
      </w:r>
      <w:r>
        <w:rPr>
          <w:rFonts w:ascii="Times New Roman" w:cs="Times New Roman" w:eastAsia="Times New Roman" w:hAnsi="Times New Roman"/>
          <w:sz w:val="16"/>
          <w:szCs w:val="16"/>
          <w:color w:val="auto"/>
        </w:rPr>
        <w:t>. Nothing in the Plan shall entitle any Employee, Non-Employee Director, Key Advisor or other person to any claim or right to receive a Grant under the Plan. Neither the Plan nor any action taken hereunder shall be construed as giving any individual any rights to be retained by or in the employ of the Employer or any other employment rights.</w:t>
      </w:r>
    </w:p>
    <w:p>
      <w:pPr>
        <w:spacing w:after="0" w:line="160" w:lineRule="exact"/>
        <w:rPr>
          <w:rFonts w:ascii="Times New Roman" w:cs="Times New Roman" w:eastAsia="Times New Roman" w:hAnsi="Times New Roman"/>
          <w:sz w:val="16"/>
          <w:szCs w:val="16"/>
          <w:color w:val="auto"/>
        </w:rPr>
      </w:pPr>
    </w:p>
    <w:p>
      <w:pPr>
        <w:jc w:val="both"/>
        <w:ind w:left="-740" w:firstLine="1495"/>
        <w:spacing w:after="0" w:line="255" w:lineRule="auto"/>
        <w:tabs>
          <w:tab w:leader="none" w:pos="984"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Fractional Shares</w:t>
      </w:r>
      <w:r>
        <w:rPr>
          <w:rFonts w:ascii="Times New Roman" w:cs="Times New Roman" w:eastAsia="Times New Roman" w:hAnsi="Times New Roman"/>
          <w:sz w:val="16"/>
          <w:szCs w:val="16"/>
          <w:color w:val="auto"/>
        </w:rPr>
        <w:t>. No fractional shares of Company Stock shall be issued or delivered pursuant to the Plan or any Grant. Except as otherwise provided under the Plan, the Committee shall determine whether cash, other awards or other property shall be issued or paid in lieu of such fractional shares or whether such fractional shares or any rights thereto shall be forfeited or otherwise eliminated.</w:t>
      </w:r>
    </w:p>
    <w:p>
      <w:pPr>
        <w:spacing w:after="0" w:line="160" w:lineRule="exact"/>
        <w:rPr>
          <w:rFonts w:ascii="Times New Roman" w:cs="Times New Roman" w:eastAsia="Times New Roman" w:hAnsi="Times New Roman"/>
          <w:sz w:val="16"/>
          <w:szCs w:val="16"/>
          <w:color w:val="auto"/>
        </w:rPr>
      </w:pPr>
    </w:p>
    <w:p>
      <w:pPr>
        <w:ind w:left="940" w:hanging="185"/>
        <w:spacing w:after="0"/>
        <w:tabs>
          <w:tab w:leader="none" w:pos="9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w:t>
      </w:r>
      <w:r>
        <w:rPr>
          <w:rFonts w:ascii="Times New Roman" w:cs="Times New Roman" w:eastAsia="Times New Roman" w:hAnsi="Times New Roman"/>
          <w:sz w:val="16"/>
          <w:szCs w:val="16"/>
          <w:color w:val="auto"/>
        </w:rPr>
        <w:t>.</w:t>
      </w:r>
    </w:p>
    <w:p>
      <w:pPr>
        <w:spacing w:after="0" w:line="189" w:lineRule="exact"/>
        <w:rPr>
          <w:rFonts w:ascii="Times New Roman" w:cs="Times New Roman" w:eastAsia="Times New Roman" w:hAnsi="Times New Roman"/>
          <w:sz w:val="16"/>
          <w:szCs w:val="16"/>
          <w:color w:val="auto"/>
        </w:rPr>
      </w:pPr>
    </w:p>
    <w:p>
      <w:pPr>
        <w:jc w:val="both"/>
        <w:ind w:left="-740" w:firstLine="2246"/>
        <w:spacing w:after="0" w:line="286" w:lineRule="auto"/>
        <w:tabs>
          <w:tab w:leader="none" w:pos="1704"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Plan, the exercise of Options and SARs and the obligations of the Company to issue or transfer shares of Company Stock under Grants shall be subject to all applicable laws and regulations, and to approvals by any governmental or regulatory agency as may be required. With respect to persons subject to section 16 of the Exchange Act, it is the intent of the Company that the Plan and all transactions under the Plan comply with all applicable provisions of Rule 16b-3 or its successors under the Exchange Act. In addition, it is the intent of the Company that Incentive Stock Options comply with the applicable provisions of section 422 of the Code, that Grants of “qualified performance-based compensation” comply with the applicable provisions of section 162(m) of the Code and that, to the extent applicable, Grants comply with the requirements of section 409A of the Code. To the extent that any legal requirement of section 16 of the Exchange Act or section 422, 162(m) or 409A of the Code as set forth in the Plan ceases to be required under section 16 of the Exchange Act or section 422, 162(m) or 409A of the Code, that Plan provision shall cease to apply. The Committee may revoke any Grant if it is contrary to law or modify a Grant to bring it into compliance with any valid and mandatory government regulation. The Committee may also adopt rules regarding the withholding of taxes on payments to Participants. The Committee may, in its sole discretion, agree to limit its authority under this Section.</w:t>
      </w:r>
    </w:p>
    <w:p>
      <w:pPr>
        <w:spacing w:after="0" w:line="332" w:lineRule="exact"/>
        <w:rPr>
          <w:rFonts w:ascii="Times New Roman" w:cs="Times New Roman" w:eastAsia="Times New Roman" w:hAnsi="Times New Roman"/>
          <w:sz w:val="14"/>
          <w:szCs w:val="14"/>
          <w:color w:val="auto"/>
        </w:rPr>
      </w:pPr>
    </w:p>
    <w:p>
      <w:pPr>
        <w:jc w:val="both"/>
        <w:ind w:left="-740" w:firstLine="2246"/>
        <w:spacing w:after="0" w:line="248" w:lineRule="auto"/>
        <w:tabs>
          <w:tab w:leader="none" w:pos="1748"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is intended to comply with the requirements of section 409A of the Code, to the extent applicable. Each Grant shall be construed and administered such that the Grant either (A) qualifies for an exemption from the requirements of section 409A of the Code or (B) satisfies the requirements of section 409A of the Code. If a Grant is subject to section 409A of the Code, (I) distributions shall only be made in a manner and upon an event permitted under section 409A of the Code, (II) payments to be made upon a termination of employment or service shall only be made upon a “separation from service” under section 409A of the Code, (III) unless the Grant specifies otherwise, each installment payment shall be treated as a separate payment for purposes of section 409A of the Code, and (IV) in no event shall a Participant, directly or indirectly, designate the calendar year in which a distribution is made except in accordance with section 409A of the Code.</w:t>
      </w:r>
    </w:p>
    <w:p>
      <w:pPr>
        <w:spacing w:after="0" w:line="166" w:lineRule="exact"/>
        <w:rPr>
          <w:rFonts w:ascii="Times New Roman" w:cs="Times New Roman" w:eastAsia="Times New Roman" w:hAnsi="Times New Roman"/>
          <w:sz w:val="16"/>
          <w:szCs w:val="16"/>
          <w:color w:val="auto"/>
        </w:rPr>
      </w:pPr>
    </w:p>
    <w:p>
      <w:pPr>
        <w:jc w:val="both"/>
        <w:ind w:left="-740" w:firstLine="2246"/>
        <w:spacing w:after="0" w:line="251" w:lineRule="auto"/>
        <w:tabs>
          <w:tab w:leader="none" w:pos="1792"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Grant that is subject to section 409A of the Code and that is to be distributed to a Key Employee (as defined below) upon separation from service shall be administered so that any distribution with respect to such Grant shall be postponed for six months following the date of the Participant’s separation from service, if required by section 409A of the Code. If a distribution is delayed pursuant to section 409A of the Code, the distribution shall be paid within 15 days after the end of the six-month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516890</wp:posOffset>
            </wp:positionV>
            <wp:extent cx="7176135" cy="4000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520"/>
          </w:cols>
          <w:pgMar w:left="1060" w:top="683" w:right="319" w:bottom="1440" w:gutter="0" w:footer="0" w:header="0"/>
        </w:sectPr>
      </w:pPr>
    </w:p>
    <w:bookmarkStart w:id="180" w:name="page181"/>
    <w:bookmarkEnd w:id="180"/>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period. If the Participant dies during such six-month period, any postponed amounts shall be paid within 90 days of the Participant’s death. The determination of Key Employees, including the number and identity of persons considered Key Employees and the identification date, shall be made by the Committee or its delegate each year in accordance with section 416(i) of the Code and the “specified employee” requirements of section 409A of the Code.</w:t>
      </w:r>
    </w:p>
    <w:p>
      <w:pPr>
        <w:spacing w:after="0" w:line="160" w:lineRule="exact"/>
        <w:rPr>
          <w:sz w:val="20"/>
          <w:szCs w:val="20"/>
          <w:color w:val="auto"/>
        </w:rPr>
      </w:pPr>
    </w:p>
    <w:p>
      <w:pPr>
        <w:jc w:val="both"/>
        <w:ind w:firstLine="2246"/>
        <w:spacing w:after="0" w:line="251" w:lineRule="auto"/>
        <w:tabs>
          <w:tab w:leader="none" w:pos="2541" w:val="left"/>
        </w:tabs>
        <w:numPr>
          <w:ilvl w:val="2"/>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in the Plan or any Grant agreement to the contrary, each Participant shall be solely responsible for the tax consequences of Grants under the Plan, and in no event shall the Company or any subsidiary or affiliate of the Company have any responsibility or liability if a Grant does not meet any applicable requirements of section 409A of the Code. Although the Company intends to administer the Plan to prevent taxation under section 409A of the Code, the Company does not represent or warrant that the Plan or any Grant complies with any provision of federal, state, local or other tax law.</w:t>
      </w:r>
    </w:p>
    <w:p>
      <w:pPr>
        <w:spacing w:after="0" w:line="163" w:lineRule="exact"/>
        <w:rPr>
          <w:rFonts w:ascii="Times New Roman" w:cs="Times New Roman" w:eastAsia="Times New Roman" w:hAnsi="Times New Roman"/>
          <w:sz w:val="16"/>
          <w:szCs w:val="16"/>
          <w:color w:val="auto"/>
        </w:rPr>
      </w:pPr>
    </w:p>
    <w:p>
      <w:pPr>
        <w:jc w:val="both"/>
        <w:ind w:firstLine="1495"/>
        <w:spacing w:after="0" w:line="249" w:lineRule="auto"/>
        <w:tabs>
          <w:tab w:leader="none" w:pos="1721"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Establishment of Subplans</w:t>
      </w:r>
      <w:r>
        <w:rPr>
          <w:rFonts w:ascii="Times New Roman" w:cs="Times New Roman" w:eastAsia="Times New Roman" w:hAnsi="Times New Roman"/>
          <w:sz w:val="16"/>
          <w:szCs w:val="16"/>
          <w:color w:val="auto"/>
        </w:rPr>
        <w:t>. The Board may from time to time establish one or more sub-plans under the Plan for purposes of satisfying applicable blue sky, securities or tax laws of various jurisdictions. The Board shall establish such sub-plans by adopting supplements to the Plan setting forth (i) such limitations on the Committee’s discretion under the Plan as the Board deems necessary or desirable and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Employer shall not be required to provide copies of any supplement to Participants in any jurisdiction that is not affected.</w:t>
      </w:r>
    </w:p>
    <w:p>
      <w:pPr>
        <w:spacing w:after="0" w:line="165" w:lineRule="exact"/>
        <w:rPr>
          <w:rFonts w:ascii="Times New Roman" w:cs="Times New Roman" w:eastAsia="Times New Roman" w:hAnsi="Times New Roman"/>
          <w:sz w:val="16"/>
          <w:szCs w:val="16"/>
          <w:color w:val="auto"/>
        </w:rPr>
      </w:pPr>
    </w:p>
    <w:p>
      <w:pPr>
        <w:jc w:val="both"/>
        <w:ind w:firstLine="1495"/>
        <w:spacing w:after="0" w:line="245" w:lineRule="auto"/>
        <w:tabs>
          <w:tab w:leader="none" w:pos="1721"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Clawback Rights</w:t>
      </w:r>
      <w:r>
        <w:rPr>
          <w:rFonts w:ascii="Times New Roman" w:cs="Times New Roman" w:eastAsia="Times New Roman" w:hAnsi="Times New Roman"/>
          <w:sz w:val="16"/>
          <w:szCs w:val="16"/>
          <w:color w:val="auto"/>
        </w:rPr>
        <w:t>. Subject to the requirements of applicable law, the Committee may provide in any Grant Instrument that, if a Participant breaches any restrictive covenant agreement between the Participant and the Employer (which may be set forth in any Grant Instrument) or otherwise engages in activities that constitute Cause either while employed by, or providing service to, the Employer or within a specified period of time thereafter, all Grants held by the Participant shall terminate, and the Company may rescind any exercise of an Option or SAR and the vesting of any other Grant and delivery of shares upon such exercise or vesting (including pursuant to dividends and Dividend Equivalents), as applicable on such terms as the Committee shall determine, including the right to require that in the event of any such rescission (i) the Participant shall return to the Company the shares received upon the exercise of any Option or SAR and/or the vesting and payment of any other Grant (including pursuant to dividends and Dividend Equivalents) or (ii) if the Participant no longer owns the shares, the Participant shall pay to the Company the amount of any gain realized or payment received as a result of any sale or other disposition of the shares (or, in the event the Participant transfers the shares by gift or otherwise without consideration, the Fair Market Value of the shares on the date of the breach of the restrictive covenant agreement (including a Participant’s Grant Instrument containing restrictive covenants) or activity constituting Cause), net of the price originally paid by the Participant for the shares. Payment by the Participant shall be made in such manner and on such terms and conditions as may be required by the Committee. The Employer shall be entitled to set off against the amount of any such payment any amounts otherwise owed to the Participant by the Employer. In addition, all Grants under the Plan shall be subject to any applicable clawback or recoupment policies, share trading policies and other policies that may be implemented by the Board from time to time.</w:t>
      </w:r>
    </w:p>
    <w:p>
      <w:pPr>
        <w:spacing w:after="0" w:line="172" w:lineRule="exact"/>
        <w:rPr>
          <w:rFonts w:ascii="Times New Roman" w:cs="Times New Roman" w:eastAsia="Times New Roman" w:hAnsi="Times New Roman"/>
          <w:sz w:val="16"/>
          <w:szCs w:val="16"/>
          <w:color w:val="auto"/>
        </w:rPr>
      </w:pPr>
    </w:p>
    <w:p>
      <w:pPr>
        <w:ind w:firstLine="1495"/>
        <w:spacing w:after="0" w:line="267" w:lineRule="auto"/>
        <w:tabs>
          <w:tab w:leader="none" w:pos="1699"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The validity, construction, interpretation and effect of the Plan and Grant Instruments issued under the Plan shall be governed and construed by and determined in accordance with the laws of the State of Delaware, without giving effect to the conflict of laws provisions thereof.</w:t>
      </w:r>
    </w:p>
    <w:p>
      <w:pPr>
        <w:spacing w:after="0" w:line="150"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 *</w:t>
      </w:r>
    </w:p>
    <w:p>
      <w:pPr>
        <w:spacing w:after="0" w:line="9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As approved by the Board on April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414655</wp:posOffset>
            </wp:positionV>
            <wp:extent cx="7176135" cy="400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83" w:right="319" w:bottom="1440" w:gutter="0" w:footer="0" w:header="0"/>
        </w:sectPr>
      </w:pPr>
    </w:p>
    <w:bookmarkStart w:id="181" w:name="page182"/>
    <w:bookmarkEnd w:id="181"/>
    <w:p>
      <w:pPr>
        <w:jc w:val="right"/>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1"/>
          <w:szCs w:val="11"/>
          <w:b w:val="1"/>
          <w:bCs w:val="1"/>
          <w:color w:val="auto"/>
        </w:rPr>
        <w:t>xhibit</w:t>
      </w:r>
      <w:r>
        <w:rPr>
          <w:rFonts w:ascii="Arial" w:cs="Arial" w:eastAsia="Arial" w:hAnsi="Arial"/>
          <w:sz w:val="17"/>
          <w:szCs w:val="17"/>
          <w:b w:val="1"/>
          <w:bCs w:val="1"/>
          <w:color w:val="auto"/>
        </w:rPr>
        <w:t xml:space="preserve"> 19.1</w:t>
      </w:r>
    </w:p>
    <w:p>
      <w:pPr>
        <w:spacing w:after="0" w:line="271"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xsome</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herapeutics</w:t>
      </w:r>
      <w:r>
        <w:rPr>
          <w:rFonts w:ascii="Arial" w:cs="Arial" w:eastAsia="Arial" w:hAnsi="Arial"/>
          <w:sz w:val="17"/>
          <w:szCs w:val="17"/>
          <w:b w:val="1"/>
          <w:bCs w:val="1"/>
          <w:color w:val="auto"/>
        </w:rPr>
        <w:t>, I</w:t>
      </w:r>
      <w:r>
        <w:rPr>
          <w:rFonts w:ascii="Arial" w:cs="Arial" w:eastAsia="Arial" w:hAnsi="Arial"/>
          <w:sz w:val="11"/>
          <w:szCs w:val="11"/>
          <w:b w:val="1"/>
          <w:bCs w:val="1"/>
          <w:color w:val="auto"/>
        </w:rPr>
        <w:t>nc</w:t>
      </w:r>
      <w:r>
        <w:rPr>
          <w:rFonts w:ascii="Arial" w:cs="Arial" w:eastAsia="Arial" w:hAnsi="Arial"/>
          <w:sz w:val="17"/>
          <w:szCs w:val="17"/>
          <w:b w:val="1"/>
          <w:bCs w:val="1"/>
          <w:color w:val="auto"/>
        </w:rPr>
        <w:t>. I</w:t>
      </w:r>
      <w:r>
        <w:rPr>
          <w:rFonts w:ascii="Arial" w:cs="Arial" w:eastAsia="Arial" w:hAnsi="Arial"/>
          <w:sz w:val="11"/>
          <w:szCs w:val="11"/>
          <w:b w:val="1"/>
          <w:bCs w:val="1"/>
          <w:color w:val="auto"/>
        </w:rPr>
        <w:t>nsider</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rading</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olicy</w:t>
      </w:r>
    </w:p>
    <w:p>
      <w:pPr>
        <w:spacing w:after="0" w:line="341" w:lineRule="exact"/>
        <w:rPr>
          <w:sz w:val="20"/>
          <w:szCs w:val="20"/>
          <w:color w:val="auto"/>
        </w:rPr>
      </w:pPr>
    </w:p>
    <w:p>
      <w:pPr>
        <w:jc w:val="both"/>
        <w:ind w:left="80" w:right="120" w:firstLine="751"/>
        <w:spacing w:after="0" w:line="241" w:lineRule="auto"/>
        <w:rPr>
          <w:sz w:val="20"/>
          <w:szCs w:val="20"/>
          <w:color w:val="auto"/>
        </w:rPr>
      </w:pPr>
      <w:r>
        <w:rPr>
          <w:rFonts w:ascii="Arial" w:cs="Arial" w:eastAsia="Arial" w:hAnsi="Arial"/>
          <w:sz w:val="17"/>
          <w:szCs w:val="17"/>
          <w:color w:val="auto"/>
        </w:rPr>
        <w:t>The following is the Insider Trading Policy of Axsome Therapeutics, Inc. (the “</w:t>
      </w:r>
      <w:r>
        <w:rPr>
          <w:rFonts w:ascii="Arial" w:cs="Arial" w:eastAsia="Arial" w:hAnsi="Arial"/>
          <w:sz w:val="17"/>
          <w:szCs w:val="17"/>
          <w:b w:val="1"/>
          <w:bCs w:val="1"/>
          <w:color w:val="auto"/>
        </w:rPr>
        <w:t>Company</w:t>
      </w:r>
      <w:r>
        <w:rPr>
          <w:rFonts w:ascii="Arial" w:cs="Arial" w:eastAsia="Arial" w:hAnsi="Arial"/>
          <w:sz w:val="17"/>
          <w:szCs w:val="17"/>
          <w:color w:val="auto"/>
        </w:rPr>
        <w:t>”) and outlines the procedures that all Company personnel must follow. Failure to comply with these procedures could result in a serious violation of the securities laws by you and/or the Company and can involve both civil and criminal penalties. It is important that you review our policy carefully. The insider trading policy provides as follows:</w:t>
      </w:r>
    </w:p>
    <w:p>
      <w:pPr>
        <w:spacing w:after="0" w:line="200" w:lineRule="exact"/>
        <w:rPr>
          <w:sz w:val="20"/>
          <w:szCs w:val="20"/>
          <w:color w:val="auto"/>
        </w:rPr>
      </w:pPr>
    </w:p>
    <w:p>
      <w:pPr>
        <w:spacing w:after="0" w:line="273" w:lineRule="exact"/>
        <w:rPr>
          <w:sz w:val="20"/>
          <w:szCs w:val="20"/>
          <w:color w:val="auto"/>
        </w:rPr>
      </w:pPr>
    </w:p>
    <w:p>
      <w:pPr>
        <w:ind w:left="700" w:hanging="507"/>
        <w:spacing w:after="0"/>
        <w:tabs>
          <w:tab w:leader="none" w:pos="700"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PURPOSE</w:t>
      </w:r>
    </w:p>
    <w:p>
      <w:pPr>
        <w:spacing w:after="0" w:line="178" w:lineRule="exact"/>
        <w:rPr>
          <w:sz w:val="20"/>
          <w:szCs w:val="20"/>
          <w:color w:val="auto"/>
        </w:rPr>
      </w:pPr>
    </w:p>
    <w:p>
      <w:pPr>
        <w:jc w:val="both"/>
        <w:ind w:left="340" w:right="240"/>
        <w:spacing w:after="0" w:line="237" w:lineRule="auto"/>
        <w:rPr>
          <w:sz w:val="20"/>
          <w:szCs w:val="20"/>
          <w:color w:val="auto"/>
        </w:rPr>
      </w:pPr>
      <w:r>
        <w:rPr>
          <w:rFonts w:ascii="Arial" w:cs="Arial" w:eastAsia="Arial" w:hAnsi="Arial"/>
          <w:sz w:val="17"/>
          <w:szCs w:val="17"/>
          <w:color w:val="auto"/>
        </w:rPr>
        <w:t>In order to comply with federal and state securities laws governing (a) trading in Company securities while in the possession of “material nonpublic information” concerning the Company, and (b) tipping or disclosing material nonpublic information to outsiders, and in order to, among other things, prevent even the appearance of improper insider trading or tipping, protect the Company from controlling person liability and protect the reputation of the Company, its directors, officers and employees, the Company has adopted this policy for all of its directors, officers and employees, their family members, and specially designated outsiders, such as consultants, who may have access to the Company’s material nonpublic information.</w:t>
      </w:r>
    </w:p>
    <w:p>
      <w:pPr>
        <w:spacing w:after="0" w:line="160" w:lineRule="exact"/>
        <w:rPr>
          <w:sz w:val="20"/>
          <w:szCs w:val="20"/>
          <w:color w:val="auto"/>
        </w:rPr>
      </w:pPr>
    </w:p>
    <w:p>
      <w:pPr>
        <w:ind w:left="700" w:hanging="566"/>
        <w:spacing w:after="0"/>
        <w:tabs>
          <w:tab w:leader="none" w:pos="700"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color w:val="auto"/>
        </w:rPr>
        <w:t>SCOPE</w:t>
      </w:r>
    </w:p>
    <w:p>
      <w:pPr>
        <w:spacing w:after="0" w:line="177" w:lineRule="exact"/>
        <w:rPr>
          <w:rFonts w:ascii="Arial" w:cs="Arial" w:eastAsia="Arial" w:hAnsi="Arial"/>
          <w:sz w:val="17"/>
          <w:szCs w:val="17"/>
          <w:b w:val="1"/>
          <w:bCs w:val="1"/>
          <w:color w:val="auto"/>
        </w:rPr>
      </w:pPr>
    </w:p>
    <w:p>
      <w:pPr>
        <w:jc w:val="both"/>
        <w:ind w:left="1080" w:right="240" w:hanging="376"/>
        <w:spacing w:after="0" w:line="237" w:lineRule="auto"/>
        <w:tabs>
          <w:tab w:leader="none" w:pos="1080" w:val="left"/>
        </w:tabs>
        <w:numPr>
          <w:ilvl w:val="1"/>
          <w:numId w:val="85"/>
        </w:numPr>
        <w:rPr>
          <w:rFonts w:ascii="Arial" w:cs="Arial" w:eastAsia="Arial" w:hAnsi="Arial"/>
          <w:sz w:val="17"/>
          <w:szCs w:val="17"/>
          <w:color w:val="auto"/>
        </w:rPr>
      </w:pPr>
      <w:r>
        <w:rPr>
          <w:rFonts w:ascii="Arial" w:cs="Arial" w:eastAsia="Arial" w:hAnsi="Arial"/>
          <w:sz w:val="17"/>
          <w:szCs w:val="17"/>
          <w:color w:val="auto"/>
        </w:rPr>
        <w:t>This policy covers all insiders, which includes all directors, officers and employees of the Company, their family members and any corporations, partnerships, trusts or other entities owned or controlled by the foregoing persons and any trusts in which such persons are trustees or beneficiaries ("</w:t>
      </w:r>
      <w:r>
        <w:rPr>
          <w:rFonts w:ascii="Arial" w:cs="Arial" w:eastAsia="Arial" w:hAnsi="Arial"/>
          <w:sz w:val="17"/>
          <w:szCs w:val="17"/>
          <w:b w:val="1"/>
          <w:bCs w:val="1"/>
          <w:color w:val="auto"/>
        </w:rPr>
        <w:t>Applicable Trusts</w:t>
      </w:r>
      <w:r>
        <w:rPr>
          <w:rFonts w:ascii="Arial" w:cs="Arial" w:eastAsia="Arial" w:hAnsi="Arial"/>
          <w:sz w:val="17"/>
          <w:szCs w:val="17"/>
          <w:color w:val="auto"/>
        </w:rPr>
        <w:t>") or any corporation in which such persons hold more than 20% of the equity or voting rights ("</w:t>
      </w:r>
      <w:r>
        <w:rPr>
          <w:rFonts w:ascii="Arial" w:cs="Arial" w:eastAsia="Arial" w:hAnsi="Arial"/>
          <w:sz w:val="17"/>
          <w:szCs w:val="17"/>
          <w:b w:val="1"/>
          <w:bCs w:val="1"/>
          <w:color w:val="auto"/>
        </w:rPr>
        <w:t>Applicable Corporations</w:t>
      </w:r>
      <w:r>
        <w:rPr>
          <w:rFonts w:ascii="Arial" w:cs="Arial" w:eastAsia="Arial" w:hAnsi="Arial"/>
          <w:sz w:val="17"/>
          <w:szCs w:val="17"/>
          <w:color w:val="auto"/>
        </w:rPr>
        <w:t>”) (collectively referred to as “</w:t>
      </w:r>
      <w:r>
        <w:rPr>
          <w:rFonts w:ascii="Arial" w:cs="Arial" w:eastAsia="Arial" w:hAnsi="Arial"/>
          <w:sz w:val="17"/>
          <w:szCs w:val="17"/>
          <w:b w:val="1"/>
          <w:bCs w:val="1"/>
          <w:color w:val="auto"/>
        </w:rPr>
        <w:t>Insiders</w:t>
      </w:r>
      <w:r>
        <w:rPr>
          <w:rFonts w:ascii="Arial" w:cs="Arial" w:eastAsia="Arial" w:hAnsi="Arial"/>
          <w:sz w:val="17"/>
          <w:szCs w:val="17"/>
          <w:color w:val="auto"/>
        </w:rPr>
        <w:t>”), and any outsiders whom the Insider Trading Compliance Officer may designate as Insiders because they have or may gain access to material nonpublic information concerning the Company.</w:t>
      </w:r>
    </w:p>
    <w:p>
      <w:pPr>
        <w:spacing w:after="0" w:line="148" w:lineRule="exact"/>
        <w:rPr>
          <w:rFonts w:ascii="Arial" w:cs="Arial" w:eastAsia="Arial" w:hAnsi="Arial"/>
          <w:sz w:val="17"/>
          <w:szCs w:val="17"/>
          <w:color w:val="auto"/>
        </w:rPr>
      </w:pPr>
    </w:p>
    <w:p>
      <w:pPr>
        <w:jc w:val="both"/>
        <w:ind w:left="1080" w:right="240" w:hanging="376"/>
        <w:spacing w:after="0" w:line="237" w:lineRule="auto"/>
        <w:tabs>
          <w:tab w:leader="none" w:pos="1080" w:val="left"/>
        </w:tabs>
        <w:numPr>
          <w:ilvl w:val="1"/>
          <w:numId w:val="85"/>
        </w:numPr>
        <w:rPr>
          <w:rFonts w:ascii="Arial" w:cs="Arial" w:eastAsia="Arial" w:hAnsi="Arial"/>
          <w:sz w:val="17"/>
          <w:szCs w:val="17"/>
          <w:color w:val="auto"/>
        </w:rPr>
      </w:pPr>
      <w:r>
        <w:rPr>
          <w:rFonts w:ascii="Arial" w:cs="Arial" w:eastAsia="Arial" w:hAnsi="Arial"/>
          <w:sz w:val="17"/>
          <w:szCs w:val="17"/>
          <w:color w:val="auto"/>
        </w:rPr>
        <w:t>The policy applies to any and all transactions in the Company’s securities, including (unless specifically excluded herein) its common stock and options to purchase common stock, and any other type of securities that the Company may issue, such as preferred stock, convertible debentures, warrants and exchange-traded options or other derivative securities. Transactions subject to this policy include, but are not necessarily limited to, purchases and sales (including short-selling), whether in the open market or with the Company; transfers to anyone or any entity, whether with or without consideration; gifts; pledging of shares of options; and the granting of an option to acquire an Insider’s interest in Company securities.</w:t>
      </w:r>
    </w:p>
    <w:p>
      <w:pPr>
        <w:spacing w:after="0" w:line="148" w:lineRule="exact"/>
        <w:rPr>
          <w:rFonts w:ascii="Arial" w:cs="Arial" w:eastAsia="Arial" w:hAnsi="Arial"/>
          <w:sz w:val="17"/>
          <w:szCs w:val="17"/>
          <w:color w:val="auto"/>
        </w:rPr>
      </w:pPr>
    </w:p>
    <w:p>
      <w:pPr>
        <w:ind w:left="1080" w:right="260" w:hanging="376"/>
        <w:spacing w:after="0" w:line="265" w:lineRule="auto"/>
        <w:tabs>
          <w:tab w:leader="none" w:pos="1080" w:val="left"/>
        </w:tabs>
        <w:numPr>
          <w:ilvl w:val="1"/>
          <w:numId w:val="85"/>
        </w:numPr>
        <w:rPr>
          <w:rFonts w:ascii="Arial" w:cs="Arial" w:eastAsia="Arial" w:hAnsi="Arial"/>
          <w:sz w:val="17"/>
          <w:szCs w:val="17"/>
          <w:color w:val="auto"/>
        </w:rPr>
      </w:pPr>
      <w:r>
        <w:rPr>
          <w:rFonts w:ascii="Arial" w:cs="Arial" w:eastAsia="Arial" w:hAnsi="Arial"/>
          <w:sz w:val="17"/>
          <w:szCs w:val="17"/>
          <w:color w:val="auto"/>
        </w:rPr>
        <w:t>The policy will be delivered to all directors, officers, employees and designated outsiders upon its adoption by the Company, and to all new directors, officers, employees and</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560705</wp:posOffset>
            </wp:positionV>
            <wp:extent cx="7176135" cy="4000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60" w:top="1264" w:right="319" w:bottom="1440" w:gutter="0" w:footer="0" w:header="0"/>
        </w:sectPr>
      </w:pPr>
    </w:p>
    <w:bookmarkStart w:id="182" w:name="page183"/>
    <w:bookmarkEnd w:id="182"/>
    <w:p>
      <w:pPr>
        <w:spacing w:after="0" w:line="12" w:lineRule="exact"/>
        <w:rPr>
          <w:sz w:val="20"/>
          <w:szCs w:val="20"/>
          <w:color w:val="auto"/>
        </w:rPr>
      </w:pPr>
    </w:p>
    <w:p>
      <w:pPr>
        <w:jc w:val="both"/>
        <w:ind w:left="1080"/>
        <w:spacing w:after="0" w:line="241" w:lineRule="auto"/>
        <w:rPr>
          <w:sz w:val="20"/>
          <w:szCs w:val="20"/>
          <w:color w:val="auto"/>
        </w:rPr>
      </w:pPr>
      <w:r>
        <w:rPr>
          <w:rFonts w:ascii="Arial" w:cs="Arial" w:eastAsia="Arial" w:hAnsi="Arial"/>
          <w:sz w:val="17"/>
          <w:szCs w:val="17"/>
          <w:color w:val="auto"/>
        </w:rPr>
        <w:t>designated outsiders at the start of their employment or relationship with the Company. Upon first receiving a copy of the policy or any revised versions, each Insider must sign an acknowledgement that he or she has received a copy and agrees to comply with the policy’s terms. Officers, employees, directors and certain designated Insiders and outsiders may be required to certify compliance with the policy on an annual basis.</w:t>
      </w:r>
    </w:p>
    <w:p>
      <w:pPr>
        <w:spacing w:after="0" w:line="20" w:lineRule="exact"/>
        <w:rPr>
          <w:sz w:val="20"/>
          <w:szCs w:val="20"/>
          <w:color w:val="auto"/>
        </w:rPr>
      </w:pPr>
    </w:p>
    <w:p>
      <w:pPr>
        <w:ind w:left="700" w:hanging="627"/>
        <w:spacing w:after="0"/>
        <w:tabs>
          <w:tab w:leader="none" w:pos="700"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INSIDER TRADING AND COMPLIANCE COMMITTEE</w:t>
      </w:r>
    </w:p>
    <w:p>
      <w:pPr>
        <w:spacing w:after="0" w:line="178" w:lineRule="exact"/>
        <w:rPr>
          <w:sz w:val="20"/>
          <w:szCs w:val="20"/>
          <w:color w:val="auto"/>
        </w:rPr>
      </w:pPr>
    </w:p>
    <w:p>
      <w:pPr>
        <w:jc w:val="both"/>
        <w:ind w:left="340"/>
        <w:spacing w:after="0" w:line="241" w:lineRule="auto"/>
        <w:rPr>
          <w:sz w:val="20"/>
          <w:szCs w:val="20"/>
          <w:color w:val="auto"/>
        </w:rPr>
      </w:pPr>
      <w:r>
        <w:rPr>
          <w:rFonts w:ascii="Arial" w:cs="Arial" w:eastAsia="Arial" w:hAnsi="Arial"/>
          <w:sz w:val="17"/>
          <w:szCs w:val="17"/>
          <w:color w:val="auto"/>
        </w:rPr>
        <w:t>The Insider Trading Compliance Committee (the “Committee”) will consist of the Chief Executive Officer and the Chief Financial Officer (the “</w:t>
      </w:r>
      <w:r>
        <w:rPr>
          <w:rFonts w:ascii="Arial" w:cs="Arial" w:eastAsia="Arial" w:hAnsi="Arial"/>
          <w:sz w:val="17"/>
          <w:szCs w:val="17"/>
          <w:b w:val="1"/>
          <w:bCs w:val="1"/>
          <w:color w:val="auto"/>
        </w:rPr>
        <w:t>Compliance Officer</w:t>
      </w:r>
      <w:r>
        <w:rPr>
          <w:rFonts w:ascii="Arial" w:cs="Arial" w:eastAsia="Arial" w:hAnsi="Arial"/>
          <w:sz w:val="17"/>
          <w:szCs w:val="17"/>
          <w:color w:val="auto"/>
        </w:rPr>
        <w:t>”). The Committee will review and either approve or prohibit all proposed trades by Insiders and designated outsiders in accordance with the procedures set forth in Section V(c), below. In addition to the trading approval duties described in Section V(c), below, the duties of the Compliance Officer will include the following:</w:t>
      </w:r>
    </w:p>
    <w:p>
      <w:pPr>
        <w:spacing w:after="0" w:line="160" w:lineRule="exact"/>
        <w:rPr>
          <w:sz w:val="20"/>
          <w:szCs w:val="20"/>
          <w:color w:val="auto"/>
        </w:rPr>
      </w:pPr>
    </w:p>
    <w:p>
      <w:pPr>
        <w:ind w:left="1080" w:hanging="361"/>
        <w:spacing w:after="0"/>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Administering this policy and monitoring and enforcing compliance with all policy provisions and procedures;</w:t>
      </w:r>
    </w:p>
    <w:p>
      <w:pPr>
        <w:spacing w:after="0" w:line="189" w:lineRule="exact"/>
        <w:rPr>
          <w:rFonts w:ascii="Arial" w:cs="Arial" w:eastAsia="Arial" w:hAnsi="Arial"/>
          <w:sz w:val="17"/>
          <w:szCs w:val="17"/>
          <w:color w:val="auto"/>
        </w:rPr>
      </w:pPr>
    </w:p>
    <w:p>
      <w:pPr>
        <w:ind w:left="1100" w:hanging="381"/>
        <w:spacing w:after="0"/>
        <w:tabs>
          <w:tab w:leader="none" w:pos="11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Responding to all inquiries relating to this policy and its procedures;</w:t>
      </w:r>
    </w:p>
    <w:p>
      <w:pPr>
        <w:spacing w:after="0" w:line="177" w:lineRule="exact"/>
        <w:rPr>
          <w:rFonts w:ascii="Arial" w:cs="Arial" w:eastAsia="Arial" w:hAnsi="Arial"/>
          <w:sz w:val="17"/>
          <w:szCs w:val="17"/>
          <w:color w:val="auto"/>
        </w:rPr>
      </w:pPr>
    </w:p>
    <w:p>
      <w:pPr>
        <w:ind w:left="1060" w:hanging="34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Designating and announcing Special Blackout Periods, (as defined in section V(b)(ii) below;</w:t>
      </w:r>
    </w:p>
    <w:p>
      <w:pPr>
        <w:spacing w:after="0" w:line="177" w:lineRule="exact"/>
        <w:rPr>
          <w:rFonts w:ascii="Arial" w:cs="Arial" w:eastAsia="Arial" w:hAnsi="Arial"/>
          <w:sz w:val="17"/>
          <w:szCs w:val="17"/>
          <w:color w:val="auto"/>
        </w:rPr>
      </w:pPr>
    </w:p>
    <w:p>
      <w:pPr>
        <w:jc w:val="both"/>
        <w:ind w:left="1080" w:hanging="361"/>
        <w:spacing w:after="0" w:line="247" w:lineRule="auto"/>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Providing copies of this policy and other appropriate materials to all current and new directors, officers and employees, and such outsiders who the Compliance Officer determines have or may gain access to material nonpublic information concerning the Company;</w:t>
      </w:r>
    </w:p>
    <w:p>
      <w:pPr>
        <w:spacing w:after="0" w:line="155" w:lineRule="exact"/>
        <w:rPr>
          <w:rFonts w:ascii="Arial" w:cs="Arial" w:eastAsia="Arial" w:hAnsi="Arial"/>
          <w:sz w:val="17"/>
          <w:szCs w:val="17"/>
          <w:color w:val="auto"/>
        </w:rPr>
      </w:pPr>
    </w:p>
    <w:p>
      <w:pPr>
        <w:jc w:val="both"/>
        <w:ind w:left="1080" w:hanging="361"/>
        <w:spacing w:after="0" w:line="237" w:lineRule="auto"/>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Administering, monitoring and enforcing compliance with all federal and state insider trading laws and regulations, including without limitation Sections 10(b), 15, 20A and 21A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and the rules and regulations promulgated thereunder, and Rule 144 under the Securities Act of 1933 (the “</w:t>
      </w:r>
      <w:r>
        <w:rPr>
          <w:rFonts w:ascii="Arial" w:cs="Arial" w:eastAsia="Arial" w:hAnsi="Arial"/>
          <w:sz w:val="17"/>
          <w:szCs w:val="17"/>
          <w:b w:val="1"/>
          <w:bCs w:val="1"/>
          <w:color w:val="auto"/>
        </w:rPr>
        <w:t>Securities Act</w:t>
      </w:r>
      <w:r>
        <w:rPr>
          <w:rFonts w:ascii="Arial" w:cs="Arial" w:eastAsia="Arial" w:hAnsi="Arial"/>
          <w:sz w:val="17"/>
          <w:szCs w:val="17"/>
          <w:color w:val="auto"/>
        </w:rPr>
        <w:t>”) and related regulations of the Financial Industry Regulatory Authority, Inc. (”</w:t>
      </w:r>
      <w:r>
        <w:rPr>
          <w:rFonts w:ascii="Arial" w:cs="Arial" w:eastAsia="Arial" w:hAnsi="Arial"/>
          <w:sz w:val="17"/>
          <w:szCs w:val="17"/>
          <w:b w:val="1"/>
          <w:bCs w:val="1"/>
          <w:color w:val="auto"/>
        </w:rPr>
        <w:t>FINRA</w:t>
      </w:r>
      <w:r>
        <w:rPr>
          <w:rFonts w:ascii="Arial" w:cs="Arial" w:eastAsia="Arial" w:hAnsi="Arial"/>
          <w:sz w:val="17"/>
          <w:szCs w:val="17"/>
          <w:color w:val="auto"/>
        </w:rPr>
        <w:t>”) or The Nasdaq Stock Market LLC (“</w:t>
      </w:r>
      <w:r>
        <w:rPr>
          <w:rFonts w:ascii="Arial" w:cs="Arial" w:eastAsia="Arial" w:hAnsi="Arial"/>
          <w:sz w:val="17"/>
          <w:szCs w:val="17"/>
          <w:b w:val="1"/>
          <w:bCs w:val="1"/>
          <w:color w:val="auto"/>
        </w:rPr>
        <w:t>Nasdaq</w:t>
      </w:r>
      <w:r>
        <w:rPr>
          <w:rFonts w:ascii="Arial" w:cs="Arial" w:eastAsia="Arial" w:hAnsi="Arial"/>
          <w:sz w:val="17"/>
          <w:szCs w:val="17"/>
          <w:color w:val="auto"/>
        </w:rPr>
        <w:t>”); and assisting in the preparation and filing of all reports required to be filed by the Company under the Exchange Act relating to insider trading in the Company’s securities, including without limitation Forms 3, 4, 5 and 144 and Schedules 13D and 13G (“</w:t>
      </w:r>
      <w:r>
        <w:rPr>
          <w:rFonts w:ascii="Arial" w:cs="Arial" w:eastAsia="Arial" w:hAnsi="Arial"/>
          <w:sz w:val="17"/>
          <w:szCs w:val="17"/>
          <w:b w:val="1"/>
          <w:bCs w:val="1"/>
          <w:color w:val="auto"/>
        </w:rPr>
        <w:t>SEC</w:t>
      </w:r>
      <w:r>
        <w:rPr>
          <w:rFonts w:ascii="Arial" w:cs="Arial" w:eastAsia="Arial" w:hAnsi="Arial"/>
          <w:sz w:val="17"/>
          <w:szCs w:val="17"/>
          <w:color w:val="auto"/>
        </w:rPr>
        <w:t xml:space="preserve"> </w:t>
      </w:r>
      <w:r>
        <w:rPr>
          <w:rFonts w:ascii="Arial" w:cs="Arial" w:eastAsia="Arial" w:hAnsi="Arial"/>
          <w:sz w:val="17"/>
          <w:szCs w:val="17"/>
          <w:b w:val="1"/>
          <w:bCs w:val="1"/>
          <w:color w:val="auto"/>
        </w:rPr>
        <w:t>Reports</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1080" w:hanging="361"/>
        <w:spacing w:after="0" w:line="265" w:lineRule="auto"/>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Revising the policy as necessary to reflect changes in federal or state insider trading laws and regulations or the regulations of FINRA or Nasdaq; and</w:t>
      </w:r>
    </w:p>
    <w:p>
      <w:pPr>
        <w:spacing w:after="0" w:line="140" w:lineRule="exact"/>
        <w:rPr>
          <w:rFonts w:ascii="Arial" w:cs="Arial" w:eastAsia="Arial" w:hAnsi="Arial"/>
          <w:sz w:val="17"/>
          <w:szCs w:val="17"/>
          <w:color w:val="auto"/>
        </w:rPr>
      </w:pPr>
    </w:p>
    <w:p>
      <w:pPr>
        <w:ind w:left="1080" w:hanging="361"/>
        <w:spacing w:after="0" w:line="265" w:lineRule="auto"/>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Maintaining as Company records originals or copies of all documents required by the provisions of this policy or the procedures set forth herein, and copies of all SEC Reports.</w:t>
      </w:r>
    </w:p>
    <w:p>
      <w:pPr>
        <w:spacing w:after="0" w:line="140" w:lineRule="exact"/>
        <w:rPr>
          <w:sz w:val="20"/>
          <w:szCs w:val="20"/>
          <w:color w:val="auto"/>
        </w:rPr>
      </w:pPr>
    </w:p>
    <w:p>
      <w:pPr>
        <w:ind w:left="340" w:right="20"/>
        <w:spacing w:after="0" w:line="265" w:lineRule="auto"/>
        <w:rPr>
          <w:sz w:val="20"/>
          <w:szCs w:val="20"/>
          <w:color w:val="auto"/>
        </w:rPr>
      </w:pPr>
      <w:r>
        <w:rPr>
          <w:rFonts w:ascii="Arial" w:cs="Arial" w:eastAsia="Arial" w:hAnsi="Arial"/>
          <w:sz w:val="17"/>
          <w:szCs w:val="17"/>
          <w:color w:val="auto"/>
        </w:rPr>
        <w:t>The Compliance Officer may designate one or more individuals who may perform her duties or the duties of the other member of the Committee in the event that they or the other Committee member is unable to or unavailable to perform such duties.</w:t>
      </w:r>
    </w:p>
    <w:p>
      <w:pPr>
        <w:spacing w:after="0" w:line="140"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7"/>
          <w:szCs w:val="17"/>
          <w:b w:val="1"/>
          <w:bCs w:val="1"/>
          <w:color w:val="auto"/>
        </w:rPr>
        <w:t>IV.</w:t>
      </w:r>
      <w:r>
        <w:rPr>
          <w:sz w:val="20"/>
          <w:szCs w:val="20"/>
          <w:color w:val="auto"/>
        </w:rPr>
        <w:tab/>
      </w:r>
      <w:r>
        <w:rPr>
          <w:rFonts w:ascii="Arial" w:cs="Arial" w:eastAsia="Arial" w:hAnsi="Arial"/>
          <w:sz w:val="17"/>
          <w:szCs w:val="17"/>
          <w:b w:val="1"/>
          <w:bCs w:val="1"/>
          <w:color w:val="auto"/>
        </w:rPr>
        <w:t>DEFINITION OF “MATERIAL NONPUBLIC INFORMATION”</w:t>
      </w:r>
    </w:p>
    <w:p>
      <w:pPr>
        <w:spacing w:after="0" w:line="178" w:lineRule="exact"/>
        <w:rPr>
          <w:sz w:val="20"/>
          <w:szCs w:val="20"/>
          <w:color w:val="auto"/>
        </w:rPr>
      </w:pPr>
    </w:p>
    <w:p>
      <w:pPr>
        <w:ind w:left="1100" w:hanging="381"/>
        <w:spacing w:after="0"/>
        <w:tabs>
          <w:tab w:leader="none" w:pos="11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“Material” Information.</w:t>
      </w:r>
    </w:p>
    <w:p>
      <w:pPr>
        <w:spacing w:after="0" w:line="177" w:lineRule="exact"/>
        <w:rPr>
          <w:rFonts w:ascii="Arial" w:cs="Arial" w:eastAsia="Arial" w:hAnsi="Arial"/>
          <w:sz w:val="17"/>
          <w:szCs w:val="17"/>
          <w:color w:val="auto"/>
        </w:rPr>
      </w:pPr>
    </w:p>
    <w:p>
      <w:pPr>
        <w:ind w:left="1100"/>
        <w:spacing w:after="0"/>
        <w:rPr>
          <w:rFonts w:ascii="Arial" w:cs="Arial" w:eastAsia="Arial" w:hAnsi="Arial"/>
          <w:sz w:val="17"/>
          <w:szCs w:val="17"/>
          <w:color w:val="auto"/>
        </w:rPr>
      </w:pPr>
      <w:r>
        <w:rPr>
          <w:rFonts w:ascii="Arial" w:cs="Arial" w:eastAsia="Arial" w:hAnsi="Arial"/>
          <w:sz w:val="17"/>
          <w:szCs w:val="17"/>
          <w:color w:val="auto"/>
        </w:rPr>
        <w:t>There is no bright-line rule as to what constitutes “material” information. Generally</w:t>
      </w:r>
    </w:p>
    <w:p>
      <w:pPr>
        <w:spacing w:after="0" w:line="172" w:lineRule="exact"/>
        <w:rPr>
          <w:sz w:val="20"/>
          <w:szCs w:val="20"/>
          <w:color w:val="auto"/>
        </w:rPr>
      </w:pPr>
    </w:p>
    <w:p>
      <w:pPr>
        <w:spacing w:after="0"/>
        <w:rPr>
          <w:sz w:val="20"/>
          <w:szCs w:val="20"/>
          <w:color w:val="auto"/>
        </w:rPr>
      </w:pPr>
      <w:r>
        <w:rPr>
          <w:rFonts w:ascii="Calibri" w:cs="Calibri" w:eastAsia="Calibri" w:hAnsi="Calibri"/>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560705</wp:posOffset>
            </wp:positionV>
            <wp:extent cx="7176135" cy="4000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980"/>
          </w:cols>
          <w:pgMar w:left="360" w:top="1440" w:right="559" w:bottom="1440" w:gutter="0" w:footer="0" w:header="0"/>
        </w:sectPr>
      </w:pPr>
    </w:p>
    <w:bookmarkStart w:id="183" w:name="page184"/>
    <w:bookmarkEnd w:id="183"/>
    <w:p>
      <w:pPr>
        <w:jc w:val="both"/>
        <w:ind w:left="1100" w:right="40"/>
        <w:spacing w:after="0" w:line="247" w:lineRule="auto"/>
        <w:rPr>
          <w:sz w:val="20"/>
          <w:szCs w:val="20"/>
          <w:color w:val="auto"/>
        </w:rPr>
      </w:pPr>
      <w:r>
        <w:rPr>
          <w:rFonts w:ascii="Arial" w:cs="Arial" w:eastAsia="Arial" w:hAnsi="Arial"/>
          <w:sz w:val="17"/>
          <w:szCs w:val="17"/>
          <w:color w:val="auto"/>
        </w:rPr>
        <w:t>speaking, information about the Company is “material” if there is a substantial likelihood that a reasonable stockholder would consider the information important in making a decision to buy or sell the Company’s securities, or, stated another way, if the disclosure of the information would be expected to significantly alter the total mix of the information</w:t>
      </w:r>
    </w:p>
    <w:p>
      <w:pPr>
        <w:spacing w:after="0" w:line="15" w:lineRule="exact"/>
        <w:rPr>
          <w:sz w:val="20"/>
          <w:szCs w:val="20"/>
          <w:color w:val="auto"/>
        </w:rPr>
      </w:pPr>
    </w:p>
    <w:p>
      <w:pPr>
        <w:jc w:val="both"/>
        <w:ind w:left="1100" w:right="20"/>
        <w:spacing w:after="0" w:line="247" w:lineRule="auto"/>
        <w:rPr>
          <w:sz w:val="20"/>
          <w:szCs w:val="20"/>
          <w:color w:val="auto"/>
        </w:rPr>
      </w:pPr>
      <w:r>
        <w:rPr>
          <w:rFonts w:ascii="Arial" w:cs="Arial" w:eastAsia="Arial" w:hAnsi="Arial"/>
          <w:sz w:val="17"/>
          <w:szCs w:val="17"/>
          <w:color w:val="auto"/>
        </w:rPr>
        <w:t>in the marketplace about the Company. In simple terms, material information is any type of information that could reasonably be expected to affect the price of Company securities, beyond normal daily fluctuations. While it is not possible to identify all information that would be deemed “material,” the following types of information ordinarily would be considered material:</w:t>
      </w:r>
    </w:p>
    <w:p>
      <w:pPr>
        <w:spacing w:after="0" w:line="143" w:lineRule="exact"/>
        <w:rPr>
          <w:sz w:val="20"/>
          <w:szCs w:val="20"/>
          <w:color w:val="auto"/>
        </w:rPr>
      </w:pPr>
    </w:p>
    <w:p>
      <w:pPr>
        <w:ind w:left="2560" w:right="680" w:hanging="474"/>
        <w:spacing w:after="0" w:line="239" w:lineRule="auto"/>
        <w:tabs>
          <w:tab w:leader="none" w:pos="2560" w:val="left"/>
        </w:tabs>
        <w:numPr>
          <w:ilvl w:val="3"/>
          <w:numId w:val="89"/>
        </w:numPr>
        <w:rPr>
          <w:rFonts w:ascii="Arial" w:cs="Arial" w:eastAsia="Arial" w:hAnsi="Arial"/>
          <w:sz w:val="17"/>
          <w:szCs w:val="17"/>
          <w:color w:val="auto"/>
        </w:rPr>
      </w:pPr>
      <w:r>
        <w:rPr>
          <w:rFonts w:ascii="Arial" w:cs="Arial" w:eastAsia="Arial" w:hAnsi="Arial"/>
          <w:sz w:val="17"/>
          <w:szCs w:val="17"/>
          <w:color w:val="auto"/>
        </w:rPr>
        <w:t>Financial performance, especially quarterly and year-end earnings, and significant changes in financial performance or liquidity;</w:t>
      </w:r>
    </w:p>
    <w:p>
      <w:pPr>
        <w:ind w:left="2580" w:hanging="539"/>
        <w:spacing w:after="0" w:line="229" w:lineRule="auto"/>
        <w:tabs>
          <w:tab w:leader="none" w:pos="2580" w:val="left"/>
        </w:tabs>
        <w:numPr>
          <w:ilvl w:val="3"/>
          <w:numId w:val="89"/>
        </w:numPr>
        <w:rPr>
          <w:rFonts w:ascii="Arial" w:cs="Arial" w:eastAsia="Arial" w:hAnsi="Arial"/>
          <w:sz w:val="17"/>
          <w:szCs w:val="17"/>
          <w:color w:val="auto"/>
        </w:rPr>
      </w:pPr>
      <w:r>
        <w:rPr>
          <w:rFonts w:ascii="Arial" w:cs="Arial" w:eastAsia="Arial" w:hAnsi="Arial"/>
          <w:sz w:val="17"/>
          <w:szCs w:val="17"/>
          <w:color w:val="auto"/>
        </w:rPr>
        <w:t>Company projections and strategic plans;</w:t>
      </w:r>
    </w:p>
    <w:p>
      <w:pPr>
        <w:ind w:left="2580" w:hanging="600"/>
        <w:spacing w:after="0" w:line="229" w:lineRule="auto"/>
        <w:tabs>
          <w:tab w:leader="none" w:pos="2580" w:val="left"/>
        </w:tabs>
        <w:numPr>
          <w:ilvl w:val="1"/>
          <w:numId w:val="90"/>
        </w:numPr>
        <w:rPr>
          <w:rFonts w:ascii="Arial" w:cs="Arial" w:eastAsia="Arial" w:hAnsi="Arial"/>
          <w:sz w:val="17"/>
          <w:szCs w:val="17"/>
          <w:color w:val="auto"/>
        </w:rPr>
      </w:pPr>
      <w:r>
        <w:rPr>
          <w:rFonts w:ascii="Arial" w:cs="Arial" w:eastAsia="Arial" w:hAnsi="Arial"/>
          <w:sz w:val="17"/>
          <w:szCs w:val="17"/>
          <w:color w:val="auto"/>
        </w:rPr>
        <w:t>Clinical results of the Company’s product candidates;</w:t>
      </w:r>
    </w:p>
    <w:p>
      <w:pPr>
        <w:ind w:left="2560" w:hanging="580"/>
        <w:spacing w:after="0" w:line="229" w:lineRule="auto"/>
        <w:tabs>
          <w:tab w:leader="none" w:pos="2560" w:val="left"/>
        </w:tabs>
        <w:numPr>
          <w:ilvl w:val="1"/>
          <w:numId w:val="90"/>
        </w:numPr>
        <w:rPr>
          <w:rFonts w:ascii="Arial" w:cs="Arial" w:eastAsia="Arial" w:hAnsi="Arial"/>
          <w:sz w:val="17"/>
          <w:szCs w:val="17"/>
          <w:color w:val="auto"/>
        </w:rPr>
      </w:pPr>
      <w:r>
        <w:rPr>
          <w:rFonts w:ascii="Arial" w:cs="Arial" w:eastAsia="Arial" w:hAnsi="Arial"/>
          <w:sz w:val="17"/>
          <w:szCs w:val="17"/>
          <w:color w:val="auto"/>
        </w:rPr>
        <w:t>Potential mergers and acquisitions or the sale of Company assets or subsidiaries;</w:t>
      </w:r>
    </w:p>
    <w:p>
      <w:pPr>
        <w:ind w:left="2580" w:hanging="555"/>
        <w:spacing w:after="0" w:line="229" w:lineRule="auto"/>
        <w:tabs>
          <w:tab w:leader="none" w:pos="2580" w:val="left"/>
        </w:tabs>
        <w:numPr>
          <w:ilvl w:val="1"/>
          <w:numId w:val="90"/>
        </w:numPr>
        <w:rPr>
          <w:rFonts w:ascii="Arial" w:cs="Arial" w:eastAsia="Arial" w:hAnsi="Arial"/>
          <w:sz w:val="17"/>
          <w:szCs w:val="17"/>
          <w:color w:val="auto"/>
        </w:rPr>
      </w:pPr>
      <w:r>
        <w:rPr>
          <w:rFonts w:ascii="Arial" w:cs="Arial" w:eastAsia="Arial" w:hAnsi="Arial"/>
          <w:sz w:val="17"/>
          <w:szCs w:val="17"/>
          <w:color w:val="auto"/>
        </w:rPr>
        <w:t>Partnership agreements for the Company’s product candidates;</w:t>
      </w:r>
    </w:p>
    <w:p>
      <w:pPr>
        <w:ind w:left="2560" w:hanging="580"/>
        <w:spacing w:after="0" w:line="229" w:lineRule="auto"/>
        <w:tabs>
          <w:tab w:leader="none" w:pos="2560" w:val="left"/>
        </w:tabs>
        <w:numPr>
          <w:ilvl w:val="1"/>
          <w:numId w:val="90"/>
        </w:numPr>
        <w:rPr>
          <w:rFonts w:ascii="Arial" w:cs="Arial" w:eastAsia="Arial" w:hAnsi="Arial"/>
          <w:sz w:val="17"/>
          <w:szCs w:val="17"/>
          <w:color w:val="auto"/>
        </w:rPr>
      </w:pPr>
      <w:r>
        <w:rPr>
          <w:rFonts w:ascii="Arial" w:cs="Arial" w:eastAsia="Arial" w:hAnsi="Arial"/>
          <w:sz w:val="17"/>
          <w:szCs w:val="17"/>
          <w:color w:val="auto"/>
        </w:rPr>
        <w:t>New major contracts, orders, suppliers, customers, or finance sources, or the loss thereof;</w:t>
      </w:r>
    </w:p>
    <w:p>
      <w:pPr>
        <w:ind w:left="2560" w:right="20" w:hanging="640"/>
        <w:spacing w:after="0" w:line="229" w:lineRule="auto"/>
        <w:tabs>
          <w:tab w:leader="none" w:pos="25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Major discoveries or significant changes or developments in product candidates or product lines, clinical trial results, research or technologies;</w:t>
      </w:r>
    </w:p>
    <w:p>
      <w:pPr>
        <w:ind w:left="2560" w:hanging="685"/>
        <w:spacing w:after="0" w:line="229" w:lineRule="auto"/>
        <w:tabs>
          <w:tab w:leader="none" w:pos="25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Stock splits, public or private securities/debt offerings, or changes in Company dividend policies or amounts;</w:t>
      </w:r>
    </w:p>
    <w:p>
      <w:pPr>
        <w:jc w:val="both"/>
        <w:ind w:left="2560" w:right="20" w:hanging="580"/>
        <w:spacing w:after="0" w:line="229" w:lineRule="auto"/>
        <w:tabs>
          <w:tab w:leader="none" w:pos="2560" w:val="left"/>
        </w:tabs>
        <w:numPr>
          <w:ilvl w:val="1"/>
          <w:numId w:val="91"/>
        </w:numPr>
        <w:rPr>
          <w:rFonts w:ascii="Arial" w:cs="Arial" w:eastAsia="Arial" w:hAnsi="Arial"/>
          <w:sz w:val="17"/>
          <w:szCs w:val="17"/>
          <w:color w:val="auto"/>
        </w:rPr>
      </w:pPr>
      <w:r>
        <w:rPr>
          <w:rFonts w:ascii="Arial" w:cs="Arial" w:eastAsia="Arial" w:hAnsi="Arial"/>
          <w:sz w:val="17"/>
          <w:szCs w:val="17"/>
          <w:color w:val="auto"/>
        </w:rPr>
        <w:t>Sales of the Company’s securities by the Named Executive Officers (identified as such in the Company’s Annual Proxy Statement filed each year with the Securities and Exchange Commission (“</w:t>
      </w:r>
      <w:r>
        <w:rPr>
          <w:rFonts w:ascii="Arial" w:cs="Arial" w:eastAsia="Arial" w:hAnsi="Arial"/>
          <w:sz w:val="17"/>
          <w:szCs w:val="17"/>
          <w:b w:val="1"/>
          <w:bCs w:val="1"/>
          <w:color w:val="auto"/>
        </w:rPr>
        <w:t>SEC</w:t>
      </w:r>
      <w:r>
        <w:rPr>
          <w:rFonts w:ascii="Arial" w:cs="Arial" w:eastAsia="Arial" w:hAnsi="Arial"/>
          <w:sz w:val="17"/>
          <w:szCs w:val="17"/>
          <w:color w:val="auto"/>
        </w:rPr>
        <w:t>”) or by members of the Company’s Board of Directors;</w:t>
      </w:r>
    </w:p>
    <w:p>
      <w:pPr>
        <w:ind w:left="2580" w:hanging="555"/>
        <w:spacing w:after="0" w:line="229" w:lineRule="auto"/>
        <w:tabs>
          <w:tab w:leader="none" w:pos="2580" w:val="left"/>
        </w:tabs>
        <w:numPr>
          <w:ilvl w:val="2"/>
          <w:numId w:val="91"/>
        </w:numPr>
        <w:rPr>
          <w:rFonts w:ascii="Arial" w:cs="Arial" w:eastAsia="Arial" w:hAnsi="Arial"/>
          <w:sz w:val="17"/>
          <w:szCs w:val="17"/>
          <w:color w:val="auto"/>
        </w:rPr>
      </w:pPr>
      <w:r>
        <w:rPr>
          <w:rFonts w:ascii="Arial" w:cs="Arial" w:eastAsia="Arial" w:hAnsi="Arial"/>
          <w:sz w:val="17"/>
          <w:szCs w:val="17"/>
          <w:color w:val="auto"/>
        </w:rPr>
        <w:t>Significant changes in senior management;</w:t>
      </w:r>
    </w:p>
    <w:p>
      <w:pPr>
        <w:ind w:left="2580" w:hanging="600"/>
        <w:spacing w:after="0" w:line="229" w:lineRule="auto"/>
        <w:tabs>
          <w:tab w:leader="none" w:pos="2580" w:val="left"/>
        </w:tabs>
        <w:numPr>
          <w:ilvl w:val="2"/>
          <w:numId w:val="91"/>
        </w:numPr>
        <w:rPr>
          <w:rFonts w:ascii="Arial" w:cs="Arial" w:eastAsia="Arial" w:hAnsi="Arial"/>
          <w:sz w:val="17"/>
          <w:szCs w:val="17"/>
          <w:color w:val="auto"/>
        </w:rPr>
      </w:pPr>
      <w:r>
        <w:rPr>
          <w:rFonts w:ascii="Arial" w:cs="Arial" w:eastAsia="Arial" w:hAnsi="Arial"/>
          <w:sz w:val="17"/>
          <w:szCs w:val="17"/>
          <w:color w:val="auto"/>
        </w:rPr>
        <w:t>Significant labor disputes or negotiations;</w:t>
      </w:r>
    </w:p>
    <w:p>
      <w:pPr>
        <w:ind w:left="2580" w:hanging="660"/>
        <w:spacing w:after="0" w:line="229" w:lineRule="auto"/>
        <w:tabs>
          <w:tab w:leader="none" w:pos="2580" w:val="left"/>
        </w:tabs>
        <w:numPr>
          <w:ilvl w:val="1"/>
          <w:numId w:val="92"/>
        </w:numPr>
        <w:rPr>
          <w:rFonts w:ascii="Arial" w:cs="Arial" w:eastAsia="Arial" w:hAnsi="Arial"/>
          <w:sz w:val="17"/>
          <w:szCs w:val="17"/>
          <w:color w:val="auto"/>
        </w:rPr>
      </w:pPr>
      <w:r>
        <w:rPr>
          <w:rFonts w:ascii="Arial" w:cs="Arial" w:eastAsia="Arial" w:hAnsi="Arial"/>
          <w:sz w:val="17"/>
          <w:szCs w:val="17"/>
          <w:color w:val="auto"/>
        </w:rPr>
        <w:t>Actual or threatened major litigation or the resolution of such litigation;</w:t>
      </w:r>
    </w:p>
    <w:p>
      <w:pPr>
        <w:ind w:left="2580" w:hanging="705"/>
        <w:spacing w:after="0" w:line="229" w:lineRule="auto"/>
        <w:tabs>
          <w:tab w:leader="none" w:pos="2580" w:val="left"/>
        </w:tabs>
        <w:numPr>
          <w:ilvl w:val="1"/>
          <w:numId w:val="92"/>
        </w:numPr>
        <w:rPr>
          <w:rFonts w:ascii="Arial" w:cs="Arial" w:eastAsia="Arial" w:hAnsi="Arial"/>
          <w:sz w:val="17"/>
          <w:szCs w:val="17"/>
          <w:color w:val="auto"/>
        </w:rPr>
      </w:pPr>
      <w:r>
        <w:rPr>
          <w:rFonts w:ascii="Arial" w:cs="Arial" w:eastAsia="Arial" w:hAnsi="Arial"/>
          <w:sz w:val="17"/>
          <w:szCs w:val="17"/>
          <w:color w:val="auto"/>
        </w:rPr>
        <w:t>Content of material formal regulatory responses to the Company; or</w:t>
      </w:r>
    </w:p>
    <w:p>
      <w:pPr>
        <w:ind w:left="2580" w:hanging="720"/>
        <w:spacing w:after="0"/>
        <w:tabs>
          <w:tab w:leader="none" w:pos="25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Impending bankruptcy or the existence of severe liquidity problems;</w:t>
      </w:r>
    </w:p>
    <w:p>
      <w:pPr>
        <w:spacing w:after="0" w:line="185" w:lineRule="exact"/>
        <w:rPr>
          <w:sz w:val="20"/>
          <w:szCs w:val="20"/>
          <w:color w:val="auto"/>
        </w:rPr>
      </w:pPr>
    </w:p>
    <w:p>
      <w:pPr>
        <w:ind w:left="1040"/>
        <w:spacing w:after="0" w:line="265" w:lineRule="auto"/>
        <w:rPr>
          <w:sz w:val="20"/>
          <w:szCs w:val="20"/>
          <w:color w:val="auto"/>
        </w:rPr>
      </w:pPr>
      <w:r>
        <w:rPr>
          <w:rFonts w:ascii="Arial" w:cs="Arial" w:eastAsia="Arial" w:hAnsi="Arial"/>
          <w:sz w:val="17"/>
          <w:szCs w:val="17"/>
          <w:color w:val="auto"/>
        </w:rPr>
        <w:t>If you are unsure whether information of which you are aware is material or nonpublic, you should consult with the Compliance Officer.</w:t>
      </w:r>
    </w:p>
    <w:p>
      <w:pPr>
        <w:spacing w:after="0" w:line="140" w:lineRule="exact"/>
        <w:rPr>
          <w:sz w:val="20"/>
          <w:szCs w:val="20"/>
          <w:color w:val="auto"/>
        </w:rPr>
      </w:pPr>
    </w:p>
    <w:p>
      <w:pPr>
        <w:ind w:left="1040" w:hanging="381"/>
        <w:spacing w:after="0"/>
        <w:tabs>
          <w:tab w:leader="none" w:pos="1040" w:val="left"/>
        </w:tabs>
        <w:numPr>
          <w:ilvl w:val="1"/>
          <w:numId w:val="94"/>
        </w:numPr>
        <w:rPr>
          <w:rFonts w:ascii="Arial" w:cs="Arial" w:eastAsia="Arial" w:hAnsi="Arial"/>
          <w:sz w:val="17"/>
          <w:szCs w:val="17"/>
          <w:color w:val="auto"/>
        </w:rPr>
      </w:pPr>
      <w:r>
        <w:rPr>
          <w:rFonts w:ascii="Arial" w:cs="Arial" w:eastAsia="Arial" w:hAnsi="Arial"/>
          <w:sz w:val="17"/>
          <w:szCs w:val="17"/>
          <w:color w:val="auto"/>
        </w:rPr>
        <w:t>“Nonpublic” Information.</w:t>
      </w:r>
    </w:p>
    <w:p>
      <w:pPr>
        <w:spacing w:after="0" w:line="177" w:lineRule="exact"/>
        <w:rPr>
          <w:rFonts w:ascii="Arial" w:cs="Arial" w:eastAsia="Arial" w:hAnsi="Arial"/>
          <w:sz w:val="17"/>
          <w:szCs w:val="17"/>
          <w:color w:val="auto"/>
        </w:rPr>
      </w:pPr>
    </w:p>
    <w:p>
      <w:pPr>
        <w:jc w:val="both"/>
        <w:ind w:left="1040" w:right="20"/>
        <w:spacing w:after="0" w:line="238" w:lineRule="auto"/>
        <w:rPr>
          <w:rFonts w:ascii="Arial" w:cs="Arial" w:eastAsia="Arial" w:hAnsi="Arial"/>
          <w:sz w:val="17"/>
          <w:szCs w:val="17"/>
          <w:color w:val="auto"/>
        </w:rPr>
      </w:pPr>
      <w:r>
        <w:rPr>
          <w:rFonts w:ascii="Arial" w:cs="Arial" w:eastAsia="Arial" w:hAnsi="Arial"/>
          <w:sz w:val="17"/>
          <w:szCs w:val="17"/>
          <w:color w:val="auto"/>
        </w:rPr>
        <w:t>Material information is “nonpublic” if it has not been widely disseminated to the public in a manner making it available to investors generally, including, without limitation, through major newswire services, national news services and financial news services or the filing of public documents as required with the SEC. For the purposes of this policy, information will be considered public, i.e., no longer “nonpublic,” after the close of trading on the second full trading day following the company’s widespread public release of the information.</w:t>
      </w:r>
    </w:p>
    <w:p>
      <w:pPr>
        <w:spacing w:after="0" w:line="162"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7"/>
          <w:szCs w:val="17"/>
          <w:b w:val="1"/>
          <w:bCs w:val="1"/>
          <w:color w:val="auto"/>
        </w:rPr>
        <w:t>V.</w:t>
      </w:r>
      <w:r>
        <w:rPr>
          <w:rFonts w:ascii="Arial" w:cs="Arial" w:eastAsia="Arial" w:hAnsi="Arial"/>
          <w:sz w:val="16"/>
          <w:szCs w:val="16"/>
          <w:b w:val="1"/>
          <w:bCs w:val="1"/>
          <w:color w:val="auto"/>
        </w:rPr>
        <w:t>STATEMENT OF COMPANY POLICY AND PROCEDURES</w:t>
      </w:r>
    </w:p>
    <w:p>
      <w:pPr>
        <w:spacing w:after="0" w:line="177" w:lineRule="exact"/>
        <w:rPr>
          <w:rFonts w:ascii="Arial" w:cs="Arial" w:eastAsia="Arial" w:hAnsi="Arial"/>
          <w:sz w:val="17"/>
          <w:szCs w:val="17"/>
          <w:color w:val="auto"/>
        </w:rPr>
      </w:pPr>
    </w:p>
    <w:p>
      <w:pPr>
        <w:ind w:left="1040" w:hanging="381"/>
        <w:spacing w:after="0"/>
        <w:tabs>
          <w:tab w:leader="none" w:pos="1040" w:val="left"/>
        </w:tabs>
        <w:numPr>
          <w:ilvl w:val="1"/>
          <w:numId w:val="95"/>
        </w:numPr>
        <w:rPr>
          <w:rFonts w:ascii="Arial" w:cs="Arial" w:eastAsia="Arial" w:hAnsi="Arial"/>
          <w:sz w:val="17"/>
          <w:szCs w:val="17"/>
          <w:color w:val="auto"/>
        </w:rPr>
      </w:pPr>
      <w:r>
        <w:rPr>
          <w:rFonts w:ascii="Arial" w:cs="Arial" w:eastAsia="Arial" w:hAnsi="Arial"/>
          <w:sz w:val="17"/>
          <w:szCs w:val="17"/>
          <w:color w:val="auto"/>
        </w:rPr>
        <w:t>Prohibited Activities:</w:t>
      </w:r>
    </w:p>
    <w:p>
      <w:pPr>
        <w:spacing w:after="0" w:line="177" w:lineRule="exact"/>
        <w:rPr>
          <w:rFonts w:ascii="Arial" w:cs="Arial" w:eastAsia="Arial" w:hAnsi="Arial"/>
          <w:sz w:val="17"/>
          <w:szCs w:val="17"/>
          <w:color w:val="auto"/>
        </w:rPr>
      </w:pPr>
    </w:p>
    <w:p>
      <w:pPr>
        <w:ind w:left="1420"/>
        <w:spacing w:after="0"/>
        <w:rPr>
          <w:rFonts w:ascii="Arial" w:cs="Arial" w:eastAsia="Arial" w:hAnsi="Arial"/>
          <w:sz w:val="17"/>
          <w:szCs w:val="17"/>
          <w:color w:val="auto"/>
        </w:rPr>
      </w:pPr>
      <w:r>
        <w:rPr>
          <w:rFonts w:ascii="Arial" w:cs="Arial" w:eastAsia="Arial" w:hAnsi="Arial"/>
          <w:sz w:val="17"/>
          <w:szCs w:val="17"/>
          <w:color w:val="auto"/>
        </w:rPr>
        <w:t>i.No Insider may trade in Company securities while possessing material nonpublic information concerning the Company.</w:t>
      </w:r>
    </w:p>
    <w:p>
      <w:pPr>
        <w:spacing w:after="0" w:line="172" w:lineRule="exact"/>
        <w:rPr>
          <w:sz w:val="20"/>
          <w:szCs w:val="20"/>
          <w:color w:val="auto"/>
        </w:rPr>
      </w:pPr>
    </w:p>
    <w:p>
      <w:pPr>
        <w:spacing w:after="0"/>
        <w:rPr>
          <w:sz w:val="20"/>
          <w:szCs w:val="20"/>
          <w:color w:val="auto"/>
        </w:rPr>
      </w:pPr>
      <w:r>
        <w:rPr>
          <w:rFonts w:ascii="Calibri" w:cs="Calibri" w:eastAsia="Calibri" w:hAnsi="Calibri"/>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560705</wp:posOffset>
            </wp:positionV>
            <wp:extent cx="7176135" cy="4000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000"/>
          </w:cols>
          <w:pgMar w:left="360" w:top="1264" w:right="539" w:bottom="1440" w:gutter="0" w:footer="0" w:header="0"/>
        </w:sectPr>
      </w:pPr>
    </w:p>
    <w:bookmarkStart w:id="184" w:name="page185"/>
    <w:bookmarkEnd w:id="184"/>
    <w:p>
      <w:pPr>
        <w:spacing w:after="0" w:line="11" w:lineRule="exact"/>
        <w:rPr>
          <w:sz w:val="20"/>
          <w:szCs w:val="20"/>
          <w:color w:val="auto"/>
        </w:rPr>
      </w:pPr>
    </w:p>
    <w:p>
      <w:pPr>
        <w:ind w:left="1940" w:hanging="576"/>
        <w:spacing w:after="0"/>
        <w:tabs>
          <w:tab w:leader="none" w:pos="1940" w:val="left"/>
        </w:tabs>
        <w:numPr>
          <w:ilvl w:val="1"/>
          <w:numId w:val="96"/>
        </w:numPr>
        <w:rPr>
          <w:rFonts w:ascii="Arial" w:cs="Arial" w:eastAsia="Arial" w:hAnsi="Arial"/>
          <w:sz w:val="17"/>
          <w:szCs w:val="17"/>
          <w:color w:val="auto"/>
        </w:rPr>
      </w:pPr>
      <w:r>
        <w:rPr>
          <w:rFonts w:ascii="Arial" w:cs="Arial" w:eastAsia="Arial" w:hAnsi="Arial"/>
          <w:sz w:val="17"/>
          <w:szCs w:val="17"/>
          <w:color w:val="auto"/>
        </w:rPr>
        <w:t>No Insider may trade in Company securities during any Special Blackout Periods designated by the Compliance Officer.</w:t>
      </w:r>
    </w:p>
    <w:p>
      <w:pPr>
        <w:spacing w:after="0" w:line="189" w:lineRule="exact"/>
        <w:rPr>
          <w:rFonts w:ascii="Arial" w:cs="Arial" w:eastAsia="Arial" w:hAnsi="Arial"/>
          <w:sz w:val="17"/>
          <w:szCs w:val="17"/>
          <w:color w:val="auto"/>
        </w:rPr>
      </w:pPr>
    </w:p>
    <w:p>
      <w:pPr>
        <w:ind w:left="1960" w:hanging="641"/>
        <w:spacing w:after="0"/>
        <w:tabs>
          <w:tab w:leader="none" w:pos="1960" w:val="left"/>
        </w:tabs>
        <w:numPr>
          <w:ilvl w:val="1"/>
          <w:numId w:val="96"/>
        </w:numPr>
        <w:rPr>
          <w:rFonts w:ascii="Arial" w:cs="Arial" w:eastAsia="Arial" w:hAnsi="Arial"/>
          <w:sz w:val="17"/>
          <w:szCs w:val="17"/>
          <w:color w:val="auto"/>
        </w:rPr>
      </w:pPr>
      <w:r>
        <w:rPr>
          <w:rFonts w:ascii="Arial" w:cs="Arial" w:eastAsia="Arial" w:hAnsi="Arial"/>
          <w:sz w:val="17"/>
          <w:szCs w:val="17"/>
          <w:color w:val="auto"/>
        </w:rPr>
        <w:t>No Insider may trade in Company securities unless the trade(s) have been</w:t>
      </w:r>
    </w:p>
    <w:p>
      <w:pPr>
        <w:spacing w:after="0" w:line="49" w:lineRule="exact"/>
        <w:rPr>
          <w:rFonts w:ascii="Arial" w:cs="Arial" w:eastAsia="Arial" w:hAnsi="Arial"/>
          <w:sz w:val="17"/>
          <w:szCs w:val="17"/>
          <w:color w:val="auto"/>
        </w:rPr>
      </w:pPr>
    </w:p>
    <w:p>
      <w:pPr>
        <w:jc w:val="both"/>
        <w:ind w:left="1960"/>
        <w:spacing w:after="0" w:line="238" w:lineRule="auto"/>
        <w:rPr>
          <w:rFonts w:ascii="Arial" w:cs="Arial" w:eastAsia="Arial" w:hAnsi="Arial"/>
          <w:sz w:val="17"/>
          <w:szCs w:val="17"/>
          <w:color w:val="auto"/>
        </w:rPr>
      </w:pPr>
      <w:r>
        <w:rPr>
          <w:rFonts w:ascii="Arial" w:cs="Arial" w:eastAsia="Arial" w:hAnsi="Arial"/>
          <w:sz w:val="17"/>
          <w:szCs w:val="17"/>
          <w:color w:val="auto"/>
        </w:rPr>
        <w:t>approved by the Committee in accordance with the procedures set forth in Section V(c), below. Other than as required pursuant to Section V(a)(viii), below, Insiders who wish to sell Company securities in order to realize their profits are strongly encouraged to sell their securities pursuant to a predetermined written plan meeting the requirements of Rule 10b5-1 of the Exchange Act (“Rule 10b5-1”) which is approved by the Committee. To the extent possible, Insiders should retain all records and documents that support their reasons for making each trade.</w:t>
      </w:r>
    </w:p>
    <w:p>
      <w:pPr>
        <w:spacing w:after="0" w:line="151" w:lineRule="exact"/>
        <w:rPr>
          <w:rFonts w:ascii="Arial" w:cs="Arial" w:eastAsia="Arial" w:hAnsi="Arial"/>
          <w:sz w:val="17"/>
          <w:szCs w:val="17"/>
          <w:color w:val="auto"/>
        </w:rPr>
      </w:pPr>
    </w:p>
    <w:p>
      <w:pPr>
        <w:jc w:val="both"/>
        <w:ind w:left="1940" w:right="20" w:hanging="635"/>
        <w:spacing w:after="0" w:line="247" w:lineRule="auto"/>
        <w:tabs>
          <w:tab w:leader="none" w:pos="19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Neither member of the Committee may not trade in Company securities unless the trade(s) have been approved by the other member of the Committee and the Company’s outside legal counsel in accordance with the procedures set forth in Section V(c), below.</w:t>
      </w:r>
    </w:p>
    <w:p>
      <w:pPr>
        <w:spacing w:after="0" w:line="143" w:lineRule="exact"/>
        <w:rPr>
          <w:rFonts w:ascii="Arial" w:cs="Arial" w:eastAsia="Arial" w:hAnsi="Arial"/>
          <w:sz w:val="17"/>
          <w:szCs w:val="17"/>
          <w:color w:val="auto"/>
        </w:rPr>
      </w:pPr>
    </w:p>
    <w:p>
      <w:pPr>
        <w:jc w:val="both"/>
        <w:ind w:left="1940" w:hanging="530"/>
        <w:spacing w:after="0" w:line="237" w:lineRule="auto"/>
        <w:tabs>
          <w:tab w:leader="none" w:pos="1940" w:val="left"/>
        </w:tabs>
        <w:numPr>
          <w:ilvl w:val="2"/>
          <w:numId w:val="97"/>
        </w:numPr>
        <w:rPr>
          <w:rFonts w:ascii="Arial" w:cs="Arial" w:eastAsia="Arial" w:hAnsi="Arial"/>
          <w:sz w:val="17"/>
          <w:szCs w:val="17"/>
          <w:color w:val="auto"/>
        </w:rPr>
      </w:pPr>
      <w:r>
        <w:rPr>
          <w:rFonts w:ascii="Arial" w:cs="Arial" w:eastAsia="Arial" w:hAnsi="Arial"/>
          <w:sz w:val="17"/>
          <w:szCs w:val="17"/>
          <w:color w:val="auto"/>
        </w:rPr>
        <w:t>No Insider may “tip” or disclose material nonpublic information concerning the Company to any person unless required as part of that Insider’s regular duties for the Company. In any instance in which such information is disclosed to outsiders, the Company shall take such steps as are necessary to preserve the confidentiality of the information, including requiring the outsider to agree in writing to comply with the terms of this policy and/or to sign a confidentiality agreement. All inquiries from outsiders regarding material nonpublic information about the Company must be forwarded to the Compliance Officer.</w:t>
      </w:r>
    </w:p>
    <w:p>
      <w:pPr>
        <w:spacing w:after="0" w:line="160" w:lineRule="exact"/>
        <w:rPr>
          <w:sz w:val="20"/>
          <w:szCs w:val="20"/>
          <w:color w:val="auto"/>
        </w:rPr>
      </w:pPr>
    </w:p>
    <w:p>
      <w:pPr>
        <w:jc w:val="both"/>
        <w:ind w:left="1940" w:hanging="635"/>
        <w:spacing w:after="0" w:line="238" w:lineRule="auto"/>
        <w:tabs>
          <w:tab w:leader="none" w:pos="1940" w:val="left"/>
        </w:tabs>
        <w:numPr>
          <w:ilvl w:val="3"/>
          <w:numId w:val="98"/>
        </w:numPr>
        <w:rPr>
          <w:rFonts w:ascii="Arial" w:cs="Arial" w:eastAsia="Arial" w:hAnsi="Arial"/>
          <w:sz w:val="17"/>
          <w:szCs w:val="17"/>
          <w:color w:val="auto"/>
        </w:rPr>
      </w:pPr>
      <w:r>
        <w:rPr>
          <w:rFonts w:ascii="Arial" w:cs="Arial" w:eastAsia="Arial" w:hAnsi="Arial"/>
          <w:sz w:val="17"/>
          <w:szCs w:val="17"/>
          <w:color w:val="auto"/>
        </w:rPr>
        <w:t>No Insider may give trading advice of any kind about the Company to anyone while possessing material nonpublic information about the Company, except that Insiders should advise others not to trade if they have knowledge that doing so might violate the law or this policy. The Company strongly discourages all Insiders from giving trading advice concerning the Company to third parties even when the Insiders do not possess material nonpublic information about the Company.</w:t>
      </w:r>
    </w:p>
    <w:p>
      <w:pPr>
        <w:spacing w:after="0" w:line="151" w:lineRule="exact"/>
        <w:rPr>
          <w:rFonts w:ascii="Arial" w:cs="Arial" w:eastAsia="Arial" w:hAnsi="Arial"/>
          <w:sz w:val="17"/>
          <w:szCs w:val="17"/>
          <w:color w:val="auto"/>
        </w:rPr>
      </w:pPr>
    </w:p>
    <w:p>
      <w:pPr>
        <w:ind w:left="1940" w:right="20" w:hanging="726"/>
        <w:spacing w:after="0" w:line="265" w:lineRule="auto"/>
        <w:tabs>
          <w:tab w:leader="none" w:pos="1940" w:val="left"/>
        </w:tabs>
        <w:numPr>
          <w:ilvl w:val="2"/>
          <w:numId w:val="99"/>
        </w:numPr>
        <w:rPr>
          <w:rFonts w:ascii="Arial" w:cs="Arial" w:eastAsia="Arial" w:hAnsi="Arial"/>
          <w:sz w:val="17"/>
          <w:szCs w:val="17"/>
          <w:color w:val="auto"/>
        </w:rPr>
      </w:pPr>
      <w:r>
        <w:rPr>
          <w:rFonts w:ascii="Arial" w:cs="Arial" w:eastAsia="Arial" w:hAnsi="Arial"/>
          <w:sz w:val="17"/>
          <w:szCs w:val="17"/>
          <w:color w:val="auto"/>
        </w:rPr>
        <w:t>No Insider may trade in any interest or position relating to the future price of Company securities, such as a put, call, short sale or other derivative short position.</w:t>
      </w:r>
    </w:p>
    <w:p>
      <w:pPr>
        <w:spacing w:after="0" w:line="140" w:lineRule="exact"/>
        <w:rPr>
          <w:rFonts w:ascii="Arial" w:cs="Arial" w:eastAsia="Arial" w:hAnsi="Arial"/>
          <w:sz w:val="17"/>
          <w:szCs w:val="17"/>
          <w:color w:val="auto"/>
        </w:rPr>
      </w:pPr>
    </w:p>
    <w:p>
      <w:pPr>
        <w:jc w:val="both"/>
        <w:ind w:left="1940" w:right="20" w:hanging="786"/>
        <w:spacing w:after="0" w:line="247" w:lineRule="auto"/>
        <w:tabs>
          <w:tab w:leader="none" w:pos="194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Any director or employee of the Company holding a title of vice president-level or higher may only sell Company securities pursuant to a 10b5-1 Plan (as defined below) as approved pursuant to the provisions below (for purposes of clarity, such persons may execute purchases of Company securities pursuant to this policy without a 10b5-1 Plan).</w:t>
      </w:r>
    </w:p>
    <w:p>
      <w:pPr>
        <w:spacing w:after="0" w:line="155" w:lineRule="exact"/>
        <w:rPr>
          <w:rFonts w:ascii="Arial" w:cs="Arial" w:eastAsia="Arial" w:hAnsi="Arial"/>
          <w:sz w:val="17"/>
          <w:szCs w:val="17"/>
          <w:color w:val="auto"/>
        </w:rPr>
      </w:pPr>
    </w:p>
    <w:p>
      <w:pPr>
        <w:ind w:left="440" w:hanging="367"/>
        <w:spacing w:after="0"/>
        <w:tabs>
          <w:tab w:leader="none" w:pos="4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Blackout Periods</w:t>
      </w:r>
    </w:p>
    <w:p>
      <w:pPr>
        <w:spacing w:after="0" w:line="177" w:lineRule="exact"/>
        <w:rPr>
          <w:rFonts w:ascii="Arial" w:cs="Arial" w:eastAsia="Arial" w:hAnsi="Arial"/>
          <w:sz w:val="17"/>
          <w:szCs w:val="17"/>
          <w:color w:val="auto"/>
        </w:rPr>
      </w:pPr>
    </w:p>
    <w:p>
      <w:pPr>
        <w:jc w:val="both"/>
        <w:ind w:left="1940" w:hanging="290"/>
        <w:spacing w:after="0" w:line="238" w:lineRule="auto"/>
        <w:tabs>
          <w:tab w:leader="none" w:pos="1940" w:val="left"/>
        </w:tabs>
        <w:numPr>
          <w:ilvl w:val="4"/>
          <w:numId w:val="101"/>
        </w:numPr>
        <w:rPr>
          <w:rFonts w:ascii="Arial" w:cs="Arial" w:eastAsia="Arial" w:hAnsi="Arial"/>
          <w:sz w:val="17"/>
          <w:szCs w:val="17"/>
          <w:color w:val="auto"/>
        </w:rPr>
      </w:pPr>
      <w:r>
        <w:rPr>
          <w:rFonts w:ascii="Arial" w:cs="Arial" w:eastAsia="Arial" w:hAnsi="Arial"/>
          <w:sz w:val="17"/>
          <w:szCs w:val="17"/>
          <w:color w:val="auto"/>
        </w:rPr>
        <w:t>The period beginning fourteen (14) calendar days prior to the last day of the last calendar month of each quarter and ending two ( 2 ) trading days following the date of public disclosure of the financial results for that quarter (the "</w:t>
      </w:r>
      <w:r>
        <w:rPr>
          <w:rFonts w:ascii="Arial" w:cs="Arial" w:eastAsia="Arial" w:hAnsi="Arial"/>
          <w:sz w:val="17"/>
          <w:szCs w:val="17"/>
          <w:b w:val="1"/>
          <w:bCs w:val="1"/>
          <w:color w:val="auto"/>
        </w:rPr>
        <w:t>Quarterly Blackout Period</w:t>
      </w:r>
      <w:r>
        <w:rPr>
          <w:rFonts w:ascii="Arial" w:cs="Arial" w:eastAsia="Arial" w:hAnsi="Arial"/>
          <w:sz w:val="17"/>
          <w:szCs w:val="17"/>
          <w:color w:val="auto"/>
        </w:rPr>
        <w:t>") is a particularly sensitive period of time for transactions in the Company's stock from the perspective of compliance with applicable securities laws. This sensitivity is due to the fact that officers, directors and certain other</w:t>
      </w:r>
    </w:p>
    <w:p>
      <w:pPr>
        <w:spacing w:after="0" w:line="145" w:lineRule="exact"/>
        <w:rPr>
          <w:sz w:val="20"/>
          <w:szCs w:val="20"/>
          <w:color w:val="auto"/>
        </w:rPr>
      </w:pPr>
    </w:p>
    <w:p>
      <w:pPr>
        <w:spacing w:after="0"/>
        <w:rPr>
          <w:sz w:val="20"/>
          <w:szCs w:val="20"/>
          <w:color w:val="auto"/>
        </w:rPr>
      </w:pPr>
      <w:r>
        <w:rPr>
          <w:rFonts w:ascii="Calibri" w:cs="Calibri" w:eastAsia="Calibri" w:hAnsi="Calibri"/>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560705</wp:posOffset>
            </wp:positionV>
            <wp:extent cx="7176135" cy="4000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980"/>
          </w:cols>
          <w:pgMar w:left="360" w:top="1440" w:right="559" w:bottom="1440" w:gutter="0" w:footer="0" w:header="0"/>
        </w:sectPr>
      </w:pPr>
    </w:p>
    <w:bookmarkStart w:id="185" w:name="page186"/>
    <w:bookmarkEnd w:id="185"/>
    <w:p>
      <w:pPr>
        <w:ind w:left="1940" w:right="20"/>
        <w:spacing w:after="0" w:line="265" w:lineRule="auto"/>
        <w:rPr>
          <w:sz w:val="20"/>
          <w:szCs w:val="20"/>
          <w:color w:val="auto"/>
        </w:rPr>
      </w:pPr>
      <w:r>
        <w:rPr>
          <w:rFonts w:ascii="Arial" w:cs="Arial" w:eastAsia="Arial" w:hAnsi="Arial"/>
          <w:sz w:val="17"/>
          <w:szCs w:val="17"/>
          <w:color w:val="auto"/>
        </w:rPr>
        <w:t>employees and consultants will, during that period, often possess material nonpublic information about the expected financial results for the quarter. Except as set forth in Section V(d), no Insider may trade in Company Securities</w:t>
      </w:r>
    </w:p>
    <w:p>
      <w:pPr>
        <w:ind w:left="1960" w:right="480"/>
        <w:spacing w:after="0" w:line="265" w:lineRule="auto"/>
        <w:rPr>
          <w:sz w:val="20"/>
          <w:szCs w:val="20"/>
          <w:color w:val="auto"/>
        </w:rPr>
      </w:pPr>
      <w:r>
        <w:rPr>
          <w:rFonts w:ascii="Arial" w:cs="Arial" w:eastAsia="Arial" w:hAnsi="Arial"/>
          <w:sz w:val="17"/>
          <w:szCs w:val="17"/>
          <w:color w:val="auto"/>
        </w:rPr>
        <w:t>during a Blackout Period, although the Committee may waive the restriction if it determines such person does not possess material nonpublic information.</w:t>
      </w:r>
    </w:p>
    <w:p>
      <w:pPr>
        <w:spacing w:after="0" w:line="140" w:lineRule="exact"/>
        <w:rPr>
          <w:sz w:val="20"/>
          <w:szCs w:val="20"/>
          <w:color w:val="auto"/>
        </w:rPr>
      </w:pPr>
    </w:p>
    <w:p>
      <w:pPr>
        <w:jc w:val="both"/>
        <w:ind w:left="1940" w:right="20" w:hanging="351"/>
        <w:spacing w:after="0" w:line="247" w:lineRule="auto"/>
        <w:tabs>
          <w:tab w:leader="none" w:pos="194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The Compliance Officer, in consultation with Company management, may, from time to time, designate special blackout periods ("</w:t>
      </w:r>
      <w:r>
        <w:rPr>
          <w:rFonts w:ascii="Arial" w:cs="Arial" w:eastAsia="Arial" w:hAnsi="Arial"/>
          <w:sz w:val="17"/>
          <w:szCs w:val="17"/>
          <w:b w:val="1"/>
          <w:bCs w:val="1"/>
          <w:color w:val="auto"/>
        </w:rPr>
        <w:t>Special Blackout Periods</w:t>
      </w:r>
      <w:r>
        <w:rPr>
          <w:rFonts w:ascii="Arial" w:cs="Arial" w:eastAsia="Arial" w:hAnsi="Arial"/>
          <w:sz w:val="17"/>
          <w:szCs w:val="17"/>
          <w:color w:val="auto"/>
        </w:rPr>
        <w:t>" and together with the Quarterly Blackout Period, the “</w:t>
      </w:r>
      <w:r>
        <w:rPr>
          <w:rFonts w:ascii="Arial" w:cs="Arial" w:eastAsia="Arial" w:hAnsi="Arial"/>
          <w:sz w:val="17"/>
          <w:szCs w:val="17"/>
          <w:b w:val="1"/>
          <w:bCs w:val="1"/>
          <w:color w:val="auto"/>
        </w:rPr>
        <w:t>Blackout Period</w:t>
      </w:r>
      <w:r>
        <w:rPr>
          <w:rFonts w:ascii="Arial" w:cs="Arial" w:eastAsia="Arial" w:hAnsi="Arial"/>
          <w:sz w:val="17"/>
          <w:szCs w:val="17"/>
          <w:color w:val="auto"/>
        </w:rPr>
        <w:t>”) during which trading in Company securities by all Insiders shall be prohibited.</w:t>
      </w:r>
    </w:p>
    <w:p>
      <w:pPr>
        <w:spacing w:after="0" w:line="14" w:lineRule="exact"/>
        <w:rPr>
          <w:rFonts w:ascii="Arial" w:cs="Arial" w:eastAsia="Arial" w:hAnsi="Arial"/>
          <w:sz w:val="17"/>
          <w:szCs w:val="17"/>
          <w:color w:val="auto"/>
        </w:rPr>
      </w:pPr>
    </w:p>
    <w:p>
      <w:pPr>
        <w:ind w:left="80" w:right="1300" w:firstLine="1464"/>
        <w:spacing w:after="0" w:line="465" w:lineRule="auto"/>
        <w:tabs>
          <w:tab w:leader="none" w:pos="1945" w:val="left"/>
        </w:tabs>
        <w:numPr>
          <w:ilvl w:val="1"/>
          <w:numId w:val="102"/>
        </w:numPr>
        <w:rPr>
          <w:rFonts w:ascii="Arial" w:cs="Arial" w:eastAsia="Arial" w:hAnsi="Arial"/>
          <w:sz w:val="17"/>
          <w:szCs w:val="17"/>
          <w:color w:val="auto"/>
        </w:rPr>
      </w:pPr>
      <w:r>
        <w:rPr>
          <w:rFonts w:ascii="Arial" w:cs="Arial" w:eastAsia="Arial" w:hAnsi="Arial"/>
          <w:sz w:val="17"/>
          <w:szCs w:val="17"/>
          <w:color w:val="auto"/>
        </w:rPr>
        <w:t>No Insider may disclose to any outside third party that a Special Blackout Period has been designated. c. Procedures for Approving Trades by Insiders</w:t>
      </w:r>
    </w:p>
    <w:p>
      <w:pPr>
        <w:spacing w:after="0" w:line="1" w:lineRule="exact"/>
        <w:rPr>
          <w:rFonts w:ascii="Arial" w:cs="Arial" w:eastAsia="Arial" w:hAnsi="Arial"/>
          <w:sz w:val="17"/>
          <w:szCs w:val="17"/>
          <w:color w:val="auto"/>
        </w:rPr>
      </w:pPr>
    </w:p>
    <w:p>
      <w:pPr>
        <w:ind w:left="1920" w:hanging="270"/>
        <w:spacing w:after="0"/>
        <w:tabs>
          <w:tab w:leader="none" w:pos="1920" w:val="left"/>
        </w:tabs>
        <w:numPr>
          <w:ilvl w:val="2"/>
          <w:numId w:val="102"/>
        </w:numPr>
        <w:rPr>
          <w:rFonts w:ascii="Arial" w:cs="Arial" w:eastAsia="Arial" w:hAnsi="Arial"/>
          <w:sz w:val="17"/>
          <w:szCs w:val="17"/>
          <w:color w:val="auto"/>
        </w:rPr>
      </w:pPr>
      <w:r>
        <w:rPr>
          <w:rFonts w:ascii="Arial" w:cs="Arial" w:eastAsia="Arial" w:hAnsi="Arial"/>
          <w:sz w:val="17"/>
          <w:szCs w:val="17"/>
          <w:color w:val="auto"/>
        </w:rPr>
        <w:t>Regardless of the proposed timing or type of trade, no Insider may trade in Company securities until:</w:t>
      </w:r>
    </w:p>
    <w:p>
      <w:pPr>
        <w:spacing w:after="0" w:line="177" w:lineRule="exact"/>
        <w:rPr>
          <w:rFonts w:ascii="Arial" w:cs="Arial" w:eastAsia="Arial" w:hAnsi="Arial"/>
          <w:sz w:val="17"/>
          <w:szCs w:val="17"/>
          <w:color w:val="auto"/>
        </w:rPr>
      </w:pPr>
    </w:p>
    <w:p>
      <w:pPr>
        <w:ind w:left="2700" w:hanging="375"/>
        <w:spacing w:after="0" w:line="265" w:lineRule="auto"/>
        <w:tabs>
          <w:tab w:leader="none" w:pos="2700" w:val="left"/>
        </w:tabs>
        <w:numPr>
          <w:ilvl w:val="3"/>
          <w:numId w:val="102"/>
        </w:numPr>
        <w:rPr>
          <w:rFonts w:ascii="Arial" w:cs="Arial" w:eastAsia="Arial" w:hAnsi="Arial"/>
          <w:sz w:val="17"/>
          <w:szCs w:val="17"/>
          <w:color w:val="auto"/>
        </w:rPr>
      </w:pPr>
      <w:r>
        <w:rPr>
          <w:rFonts w:ascii="Arial" w:cs="Arial" w:eastAsia="Arial" w:hAnsi="Arial"/>
          <w:sz w:val="17"/>
          <w:szCs w:val="17"/>
          <w:color w:val="auto"/>
        </w:rPr>
        <w:t>The person trading has notified the Compliance Officer in writing of the amount and nature of the proposed trade(s);</w:t>
      </w:r>
    </w:p>
    <w:p>
      <w:pPr>
        <w:spacing w:after="0" w:line="140" w:lineRule="exact"/>
        <w:rPr>
          <w:rFonts w:ascii="Arial" w:cs="Arial" w:eastAsia="Arial" w:hAnsi="Arial"/>
          <w:sz w:val="17"/>
          <w:szCs w:val="17"/>
          <w:color w:val="auto"/>
        </w:rPr>
      </w:pPr>
    </w:p>
    <w:p>
      <w:pPr>
        <w:ind w:left="2700" w:hanging="375"/>
        <w:spacing w:after="0"/>
        <w:tabs>
          <w:tab w:leader="none" w:pos="2700" w:val="left"/>
        </w:tabs>
        <w:numPr>
          <w:ilvl w:val="3"/>
          <w:numId w:val="102"/>
        </w:numPr>
        <w:rPr>
          <w:rFonts w:ascii="Arial" w:cs="Arial" w:eastAsia="Arial" w:hAnsi="Arial"/>
          <w:sz w:val="17"/>
          <w:szCs w:val="17"/>
          <w:color w:val="auto"/>
        </w:rPr>
      </w:pPr>
      <w:r>
        <w:rPr>
          <w:rFonts w:ascii="Arial" w:cs="Arial" w:eastAsia="Arial" w:hAnsi="Arial"/>
          <w:sz w:val="17"/>
          <w:szCs w:val="17"/>
          <w:color w:val="auto"/>
        </w:rPr>
        <w:t>The person trading has certified to the Compliance Officer in writing at the time of such proposed trade(s) that</w:t>
      </w:r>
    </w:p>
    <w:p>
      <w:pPr>
        <w:spacing w:after="0" w:line="7" w:lineRule="exact"/>
        <w:rPr>
          <w:rFonts w:ascii="Arial" w:cs="Arial" w:eastAsia="Arial" w:hAnsi="Arial"/>
          <w:sz w:val="17"/>
          <w:szCs w:val="17"/>
          <w:color w:val="auto"/>
        </w:rPr>
      </w:pPr>
    </w:p>
    <w:p>
      <w:pPr>
        <w:jc w:val="both"/>
        <w:ind w:left="2700" w:hanging="10"/>
        <w:spacing w:after="0" w:line="238" w:lineRule="auto"/>
        <w:tabs>
          <w:tab w:leader="none" w:pos="2929" w:val="left"/>
        </w:tabs>
        <w:numPr>
          <w:ilvl w:val="4"/>
          <w:numId w:val="102"/>
        </w:numPr>
        <w:rPr>
          <w:rFonts w:ascii="Arial" w:cs="Arial" w:eastAsia="Arial" w:hAnsi="Arial"/>
          <w:sz w:val="17"/>
          <w:szCs w:val="17"/>
          <w:color w:val="auto"/>
        </w:rPr>
      </w:pPr>
      <w:r>
        <w:rPr>
          <w:rFonts w:ascii="Arial" w:cs="Arial" w:eastAsia="Arial" w:hAnsi="Arial"/>
          <w:sz w:val="17"/>
          <w:szCs w:val="17"/>
          <w:color w:val="auto"/>
        </w:rPr>
        <w:t>he or she is not in possession of material nonpublic information concerning the Company and (ii) the proposed trade(s) do not violate the trading restrictions of Section 16 of the Exchange Act or Rule 144 of the Securities Act;</w:t>
      </w:r>
    </w:p>
    <w:p>
      <w:pPr>
        <w:spacing w:after="0" w:line="172" w:lineRule="exact"/>
        <w:rPr>
          <w:rFonts w:ascii="Arial" w:cs="Arial" w:eastAsia="Arial" w:hAnsi="Arial"/>
          <w:sz w:val="17"/>
          <w:szCs w:val="17"/>
          <w:color w:val="auto"/>
        </w:rPr>
      </w:pPr>
    </w:p>
    <w:p>
      <w:pPr>
        <w:ind w:left="2700" w:right="20" w:hanging="375"/>
        <w:spacing w:after="0" w:line="265" w:lineRule="auto"/>
        <w:tabs>
          <w:tab w:leader="none" w:pos="2700" w:val="left"/>
        </w:tabs>
        <w:numPr>
          <w:ilvl w:val="3"/>
          <w:numId w:val="102"/>
        </w:numPr>
        <w:rPr>
          <w:rFonts w:ascii="Arial" w:cs="Arial" w:eastAsia="Arial" w:hAnsi="Arial"/>
          <w:sz w:val="17"/>
          <w:szCs w:val="17"/>
          <w:color w:val="auto"/>
        </w:rPr>
      </w:pPr>
      <w:r>
        <w:rPr>
          <w:rFonts w:ascii="Arial" w:cs="Arial" w:eastAsia="Arial" w:hAnsi="Arial"/>
          <w:sz w:val="17"/>
          <w:szCs w:val="17"/>
          <w:color w:val="auto"/>
        </w:rPr>
        <w:t>The person trading has notified and received approval from the Committee for the filing of a Form 144 with the SEC, if applicable; and</w:t>
      </w:r>
    </w:p>
    <w:p>
      <w:pPr>
        <w:spacing w:after="0" w:line="128" w:lineRule="exact"/>
        <w:rPr>
          <w:rFonts w:ascii="Arial" w:cs="Arial" w:eastAsia="Arial" w:hAnsi="Arial"/>
          <w:sz w:val="17"/>
          <w:szCs w:val="17"/>
          <w:color w:val="auto"/>
        </w:rPr>
      </w:pPr>
    </w:p>
    <w:p>
      <w:pPr>
        <w:ind w:left="2700" w:hanging="375"/>
        <w:spacing w:after="0"/>
        <w:tabs>
          <w:tab w:leader="none" w:pos="2700" w:val="left"/>
        </w:tabs>
        <w:numPr>
          <w:ilvl w:val="3"/>
          <w:numId w:val="102"/>
        </w:numPr>
        <w:rPr>
          <w:rFonts w:ascii="Arial" w:cs="Arial" w:eastAsia="Arial" w:hAnsi="Arial"/>
          <w:sz w:val="17"/>
          <w:szCs w:val="17"/>
          <w:color w:val="auto"/>
        </w:rPr>
      </w:pPr>
      <w:r>
        <w:rPr>
          <w:rFonts w:ascii="Arial" w:cs="Arial" w:eastAsia="Arial" w:hAnsi="Arial"/>
          <w:sz w:val="17"/>
          <w:szCs w:val="17"/>
          <w:color w:val="auto"/>
        </w:rPr>
        <w:t>The Committee has approved the trade(s), and the Compliance Officer has certified such approval in writing.</w:t>
      </w:r>
    </w:p>
    <w:p>
      <w:pPr>
        <w:spacing w:after="0" w:line="177" w:lineRule="exact"/>
        <w:rPr>
          <w:rFonts w:ascii="Arial" w:cs="Arial" w:eastAsia="Arial" w:hAnsi="Arial"/>
          <w:sz w:val="17"/>
          <w:szCs w:val="17"/>
          <w:color w:val="auto"/>
        </w:rPr>
      </w:pPr>
    </w:p>
    <w:p>
      <w:pPr>
        <w:ind w:left="1960" w:hanging="355"/>
        <w:spacing w:after="0"/>
        <w:tabs>
          <w:tab w:leader="none" w:pos="1960" w:val="left"/>
        </w:tabs>
        <w:numPr>
          <w:ilvl w:val="2"/>
          <w:numId w:val="102"/>
        </w:numPr>
        <w:rPr>
          <w:rFonts w:ascii="Arial" w:cs="Arial" w:eastAsia="Arial" w:hAnsi="Arial"/>
          <w:sz w:val="17"/>
          <w:szCs w:val="17"/>
          <w:color w:val="auto"/>
        </w:rPr>
      </w:pPr>
      <w:r>
        <w:rPr>
          <w:rFonts w:ascii="Arial" w:cs="Arial" w:eastAsia="Arial" w:hAnsi="Arial"/>
          <w:sz w:val="17"/>
          <w:szCs w:val="17"/>
          <w:color w:val="auto"/>
        </w:rPr>
        <w:t>Trades made pursuant to Rule 10b5-1 Plans</w:t>
      </w:r>
    </w:p>
    <w:p>
      <w:pPr>
        <w:spacing w:after="0" w:line="189" w:lineRule="exact"/>
        <w:rPr>
          <w:rFonts w:ascii="Arial" w:cs="Arial" w:eastAsia="Arial" w:hAnsi="Arial"/>
          <w:sz w:val="17"/>
          <w:szCs w:val="17"/>
          <w:color w:val="auto"/>
        </w:rPr>
      </w:pPr>
    </w:p>
    <w:p>
      <w:pPr>
        <w:jc w:val="both"/>
        <w:ind w:left="2700" w:hanging="375"/>
        <w:spacing w:after="0" w:line="253" w:lineRule="auto"/>
        <w:tabs>
          <w:tab w:leader="none" w:pos="2700" w:val="left"/>
        </w:tabs>
        <w:numPr>
          <w:ilvl w:val="3"/>
          <w:numId w:val="102"/>
        </w:numPr>
        <w:rPr>
          <w:rFonts w:ascii="Arial" w:cs="Arial" w:eastAsia="Arial" w:hAnsi="Arial"/>
          <w:sz w:val="17"/>
          <w:szCs w:val="17"/>
          <w:color w:val="auto"/>
        </w:rPr>
      </w:pPr>
      <w:r>
        <w:rPr>
          <w:rFonts w:ascii="Arial" w:cs="Arial" w:eastAsia="Arial" w:hAnsi="Arial"/>
          <w:sz w:val="17"/>
          <w:szCs w:val="17"/>
          <w:color w:val="auto"/>
        </w:rPr>
        <w:t>The Company must pre-approve any plan, arrangement or trading instructions, etc. prepared pursuant to Rule 10b5-1 involving potential sales (or purchases) of stock or option exercises and sales, etc. (any such plan prepared in accordance with Rule 10b5- 1, a “</w:t>
      </w:r>
      <w:r>
        <w:rPr>
          <w:rFonts w:ascii="Arial" w:cs="Arial" w:eastAsia="Arial" w:hAnsi="Arial"/>
          <w:sz w:val="17"/>
          <w:szCs w:val="17"/>
          <w:b w:val="1"/>
          <w:bCs w:val="1"/>
          <w:color w:val="auto"/>
        </w:rPr>
        <w:t>10b5-1 Plan</w:t>
      </w:r>
      <w:r>
        <w:rPr>
          <w:rFonts w:ascii="Arial" w:cs="Arial" w:eastAsia="Arial" w:hAnsi="Arial"/>
          <w:sz w:val="17"/>
          <w:szCs w:val="17"/>
          <w:color w:val="auto"/>
        </w:rPr>
        <w:t>”).</w:t>
      </w:r>
    </w:p>
    <w:p>
      <w:pPr>
        <w:spacing w:after="0" w:line="140" w:lineRule="exact"/>
        <w:rPr>
          <w:rFonts w:ascii="Arial" w:cs="Arial" w:eastAsia="Arial" w:hAnsi="Arial"/>
          <w:sz w:val="17"/>
          <w:szCs w:val="17"/>
          <w:color w:val="auto"/>
        </w:rPr>
      </w:pPr>
    </w:p>
    <w:p>
      <w:pPr>
        <w:ind w:left="2700" w:hanging="375"/>
        <w:spacing w:after="0"/>
        <w:tabs>
          <w:tab w:leader="none" w:pos="2700" w:val="left"/>
        </w:tabs>
        <w:numPr>
          <w:ilvl w:val="3"/>
          <w:numId w:val="102"/>
        </w:numPr>
        <w:rPr>
          <w:rFonts w:ascii="Arial" w:cs="Arial" w:eastAsia="Arial" w:hAnsi="Arial"/>
          <w:sz w:val="17"/>
          <w:szCs w:val="17"/>
          <w:color w:val="auto"/>
        </w:rPr>
      </w:pPr>
      <w:r>
        <w:rPr>
          <w:rFonts w:ascii="Arial" w:cs="Arial" w:eastAsia="Arial" w:hAnsi="Arial"/>
          <w:sz w:val="17"/>
          <w:szCs w:val="17"/>
          <w:color w:val="auto"/>
        </w:rPr>
        <w:t>In reviewing any 10b5-1 Plan, the Company shall:</w:t>
      </w:r>
    </w:p>
    <w:p>
      <w:pPr>
        <w:spacing w:after="0" w:line="177" w:lineRule="exact"/>
        <w:rPr>
          <w:rFonts w:ascii="Arial" w:cs="Arial" w:eastAsia="Arial" w:hAnsi="Arial"/>
          <w:sz w:val="17"/>
          <w:szCs w:val="17"/>
          <w:color w:val="auto"/>
        </w:rPr>
      </w:pPr>
    </w:p>
    <w:p>
      <w:pPr>
        <w:jc w:val="both"/>
        <w:ind w:left="3440" w:hanging="364"/>
        <w:spacing w:after="0"/>
        <w:tabs>
          <w:tab w:leader="none" w:pos="3440" w:val="left"/>
        </w:tabs>
        <w:numPr>
          <w:ilvl w:val="5"/>
          <w:numId w:val="102"/>
        </w:numPr>
        <w:rPr>
          <w:rFonts w:ascii="Arial" w:cs="Arial" w:eastAsia="Arial" w:hAnsi="Arial"/>
          <w:sz w:val="17"/>
          <w:szCs w:val="17"/>
          <w:color w:val="auto"/>
        </w:rPr>
      </w:pPr>
      <w:r>
        <w:rPr>
          <w:rFonts w:ascii="Arial" w:cs="Arial" w:eastAsia="Arial" w:hAnsi="Arial"/>
          <w:sz w:val="17"/>
          <w:szCs w:val="17"/>
          <w:color w:val="auto"/>
        </w:rPr>
        <w:t>Verify that at the time a 10b5-1 Plan is entered into, there is no nonpublic material information about the Company (even if the Insider proposing the 10b5-1 Plan is not aware of such information).</w:t>
      </w:r>
    </w:p>
    <w:p>
      <w:pPr>
        <w:spacing w:after="0" w:line="185" w:lineRule="exact"/>
        <w:rPr>
          <w:rFonts w:ascii="Arial" w:cs="Arial" w:eastAsia="Arial" w:hAnsi="Arial"/>
          <w:sz w:val="17"/>
          <w:szCs w:val="17"/>
          <w:color w:val="auto"/>
        </w:rPr>
      </w:pPr>
    </w:p>
    <w:p>
      <w:pPr>
        <w:ind w:left="3440" w:right="20" w:hanging="364"/>
        <w:spacing w:after="0" w:line="229" w:lineRule="auto"/>
        <w:tabs>
          <w:tab w:leader="none" w:pos="3440" w:val="left"/>
        </w:tabs>
        <w:numPr>
          <w:ilvl w:val="5"/>
          <w:numId w:val="102"/>
        </w:numPr>
        <w:rPr>
          <w:rFonts w:ascii="Arial" w:cs="Arial" w:eastAsia="Arial" w:hAnsi="Arial"/>
          <w:sz w:val="17"/>
          <w:szCs w:val="17"/>
          <w:color w:val="auto"/>
        </w:rPr>
      </w:pPr>
      <w:r>
        <w:rPr>
          <w:rFonts w:ascii="Arial" w:cs="Arial" w:eastAsia="Arial" w:hAnsi="Arial"/>
          <w:sz w:val="17"/>
          <w:szCs w:val="17"/>
          <w:color w:val="auto"/>
        </w:rPr>
        <w:t>Ensure that the first trade authorized by any 10b5-1 Plan does not occur until a time following the release of the</w:t>
      </w:r>
    </w:p>
    <w:p>
      <w:pPr>
        <w:ind w:left="3460" w:right="740"/>
        <w:spacing w:after="0" w:line="229" w:lineRule="auto"/>
        <w:rPr>
          <w:rFonts w:ascii="Arial" w:cs="Arial" w:eastAsia="Arial" w:hAnsi="Arial"/>
          <w:sz w:val="17"/>
          <w:szCs w:val="17"/>
          <w:color w:val="auto"/>
        </w:rPr>
      </w:pPr>
      <w:r>
        <w:rPr>
          <w:rFonts w:ascii="Arial" w:cs="Arial" w:eastAsia="Arial" w:hAnsi="Arial"/>
          <w:sz w:val="17"/>
          <w:szCs w:val="17"/>
          <w:color w:val="auto"/>
        </w:rPr>
        <w:t>Company’s next quarterly filing with the SEC subsequent to the 10b5-1 Plan going into effect;</w:t>
      </w:r>
    </w:p>
    <w:p>
      <w:pPr>
        <w:ind w:left="3440" w:hanging="364"/>
        <w:spacing w:after="0"/>
        <w:tabs>
          <w:tab w:leader="none" w:pos="3440" w:val="left"/>
        </w:tabs>
        <w:numPr>
          <w:ilvl w:val="5"/>
          <w:numId w:val="102"/>
        </w:numPr>
        <w:rPr>
          <w:rFonts w:ascii="Arial" w:cs="Arial" w:eastAsia="Arial" w:hAnsi="Arial"/>
          <w:sz w:val="17"/>
          <w:szCs w:val="17"/>
          <w:color w:val="auto"/>
        </w:rPr>
      </w:pPr>
      <w:r>
        <w:rPr>
          <w:rFonts w:ascii="Arial" w:cs="Arial" w:eastAsia="Arial" w:hAnsi="Arial"/>
          <w:sz w:val="17"/>
          <w:szCs w:val="17"/>
          <w:color w:val="auto"/>
        </w:rPr>
        <w:t>Ensure that the 10b5-1 Plan provides, where appropriate, for</w:t>
      </w:r>
    </w:p>
    <w:p>
      <w:pPr>
        <w:spacing w:after="0" w:line="156" w:lineRule="exact"/>
        <w:rPr>
          <w:sz w:val="20"/>
          <w:szCs w:val="20"/>
          <w:color w:val="auto"/>
        </w:rPr>
      </w:pPr>
    </w:p>
    <w:p>
      <w:pPr>
        <w:spacing w:after="0"/>
        <w:rPr>
          <w:sz w:val="20"/>
          <w:szCs w:val="20"/>
          <w:color w:val="auto"/>
        </w:rPr>
      </w:pPr>
      <w:r>
        <w:rPr>
          <w:rFonts w:ascii="Calibri" w:cs="Calibri" w:eastAsia="Calibri" w:hAnsi="Calibri"/>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560705</wp:posOffset>
            </wp:positionV>
            <wp:extent cx="7176135" cy="4000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980"/>
          </w:cols>
          <w:pgMar w:left="360" w:top="1264" w:right="559" w:bottom="1440" w:gutter="0" w:footer="0" w:header="0"/>
        </w:sectPr>
      </w:pPr>
    </w:p>
    <w:bookmarkStart w:id="186" w:name="page187"/>
    <w:bookmarkEnd w:id="186"/>
    <w:p>
      <w:pPr>
        <w:ind w:left="3440"/>
        <w:spacing w:after="0"/>
        <w:rPr>
          <w:sz w:val="20"/>
          <w:szCs w:val="20"/>
          <w:color w:val="auto"/>
        </w:rPr>
      </w:pPr>
      <w:r>
        <w:rPr>
          <w:rFonts w:ascii="Arial" w:cs="Arial" w:eastAsia="Arial" w:hAnsi="Arial"/>
          <w:sz w:val="17"/>
          <w:szCs w:val="17"/>
          <w:color w:val="auto"/>
        </w:rPr>
        <w:t>compliance with the restrictions set forth in Section V.b.</w:t>
      </w:r>
    </w:p>
    <w:p>
      <w:pPr>
        <w:ind w:left="3800"/>
        <w:spacing w:after="0" w:line="238" w:lineRule="auto"/>
        <w:rPr>
          <w:sz w:val="20"/>
          <w:szCs w:val="20"/>
          <w:color w:val="auto"/>
        </w:rPr>
      </w:pPr>
      <w:r>
        <w:rPr>
          <w:rFonts w:ascii="Arial" w:cs="Arial" w:eastAsia="Arial" w:hAnsi="Arial"/>
          <w:sz w:val="17"/>
          <w:szCs w:val="17"/>
          <w:color w:val="auto"/>
        </w:rPr>
        <w:t>above;</w:t>
      </w:r>
    </w:p>
    <w:p>
      <w:pPr>
        <w:ind w:left="3460" w:right="2920" w:hanging="384"/>
        <w:spacing w:after="0" w:line="265" w:lineRule="auto"/>
        <w:tabs>
          <w:tab w:leader="none" w:pos="3455" w:val="left"/>
        </w:tabs>
        <w:numPr>
          <w:ilvl w:val="4"/>
          <w:numId w:val="103"/>
        </w:numPr>
        <w:rPr>
          <w:rFonts w:ascii="Arial" w:cs="Arial" w:eastAsia="Arial" w:hAnsi="Arial"/>
          <w:sz w:val="17"/>
          <w:szCs w:val="17"/>
          <w:color w:val="auto"/>
        </w:rPr>
      </w:pPr>
      <w:r>
        <w:rPr>
          <w:rFonts w:ascii="Arial" w:cs="Arial" w:eastAsia="Arial" w:hAnsi="Arial"/>
          <w:sz w:val="17"/>
          <w:szCs w:val="17"/>
          <w:color w:val="auto"/>
        </w:rPr>
        <w:t>Consider whether a public announcement of the 10b5-1 Plan should be made; and</w:t>
      </w:r>
    </w:p>
    <w:p>
      <w:pPr>
        <w:ind w:left="3440" w:right="460" w:hanging="364"/>
        <w:spacing w:after="0" w:line="245" w:lineRule="auto"/>
        <w:tabs>
          <w:tab w:leader="none" w:pos="3440" w:val="left"/>
        </w:tabs>
        <w:numPr>
          <w:ilvl w:val="4"/>
          <w:numId w:val="103"/>
        </w:numPr>
        <w:rPr>
          <w:rFonts w:ascii="Arial" w:cs="Arial" w:eastAsia="Arial" w:hAnsi="Arial"/>
          <w:sz w:val="17"/>
          <w:szCs w:val="17"/>
          <w:color w:val="auto"/>
        </w:rPr>
      </w:pPr>
      <w:r>
        <w:rPr>
          <w:rFonts w:ascii="Arial" w:cs="Arial" w:eastAsia="Arial" w:hAnsi="Arial"/>
          <w:sz w:val="17"/>
          <w:szCs w:val="17"/>
          <w:color w:val="auto"/>
        </w:rPr>
        <w:t>Ensure that the 10b5-1 Plan includes a procedure with whomever is handling the transactions pursuant to the 10b5-1 Plan that will guarantee:</w:t>
      </w:r>
    </w:p>
    <w:p>
      <w:pPr>
        <w:spacing w:after="0" w:line="16" w:lineRule="exact"/>
        <w:rPr>
          <w:rFonts w:ascii="Arial" w:cs="Arial" w:eastAsia="Arial" w:hAnsi="Arial"/>
          <w:sz w:val="17"/>
          <w:szCs w:val="17"/>
          <w:color w:val="auto"/>
        </w:rPr>
      </w:pPr>
    </w:p>
    <w:p>
      <w:pPr>
        <w:ind w:left="4180" w:hanging="293"/>
        <w:spacing w:after="0"/>
        <w:tabs>
          <w:tab w:leader="none" w:pos="4180" w:val="left"/>
        </w:tabs>
        <w:numPr>
          <w:ilvl w:val="6"/>
          <w:numId w:val="103"/>
        </w:numPr>
        <w:rPr>
          <w:rFonts w:ascii="Arial" w:cs="Arial" w:eastAsia="Arial" w:hAnsi="Arial"/>
          <w:sz w:val="17"/>
          <w:szCs w:val="17"/>
          <w:color w:val="auto"/>
        </w:rPr>
      </w:pPr>
      <w:r>
        <w:rPr>
          <w:rFonts w:ascii="Arial" w:cs="Arial" w:eastAsia="Arial" w:hAnsi="Arial"/>
          <w:sz w:val="17"/>
          <w:szCs w:val="17"/>
          <w:color w:val="auto"/>
        </w:rPr>
        <w:t>Prompt filings of Forms 4 and 5 with the SEC after each transaction; and</w:t>
      </w:r>
    </w:p>
    <w:p>
      <w:pPr>
        <w:spacing w:after="0" w:line="7" w:lineRule="exact"/>
        <w:rPr>
          <w:rFonts w:ascii="Arial" w:cs="Arial" w:eastAsia="Arial" w:hAnsi="Arial"/>
          <w:sz w:val="17"/>
          <w:szCs w:val="17"/>
          <w:color w:val="auto"/>
        </w:rPr>
      </w:pPr>
    </w:p>
    <w:p>
      <w:pPr>
        <w:ind w:left="4120" w:right="1100" w:hanging="293"/>
        <w:spacing w:after="0" w:line="245" w:lineRule="auto"/>
        <w:tabs>
          <w:tab w:leader="none" w:pos="4120" w:val="left"/>
        </w:tabs>
        <w:numPr>
          <w:ilvl w:val="5"/>
          <w:numId w:val="103"/>
        </w:numPr>
        <w:rPr>
          <w:rFonts w:ascii="Arial" w:cs="Arial" w:eastAsia="Arial" w:hAnsi="Arial"/>
          <w:sz w:val="17"/>
          <w:szCs w:val="17"/>
          <w:color w:val="auto"/>
        </w:rPr>
      </w:pPr>
      <w:r>
        <w:rPr>
          <w:rFonts w:ascii="Arial" w:cs="Arial" w:eastAsia="Arial" w:hAnsi="Arial"/>
          <w:sz w:val="17"/>
          <w:szCs w:val="17"/>
          <w:color w:val="auto"/>
        </w:rPr>
        <w:t>Compliance with Rule 144 and/or Rule 145, if appropriate, at the time of any sale.</w:t>
      </w:r>
    </w:p>
    <w:p>
      <w:pPr>
        <w:spacing w:after="0" w:line="145" w:lineRule="exact"/>
        <w:rPr>
          <w:rFonts w:ascii="Arial" w:cs="Arial" w:eastAsia="Arial" w:hAnsi="Arial"/>
          <w:sz w:val="17"/>
          <w:szCs w:val="17"/>
          <w:color w:val="auto"/>
        </w:rPr>
      </w:pPr>
    </w:p>
    <w:p>
      <w:pPr>
        <w:jc w:val="both"/>
        <w:ind w:left="1920" w:hanging="390"/>
        <w:spacing w:after="0" w:line="247" w:lineRule="auto"/>
        <w:tabs>
          <w:tab w:leader="none" w:pos="1920" w:val="left"/>
        </w:tabs>
        <w:numPr>
          <w:ilvl w:val="2"/>
          <w:numId w:val="104"/>
        </w:numPr>
        <w:rPr>
          <w:rFonts w:ascii="Arial" w:cs="Arial" w:eastAsia="Arial" w:hAnsi="Arial"/>
          <w:sz w:val="17"/>
          <w:szCs w:val="17"/>
          <w:color w:val="auto"/>
        </w:rPr>
      </w:pPr>
      <w:r>
        <w:rPr>
          <w:rFonts w:ascii="Arial" w:cs="Arial" w:eastAsia="Arial" w:hAnsi="Arial"/>
          <w:sz w:val="17"/>
          <w:szCs w:val="17"/>
          <w:color w:val="auto"/>
        </w:rPr>
        <w:t>The existence of the foregoing approval processes does not in any way obligate the Compliance Officer or the Committee to approve any particular trades or 10b5-1 Plans proposed by Insiders. The Compliance Officer may reject any trading requests or 10b5-1 Plans at the Compliance Officer’s sole reasonable discretion.</w:t>
      </w:r>
    </w:p>
    <w:p>
      <w:pPr>
        <w:spacing w:after="0" w:line="155" w:lineRule="exact"/>
        <w:rPr>
          <w:rFonts w:ascii="Arial" w:cs="Arial" w:eastAsia="Arial" w:hAnsi="Arial"/>
          <w:sz w:val="17"/>
          <w:szCs w:val="17"/>
          <w:color w:val="auto"/>
        </w:rPr>
      </w:pPr>
    </w:p>
    <w:p>
      <w:pPr>
        <w:jc w:val="both"/>
        <w:ind w:left="1920" w:hanging="405"/>
        <w:spacing w:after="0" w:line="238" w:lineRule="auto"/>
        <w:tabs>
          <w:tab w:leader="none" w:pos="192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Regardless of whether an executive officer or a member of the Company’s Board of Directors has plans to trade in the Company’s securities, any Form 144 filing by such an Insider with the SEC must be approved by the Committee prior to any filing. In addition, such an Insider must also provide notice to the chair of the Compensation Committee of the Company’s Board of Directors of his or her intention to file a Form 144 with the SEC or effect any trading in the securities of the Company.</w:t>
      </w:r>
    </w:p>
    <w:p>
      <w:pPr>
        <w:spacing w:after="0" w:line="162" w:lineRule="exact"/>
        <w:rPr>
          <w:rFonts w:ascii="Arial" w:cs="Arial" w:eastAsia="Arial" w:hAnsi="Arial"/>
          <w:sz w:val="17"/>
          <w:szCs w:val="17"/>
          <w:color w:val="auto"/>
        </w:rPr>
      </w:pPr>
    </w:p>
    <w:p>
      <w:pPr>
        <w:ind w:left="440" w:hanging="381"/>
        <w:spacing w:after="0"/>
        <w:tabs>
          <w:tab w:leader="none" w:pos="4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Exceptions to Trading Prohibitions.</w:t>
      </w:r>
    </w:p>
    <w:p>
      <w:pPr>
        <w:spacing w:after="0" w:line="177" w:lineRule="exact"/>
        <w:rPr>
          <w:rFonts w:ascii="Arial" w:cs="Arial" w:eastAsia="Arial" w:hAnsi="Arial"/>
          <w:sz w:val="17"/>
          <w:szCs w:val="17"/>
          <w:color w:val="auto"/>
        </w:rPr>
      </w:pPr>
    </w:p>
    <w:p>
      <w:pPr>
        <w:ind w:left="440" w:right="860"/>
        <w:spacing w:after="0" w:line="265" w:lineRule="auto"/>
        <w:rPr>
          <w:rFonts w:ascii="Arial" w:cs="Arial" w:eastAsia="Arial" w:hAnsi="Arial"/>
          <w:sz w:val="17"/>
          <w:szCs w:val="17"/>
          <w:color w:val="auto"/>
        </w:rPr>
      </w:pPr>
      <w:r>
        <w:rPr>
          <w:rFonts w:ascii="Arial" w:cs="Arial" w:eastAsia="Arial" w:hAnsi="Arial"/>
          <w:sz w:val="17"/>
          <w:szCs w:val="17"/>
          <w:color w:val="auto"/>
        </w:rPr>
        <w:t>The prohibition on trading in Company securities during Blackout Periods, during Special Blackout Periods, or while otherwise in possession of material nonpublic information does not apply to:</w:t>
      </w:r>
    </w:p>
    <w:p>
      <w:pPr>
        <w:spacing w:after="0" w:line="128" w:lineRule="exact"/>
        <w:rPr>
          <w:rFonts w:ascii="Arial" w:cs="Arial" w:eastAsia="Arial" w:hAnsi="Arial"/>
          <w:sz w:val="17"/>
          <w:szCs w:val="17"/>
          <w:color w:val="auto"/>
        </w:rPr>
      </w:pPr>
    </w:p>
    <w:p>
      <w:pPr>
        <w:ind w:left="1920" w:right="20" w:hanging="285"/>
        <w:spacing w:after="0" w:line="265" w:lineRule="auto"/>
        <w:tabs>
          <w:tab w:leader="none" w:pos="1920" w:val="left"/>
        </w:tabs>
        <w:numPr>
          <w:ilvl w:val="3"/>
          <w:numId w:val="106"/>
        </w:numPr>
        <w:rPr>
          <w:rFonts w:ascii="Arial" w:cs="Arial" w:eastAsia="Arial" w:hAnsi="Arial"/>
          <w:sz w:val="17"/>
          <w:szCs w:val="17"/>
          <w:color w:val="auto"/>
        </w:rPr>
      </w:pPr>
      <w:r>
        <w:rPr>
          <w:rFonts w:ascii="Arial" w:cs="Arial" w:eastAsia="Arial" w:hAnsi="Arial"/>
          <w:sz w:val="17"/>
          <w:szCs w:val="17"/>
          <w:color w:val="auto"/>
        </w:rPr>
        <w:t>purchases made under an employee stock purchase plan operated by the Company, if applicable; provided, however, that the securities so acquired may not be sold during a Blackout Period or any Special Blackout Period;</w:t>
      </w:r>
    </w:p>
    <w:p>
      <w:pPr>
        <w:spacing w:after="0" w:line="128" w:lineRule="exact"/>
        <w:rPr>
          <w:rFonts w:ascii="Arial" w:cs="Arial" w:eastAsia="Arial" w:hAnsi="Arial"/>
          <w:sz w:val="17"/>
          <w:szCs w:val="17"/>
          <w:color w:val="auto"/>
        </w:rPr>
      </w:pPr>
    </w:p>
    <w:p>
      <w:pPr>
        <w:jc w:val="both"/>
        <w:ind w:left="1920" w:hanging="345"/>
        <w:spacing w:after="0" w:line="238" w:lineRule="auto"/>
        <w:tabs>
          <w:tab w:leader="none" w:pos="1920" w:val="left"/>
        </w:tabs>
        <w:numPr>
          <w:ilvl w:val="2"/>
          <w:numId w:val="106"/>
        </w:numPr>
        <w:rPr>
          <w:rFonts w:ascii="Arial" w:cs="Arial" w:eastAsia="Arial" w:hAnsi="Arial"/>
          <w:sz w:val="17"/>
          <w:szCs w:val="17"/>
          <w:color w:val="auto"/>
        </w:rPr>
      </w:pPr>
      <w:r>
        <w:rPr>
          <w:rFonts w:ascii="Arial" w:cs="Arial" w:eastAsia="Arial" w:hAnsi="Arial"/>
          <w:sz w:val="17"/>
          <w:szCs w:val="17"/>
          <w:color w:val="auto"/>
        </w:rPr>
        <w:t>exercises of stock options or the surrender of shares to the Company in payment of the exercise price or in satisfaction of any tax withholding obligation, in each case in a manner permitted by the applicable stock option; provided, however, that the securities so acquired may not be sold (either outright or in connection with a “cashless” exercise transaction through a broker) during a Blackout Period or Special Blackout Period or, if outside a Blackout Period or Special Blackout Period, without receiving the approval of the Committee;</w:t>
      </w:r>
    </w:p>
    <w:p>
      <w:pPr>
        <w:spacing w:after="0" w:line="162" w:lineRule="exact"/>
        <w:rPr>
          <w:rFonts w:ascii="Arial" w:cs="Arial" w:eastAsia="Arial" w:hAnsi="Arial"/>
          <w:sz w:val="17"/>
          <w:szCs w:val="17"/>
          <w:color w:val="auto"/>
        </w:rPr>
      </w:pPr>
    </w:p>
    <w:p>
      <w:pPr>
        <w:jc w:val="both"/>
        <w:ind w:left="1920" w:hanging="390"/>
        <w:spacing w:after="0" w:line="238" w:lineRule="auto"/>
        <w:tabs>
          <w:tab w:leader="none" w:pos="1920" w:val="left"/>
        </w:tabs>
        <w:numPr>
          <w:ilvl w:val="2"/>
          <w:numId w:val="106"/>
        </w:numPr>
        <w:rPr>
          <w:rFonts w:ascii="Arial" w:cs="Arial" w:eastAsia="Arial" w:hAnsi="Arial"/>
          <w:sz w:val="17"/>
          <w:szCs w:val="17"/>
          <w:color w:val="auto"/>
        </w:rPr>
      </w:pPr>
      <w:r>
        <w:rPr>
          <w:rFonts w:ascii="Arial" w:cs="Arial" w:eastAsia="Arial" w:hAnsi="Arial"/>
          <w:sz w:val="17"/>
          <w:szCs w:val="17"/>
          <w:color w:val="auto"/>
        </w:rPr>
        <w:t>automatic sales of shares of the Company’s common stock through a Company-contracted service provider or broker to cover any taxes due as a result of the vesting of restricted stock or restricted stock units, where the amount of shares sold is based on the Insider’s taxable income, the market price of the common stock on the date that the restricted stock or restricted stock units vest (the “</w:t>
      </w:r>
      <w:r>
        <w:rPr>
          <w:rFonts w:ascii="Arial" w:cs="Arial" w:eastAsia="Arial" w:hAnsi="Arial"/>
          <w:sz w:val="17"/>
          <w:szCs w:val="17"/>
          <w:b w:val="1"/>
          <w:bCs w:val="1"/>
          <w:color w:val="auto"/>
        </w:rPr>
        <w:t>Vesting Date</w:t>
      </w:r>
      <w:r>
        <w:rPr>
          <w:rFonts w:ascii="Arial" w:cs="Arial" w:eastAsia="Arial" w:hAnsi="Arial"/>
          <w:sz w:val="17"/>
          <w:szCs w:val="17"/>
          <w:color w:val="auto"/>
        </w:rPr>
        <w:t>”) and the market price on the date of the sale, which date shall be as soon as possible after the Vesting Date; and</w:t>
      </w:r>
    </w:p>
    <w:p>
      <w:pPr>
        <w:spacing w:after="0" w:line="343" w:lineRule="exact"/>
        <w:rPr>
          <w:sz w:val="20"/>
          <w:szCs w:val="20"/>
          <w:color w:val="auto"/>
        </w:rPr>
      </w:pPr>
    </w:p>
    <w:p>
      <w:pPr>
        <w:spacing w:after="0"/>
        <w:rPr>
          <w:sz w:val="20"/>
          <w:szCs w:val="20"/>
          <w:color w:val="auto"/>
        </w:rPr>
      </w:pPr>
      <w:r>
        <w:rPr>
          <w:rFonts w:ascii="Calibri" w:cs="Calibri" w:eastAsia="Calibri" w:hAnsi="Calibri"/>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560705</wp:posOffset>
            </wp:positionV>
            <wp:extent cx="7176135" cy="4000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980"/>
          </w:cols>
          <w:pgMar w:left="360" w:top="1264" w:right="559" w:bottom="1440" w:gutter="0" w:footer="0" w:header="0"/>
        </w:sectPr>
      </w:pPr>
    </w:p>
    <w:bookmarkStart w:id="187" w:name="page188"/>
    <w:bookmarkEnd w:id="187"/>
    <w:p>
      <w:pPr>
        <w:ind w:left="1940" w:hanging="410"/>
        <w:spacing w:after="0"/>
        <w:tabs>
          <w:tab w:leader="none" w:pos="194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purchases or sales made pursuant to a 10b5-1 Plan.</w:t>
      </w:r>
    </w:p>
    <w:p>
      <w:pPr>
        <w:spacing w:after="0" w:line="49" w:lineRule="exact"/>
        <w:rPr>
          <w:rFonts w:ascii="Arial" w:cs="Arial" w:eastAsia="Arial" w:hAnsi="Arial"/>
          <w:sz w:val="17"/>
          <w:szCs w:val="17"/>
          <w:color w:val="auto"/>
        </w:rPr>
      </w:pPr>
    </w:p>
    <w:p>
      <w:pPr>
        <w:ind w:left="1020" w:hanging="376"/>
        <w:spacing w:after="0"/>
        <w:tabs>
          <w:tab w:leader="none" w:pos="10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Priority of Statutory or Regulatory Trading Restrictions.</w:t>
      </w:r>
    </w:p>
    <w:p>
      <w:pPr>
        <w:spacing w:after="0" w:line="177" w:lineRule="exact"/>
        <w:rPr>
          <w:rFonts w:ascii="Arial" w:cs="Arial" w:eastAsia="Arial" w:hAnsi="Arial"/>
          <w:sz w:val="17"/>
          <w:szCs w:val="17"/>
          <w:color w:val="auto"/>
        </w:rPr>
      </w:pPr>
    </w:p>
    <w:p>
      <w:pPr>
        <w:jc w:val="both"/>
        <w:ind w:left="1020"/>
        <w:spacing w:after="0" w:line="247" w:lineRule="auto"/>
        <w:rPr>
          <w:rFonts w:ascii="Arial" w:cs="Arial" w:eastAsia="Arial" w:hAnsi="Arial"/>
          <w:sz w:val="17"/>
          <w:szCs w:val="17"/>
          <w:color w:val="auto"/>
        </w:rPr>
      </w:pPr>
      <w:r>
        <w:rPr>
          <w:rFonts w:ascii="Arial" w:cs="Arial" w:eastAsia="Arial" w:hAnsi="Arial"/>
          <w:sz w:val="17"/>
          <w:szCs w:val="17"/>
          <w:color w:val="auto"/>
        </w:rPr>
        <w:t>The trading prohibitions and restrictions set forth in this policy will be superseded by any greater prohibitions or restrictions prescribed by federal or state securities laws and regulations. Any Insider who is uncertain whether other prohibitions or restrictions apply should ask the Compliance Officer.</w:t>
      </w:r>
    </w:p>
    <w:p>
      <w:pPr>
        <w:spacing w:after="0" w:line="143" w:lineRule="exact"/>
        <w:rPr>
          <w:rFonts w:ascii="Arial" w:cs="Arial" w:eastAsia="Arial" w:hAnsi="Arial"/>
          <w:sz w:val="17"/>
          <w:szCs w:val="17"/>
          <w:color w:val="auto"/>
        </w:rPr>
      </w:pPr>
    </w:p>
    <w:p>
      <w:pPr>
        <w:ind w:left="1020" w:hanging="376"/>
        <w:spacing w:after="0"/>
        <w:tabs>
          <w:tab w:leader="none" w:pos="10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Notification of Approved Trades After Execution.</w:t>
      </w:r>
    </w:p>
    <w:p>
      <w:pPr>
        <w:spacing w:after="0" w:line="189" w:lineRule="exact"/>
        <w:rPr>
          <w:rFonts w:ascii="Arial" w:cs="Arial" w:eastAsia="Arial" w:hAnsi="Arial"/>
          <w:sz w:val="17"/>
          <w:szCs w:val="17"/>
          <w:color w:val="auto"/>
        </w:rPr>
      </w:pPr>
    </w:p>
    <w:p>
      <w:pPr>
        <w:jc w:val="both"/>
        <w:ind w:left="1020"/>
        <w:spacing w:after="0" w:line="247" w:lineRule="auto"/>
        <w:rPr>
          <w:rFonts w:ascii="Arial" w:cs="Arial" w:eastAsia="Arial" w:hAnsi="Arial"/>
          <w:sz w:val="17"/>
          <w:szCs w:val="17"/>
          <w:color w:val="auto"/>
        </w:rPr>
      </w:pPr>
      <w:r>
        <w:rPr>
          <w:rFonts w:ascii="Arial" w:cs="Arial" w:eastAsia="Arial" w:hAnsi="Arial"/>
          <w:sz w:val="17"/>
          <w:szCs w:val="17"/>
          <w:color w:val="auto"/>
        </w:rPr>
        <w:t>Any Insider who is permitted to trade Company securities pursuant to any provision of this Section V must notify the Compliance Officer, by email and/or facsimile transmission, promptly upon the execution of such trade, but in no event later than next business day after the execution of such trade. Such notice shall include all relevant details of such trade, including, but not limited to:</w:t>
      </w:r>
    </w:p>
    <w:p>
      <w:pPr>
        <w:spacing w:after="0" w:line="143" w:lineRule="exact"/>
        <w:rPr>
          <w:rFonts w:ascii="Arial" w:cs="Arial" w:eastAsia="Arial" w:hAnsi="Arial"/>
          <w:sz w:val="17"/>
          <w:szCs w:val="17"/>
          <w:color w:val="auto"/>
        </w:rPr>
      </w:pPr>
    </w:p>
    <w:p>
      <w:pPr>
        <w:ind w:left="2520" w:hanging="840"/>
        <w:spacing w:after="0"/>
        <w:tabs>
          <w:tab w:leader="none" w:pos="2520" w:val="left"/>
        </w:tabs>
        <w:numPr>
          <w:ilvl w:val="2"/>
          <w:numId w:val="108"/>
        </w:numPr>
        <w:rPr>
          <w:rFonts w:ascii="Arial" w:cs="Arial" w:eastAsia="Arial" w:hAnsi="Arial"/>
          <w:sz w:val="17"/>
          <w:szCs w:val="17"/>
          <w:color w:val="auto"/>
        </w:rPr>
      </w:pPr>
      <w:r>
        <w:rPr>
          <w:rFonts w:ascii="Arial" w:cs="Arial" w:eastAsia="Arial" w:hAnsi="Arial"/>
          <w:sz w:val="17"/>
          <w:szCs w:val="17"/>
          <w:color w:val="auto"/>
        </w:rPr>
        <w:t>the name of the entity in whose name the trade was made;</w:t>
      </w:r>
    </w:p>
    <w:p>
      <w:pPr>
        <w:spacing w:after="0" w:line="7" w:lineRule="exact"/>
        <w:rPr>
          <w:rFonts w:ascii="Arial" w:cs="Arial" w:eastAsia="Arial" w:hAnsi="Arial"/>
          <w:sz w:val="17"/>
          <w:szCs w:val="17"/>
          <w:color w:val="auto"/>
        </w:rPr>
      </w:pPr>
    </w:p>
    <w:p>
      <w:pPr>
        <w:ind w:left="2520" w:hanging="840"/>
        <w:spacing w:after="0" w:line="229" w:lineRule="auto"/>
        <w:tabs>
          <w:tab w:leader="none" w:pos="2520" w:val="left"/>
        </w:tabs>
        <w:numPr>
          <w:ilvl w:val="2"/>
          <w:numId w:val="108"/>
        </w:numPr>
        <w:rPr>
          <w:rFonts w:ascii="Arial" w:cs="Arial" w:eastAsia="Arial" w:hAnsi="Arial"/>
          <w:sz w:val="17"/>
          <w:szCs w:val="17"/>
          <w:color w:val="auto"/>
        </w:rPr>
      </w:pPr>
      <w:r>
        <w:rPr>
          <w:rFonts w:ascii="Arial" w:cs="Arial" w:eastAsia="Arial" w:hAnsi="Arial"/>
          <w:sz w:val="17"/>
          <w:szCs w:val="17"/>
          <w:color w:val="auto"/>
        </w:rPr>
        <w:t>the type and amount of securities subject to the trade;</w:t>
      </w:r>
    </w:p>
    <w:p>
      <w:pPr>
        <w:ind w:left="2520" w:hanging="840"/>
        <w:spacing w:after="0"/>
        <w:tabs>
          <w:tab w:leader="none" w:pos="2520" w:val="left"/>
        </w:tabs>
        <w:numPr>
          <w:ilvl w:val="2"/>
          <w:numId w:val="108"/>
        </w:numPr>
        <w:rPr>
          <w:rFonts w:ascii="Arial" w:cs="Arial" w:eastAsia="Arial" w:hAnsi="Arial"/>
          <w:sz w:val="17"/>
          <w:szCs w:val="17"/>
          <w:color w:val="auto"/>
        </w:rPr>
      </w:pPr>
      <w:r>
        <w:rPr>
          <w:rFonts w:ascii="Arial" w:cs="Arial" w:eastAsia="Arial" w:hAnsi="Arial"/>
          <w:sz w:val="17"/>
          <w:szCs w:val="17"/>
          <w:color w:val="auto"/>
        </w:rPr>
        <w:t>the price at which the securities were traded; and</w:t>
      </w:r>
    </w:p>
    <w:p>
      <w:pPr>
        <w:spacing w:after="0" w:line="2" w:lineRule="exact"/>
        <w:rPr>
          <w:rFonts w:ascii="Arial" w:cs="Arial" w:eastAsia="Arial" w:hAnsi="Arial"/>
          <w:sz w:val="17"/>
          <w:szCs w:val="17"/>
          <w:color w:val="auto"/>
        </w:rPr>
      </w:pPr>
    </w:p>
    <w:p>
      <w:pPr>
        <w:ind w:left="2480" w:right="420" w:hanging="800"/>
        <w:spacing w:after="0" w:line="245" w:lineRule="auto"/>
        <w:tabs>
          <w:tab w:leader="none" w:pos="2480" w:val="left"/>
        </w:tabs>
        <w:numPr>
          <w:ilvl w:val="2"/>
          <w:numId w:val="108"/>
        </w:numPr>
        <w:rPr>
          <w:rFonts w:ascii="Arial" w:cs="Arial" w:eastAsia="Arial" w:hAnsi="Arial"/>
          <w:sz w:val="17"/>
          <w:szCs w:val="17"/>
          <w:color w:val="auto"/>
        </w:rPr>
      </w:pPr>
      <w:r>
        <w:rPr>
          <w:rFonts w:ascii="Arial" w:cs="Arial" w:eastAsia="Arial" w:hAnsi="Arial"/>
          <w:sz w:val="17"/>
          <w:szCs w:val="17"/>
          <w:color w:val="auto"/>
        </w:rPr>
        <w:t>the new number of securities owned, directly or indirectly, by the Insider subsequent to the execution of the trade.</w:t>
      </w:r>
    </w:p>
    <w:p>
      <w:pPr>
        <w:spacing w:after="0" w:line="145" w:lineRule="exact"/>
        <w:rPr>
          <w:sz w:val="20"/>
          <w:szCs w:val="20"/>
          <w:color w:val="auto"/>
        </w:rPr>
      </w:pPr>
    </w:p>
    <w:p>
      <w:pPr>
        <w:ind w:left="80"/>
        <w:spacing w:after="0"/>
        <w:tabs>
          <w:tab w:leader="none" w:pos="620" w:val="left"/>
        </w:tabs>
        <w:rPr>
          <w:sz w:val="20"/>
          <w:szCs w:val="20"/>
          <w:color w:val="auto"/>
        </w:rPr>
      </w:pPr>
      <w:r>
        <w:rPr>
          <w:rFonts w:ascii="Arial" w:cs="Arial" w:eastAsia="Arial" w:hAnsi="Arial"/>
          <w:sz w:val="17"/>
          <w:szCs w:val="17"/>
          <w:b w:val="1"/>
          <w:bCs w:val="1"/>
          <w:color w:val="auto"/>
        </w:rPr>
        <w:t>VI.</w:t>
      </w:r>
      <w:r>
        <w:rPr>
          <w:sz w:val="20"/>
          <w:szCs w:val="20"/>
          <w:color w:val="auto"/>
        </w:rPr>
        <w:tab/>
      </w:r>
      <w:r>
        <w:rPr>
          <w:rFonts w:ascii="Arial" w:cs="Arial" w:eastAsia="Arial" w:hAnsi="Arial"/>
          <w:sz w:val="17"/>
          <w:szCs w:val="17"/>
          <w:b w:val="1"/>
          <w:bCs w:val="1"/>
          <w:color w:val="auto"/>
        </w:rPr>
        <w:t>POTENTIAL CIVIL, CRIMINAL AND DISCIPLINARY SANCTIONS</w:t>
      </w:r>
    </w:p>
    <w:p>
      <w:pPr>
        <w:spacing w:after="0" w:line="178" w:lineRule="exact"/>
        <w:rPr>
          <w:sz w:val="20"/>
          <w:szCs w:val="20"/>
          <w:color w:val="auto"/>
        </w:rPr>
      </w:pPr>
    </w:p>
    <w:p>
      <w:pPr>
        <w:ind w:left="1020" w:hanging="376"/>
        <w:spacing w:after="0"/>
        <w:tabs>
          <w:tab w:leader="none" w:pos="10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Civil and Criminal Penalties.</w:t>
      </w:r>
    </w:p>
    <w:p>
      <w:pPr>
        <w:spacing w:after="0" w:line="189" w:lineRule="exact"/>
        <w:rPr>
          <w:rFonts w:ascii="Arial" w:cs="Arial" w:eastAsia="Arial" w:hAnsi="Arial"/>
          <w:sz w:val="17"/>
          <w:szCs w:val="17"/>
          <w:color w:val="auto"/>
        </w:rPr>
      </w:pPr>
    </w:p>
    <w:p>
      <w:pPr>
        <w:ind w:left="1020"/>
        <w:spacing w:after="0" w:line="265" w:lineRule="auto"/>
        <w:rPr>
          <w:rFonts w:ascii="Arial" w:cs="Arial" w:eastAsia="Arial" w:hAnsi="Arial"/>
          <w:sz w:val="17"/>
          <w:szCs w:val="17"/>
          <w:color w:val="auto"/>
        </w:rPr>
      </w:pPr>
      <w:r>
        <w:rPr>
          <w:rFonts w:ascii="Arial" w:cs="Arial" w:eastAsia="Arial" w:hAnsi="Arial"/>
          <w:sz w:val="17"/>
          <w:szCs w:val="17"/>
          <w:color w:val="auto"/>
        </w:rPr>
        <w:t>The consequences of prohibited insider trading or tipping can be severe and can include significant fines and imprisonment. The Company and/or the supervisors of the person violating the rules may also face major civil and/or criminal penalties.</w:t>
      </w:r>
    </w:p>
    <w:p>
      <w:pPr>
        <w:spacing w:after="0" w:line="128" w:lineRule="exact"/>
        <w:rPr>
          <w:rFonts w:ascii="Arial" w:cs="Arial" w:eastAsia="Arial" w:hAnsi="Arial"/>
          <w:sz w:val="17"/>
          <w:szCs w:val="17"/>
          <w:color w:val="auto"/>
        </w:rPr>
      </w:pPr>
    </w:p>
    <w:p>
      <w:pPr>
        <w:ind w:left="1020" w:hanging="376"/>
        <w:spacing w:after="0"/>
        <w:tabs>
          <w:tab w:leader="none" w:pos="10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Company Discipline.</w:t>
      </w:r>
    </w:p>
    <w:p>
      <w:pPr>
        <w:spacing w:after="0" w:line="177" w:lineRule="exact"/>
        <w:rPr>
          <w:rFonts w:ascii="Arial" w:cs="Arial" w:eastAsia="Arial" w:hAnsi="Arial"/>
          <w:sz w:val="17"/>
          <w:szCs w:val="17"/>
          <w:color w:val="auto"/>
        </w:rPr>
      </w:pPr>
    </w:p>
    <w:p>
      <w:pPr>
        <w:jc w:val="both"/>
        <w:ind w:left="1020" w:right="20"/>
        <w:spacing w:after="0" w:line="241" w:lineRule="auto"/>
        <w:rPr>
          <w:rFonts w:ascii="Arial" w:cs="Arial" w:eastAsia="Arial" w:hAnsi="Arial"/>
          <w:sz w:val="17"/>
          <w:szCs w:val="17"/>
          <w:color w:val="auto"/>
        </w:rPr>
      </w:pPr>
      <w:r>
        <w:rPr>
          <w:rFonts w:ascii="Arial" w:cs="Arial" w:eastAsia="Arial" w:hAnsi="Arial"/>
          <w:sz w:val="17"/>
          <w:szCs w:val="17"/>
          <w:color w:val="auto"/>
        </w:rPr>
        <w:t>Violation of this policy or federal or state insider trading or tipping laws by any director, officer or employee, or their family members, or by any corporation, partnerships, trust or other entity owned or controlled by any of the foregoing persons or any Applicable Trust or Applicable Corporation, may subject the director to dismissal proceedings and the officer or employee to disciplinary action by the Company up to and including termination for cause.</w:t>
      </w:r>
    </w:p>
    <w:p>
      <w:pPr>
        <w:spacing w:after="0" w:line="148" w:lineRule="exact"/>
        <w:rPr>
          <w:rFonts w:ascii="Arial" w:cs="Arial" w:eastAsia="Arial" w:hAnsi="Arial"/>
          <w:sz w:val="17"/>
          <w:szCs w:val="17"/>
          <w:color w:val="auto"/>
        </w:rPr>
      </w:pPr>
    </w:p>
    <w:p>
      <w:pPr>
        <w:ind w:left="1080" w:hanging="436"/>
        <w:spacing w:after="0"/>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Reporting of Violations.</w:t>
      </w:r>
    </w:p>
    <w:p>
      <w:pPr>
        <w:spacing w:after="0" w:line="190" w:lineRule="exact"/>
        <w:rPr>
          <w:sz w:val="20"/>
          <w:szCs w:val="20"/>
          <w:color w:val="auto"/>
        </w:rPr>
      </w:pPr>
    </w:p>
    <w:p>
      <w:pPr>
        <w:jc w:val="both"/>
        <w:ind w:left="1120"/>
        <w:spacing w:after="0" w:line="238" w:lineRule="auto"/>
        <w:rPr>
          <w:sz w:val="20"/>
          <w:szCs w:val="20"/>
          <w:color w:val="auto"/>
        </w:rPr>
      </w:pPr>
      <w:r>
        <w:rPr>
          <w:rFonts w:ascii="Arial" w:cs="Arial" w:eastAsia="Arial" w:hAnsi="Arial"/>
          <w:sz w:val="17"/>
          <w:szCs w:val="17"/>
          <w:color w:val="auto"/>
        </w:rPr>
        <w:t>Any Insider who violates this policy or any federal or state laws governing insider trading or tipping, or knows of such violation by any other Insiders, must report the violation immediately to the Compliance Officer. Upon learning of any such violation, the Compliance Officer, in consultation with the other Committee member and the Company’s outside legal counsel, will determine whether the Company should release any material nonpublic information, or whether the Company should report the violation to the SEC, Nasdaq, or other appropriate governmental authority.</w:t>
      </w:r>
    </w:p>
    <w:p>
      <w:pPr>
        <w:spacing w:after="0" w:line="186"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7"/>
          <w:szCs w:val="17"/>
          <w:b w:val="1"/>
          <w:bCs w:val="1"/>
          <w:color w:val="auto"/>
        </w:rPr>
        <w:t>VII.</w:t>
      </w:r>
      <w:r>
        <w:rPr>
          <w:sz w:val="20"/>
          <w:szCs w:val="20"/>
          <w:color w:val="auto"/>
        </w:rPr>
        <w:tab/>
      </w:r>
      <w:r>
        <w:rPr>
          <w:rFonts w:ascii="Arial" w:cs="Arial" w:eastAsia="Arial" w:hAnsi="Arial"/>
          <w:sz w:val="17"/>
          <w:szCs w:val="17"/>
          <w:b w:val="1"/>
          <w:bCs w:val="1"/>
          <w:color w:val="auto"/>
        </w:rPr>
        <w:t>INQUIRIES.</w:t>
      </w:r>
    </w:p>
    <w:p>
      <w:pPr>
        <w:spacing w:after="0" w:line="358" w:lineRule="exact"/>
        <w:rPr>
          <w:sz w:val="20"/>
          <w:szCs w:val="20"/>
          <w:color w:val="auto"/>
        </w:rPr>
      </w:pPr>
    </w:p>
    <w:p>
      <w:pPr>
        <w:spacing w:after="0"/>
        <w:rPr>
          <w:sz w:val="20"/>
          <w:szCs w:val="20"/>
          <w:color w:val="auto"/>
        </w:rPr>
      </w:pPr>
      <w:r>
        <w:rPr>
          <w:rFonts w:ascii="Calibri" w:cs="Calibri" w:eastAsia="Calibri" w:hAnsi="Calibri"/>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560705</wp:posOffset>
            </wp:positionV>
            <wp:extent cx="7176135" cy="4000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980"/>
          </w:cols>
          <w:pgMar w:left="360" w:top="1264" w:right="559" w:bottom="1440" w:gutter="0" w:footer="0" w:header="0"/>
        </w:sectPr>
      </w:pPr>
    </w:p>
    <w:bookmarkStart w:id="188" w:name="page189"/>
    <w:bookmarkEnd w:id="188"/>
    <w:p>
      <w:pPr>
        <w:ind w:left="700"/>
        <w:spacing w:after="0" w:line="265" w:lineRule="auto"/>
        <w:rPr>
          <w:sz w:val="20"/>
          <w:szCs w:val="20"/>
          <w:color w:val="auto"/>
        </w:rPr>
      </w:pPr>
      <w:r>
        <w:rPr>
          <w:rFonts w:ascii="Arial" w:cs="Arial" w:eastAsia="Arial" w:hAnsi="Arial"/>
          <w:sz w:val="17"/>
          <w:szCs w:val="17"/>
          <w:color w:val="auto"/>
        </w:rPr>
        <w:t>Please direct all inquiries regarding this policy to Nick Pizzie, Chief Financial Officer of the Company or Hunter Murdock, General Counsel of the Company.</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alibri" w:cs="Calibri" w:eastAsia="Calibri" w:hAnsi="Calibri"/>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560705</wp:posOffset>
            </wp:positionV>
            <wp:extent cx="7176135" cy="4000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20"/>
          </w:cols>
          <w:pgMar w:left="360" w:top="1264" w:right="419" w:bottom="1440" w:gutter="0" w:footer="0" w:header="0"/>
        </w:sectPr>
      </w:pPr>
    </w:p>
    <w:bookmarkStart w:id="189" w:name="page190"/>
    <w:bookmarkEnd w:id="189"/>
    <w:p>
      <w:pPr>
        <w:ind w:left="4260"/>
        <w:spacing w:after="0"/>
        <w:rPr>
          <w:sz w:val="20"/>
          <w:szCs w:val="20"/>
          <w:color w:val="auto"/>
        </w:rPr>
      </w:pPr>
      <w:r>
        <w:rPr>
          <w:rFonts w:ascii="Arial" w:cs="Arial" w:eastAsia="Arial" w:hAnsi="Arial"/>
          <w:sz w:val="16"/>
          <w:szCs w:val="16"/>
          <w:b w:val="1"/>
          <w:bCs w:val="1"/>
          <w:color w:val="auto"/>
        </w:rPr>
        <w:t>NOTIFICATION OF PROPOSED TRADE</w:t>
      </w:r>
    </w:p>
    <w:p>
      <w:pPr>
        <w:spacing w:after="0" w:line="131" w:lineRule="exact"/>
        <w:rPr>
          <w:sz w:val="20"/>
          <w:szCs w:val="20"/>
          <w:color w:val="auto"/>
        </w:rPr>
      </w:pPr>
    </w:p>
    <w:p>
      <w:pPr>
        <w:ind w:left="280"/>
        <w:spacing w:after="0"/>
        <w:tabs>
          <w:tab w:leader="none" w:pos="620" w:val="left"/>
        </w:tabs>
        <w:rPr>
          <w:sz w:val="20"/>
          <w:szCs w:val="20"/>
          <w:color w:val="auto"/>
        </w:rPr>
      </w:pPr>
      <w:r>
        <w:rPr>
          <w:rFonts w:ascii="Arial" w:cs="Arial" w:eastAsia="Arial" w:hAnsi="Arial"/>
          <w:sz w:val="16"/>
          <w:szCs w:val="16"/>
          <w:color w:val="auto"/>
        </w:rPr>
        <w:t>To:</w:t>
      </w:r>
      <w:r>
        <w:rPr>
          <w:sz w:val="20"/>
          <w:szCs w:val="20"/>
          <w:color w:val="auto"/>
        </w:rPr>
        <w:tab/>
      </w:r>
      <w:r>
        <w:rPr>
          <w:rFonts w:ascii="Arial" w:cs="Arial" w:eastAsia="Arial" w:hAnsi="Arial"/>
          <w:sz w:val="14"/>
          <w:szCs w:val="14"/>
          <w:color w:val="auto"/>
        </w:rPr>
        <w:t>Nick Pizzie, Chief Financial Officer (the "</w:t>
      </w:r>
      <w:r>
        <w:rPr>
          <w:rFonts w:ascii="Arial" w:cs="Arial" w:eastAsia="Arial" w:hAnsi="Arial"/>
          <w:sz w:val="14"/>
          <w:szCs w:val="14"/>
          <w:b w:val="1"/>
          <w:bCs w:val="1"/>
          <w:color w:val="auto"/>
        </w:rPr>
        <w:t>Compliance Officer</w:t>
      </w:r>
      <w:r>
        <w:rPr>
          <w:rFonts w:ascii="Arial" w:cs="Arial" w:eastAsia="Arial" w:hAnsi="Arial"/>
          <w:sz w:val="14"/>
          <w:szCs w:val="14"/>
          <w:color w:val="auto"/>
        </w:rPr>
        <w:t>") of Axsome Therapeutics, Inc. (“</w:t>
      </w:r>
      <w:r>
        <w:rPr>
          <w:rFonts w:ascii="Arial" w:cs="Arial" w:eastAsia="Arial" w:hAnsi="Arial"/>
          <w:sz w:val="14"/>
          <w:szCs w:val="14"/>
          <w:b w:val="1"/>
          <w:bCs w:val="1"/>
          <w:color w:val="auto"/>
        </w:rPr>
        <w:t>Axsome</w:t>
      </w:r>
      <w:r>
        <w:rPr>
          <w:rFonts w:ascii="Arial" w:cs="Arial" w:eastAsia="Arial" w:hAnsi="Arial"/>
          <w:sz w:val="14"/>
          <w:szCs w:val="14"/>
          <w:color w:val="auto"/>
        </w:rPr>
        <w:t xml:space="preserve">”) at </w:t>
      </w:r>
      <w:r>
        <w:rPr>
          <w:rFonts w:ascii="Arial" w:cs="Arial" w:eastAsia="Arial" w:hAnsi="Arial"/>
          <w:sz w:val="14"/>
          <w:szCs w:val="14"/>
          <w:b w:val="1"/>
          <w:bCs w:val="1"/>
          <w:color w:val="auto"/>
        </w:rPr>
        <w:t>traderequest@axsome.com</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From: ___________________________________________ (Name of Insider) Date:</w:t>
      </w:r>
    </w:p>
    <w:p>
      <w:pPr>
        <w:ind w:left="420"/>
        <w:spacing w:after="0" w:line="231" w:lineRule="auto"/>
        <w:rPr>
          <w:sz w:val="20"/>
          <w:szCs w:val="20"/>
          <w:color w:val="auto"/>
        </w:rPr>
      </w:pPr>
      <w:r>
        <w:rPr>
          <w:rFonts w:ascii="Arial" w:cs="Arial" w:eastAsia="Arial" w:hAnsi="Arial"/>
          <w:sz w:val="16"/>
          <w:szCs w:val="16"/>
          <w:color w:val="auto"/>
        </w:rPr>
        <w:t>___________________________________________</w:t>
      </w:r>
    </w:p>
    <w:p>
      <w:pPr>
        <w:ind w:left="420"/>
        <w:spacing w:after="0"/>
        <w:rPr>
          <w:sz w:val="20"/>
          <w:szCs w:val="20"/>
          <w:color w:val="auto"/>
        </w:rPr>
      </w:pPr>
      <w:r>
        <w:rPr>
          <w:rFonts w:ascii="Arial" w:cs="Arial" w:eastAsia="Arial" w:hAnsi="Arial"/>
          <w:sz w:val="16"/>
          <w:szCs w:val="16"/>
          <w:color w:val="auto"/>
        </w:rPr>
        <w:t>(Please fill out that which is applicable)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I hereby notify the Compliance Officer that I intend to exercise _____________________ (number) of options of Axsome common stock on __________</w:t>
      </w:r>
    </w:p>
    <w:p>
      <w:pPr>
        <w:spacing w:after="0" w:line="2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(date), on behalf of ___________ (indicate in whose name the shares will be registered).</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I hereby notify the Compliance Officer that I intend to buy/sell (cross out the inapplicable word) _____ (number) of shares of Axsome common stock on</w:t>
      </w:r>
    </w:p>
    <w:p>
      <w:pPr>
        <w:spacing w:after="0" w:line="2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________ (date), on behalf of __________ (indicate in whose name the shares will be registered).</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connection with this proposed trade, I hereby certify that:</w:t>
      </w:r>
    </w:p>
    <w:p>
      <w:pPr>
        <w:spacing w:after="0" w:line="189" w:lineRule="exact"/>
        <w:rPr>
          <w:sz w:val="20"/>
          <w:szCs w:val="20"/>
          <w:color w:val="auto"/>
        </w:rPr>
      </w:pPr>
    </w:p>
    <w:p>
      <w:pPr>
        <w:ind w:left="1900" w:hanging="731"/>
        <w:spacing w:after="0" w:line="265" w:lineRule="auto"/>
        <w:tabs>
          <w:tab w:leader="none" w:pos="1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 am not in possession of any "material nonpublic information" concerning Axsome, as defined in Axsome's "Insider Trading Policy" (the "</w:t>
      </w:r>
      <w:r>
        <w:rPr>
          <w:rFonts w:ascii="Arial" w:cs="Arial" w:eastAsia="Arial" w:hAnsi="Arial"/>
          <w:sz w:val="16"/>
          <w:szCs w:val="16"/>
          <w:b w:val="1"/>
          <w:bCs w:val="1"/>
          <w:color w:val="auto"/>
        </w:rPr>
        <w:t>Policy</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left="1900" w:hanging="731"/>
        <w:spacing w:after="0" w:line="255" w:lineRule="auto"/>
        <w:tabs>
          <w:tab w:leader="none" w:pos="1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To the best of my knowledge, the proposed trade does not violate the trading restrictions of Section 16 of the Securities Exchange Act of 1934, as amended, or Rule 144 of the Securities Act of 1933, as amended.</w:t>
      </w:r>
    </w:p>
    <w:p>
      <w:pPr>
        <w:spacing w:after="0" w:line="111" w:lineRule="exact"/>
        <w:rPr>
          <w:sz w:val="20"/>
          <w:szCs w:val="20"/>
          <w:color w:val="auto"/>
        </w:rPr>
      </w:pPr>
    </w:p>
    <w:p>
      <w:pPr>
        <w:ind w:left="420" w:right="300"/>
        <w:spacing w:after="0" w:line="255" w:lineRule="auto"/>
        <w:rPr>
          <w:sz w:val="20"/>
          <w:szCs w:val="20"/>
          <w:color w:val="auto"/>
        </w:rPr>
      </w:pPr>
      <w:r>
        <w:rPr>
          <w:rFonts w:ascii="Arial" w:cs="Arial" w:eastAsia="Arial" w:hAnsi="Arial"/>
          <w:sz w:val="16"/>
          <w:szCs w:val="16"/>
          <w:color w:val="auto"/>
        </w:rPr>
        <w:t>I understand that if I trade while possessing such information or in violation of such trading restrictions, I may be subject to severe civil and/or criminal penalties, and may be subject to sanctions by Axsome as set forth in the Policy.</w:t>
      </w:r>
    </w:p>
    <w:p>
      <w:pPr>
        <w:spacing w:after="0" w:line="111"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Submitted by</w:t>
      </w:r>
    </w:p>
    <w:p>
      <w:pPr>
        <w:spacing w:after="0" w:line="154"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____________________________________________</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(Signature)</w:t>
      </w:r>
    </w:p>
    <w:p>
      <w:pPr>
        <w:spacing w:after="0" w:line="218"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____________________________________________</w:t>
      </w:r>
    </w:p>
    <w:p>
      <w:pPr>
        <w:spacing w:after="0" w:line="26"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(Name)</w:t>
      </w:r>
    </w:p>
    <w:p>
      <w:pPr>
        <w:spacing w:after="0" w:line="224"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____________________________________________</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(Title if signing on behalf of a corporation, partnership or other such entity)</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Reviewed and approved/disapproved by the Compliance Officer:</w:t>
      </w:r>
    </w:p>
    <w:p>
      <w:pPr>
        <w:spacing w:after="0" w:line="154"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____________________________________________</w:t>
      </w:r>
    </w:p>
    <w:p>
      <w:pPr>
        <w:spacing w:after="0" w:line="200" w:lineRule="exact"/>
        <w:rPr>
          <w:sz w:val="20"/>
          <w:szCs w:val="20"/>
          <w:color w:val="auto"/>
        </w:rPr>
      </w:pPr>
    </w:p>
    <w:p>
      <w:pPr>
        <w:spacing w:after="0" w:line="235"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Date: ____________________</w:t>
      </w:r>
    </w:p>
    <w:p>
      <w:pPr>
        <w:spacing w:after="0" w:line="316"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Send completed form to traderequest@axsome.com</w:t>
      </w:r>
    </w:p>
    <w:p>
      <w:pPr>
        <w:spacing w:after="0" w:line="181" w:lineRule="exact"/>
        <w:rPr>
          <w:sz w:val="20"/>
          <w:szCs w:val="20"/>
          <w:color w:val="auto"/>
        </w:rPr>
      </w:pPr>
    </w:p>
    <w:p>
      <w:pPr>
        <w:spacing w:after="0"/>
        <w:rPr>
          <w:sz w:val="20"/>
          <w:szCs w:val="20"/>
          <w:color w:val="auto"/>
        </w:rPr>
      </w:pPr>
      <w:r>
        <w:rPr>
          <w:rFonts w:ascii="Calibri" w:cs="Calibri" w:eastAsia="Calibri" w:hAnsi="Calibri"/>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560705</wp:posOffset>
            </wp:positionV>
            <wp:extent cx="7176135" cy="4000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980"/>
          </w:cols>
          <w:pgMar w:left="360" w:top="1325" w:right="559" w:bottom="1440" w:gutter="0" w:footer="0" w:header="0"/>
        </w:sectPr>
      </w:pPr>
    </w:p>
    <w:bookmarkStart w:id="190" w:name="page191"/>
    <w:bookmarkEnd w:id="190"/>
    <w:p>
      <w:pPr>
        <w:jc w:val="right"/>
        <w:spacing w:after="0"/>
        <w:rPr>
          <w:sz w:val="20"/>
          <w:szCs w:val="20"/>
          <w:color w:val="auto"/>
        </w:rPr>
      </w:pPr>
      <w:r>
        <w:rPr>
          <w:rFonts w:ascii="Arial" w:cs="Arial" w:eastAsia="Arial" w:hAnsi="Arial"/>
          <w:sz w:val="16"/>
          <w:szCs w:val="16"/>
          <w:b w:val="1"/>
          <w:bCs w:val="1"/>
          <w:color w:val="auto"/>
        </w:rPr>
        <w:t>Exhibit 21.1</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3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Subsidiaries of the Company</w:t>
            </w: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760" w:type="dxa"/>
            <w:vAlign w:val="bottom"/>
          </w:tcPr>
          <w:p>
            <w:pPr>
              <w:spacing w:after="0"/>
              <w:rPr>
                <w:sz w:val="16"/>
                <w:szCs w:val="16"/>
                <w:color w:val="auto"/>
              </w:rPr>
            </w:pPr>
          </w:p>
        </w:tc>
      </w:tr>
      <w:tr>
        <w:trPr>
          <w:trHeight w:val="218"/>
        </w:trPr>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6760" w:type="dxa"/>
            <w:vAlign w:val="bottom"/>
          </w:tcPr>
          <w:p>
            <w:pPr>
              <w:spacing w:after="0"/>
              <w:rPr>
                <w:sz w:val="18"/>
                <w:szCs w:val="18"/>
                <w:color w:val="auto"/>
              </w:rPr>
            </w:pPr>
          </w:p>
        </w:tc>
      </w:tr>
      <w:tr>
        <w:trPr>
          <w:trHeight w:val="139"/>
        </w:trPr>
        <w:tc>
          <w:tcPr>
            <w:tcW w:w="120" w:type="dxa"/>
            <w:vAlign w:val="bottom"/>
            <w:tcBorders>
              <w:left w:val="single" w:sz="8" w:color="auto"/>
            </w:tcBorders>
          </w:tcPr>
          <w:p>
            <w:pPr>
              <w:spacing w:after="0"/>
              <w:rPr>
                <w:sz w:val="12"/>
                <w:szCs w:val="12"/>
                <w:color w:val="auto"/>
              </w:rPr>
            </w:pPr>
          </w:p>
        </w:tc>
        <w:tc>
          <w:tcPr>
            <w:tcW w:w="2180" w:type="dxa"/>
            <w:vAlign w:val="bottom"/>
            <w:tcBorders>
              <w:right w:val="single" w:sz="8" w:color="auto"/>
            </w:tcBorders>
            <w:gridSpan w:val="3"/>
          </w:tcPr>
          <w:p>
            <w:pPr>
              <w:spacing w:after="0" w:line="139" w:lineRule="exact"/>
              <w:rPr>
                <w:sz w:val="20"/>
                <w:szCs w:val="20"/>
                <w:color w:val="auto"/>
              </w:rPr>
            </w:pPr>
            <w:r>
              <w:rPr>
                <w:rFonts w:ascii="Times New Roman" w:cs="Times New Roman" w:eastAsia="Times New Roman" w:hAnsi="Times New Roman"/>
                <w:sz w:val="16"/>
                <w:szCs w:val="16"/>
                <w:b w:val="1"/>
                <w:bCs w:val="1"/>
                <w:color w:val="auto"/>
              </w:rPr>
              <w:t>Name</w:t>
            </w:r>
          </w:p>
        </w:tc>
        <w:tc>
          <w:tcPr>
            <w:tcW w:w="2220" w:type="dxa"/>
            <w:vAlign w:val="bottom"/>
            <w:tcBorders>
              <w:right w:val="single" w:sz="8" w:color="auto"/>
            </w:tcBorders>
            <w:gridSpan w:val="3"/>
          </w:tcPr>
          <w:p>
            <w:pPr>
              <w:ind w:left="60"/>
              <w:spacing w:after="0" w:line="139" w:lineRule="exact"/>
              <w:rPr>
                <w:sz w:val="20"/>
                <w:szCs w:val="20"/>
                <w:color w:val="auto"/>
              </w:rPr>
            </w:pPr>
            <w:r>
              <w:rPr>
                <w:rFonts w:ascii="Times New Roman" w:cs="Times New Roman" w:eastAsia="Times New Roman" w:hAnsi="Times New Roman"/>
                <w:sz w:val="16"/>
                <w:szCs w:val="16"/>
                <w:b w:val="1"/>
                <w:bCs w:val="1"/>
                <w:color w:val="auto"/>
              </w:rPr>
              <w:t>Jurisdiction</w:t>
            </w:r>
          </w:p>
        </w:tc>
        <w:tc>
          <w:tcPr>
            <w:tcW w:w="6760" w:type="dxa"/>
            <w:vAlign w:val="bottom"/>
          </w:tcPr>
          <w:p>
            <w:pPr>
              <w:spacing w:after="0"/>
              <w:rPr>
                <w:sz w:val="12"/>
                <w:szCs w:val="12"/>
                <w:color w:val="auto"/>
              </w:rPr>
            </w:pPr>
          </w:p>
        </w:tc>
      </w:tr>
      <w:tr>
        <w:trPr>
          <w:trHeight w:val="54"/>
        </w:trPr>
        <w:tc>
          <w:tcPr>
            <w:tcW w:w="120" w:type="dxa"/>
            <w:vAlign w:val="bottom"/>
            <w:tcBorders>
              <w:left w:val="single" w:sz="8" w:color="auto"/>
              <w:bottom w:val="single" w:sz="8" w:color="auto"/>
            </w:tcBorders>
          </w:tcPr>
          <w:p>
            <w:pPr>
              <w:spacing w:after="0"/>
              <w:rPr>
                <w:sz w:val="4"/>
                <w:szCs w:val="4"/>
                <w:color w:val="auto"/>
              </w:rPr>
            </w:pPr>
          </w:p>
        </w:tc>
        <w:tc>
          <w:tcPr>
            <w:tcW w:w="380" w:type="dxa"/>
            <w:vAlign w:val="bottom"/>
            <w:tcBorders>
              <w:top w:val="single" w:sz="8" w:color="auto"/>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0" w:type="dxa"/>
            <w:vAlign w:val="bottom"/>
            <w:tcBorders>
              <w:top w:val="single" w:sz="8" w:color="auto"/>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6760" w:type="dxa"/>
            <w:vAlign w:val="bottom"/>
          </w:tcPr>
          <w:p>
            <w:pPr>
              <w:spacing w:after="0"/>
              <w:rPr>
                <w:sz w:val="4"/>
                <w:szCs w:val="4"/>
                <w:color w:val="auto"/>
              </w:rPr>
            </w:pPr>
          </w:p>
        </w:tc>
      </w:tr>
      <w:tr>
        <w:trPr>
          <w:trHeight w:val="158"/>
        </w:trPr>
        <w:tc>
          <w:tcPr>
            <w:tcW w:w="120" w:type="dxa"/>
            <w:vAlign w:val="bottom"/>
            <w:tcBorders>
              <w:left w:val="single" w:sz="8" w:color="auto"/>
            </w:tcBorders>
          </w:tcPr>
          <w:p>
            <w:pPr>
              <w:spacing w:after="0"/>
              <w:rPr>
                <w:sz w:val="13"/>
                <w:szCs w:val="13"/>
                <w:color w:val="auto"/>
              </w:rPr>
            </w:pPr>
          </w:p>
        </w:tc>
        <w:tc>
          <w:tcPr>
            <w:tcW w:w="2180" w:type="dxa"/>
            <w:vAlign w:val="bottom"/>
            <w:tcBorders>
              <w:right w:val="single" w:sz="8" w:color="auto"/>
            </w:tcBorders>
            <w:gridSpan w:val="3"/>
          </w:tcPr>
          <w:p>
            <w:pPr>
              <w:spacing w:after="0" w:line="158" w:lineRule="exact"/>
              <w:rPr>
                <w:sz w:val="20"/>
                <w:szCs w:val="20"/>
                <w:color w:val="auto"/>
              </w:rPr>
            </w:pPr>
            <w:r>
              <w:rPr>
                <w:rFonts w:ascii="Times New Roman" w:cs="Times New Roman" w:eastAsia="Times New Roman" w:hAnsi="Times New Roman"/>
                <w:sz w:val="16"/>
                <w:szCs w:val="16"/>
                <w:color w:val="auto"/>
              </w:rPr>
              <w:t>Axsome Therapeutics Australia</w:t>
            </w:r>
          </w:p>
        </w:tc>
        <w:tc>
          <w:tcPr>
            <w:tcW w:w="2220" w:type="dxa"/>
            <w:vAlign w:val="bottom"/>
            <w:tcBorders>
              <w:right w:val="single" w:sz="8" w:color="auto"/>
            </w:tcBorders>
            <w:gridSpan w:val="3"/>
          </w:tcPr>
          <w:p>
            <w:pPr>
              <w:ind w:left="60"/>
              <w:spacing w:after="0" w:line="158" w:lineRule="exact"/>
              <w:rPr>
                <w:sz w:val="20"/>
                <w:szCs w:val="20"/>
                <w:color w:val="auto"/>
              </w:rPr>
            </w:pPr>
            <w:r>
              <w:rPr>
                <w:rFonts w:ascii="Times New Roman" w:cs="Times New Roman" w:eastAsia="Times New Roman" w:hAnsi="Times New Roman"/>
                <w:sz w:val="16"/>
                <w:szCs w:val="16"/>
                <w:color w:val="auto"/>
              </w:rPr>
              <w:t>Australia</w:t>
            </w:r>
          </w:p>
        </w:tc>
        <w:tc>
          <w:tcPr>
            <w:tcW w:w="6760" w:type="dxa"/>
            <w:vAlign w:val="bottom"/>
          </w:tcPr>
          <w:p>
            <w:pPr>
              <w:spacing w:after="0"/>
              <w:rPr>
                <w:sz w:val="13"/>
                <w:szCs w:val="13"/>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2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Pty Ltd</w:t>
            </w:r>
          </w:p>
        </w:tc>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6760" w:type="dxa"/>
            <w:vAlign w:val="bottom"/>
          </w:tcPr>
          <w:p>
            <w:pPr>
              <w:spacing w:after="0"/>
              <w:rPr>
                <w:sz w:val="18"/>
                <w:szCs w:val="18"/>
                <w:color w:val="auto"/>
              </w:rPr>
            </w:pPr>
          </w:p>
        </w:tc>
      </w:tr>
      <w:tr>
        <w:trPr>
          <w:trHeight w:val="204"/>
        </w:trPr>
        <w:tc>
          <w:tcPr>
            <w:tcW w:w="120" w:type="dxa"/>
            <w:vAlign w:val="bottom"/>
            <w:tcBorders>
              <w:left w:val="single" w:sz="8" w:color="auto"/>
              <w:bottom w:val="single" w:sz="8" w:color="auto"/>
            </w:tcBorders>
          </w:tcPr>
          <w:p>
            <w:pPr>
              <w:spacing w:after="0"/>
              <w:rPr>
                <w:sz w:val="17"/>
                <w:szCs w:val="17"/>
                <w:color w:val="auto"/>
              </w:rPr>
            </w:pPr>
          </w:p>
        </w:tc>
        <w:tc>
          <w:tcPr>
            <w:tcW w:w="2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Axsome Therapeutics, Limited</w:t>
            </w:r>
          </w:p>
        </w:tc>
        <w:tc>
          <w:tcPr>
            <w:tcW w:w="222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color w:val="auto"/>
              </w:rPr>
              <w:t>Ireland</w:t>
            </w:r>
          </w:p>
        </w:tc>
        <w:tc>
          <w:tcPr>
            <w:tcW w:w="6760" w:type="dxa"/>
            <w:vAlign w:val="bottom"/>
          </w:tcPr>
          <w:p>
            <w:pPr>
              <w:spacing w:after="0"/>
              <w:rPr>
                <w:sz w:val="17"/>
                <w:szCs w:val="17"/>
                <w:color w:val="auto"/>
              </w:rPr>
            </w:pPr>
          </w:p>
        </w:tc>
      </w:tr>
      <w:tr>
        <w:trPr>
          <w:trHeight w:val="177"/>
        </w:trPr>
        <w:tc>
          <w:tcPr>
            <w:tcW w:w="120" w:type="dxa"/>
            <w:vAlign w:val="bottom"/>
            <w:tcBorders>
              <w:left w:val="single" w:sz="8" w:color="auto"/>
            </w:tcBorders>
          </w:tcPr>
          <w:p>
            <w:pPr>
              <w:spacing w:after="0"/>
              <w:rPr>
                <w:sz w:val="15"/>
                <w:szCs w:val="15"/>
                <w:color w:val="auto"/>
              </w:rPr>
            </w:pPr>
          </w:p>
        </w:tc>
        <w:tc>
          <w:tcPr>
            <w:tcW w:w="2180" w:type="dxa"/>
            <w:vAlign w:val="bottom"/>
            <w:tcBorders>
              <w:right w:val="single" w:sz="8" w:color="auto"/>
            </w:tcBorders>
            <w:gridSpan w:val="3"/>
          </w:tcPr>
          <w:p>
            <w:pPr>
              <w:spacing w:after="0" w:line="178" w:lineRule="exact"/>
              <w:rPr>
                <w:sz w:val="20"/>
                <w:szCs w:val="20"/>
                <w:color w:val="auto"/>
              </w:rPr>
            </w:pPr>
            <w:r>
              <w:rPr>
                <w:rFonts w:ascii="Times New Roman" w:cs="Times New Roman" w:eastAsia="Times New Roman" w:hAnsi="Times New Roman"/>
                <w:sz w:val="16"/>
                <w:szCs w:val="16"/>
                <w:color w:val="auto"/>
              </w:rPr>
              <w:t>Axsome International Holdings</w:t>
            </w:r>
          </w:p>
        </w:tc>
        <w:tc>
          <w:tcPr>
            <w:tcW w:w="2220" w:type="dxa"/>
            <w:vAlign w:val="bottom"/>
            <w:tcBorders>
              <w:right w:val="single" w:sz="8" w:color="auto"/>
            </w:tcBorders>
            <w:gridSpan w:val="3"/>
          </w:tcPr>
          <w:p>
            <w:pPr>
              <w:ind w:left="60"/>
              <w:spacing w:after="0" w:line="178" w:lineRule="exact"/>
              <w:rPr>
                <w:sz w:val="20"/>
                <w:szCs w:val="20"/>
                <w:color w:val="auto"/>
              </w:rPr>
            </w:pPr>
            <w:r>
              <w:rPr>
                <w:rFonts w:ascii="Times New Roman" w:cs="Times New Roman" w:eastAsia="Times New Roman" w:hAnsi="Times New Roman"/>
                <w:sz w:val="16"/>
                <w:szCs w:val="16"/>
                <w:color w:val="auto"/>
              </w:rPr>
              <w:t>Delaware</w:t>
            </w:r>
          </w:p>
        </w:tc>
        <w:tc>
          <w:tcPr>
            <w:tcW w:w="6760" w:type="dxa"/>
            <w:vAlign w:val="bottom"/>
          </w:tcPr>
          <w:p>
            <w:pPr>
              <w:spacing w:after="0"/>
              <w:rPr>
                <w:sz w:val="15"/>
                <w:szCs w:val="15"/>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2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LLC</w:t>
            </w:r>
          </w:p>
        </w:tc>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6760" w:type="dxa"/>
            <w:vAlign w:val="bottom"/>
          </w:tcPr>
          <w:p>
            <w:pPr>
              <w:spacing w:after="0"/>
              <w:rPr>
                <w:sz w:val="18"/>
                <w:szCs w:val="18"/>
                <w:color w:val="auto"/>
              </w:rPr>
            </w:pPr>
          </w:p>
        </w:tc>
      </w:tr>
      <w:tr>
        <w:trPr>
          <w:trHeight w:val="204"/>
        </w:trPr>
        <w:tc>
          <w:tcPr>
            <w:tcW w:w="120" w:type="dxa"/>
            <w:vAlign w:val="bottom"/>
            <w:tcBorders>
              <w:left w:val="single" w:sz="8" w:color="auto"/>
              <w:bottom w:val="single" w:sz="8" w:color="auto"/>
            </w:tcBorders>
          </w:tcPr>
          <w:p>
            <w:pPr>
              <w:spacing w:after="0"/>
              <w:rPr>
                <w:sz w:val="17"/>
                <w:szCs w:val="17"/>
                <w:color w:val="auto"/>
              </w:rPr>
            </w:pPr>
          </w:p>
        </w:tc>
        <w:tc>
          <w:tcPr>
            <w:tcW w:w="2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Axsome Malta Holdings Ltd.</w:t>
            </w:r>
          </w:p>
        </w:tc>
        <w:tc>
          <w:tcPr>
            <w:tcW w:w="222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color w:val="auto"/>
              </w:rPr>
              <w:t>Malta</w:t>
            </w:r>
          </w:p>
        </w:tc>
        <w:tc>
          <w:tcPr>
            <w:tcW w:w="6760" w:type="dxa"/>
            <w:vAlign w:val="bottom"/>
          </w:tcPr>
          <w:p>
            <w:pPr>
              <w:spacing w:after="0"/>
              <w:rPr>
                <w:sz w:val="17"/>
                <w:szCs w:val="17"/>
                <w:color w:val="auto"/>
              </w:rPr>
            </w:pPr>
          </w:p>
        </w:tc>
      </w:tr>
      <w:tr>
        <w:trPr>
          <w:trHeight w:val="202"/>
        </w:trPr>
        <w:tc>
          <w:tcPr>
            <w:tcW w:w="120" w:type="dxa"/>
            <w:vAlign w:val="bottom"/>
            <w:tcBorders>
              <w:left w:val="single" w:sz="8" w:color="auto"/>
              <w:bottom w:val="single" w:sz="8" w:color="auto"/>
            </w:tcBorders>
          </w:tcPr>
          <w:p>
            <w:pPr>
              <w:spacing w:after="0"/>
              <w:rPr>
                <w:sz w:val="17"/>
                <w:szCs w:val="17"/>
                <w:color w:val="auto"/>
              </w:rPr>
            </w:pPr>
          </w:p>
        </w:tc>
        <w:tc>
          <w:tcPr>
            <w:tcW w:w="2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Axsome Malta Ltd.</w:t>
            </w:r>
          </w:p>
        </w:tc>
        <w:tc>
          <w:tcPr>
            <w:tcW w:w="222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color w:val="auto"/>
              </w:rPr>
              <w:t>Malta</w:t>
            </w:r>
          </w:p>
        </w:tc>
        <w:tc>
          <w:tcPr>
            <w:tcW w:w="6760" w:type="dxa"/>
            <w:vAlign w:val="bottom"/>
          </w:tcPr>
          <w:p>
            <w:pPr>
              <w:spacing w:after="0"/>
              <w:rPr>
                <w:sz w:val="17"/>
                <w:szCs w:val="17"/>
                <w:color w:val="auto"/>
              </w:rPr>
            </w:pPr>
          </w:p>
        </w:tc>
      </w:tr>
      <w:tr>
        <w:trPr>
          <w:trHeight w:val="202"/>
        </w:trPr>
        <w:tc>
          <w:tcPr>
            <w:tcW w:w="120" w:type="dxa"/>
            <w:vAlign w:val="bottom"/>
            <w:tcBorders>
              <w:left w:val="single" w:sz="8" w:color="auto"/>
              <w:bottom w:val="single" w:sz="8" w:color="auto"/>
            </w:tcBorders>
          </w:tcPr>
          <w:p>
            <w:pPr>
              <w:spacing w:after="0"/>
              <w:rPr>
                <w:sz w:val="17"/>
                <w:szCs w:val="17"/>
                <w:color w:val="auto"/>
              </w:rPr>
            </w:pPr>
          </w:p>
        </w:tc>
        <w:tc>
          <w:tcPr>
            <w:tcW w:w="21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Axsome Canada, Inc.</w:t>
            </w:r>
          </w:p>
        </w:tc>
        <w:tc>
          <w:tcPr>
            <w:tcW w:w="222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color w:val="auto"/>
              </w:rPr>
              <w:t>Canada</w:t>
            </w:r>
          </w:p>
        </w:tc>
        <w:tc>
          <w:tcPr>
            <w:tcW w:w="6760" w:type="dxa"/>
            <w:vAlign w:val="bottom"/>
          </w:tcPr>
          <w:p>
            <w:pPr>
              <w:spacing w:after="0"/>
              <w:rPr>
                <w:sz w:val="17"/>
                <w:szCs w:val="17"/>
                <w:color w:val="auto"/>
              </w:rPr>
            </w:pPr>
          </w:p>
        </w:tc>
      </w:tr>
      <w:tr>
        <w:trPr>
          <w:trHeight w:val="839"/>
        </w:trPr>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7139305</wp:posOffset>
            </wp:positionH>
            <wp:positionV relativeFrom="paragraph">
              <wp:posOffset>-26670</wp:posOffset>
            </wp:positionV>
            <wp:extent cx="33020" cy="4000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-26670</wp:posOffset>
            </wp:positionV>
            <wp:extent cx="33020" cy="4000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80"/>
          </w:cols>
          <w:pgMar w:left="300" w:top="683" w:right="319" w:bottom="1440" w:gutter="0" w:footer="0" w:header="0"/>
        </w:sectPr>
      </w:pPr>
    </w:p>
    <w:bookmarkStart w:id="191" w:name="page192"/>
    <w:bookmarkEnd w:id="191"/>
    <w:p>
      <w:pPr>
        <w:spacing w:after="0" w:line="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CONSENT OF INDEPENDENT REGISTERED PUBLIC ACCOUNTING FIRM</w:t>
      </w:r>
    </w:p>
    <w:p>
      <w:pPr>
        <w:spacing w:after="0" w:line="206"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333-268664 on Form S-3 and Registration Statement Nos. 333-217002, 333-208579, 333-230296, 333-226824, 333-238174, 333-256019, 333-264621, 333-271741 and 333-272891 on Form S-8 of our reports dated February 23, 2024, relating to the financial statements of Axsome Therapeutics, Inc. and the effectiveness of Axsome Therapeutics, Inc.'s internal control over financial reporting appearing in this Annual Report on Form 10-K for the year ended December 31, 2023.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Morristown, New Jersey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754380</wp:posOffset>
            </wp:positionV>
            <wp:extent cx="7176135" cy="4000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92" w:name="page193"/>
    <w:bookmarkEnd w:id="192"/>
    <w:p>
      <w:pPr>
        <w:spacing w:after="0" w:line="73"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9"/>
          <w:szCs w:val="19"/>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b w:val="1"/>
          <w:bCs w:val="1"/>
          <w:color w:val="auto"/>
        </w:rPr>
        <w:t>Consent of Independent Registered Public Accounting Firm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consent to the incorporation by reference in the Registration Statements on:</w:t>
      </w:r>
    </w:p>
    <w:p>
      <w:pPr>
        <w:spacing w:after="0" w:line="202" w:lineRule="exact"/>
        <w:rPr>
          <w:sz w:val="20"/>
          <w:szCs w:val="20"/>
          <w:color w:val="auto"/>
        </w:rPr>
      </w:pPr>
    </w:p>
    <w:p>
      <w:pPr>
        <w:ind w:left="740" w:hanging="371"/>
        <w:spacing w:after="0"/>
        <w:tabs>
          <w:tab w:leader="none" w:pos="740"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Form S-8 (No. 333-217002);</w:t>
      </w:r>
    </w:p>
    <w:p>
      <w:pPr>
        <w:spacing w:after="0" w:line="11" w:lineRule="exact"/>
        <w:rPr>
          <w:rFonts w:ascii="Times New Roman" w:cs="Times New Roman" w:eastAsia="Times New Roman" w:hAnsi="Times New Roman"/>
          <w:sz w:val="19"/>
          <w:szCs w:val="19"/>
          <w:color w:val="auto"/>
        </w:rPr>
      </w:pPr>
    </w:p>
    <w:p>
      <w:pPr>
        <w:ind w:left="740" w:hanging="371"/>
        <w:spacing w:after="0" w:line="230" w:lineRule="auto"/>
        <w:tabs>
          <w:tab w:leader="none" w:pos="740"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Form S-8 (No. 333-208579);</w:t>
      </w:r>
    </w:p>
    <w:p>
      <w:pPr>
        <w:ind w:left="740" w:hanging="371"/>
        <w:spacing w:after="0" w:line="230" w:lineRule="auto"/>
        <w:tabs>
          <w:tab w:leader="none" w:pos="740"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Form S-8 (No. 333-230296);</w:t>
      </w:r>
    </w:p>
    <w:p>
      <w:pPr>
        <w:ind w:left="740" w:hanging="371"/>
        <w:spacing w:after="0" w:line="230" w:lineRule="auto"/>
        <w:tabs>
          <w:tab w:leader="none" w:pos="740"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Form S-8 (No. 333-226824);</w:t>
      </w:r>
    </w:p>
    <w:p>
      <w:pPr>
        <w:ind w:left="740" w:hanging="371"/>
        <w:spacing w:after="0" w:line="230" w:lineRule="auto"/>
        <w:tabs>
          <w:tab w:leader="none" w:pos="740"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Form S-8 (No. 333-238174);</w:t>
      </w:r>
    </w:p>
    <w:p>
      <w:pPr>
        <w:ind w:left="740" w:hanging="371"/>
        <w:spacing w:after="0" w:line="230" w:lineRule="auto"/>
        <w:tabs>
          <w:tab w:leader="none" w:pos="740"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Form S-8 (No. 333-256019);</w:t>
      </w:r>
    </w:p>
    <w:p>
      <w:pPr>
        <w:ind w:left="740" w:hanging="371"/>
        <w:spacing w:after="0" w:line="230" w:lineRule="auto"/>
        <w:tabs>
          <w:tab w:leader="none" w:pos="740"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Form S-8 (No. 333-264621);</w:t>
      </w:r>
    </w:p>
    <w:p>
      <w:pPr>
        <w:ind w:left="740" w:hanging="371"/>
        <w:spacing w:after="0" w:line="230" w:lineRule="auto"/>
        <w:tabs>
          <w:tab w:leader="none" w:pos="740"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Form S-8 (No. 333-271741);</w:t>
      </w:r>
    </w:p>
    <w:p>
      <w:pPr>
        <w:ind w:left="740" w:hanging="371"/>
        <w:spacing w:after="0" w:line="230" w:lineRule="auto"/>
        <w:tabs>
          <w:tab w:leader="none" w:pos="740"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Form S-8 (No. 333-272891); and</w:t>
      </w:r>
    </w:p>
    <w:p>
      <w:pPr>
        <w:ind w:left="740" w:hanging="371"/>
        <w:spacing w:after="0"/>
        <w:tabs>
          <w:tab w:leader="none" w:pos="740"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Form S-3 (No. 333-268664).</w:t>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of our reports dated February 27, 2023, with respect to the consolidated financial statements of Axsome Therapeutics, Inc., included in this Annual Report (Form 10-K) of Axsome Therapeutics, Inc. for the year ended December 31, 2023.</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York, New York</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1243330</wp:posOffset>
            </wp:positionV>
            <wp:extent cx="7176135" cy="4000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8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CERTIFICATION OF PERIODIC REPORT</w:t>
      </w:r>
    </w:p>
    <w:p>
      <w:pPr>
        <w:spacing w:after="0" w:line="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7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I, Herriot Tabuteau, certify that:</w:t>
      </w:r>
    </w:p>
    <w:p>
      <w:pPr>
        <w:spacing w:after="0" w:line="189" w:lineRule="exact"/>
        <w:rPr>
          <w:sz w:val="20"/>
          <w:szCs w:val="20"/>
          <w:color w:val="auto"/>
        </w:rPr>
      </w:pPr>
    </w:p>
    <w:p>
      <w:pPr>
        <w:ind w:left="187" w:hanging="187"/>
        <w:spacing w:after="0"/>
        <w:tabs>
          <w:tab w:leader="none" w:pos="187"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Axsome Therapeutics, Inc.;</w:t>
      </w:r>
    </w:p>
    <w:p>
      <w:pPr>
        <w:spacing w:after="0" w:line="189" w:lineRule="exact"/>
        <w:rPr>
          <w:rFonts w:ascii="Times New Roman" w:cs="Times New Roman" w:eastAsia="Times New Roman" w:hAnsi="Times New Roman"/>
          <w:sz w:val="16"/>
          <w:szCs w:val="16"/>
          <w:color w:val="auto"/>
        </w:rPr>
      </w:pPr>
    </w:p>
    <w:p>
      <w:pPr>
        <w:ind w:left="307" w:right="40" w:hanging="307"/>
        <w:spacing w:after="0" w:line="267" w:lineRule="auto"/>
        <w:tabs>
          <w:tab w:leader="none" w:pos="178"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Times New Roman" w:cs="Times New Roman" w:eastAsia="Times New Roman" w:hAnsi="Times New Roman"/>
          <w:sz w:val="16"/>
          <w:szCs w:val="16"/>
          <w:color w:val="auto"/>
        </w:rPr>
      </w:pPr>
    </w:p>
    <w:p>
      <w:pPr>
        <w:ind w:left="307" w:right="140" w:hanging="307"/>
        <w:spacing w:after="0" w:line="267" w:lineRule="auto"/>
        <w:tabs>
          <w:tab w:leader="none" w:pos="178"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Times New Roman" w:cs="Times New Roman" w:eastAsia="Times New Roman" w:hAnsi="Times New Roman"/>
          <w:sz w:val="16"/>
          <w:szCs w:val="16"/>
          <w:color w:val="auto"/>
        </w:rPr>
      </w:pPr>
    </w:p>
    <w:p>
      <w:pPr>
        <w:ind w:left="307" w:right="240" w:hanging="307"/>
        <w:spacing w:after="0" w:line="267" w:lineRule="auto"/>
        <w:tabs>
          <w:tab w:leader="none" w:pos="178"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Times New Roman" w:cs="Times New Roman" w:eastAsia="Times New Roman" w:hAnsi="Times New Roman"/>
          <w:sz w:val="16"/>
          <w:szCs w:val="16"/>
          <w:color w:val="auto"/>
        </w:rPr>
      </w:pPr>
    </w:p>
    <w:p>
      <w:pPr>
        <w:ind w:left="767" w:right="40" w:hanging="452"/>
        <w:spacing w:after="0" w:line="255" w:lineRule="auto"/>
        <w:tabs>
          <w:tab w:leader="none" w:pos="767"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Times New Roman" w:cs="Times New Roman" w:eastAsia="Times New Roman" w:hAnsi="Times New Roman"/>
          <w:sz w:val="16"/>
          <w:szCs w:val="16"/>
          <w:color w:val="auto"/>
        </w:rPr>
      </w:pPr>
    </w:p>
    <w:p>
      <w:pPr>
        <w:ind w:left="767" w:right="460" w:hanging="452"/>
        <w:spacing w:after="0" w:line="255" w:lineRule="auto"/>
        <w:tabs>
          <w:tab w:leader="none" w:pos="767"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Times New Roman" w:cs="Times New Roman" w:eastAsia="Times New Roman" w:hAnsi="Times New Roman"/>
          <w:sz w:val="16"/>
          <w:szCs w:val="16"/>
          <w:color w:val="auto"/>
        </w:rPr>
      </w:pPr>
    </w:p>
    <w:p>
      <w:pPr>
        <w:ind w:left="767" w:right="460" w:hanging="451"/>
        <w:spacing w:after="0" w:line="267" w:lineRule="auto"/>
        <w:tabs>
          <w:tab w:leader="none" w:pos="503"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Times New Roman" w:cs="Times New Roman" w:eastAsia="Times New Roman" w:hAnsi="Times New Roman"/>
          <w:sz w:val="16"/>
          <w:szCs w:val="16"/>
          <w:color w:val="auto"/>
        </w:rPr>
      </w:pPr>
    </w:p>
    <w:p>
      <w:pPr>
        <w:ind w:left="767" w:right="20" w:hanging="451"/>
        <w:spacing w:after="0" w:line="255" w:lineRule="auto"/>
        <w:tabs>
          <w:tab w:leader="none" w:pos="503"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16"/>
          <w:szCs w:val="16"/>
          <w:color w:val="auto"/>
        </w:rPr>
      </w:pPr>
    </w:p>
    <w:p>
      <w:pPr>
        <w:ind w:left="307" w:right="180" w:hanging="307"/>
        <w:spacing w:after="0" w:line="267" w:lineRule="auto"/>
        <w:tabs>
          <w:tab w:leader="none" w:pos="178"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Times New Roman" w:cs="Times New Roman" w:eastAsia="Times New Roman" w:hAnsi="Times New Roman"/>
          <w:sz w:val="16"/>
          <w:szCs w:val="16"/>
          <w:color w:val="auto"/>
        </w:rPr>
      </w:pPr>
    </w:p>
    <w:p>
      <w:pPr>
        <w:ind w:left="767" w:right="40" w:hanging="451"/>
        <w:spacing w:after="0" w:line="267" w:lineRule="auto"/>
        <w:tabs>
          <w:tab w:leader="none" w:pos="503"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Times New Roman" w:cs="Times New Roman" w:eastAsia="Times New Roman" w:hAnsi="Times New Roman"/>
          <w:sz w:val="16"/>
          <w:szCs w:val="16"/>
          <w:color w:val="auto"/>
        </w:rPr>
      </w:pPr>
    </w:p>
    <w:p>
      <w:pPr>
        <w:ind w:left="507" w:hanging="191"/>
        <w:spacing w:after="0"/>
        <w:tabs>
          <w:tab w:leader="none" w:pos="507" w:val="left"/>
        </w:tabs>
        <w:numPr>
          <w:ilvl w:val="1"/>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4" w:lineRule="exact"/>
        <w:rPr>
          <w:sz w:val="20"/>
          <w:szCs w:val="20"/>
          <w:color w:val="auto"/>
        </w:rPr>
      </w:pPr>
    </w:p>
    <w:p>
      <w:pPr>
        <w:ind w:left="7"/>
        <w:spacing w:after="0"/>
        <w:tabs>
          <w:tab w:leader="none" w:pos="5626" w:val="left"/>
        </w:tabs>
        <w:rPr>
          <w:sz w:val="20"/>
          <w:szCs w:val="20"/>
          <w:color w:val="auto"/>
        </w:rPr>
      </w:pPr>
      <w:r>
        <w:rPr>
          <w:rFonts w:ascii="Times New Roman" w:cs="Times New Roman" w:eastAsia="Times New Roman" w:hAnsi="Times New Roman"/>
          <w:sz w:val="16"/>
          <w:szCs w:val="16"/>
          <w:color w:val="auto"/>
        </w:rPr>
        <w:t>Date: February 23, 2024</w:t>
      </w:r>
      <w:r>
        <w:rPr>
          <w:sz w:val="20"/>
          <w:szCs w:val="20"/>
          <w:color w:val="auto"/>
        </w:rPr>
        <w:tab/>
      </w:r>
      <w:r>
        <w:rPr>
          <w:rFonts w:ascii="Times New Roman" w:cs="Times New Roman" w:eastAsia="Times New Roman" w:hAnsi="Times New Roman"/>
          <w:sz w:val="14"/>
          <w:szCs w:val="14"/>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19685</wp:posOffset>
            </wp:positionV>
            <wp:extent cx="3571875" cy="76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7">
                      <a:extLst>
                        <a:ext uri="{28A0092B-C50C-407E-A947-70E740481C1C}"/>
                      </a:extLst>
                    </a:blip>
                    <a:srcRect/>
                    <a:stretch>
                      <a:fillRect/>
                    </a:stretch>
                  </pic:blipFill>
                  <pic:spPr bwMode="auto">
                    <a:xfrm>
                      <a:off x="0" y="0"/>
                      <a:ext cx="3571875" cy="7620"/>
                    </a:xfrm>
                    <a:prstGeom prst="rect">
                      <a:avLst/>
                    </a:prstGeom>
                    <a:noFill/>
                  </pic:spPr>
                </pic:pic>
              </a:graphicData>
            </a:graphic>
          </wp:anchor>
        </w:drawing>
      </w:r>
    </w:p>
    <w:p>
      <w:pPr>
        <w:spacing w:after="0" w:line="18" w:lineRule="exact"/>
        <w:rPr>
          <w:sz w:val="20"/>
          <w:szCs w:val="20"/>
          <w:color w:val="auto"/>
        </w:rPr>
      </w:pPr>
    </w:p>
    <w:p>
      <w:pPr>
        <w:ind w:left="5647"/>
        <w:spacing w:after="0"/>
        <w:rPr>
          <w:sz w:val="20"/>
          <w:szCs w:val="20"/>
          <w:color w:val="auto"/>
        </w:rPr>
      </w:pPr>
      <w:r>
        <w:rPr>
          <w:rFonts w:ascii="Times New Roman" w:cs="Times New Roman" w:eastAsia="Times New Roman" w:hAnsi="Times New Roman"/>
          <w:sz w:val="16"/>
          <w:szCs w:val="16"/>
          <w:color w:val="auto"/>
        </w:rPr>
        <w:t>Herriot Tabuteau, M.D.</w:t>
      </w:r>
    </w:p>
    <w:p>
      <w:pPr>
        <w:spacing w:after="0" w:line="19" w:lineRule="exact"/>
        <w:rPr>
          <w:sz w:val="20"/>
          <w:szCs w:val="20"/>
          <w:color w:val="auto"/>
        </w:rPr>
      </w:pPr>
    </w:p>
    <w:p>
      <w:pPr>
        <w:ind w:left="5647"/>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 w:lineRule="exact"/>
        <w:rPr>
          <w:sz w:val="20"/>
          <w:szCs w:val="20"/>
          <w:color w:val="auto"/>
        </w:rPr>
      </w:pPr>
    </w:p>
    <w:p>
      <w:pPr>
        <w:ind w:left="5647"/>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804545</wp:posOffset>
            </wp:positionV>
            <wp:extent cx="7176135" cy="4000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1101" w:right="31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89"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CERTIFICATION OF PERIODIC REPORT PURSUANT TO SECTION 302 OF THE</w:t>
      </w:r>
    </w:p>
    <w:p>
      <w:pPr>
        <w:spacing w:after="0" w:line="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SARBANES-OXLEY ACT OF 2002</w:t>
      </w:r>
    </w:p>
    <w:p>
      <w:pPr>
        <w:spacing w:after="0" w:line="17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I, Nick Pizzie, certify that:</w:t>
      </w:r>
    </w:p>
    <w:p>
      <w:pPr>
        <w:spacing w:after="0" w:line="189" w:lineRule="exact"/>
        <w:rPr>
          <w:sz w:val="20"/>
          <w:szCs w:val="20"/>
          <w:color w:val="auto"/>
        </w:rPr>
      </w:pPr>
    </w:p>
    <w:p>
      <w:pPr>
        <w:ind w:left="187" w:hanging="187"/>
        <w:spacing w:after="0"/>
        <w:tabs>
          <w:tab w:leader="none" w:pos="187"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Axsome Therapeutics, Inc.;</w:t>
      </w:r>
    </w:p>
    <w:p>
      <w:pPr>
        <w:spacing w:after="0" w:line="189" w:lineRule="exact"/>
        <w:rPr>
          <w:rFonts w:ascii="Times New Roman" w:cs="Times New Roman" w:eastAsia="Times New Roman" w:hAnsi="Times New Roman"/>
          <w:sz w:val="16"/>
          <w:szCs w:val="16"/>
          <w:color w:val="auto"/>
        </w:rPr>
      </w:pPr>
    </w:p>
    <w:p>
      <w:pPr>
        <w:ind w:left="307" w:right="40" w:hanging="307"/>
        <w:spacing w:after="0" w:line="267" w:lineRule="auto"/>
        <w:tabs>
          <w:tab w:leader="none" w:pos="178"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Times New Roman" w:cs="Times New Roman" w:eastAsia="Times New Roman" w:hAnsi="Times New Roman"/>
          <w:sz w:val="16"/>
          <w:szCs w:val="16"/>
          <w:color w:val="auto"/>
        </w:rPr>
      </w:pPr>
    </w:p>
    <w:p>
      <w:pPr>
        <w:ind w:left="307" w:right="140" w:hanging="307"/>
        <w:spacing w:after="0" w:line="267" w:lineRule="auto"/>
        <w:tabs>
          <w:tab w:leader="none" w:pos="178"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Times New Roman" w:cs="Times New Roman" w:eastAsia="Times New Roman" w:hAnsi="Times New Roman"/>
          <w:sz w:val="16"/>
          <w:szCs w:val="16"/>
          <w:color w:val="auto"/>
        </w:rPr>
      </w:pPr>
    </w:p>
    <w:p>
      <w:pPr>
        <w:ind w:left="307" w:right="240" w:hanging="307"/>
        <w:spacing w:after="0" w:line="267" w:lineRule="auto"/>
        <w:tabs>
          <w:tab w:leader="none" w:pos="178"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Times New Roman" w:cs="Times New Roman" w:eastAsia="Times New Roman" w:hAnsi="Times New Roman"/>
          <w:sz w:val="16"/>
          <w:szCs w:val="16"/>
          <w:color w:val="auto"/>
        </w:rPr>
      </w:pPr>
    </w:p>
    <w:p>
      <w:pPr>
        <w:ind w:left="767" w:right="40" w:hanging="452"/>
        <w:spacing w:after="0" w:line="255" w:lineRule="auto"/>
        <w:tabs>
          <w:tab w:leader="none" w:pos="767"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Times New Roman" w:cs="Times New Roman" w:eastAsia="Times New Roman" w:hAnsi="Times New Roman"/>
          <w:sz w:val="16"/>
          <w:szCs w:val="16"/>
          <w:color w:val="auto"/>
        </w:rPr>
      </w:pPr>
    </w:p>
    <w:p>
      <w:pPr>
        <w:ind w:left="767" w:right="460" w:hanging="452"/>
        <w:spacing w:after="0" w:line="255" w:lineRule="auto"/>
        <w:tabs>
          <w:tab w:leader="none" w:pos="767"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Times New Roman" w:cs="Times New Roman" w:eastAsia="Times New Roman" w:hAnsi="Times New Roman"/>
          <w:sz w:val="16"/>
          <w:szCs w:val="16"/>
          <w:color w:val="auto"/>
        </w:rPr>
      </w:pPr>
    </w:p>
    <w:p>
      <w:pPr>
        <w:ind w:left="767" w:right="460" w:hanging="451"/>
        <w:spacing w:after="0" w:line="267" w:lineRule="auto"/>
        <w:tabs>
          <w:tab w:leader="none" w:pos="503"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Times New Roman" w:cs="Times New Roman" w:eastAsia="Times New Roman" w:hAnsi="Times New Roman"/>
          <w:sz w:val="16"/>
          <w:szCs w:val="16"/>
          <w:color w:val="auto"/>
        </w:rPr>
      </w:pPr>
    </w:p>
    <w:p>
      <w:pPr>
        <w:ind w:left="767" w:right="20" w:hanging="451"/>
        <w:spacing w:after="0" w:line="255" w:lineRule="auto"/>
        <w:tabs>
          <w:tab w:leader="none" w:pos="503"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16"/>
          <w:szCs w:val="16"/>
          <w:color w:val="auto"/>
        </w:rPr>
      </w:pPr>
    </w:p>
    <w:p>
      <w:pPr>
        <w:ind w:left="307" w:right="180" w:hanging="307"/>
        <w:spacing w:after="0" w:line="267" w:lineRule="auto"/>
        <w:tabs>
          <w:tab w:leader="none" w:pos="178"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Times New Roman" w:cs="Times New Roman" w:eastAsia="Times New Roman" w:hAnsi="Times New Roman"/>
          <w:sz w:val="16"/>
          <w:szCs w:val="16"/>
          <w:color w:val="auto"/>
        </w:rPr>
      </w:pPr>
    </w:p>
    <w:p>
      <w:pPr>
        <w:ind w:left="767" w:right="40" w:hanging="451"/>
        <w:spacing w:after="0" w:line="267" w:lineRule="auto"/>
        <w:tabs>
          <w:tab w:leader="none" w:pos="503"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Times New Roman" w:cs="Times New Roman" w:eastAsia="Times New Roman" w:hAnsi="Times New Roman"/>
          <w:sz w:val="16"/>
          <w:szCs w:val="16"/>
          <w:color w:val="auto"/>
        </w:rPr>
      </w:pPr>
    </w:p>
    <w:p>
      <w:pPr>
        <w:ind w:left="507" w:hanging="191"/>
        <w:spacing w:after="0"/>
        <w:tabs>
          <w:tab w:leader="none" w:pos="507" w:val="left"/>
        </w:tabs>
        <w:numPr>
          <w:ilvl w:val="1"/>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4" w:lineRule="exact"/>
        <w:rPr>
          <w:sz w:val="20"/>
          <w:szCs w:val="20"/>
          <w:color w:val="auto"/>
        </w:rPr>
      </w:pPr>
    </w:p>
    <w:p>
      <w:pPr>
        <w:ind w:left="7"/>
        <w:spacing w:after="0"/>
        <w:tabs>
          <w:tab w:leader="none" w:pos="5626" w:val="left"/>
        </w:tabs>
        <w:rPr>
          <w:sz w:val="20"/>
          <w:szCs w:val="20"/>
          <w:color w:val="auto"/>
        </w:rPr>
      </w:pPr>
      <w:r>
        <w:rPr>
          <w:rFonts w:ascii="Times New Roman" w:cs="Times New Roman" w:eastAsia="Times New Roman" w:hAnsi="Times New Roman"/>
          <w:sz w:val="16"/>
          <w:szCs w:val="16"/>
          <w:color w:val="auto"/>
        </w:rPr>
        <w:t>Date: February 23, 2024</w:t>
      </w:r>
      <w:r>
        <w:rPr>
          <w:sz w:val="20"/>
          <w:szCs w:val="20"/>
          <w:color w:val="auto"/>
        </w:rPr>
        <w:tab/>
      </w:r>
      <w:r>
        <w:rPr>
          <w:rFonts w:ascii="Times New Roman" w:cs="Times New Roman" w:eastAsia="Times New Roman" w:hAnsi="Times New Roman"/>
          <w:sz w:val="14"/>
          <w:szCs w:val="14"/>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19685</wp:posOffset>
            </wp:positionV>
            <wp:extent cx="3571875" cy="76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9">
                      <a:extLst>
                        <a:ext uri="{28A0092B-C50C-407E-A947-70E740481C1C}"/>
                      </a:extLst>
                    </a:blip>
                    <a:srcRect/>
                    <a:stretch>
                      <a:fillRect/>
                    </a:stretch>
                  </pic:blipFill>
                  <pic:spPr bwMode="auto">
                    <a:xfrm>
                      <a:off x="0" y="0"/>
                      <a:ext cx="3571875" cy="7620"/>
                    </a:xfrm>
                    <a:prstGeom prst="rect">
                      <a:avLst/>
                    </a:prstGeom>
                    <a:noFill/>
                  </pic:spPr>
                </pic:pic>
              </a:graphicData>
            </a:graphic>
          </wp:anchor>
        </w:drawing>
      </w:r>
    </w:p>
    <w:p>
      <w:pPr>
        <w:spacing w:after="0" w:line="18" w:lineRule="exact"/>
        <w:rPr>
          <w:sz w:val="20"/>
          <w:szCs w:val="20"/>
          <w:color w:val="auto"/>
        </w:rPr>
      </w:pPr>
    </w:p>
    <w:p>
      <w:pPr>
        <w:ind w:left="5647"/>
        <w:spacing w:after="0"/>
        <w:rPr>
          <w:sz w:val="20"/>
          <w:szCs w:val="20"/>
          <w:color w:val="auto"/>
        </w:rPr>
      </w:pPr>
      <w:r>
        <w:rPr>
          <w:rFonts w:ascii="Times New Roman" w:cs="Times New Roman" w:eastAsia="Times New Roman" w:hAnsi="Times New Roman"/>
          <w:sz w:val="16"/>
          <w:szCs w:val="16"/>
          <w:color w:val="auto"/>
        </w:rPr>
        <w:t>Nick Pizzie</w:t>
      </w:r>
    </w:p>
    <w:p>
      <w:pPr>
        <w:spacing w:after="0" w:line="19" w:lineRule="exact"/>
        <w:rPr>
          <w:sz w:val="20"/>
          <w:szCs w:val="20"/>
          <w:color w:val="auto"/>
        </w:rPr>
      </w:pPr>
    </w:p>
    <w:p>
      <w:pPr>
        <w:ind w:left="5647"/>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 w:lineRule="exact"/>
        <w:rPr>
          <w:sz w:val="20"/>
          <w:szCs w:val="20"/>
          <w:color w:val="auto"/>
        </w:rPr>
      </w:pPr>
    </w:p>
    <w:p>
      <w:pPr>
        <w:ind w:left="5647"/>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804545</wp:posOffset>
            </wp:positionV>
            <wp:extent cx="7176135" cy="4000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1101" w:right="31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8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STATEMENT OF PRINCIPAL EXECUTIVE OFFICER OF</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4" w:lineRule="exact"/>
        <w:rPr>
          <w:sz w:val="20"/>
          <w:szCs w:val="20"/>
          <w:color w:val="auto"/>
        </w:rPr>
      </w:pPr>
    </w:p>
    <w:p>
      <w:pPr>
        <w:ind w:right="80" w:firstLine="500"/>
        <w:spacing w:after="0" w:line="255" w:lineRule="auto"/>
        <w:rPr>
          <w:sz w:val="20"/>
          <w:szCs w:val="20"/>
          <w:color w:val="auto"/>
        </w:rPr>
      </w:pPr>
      <w:r>
        <w:rPr>
          <w:rFonts w:ascii="Times New Roman" w:cs="Times New Roman" w:eastAsia="Times New Roman" w:hAnsi="Times New Roman"/>
          <w:sz w:val="16"/>
          <w:szCs w:val="16"/>
          <w:color w:val="auto"/>
        </w:rPr>
        <w:t>In connection with the annual report of Axsome Therapeutics, Inc. (the “Company”) on Form 10-K for the year ended December 31, 2023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160" w:lineRule="exact"/>
        <w:rPr>
          <w:sz w:val="20"/>
          <w:szCs w:val="20"/>
          <w:color w:val="auto"/>
        </w:rPr>
      </w:pPr>
    </w:p>
    <w:p>
      <w:pPr>
        <w:ind w:left="780" w:hanging="291"/>
        <w:spacing w:after="0"/>
        <w:tabs>
          <w:tab w:leader="none" w:pos="7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189" w:lineRule="exact"/>
        <w:rPr>
          <w:rFonts w:ascii="Times New Roman" w:cs="Times New Roman" w:eastAsia="Times New Roman" w:hAnsi="Times New Roman"/>
          <w:sz w:val="16"/>
          <w:szCs w:val="16"/>
          <w:color w:val="auto"/>
        </w:rPr>
      </w:pPr>
    </w:p>
    <w:p>
      <w:pPr>
        <w:ind w:left="780" w:hanging="291"/>
        <w:spacing w:after="0"/>
        <w:tabs>
          <w:tab w:leader="none" w:pos="7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36"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6"/>
          <w:szCs w:val="16"/>
          <w:color w:val="auto"/>
        </w:rPr>
        <w:t>Date: February 23, 2024</w:t>
      </w:r>
      <w:r>
        <w:rPr>
          <w:sz w:val="20"/>
          <w:szCs w:val="20"/>
          <w:color w:val="auto"/>
        </w:rPr>
        <w:tab/>
      </w:r>
      <w:r>
        <w:rPr>
          <w:rFonts w:ascii="Times New Roman" w:cs="Times New Roman" w:eastAsia="Times New Roman" w:hAnsi="Times New Roman"/>
          <w:sz w:val="14"/>
          <w:szCs w:val="14"/>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19685</wp:posOffset>
            </wp:positionV>
            <wp:extent cx="3571875" cy="76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1">
                      <a:extLst>
                        <a:ext uri="{28A0092B-C50C-407E-A947-70E740481C1C}"/>
                      </a:extLst>
                    </a:blip>
                    <a:srcRect/>
                    <a:stretch>
                      <a:fillRect/>
                    </a:stretch>
                  </pic:blipFill>
                  <pic:spPr bwMode="auto">
                    <a:xfrm>
                      <a:off x="0" y="0"/>
                      <a:ext cx="3571875" cy="7620"/>
                    </a:xfrm>
                    <a:prstGeom prst="rect">
                      <a:avLst/>
                    </a:prstGeom>
                    <a:noFill/>
                  </pic:spPr>
                </pic:pic>
              </a:graphicData>
            </a:graphic>
          </wp:anchor>
        </w:drawing>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Herriot Tabuteau, M.D.</w:t>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923290</wp:posOffset>
            </wp:positionV>
            <wp:extent cx="7176135" cy="4000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02" w:right="31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STATEMENT OF PRINCIPAL FINANCIAL OFFICER OF</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4" w:lineRule="exact"/>
        <w:rPr>
          <w:sz w:val="20"/>
          <w:szCs w:val="20"/>
          <w:color w:val="auto"/>
        </w:rPr>
      </w:pPr>
    </w:p>
    <w:p>
      <w:pPr>
        <w:jc w:val="both"/>
        <w:ind w:right="200" w:firstLine="500"/>
        <w:spacing w:after="0" w:line="255" w:lineRule="auto"/>
        <w:rPr>
          <w:sz w:val="20"/>
          <w:szCs w:val="20"/>
          <w:color w:val="auto"/>
        </w:rPr>
      </w:pPr>
      <w:r>
        <w:rPr>
          <w:rFonts w:ascii="Times New Roman" w:cs="Times New Roman" w:eastAsia="Times New Roman" w:hAnsi="Times New Roman"/>
          <w:sz w:val="16"/>
          <w:szCs w:val="16"/>
          <w:color w:val="auto"/>
        </w:rPr>
        <w:t>In connection with the annual report of Axsome Therapeutics, Inc. (the “Company”) on Form 10-K for the year ended December 31, 2023 as filed with the Securities and Exchange Commission (the “Report”), I, Nick Pizzie, Chief Financial Officer of the Company, certify, pursuant to 18 U.S.C. §1350, as adopted pursuant to §906 of the Sarbanes-Oxley Act of 2002, that, based on my knowledge:</w:t>
      </w:r>
    </w:p>
    <w:p>
      <w:pPr>
        <w:spacing w:after="0" w:line="160" w:lineRule="exact"/>
        <w:rPr>
          <w:sz w:val="20"/>
          <w:szCs w:val="20"/>
          <w:color w:val="auto"/>
        </w:rPr>
      </w:pPr>
    </w:p>
    <w:p>
      <w:pPr>
        <w:ind w:left="780" w:hanging="291"/>
        <w:spacing w:after="0"/>
        <w:tabs>
          <w:tab w:leader="none" w:pos="78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189" w:lineRule="exact"/>
        <w:rPr>
          <w:rFonts w:ascii="Times New Roman" w:cs="Times New Roman" w:eastAsia="Times New Roman" w:hAnsi="Times New Roman"/>
          <w:sz w:val="16"/>
          <w:szCs w:val="16"/>
          <w:color w:val="auto"/>
        </w:rPr>
      </w:pPr>
    </w:p>
    <w:p>
      <w:pPr>
        <w:ind w:left="780" w:hanging="291"/>
        <w:spacing w:after="0"/>
        <w:tabs>
          <w:tab w:leader="none" w:pos="78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36"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6"/>
          <w:szCs w:val="16"/>
          <w:color w:val="auto"/>
        </w:rPr>
        <w:t>Date: February 23, 2024</w:t>
      </w:r>
      <w:r>
        <w:rPr>
          <w:sz w:val="20"/>
          <w:szCs w:val="20"/>
          <w:color w:val="auto"/>
        </w:rPr>
        <w:tab/>
      </w:r>
      <w:r>
        <w:rPr>
          <w:rFonts w:ascii="Times New Roman" w:cs="Times New Roman" w:eastAsia="Times New Roman" w:hAnsi="Times New Roman"/>
          <w:sz w:val="14"/>
          <w:szCs w:val="14"/>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19685</wp:posOffset>
            </wp:positionV>
            <wp:extent cx="3571875" cy="76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3">
                      <a:extLst>
                        <a:ext uri="{28A0092B-C50C-407E-A947-70E740481C1C}"/>
                      </a:extLst>
                    </a:blip>
                    <a:srcRect/>
                    <a:stretch>
                      <a:fillRect/>
                    </a:stretch>
                  </pic:blipFill>
                  <pic:spPr bwMode="auto">
                    <a:xfrm>
                      <a:off x="0" y="0"/>
                      <a:ext cx="3571875" cy="7620"/>
                    </a:xfrm>
                    <a:prstGeom prst="rect">
                      <a:avLst/>
                    </a:prstGeom>
                    <a:noFill/>
                  </pic:spPr>
                </pic:pic>
              </a:graphicData>
            </a:graphic>
          </wp:anchor>
        </w:drawing>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Nick Pizzie</w:t>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923290</wp:posOffset>
            </wp:positionV>
            <wp:extent cx="7176135" cy="4000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101" w:right="31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6"/>
          <w:szCs w:val="16"/>
          <w:b w:val="1"/>
          <w:bCs w:val="1"/>
          <w:color w:val="auto"/>
        </w:rPr>
        <w:t>Exhibit 97.1</w:t>
      </w:r>
    </w:p>
    <w:p>
      <w:pPr>
        <w:spacing w:after="0" w:line="20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AXSOME THERAPEUTICS, INC.</w:t>
      </w:r>
    </w:p>
    <w:p>
      <w:pPr>
        <w:spacing w:after="0" w:line="20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DODD-FRANK CLAWBACK POLICY</w:t>
      </w:r>
    </w:p>
    <w:p>
      <w:pPr>
        <w:spacing w:after="0" w:line="202" w:lineRule="exact"/>
        <w:rPr>
          <w:sz w:val="20"/>
          <w:szCs w:val="20"/>
          <w:color w:val="auto"/>
        </w:rPr>
      </w:pPr>
    </w:p>
    <w:p>
      <w:pPr>
        <w:ind w:left="7" w:firstLine="373"/>
        <w:spacing w:after="0" w:line="236" w:lineRule="auto"/>
        <w:rPr>
          <w:sz w:val="20"/>
          <w:szCs w:val="20"/>
          <w:color w:val="auto"/>
        </w:rPr>
      </w:pPr>
      <w:r>
        <w:rPr>
          <w:rFonts w:ascii="Times New Roman" w:cs="Times New Roman" w:eastAsia="Times New Roman" w:hAnsi="Times New Roman"/>
          <w:sz w:val="19"/>
          <w:szCs w:val="19"/>
          <w:color w:val="auto"/>
        </w:rPr>
        <w:t>Axsome Therapeutics, Inc.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has adopted this clawback policy (this “</w:t>
      </w:r>
      <w:r>
        <w:rPr>
          <w:rFonts w:ascii="Times New Roman" w:cs="Times New Roman" w:eastAsia="Times New Roman" w:hAnsi="Times New Roman"/>
          <w:sz w:val="19"/>
          <w:szCs w:val="19"/>
          <w:b w:val="1"/>
          <w:bCs w:val="1"/>
          <w:color w:val="auto"/>
        </w:rPr>
        <w:t>Policy</w:t>
      </w:r>
      <w:r>
        <w:rPr>
          <w:rFonts w:ascii="Times New Roman" w:cs="Times New Roman" w:eastAsia="Times New Roman" w:hAnsi="Times New Roman"/>
          <w:sz w:val="19"/>
          <w:szCs w:val="19"/>
          <w:color w:val="auto"/>
        </w:rPr>
        <w:t>”) as a supplement to any other clawback policies in effect now or in the future at the Company. To the extent this Policy applies to compensation payable to a person covered by this Policy, it shall be the only clawback policy applicable to such compensation and no other clawback policy shall apply; provided that, if such other policy provides that a greater amount of such compensation shall be subject to clawback, such other policy shall apply to the amount in excess of the amount subject to clawback under this Policy. This Policy shall be interpreted to comply with the clawback rules found in 17 C.F.R. §240.10D and the related listing rules of the The Nasdaq Stock Market LLC (the “</w:t>
      </w:r>
      <w:r>
        <w:rPr>
          <w:rFonts w:ascii="Times New Roman" w:cs="Times New Roman" w:eastAsia="Times New Roman" w:hAnsi="Times New Roman"/>
          <w:sz w:val="19"/>
          <w:szCs w:val="19"/>
          <w:b w:val="1"/>
          <w:bCs w:val="1"/>
          <w:color w:val="auto"/>
        </w:rPr>
        <w:t>Exchange</w:t>
      </w:r>
      <w:r>
        <w:rPr>
          <w:rFonts w:ascii="Times New Roman" w:cs="Times New Roman" w:eastAsia="Times New Roman" w:hAnsi="Times New Roman"/>
          <w:sz w:val="19"/>
          <w:szCs w:val="19"/>
          <w:color w:val="auto"/>
        </w:rPr>
        <w:t>”), and, to the extent this Policy is in any manner deemed to be inconsistent with such rules, this Policy shall be treated as retroactively amended to be compliant with such rules.</w:t>
      </w:r>
    </w:p>
    <w:p>
      <w:pPr>
        <w:spacing w:after="0" w:line="177" w:lineRule="exact"/>
        <w:rPr>
          <w:sz w:val="20"/>
          <w:szCs w:val="20"/>
          <w:color w:val="auto"/>
        </w:rPr>
      </w:pPr>
    </w:p>
    <w:p>
      <w:pPr>
        <w:ind w:left="7" w:right="1200" w:hanging="7"/>
        <w:spacing w:after="0" w:line="261" w:lineRule="auto"/>
        <w:tabs>
          <w:tab w:leader="none" w:pos="24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17 C.F.R. §240.10D-1(d) defines the terms “</w:t>
      </w:r>
      <w:r>
        <w:rPr>
          <w:rFonts w:ascii="Times New Roman" w:cs="Times New Roman" w:eastAsia="Times New Roman" w:hAnsi="Times New Roman"/>
          <w:sz w:val="19"/>
          <w:szCs w:val="19"/>
          <w:b w:val="1"/>
          <w:bCs w:val="1"/>
          <w:color w:val="auto"/>
        </w:rPr>
        <w:t>Executive Officer</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Financial Reporting Measure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Incentive-Based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Compensation</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Received</w:t>
      </w:r>
      <w:r>
        <w:rPr>
          <w:rFonts w:ascii="Times New Roman" w:cs="Times New Roman" w:eastAsia="Times New Roman" w:hAnsi="Times New Roman"/>
          <w:sz w:val="19"/>
          <w:szCs w:val="19"/>
          <w:color w:val="auto"/>
        </w:rPr>
        <w:t>.” As used herein, these terms shall have the same meaning as in that regulation.</w:t>
      </w:r>
    </w:p>
    <w:p>
      <w:pPr>
        <w:spacing w:after="0" w:line="158" w:lineRule="exact"/>
        <w:rPr>
          <w:rFonts w:ascii="Times New Roman" w:cs="Times New Roman" w:eastAsia="Times New Roman" w:hAnsi="Times New Roman"/>
          <w:sz w:val="19"/>
          <w:szCs w:val="19"/>
          <w:color w:val="auto"/>
        </w:rPr>
      </w:pPr>
    </w:p>
    <w:p>
      <w:pPr>
        <w:ind w:left="7" w:right="160" w:hanging="7"/>
        <w:spacing w:after="0" w:line="239" w:lineRule="auto"/>
        <w:tabs>
          <w:tab w:leader="none" w:pos="24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Application of this Policy</w:t>
      </w:r>
      <w:r>
        <w:rPr>
          <w:rFonts w:ascii="Times New Roman" w:cs="Times New Roman" w:eastAsia="Times New Roman" w:hAnsi="Times New Roman"/>
          <w:sz w:val="19"/>
          <w:szCs w:val="19"/>
          <w:color w:val="auto"/>
        </w:rPr>
        <w:t>. This Policy shall only apply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80" w:lineRule="exact"/>
        <w:rPr>
          <w:rFonts w:ascii="Times New Roman" w:cs="Times New Roman" w:eastAsia="Times New Roman" w:hAnsi="Times New Roman"/>
          <w:sz w:val="19"/>
          <w:szCs w:val="19"/>
          <w:color w:val="auto"/>
        </w:rPr>
      </w:pPr>
    </w:p>
    <w:p>
      <w:pPr>
        <w:ind w:left="7" w:right="80" w:hanging="7"/>
        <w:spacing w:after="0" w:line="237" w:lineRule="auto"/>
        <w:tabs>
          <w:tab w:leader="none" w:pos="24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Recovery Period</w:t>
      </w:r>
      <w:r>
        <w:rPr>
          <w:rFonts w:ascii="Times New Roman" w:cs="Times New Roman" w:eastAsia="Times New Roman" w:hAnsi="Times New Roman"/>
          <w:sz w:val="19"/>
          <w:szCs w:val="19"/>
          <w:color w:val="auto"/>
        </w:rPr>
        <w:t>. The Incentive-Based Compensation subject to clawback is the Incentive-Based Compensation Received during the three completed fiscal years immediately preceding the date that the Company is required to prepare an accounting restatement as described in Section 2 of this Policy, provided that the person served as an Executive Officer at any time during the performance period applicable to the Incentive-Based Compensation in question. The date that the Company is required to prepare an accounting restatement shall be determined pursuant to 17 C.F.R. §240.10D-1(b)(1)(ii).</w:t>
      </w:r>
    </w:p>
    <w:p>
      <w:pPr>
        <w:spacing w:after="0" w:line="181" w:lineRule="exact"/>
        <w:rPr>
          <w:rFonts w:ascii="Times New Roman" w:cs="Times New Roman" w:eastAsia="Times New Roman" w:hAnsi="Times New Roman"/>
          <w:sz w:val="19"/>
          <w:szCs w:val="19"/>
          <w:color w:val="auto"/>
        </w:rPr>
      </w:pPr>
    </w:p>
    <w:p>
      <w:pPr>
        <w:ind w:left="747" w:right="40" w:firstLine="4"/>
        <w:spacing w:after="0" w:line="256" w:lineRule="auto"/>
        <w:tabs>
          <w:tab w:leader="none" w:pos="1047"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this Policy shall only apply if the Incentive-Based Compensation is Received (i) while the Company has a class of securities listed on the Exchange and (ii) on or after October 2, 2023.</w:t>
      </w:r>
    </w:p>
    <w:p>
      <w:pPr>
        <w:spacing w:after="0" w:line="164" w:lineRule="exact"/>
        <w:rPr>
          <w:rFonts w:ascii="Times New Roman" w:cs="Times New Roman" w:eastAsia="Times New Roman" w:hAnsi="Times New Roman"/>
          <w:sz w:val="19"/>
          <w:szCs w:val="19"/>
          <w:color w:val="auto"/>
        </w:rPr>
      </w:pPr>
    </w:p>
    <w:p>
      <w:pPr>
        <w:ind w:left="747" w:right="500" w:firstLine="4"/>
        <w:spacing w:after="0" w:line="256" w:lineRule="auto"/>
        <w:tabs>
          <w:tab w:leader="none" w:pos="1058"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See 17 C.F.R. §240.10D-1(b)(1)(i) for certain circumstances under which this Policy will apply to Incentive-Based Compensation received during a transition period arising due to a change in the Company’s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861695</wp:posOffset>
            </wp:positionV>
            <wp:extent cx="7176135" cy="4000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7"/>
          </w:cols>
          <w:pgMar w:left="313" w:top="1242" w:right="319" w:bottom="1440" w:gutter="0" w:footer="0" w:header="0"/>
        </w:sectPr>
      </w:pPr>
    </w:p>
    <w:bookmarkStart w:id="198" w:name="page199"/>
    <w:bookmarkEnd w:id="198"/>
    <w:p>
      <w:pPr>
        <w:ind w:left="7" w:right="20" w:hanging="7"/>
        <w:spacing w:after="0" w:line="266" w:lineRule="auto"/>
        <w:tabs>
          <w:tab w:leader="none" w:pos="2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Erroneously Awarded Compensation</w:t>
      </w:r>
      <w:r>
        <w:rPr>
          <w:rFonts w:ascii="Times New Roman" w:cs="Times New Roman" w:eastAsia="Times New Roman" w:hAnsi="Times New Roman"/>
          <w:sz w:val="18"/>
          <w:szCs w:val="18"/>
          <w:color w:val="auto"/>
        </w:rPr>
        <w:t>. The amount of Incentive-Based Compensation subject to this Policy (“</w:t>
      </w:r>
      <w:r>
        <w:rPr>
          <w:rFonts w:ascii="Times New Roman" w:cs="Times New Roman" w:eastAsia="Times New Roman" w:hAnsi="Times New Roman"/>
          <w:sz w:val="18"/>
          <w:szCs w:val="18"/>
          <w:b w:val="1"/>
          <w:bCs w:val="1"/>
          <w:color w:val="auto"/>
        </w:rPr>
        <w:t>Erroneously Awarded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is the amount of Incentive-Based Compensation Received that exceeds the amount of Incentive Based-Compensation that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have been Received had it been determined based on the restated amounts and shall be computed without regard to any taxes paid.</w:t>
      </w:r>
    </w:p>
    <w:p>
      <w:pPr>
        <w:spacing w:after="0" w:line="155" w:lineRule="exact"/>
        <w:rPr>
          <w:rFonts w:ascii="Times New Roman" w:cs="Times New Roman" w:eastAsia="Times New Roman" w:hAnsi="Times New Roman"/>
          <w:sz w:val="18"/>
          <w:szCs w:val="18"/>
          <w:color w:val="auto"/>
        </w:rPr>
      </w:pPr>
    </w:p>
    <w:p>
      <w:pPr>
        <w:ind w:left="747" w:right="140" w:firstLine="4"/>
        <w:spacing w:after="0" w:line="237" w:lineRule="auto"/>
        <w:tabs>
          <w:tab w:leader="none" w:pos="1047"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Incentive-Based Compensation based on stock price or total shareholder return, where the amount of Erroneously Awarded Compensation is not subject to mathematical recalculation directly from the information in an accounting restatement: (i) the amount shall be based on a reasonable estimate of the effect of the accounting restatement on the stock price or total shareholder return upon which the Incentive-Based Compensation was received; and (ii) the Company must maintain documentation of the determination of that reasonable estimate and provide such documentation to the Exchange.</w:t>
      </w:r>
    </w:p>
    <w:p>
      <w:pPr>
        <w:spacing w:after="0" w:line="181" w:lineRule="exact"/>
        <w:rPr>
          <w:rFonts w:ascii="Times New Roman" w:cs="Times New Roman" w:eastAsia="Times New Roman" w:hAnsi="Times New Roman"/>
          <w:sz w:val="19"/>
          <w:szCs w:val="19"/>
          <w:color w:val="auto"/>
        </w:rPr>
      </w:pPr>
    </w:p>
    <w:p>
      <w:pPr>
        <w:ind w:left="7" w:right="80" w:hanging="7"/>
        <w:spacing w:after="0" w:line="236" w:lineRule="auto"/>
        <w:tabs>
          <w:tab w:leader="none" w:pos="240"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recover reasonably promptly any Erroneously Awarded Compensation, except to the extent that the conditions of paragraphs (a), (b), or (c) below apply. The Compensation Committee (the “</w:t>
      </w:r>
      <w:r>
        <w:rPr>
          <w:rFonts w:ascii="Times New Roman" w:cs="Times New Roman" w:eastAsia="Times New Roman" w:hAnsi="Times New Roman"/>
          <w:sz w:val="19"/>
          <w:szCs w:val="19"/>
          <w:b w:val="1"/>
          <w:bCs w:val="1"/>
          <w:color w:val="auto"/>
        </w:rPr>
        <w:t>Committee</w:t>
      </w:r>
      <w:r>
        <w:rPr>
          <w:rFonts w:ascii="Times New Roman" w:cs="Times New Roman" w:eastAsia="Times New Roman" w:hAnsi="Times New Roman"/>
          <w:sz w:val="19"/>
          <w:szCs w:val="19"/>
          <w:color w:val="auto"/>
        </w:rPr>
        <w:t>”) shall determine the repayment schedule for each amount of Erroneously Awarded Compensation in a manner that complies with this “reasonably promptly” requirement. Such determination shall be consistent with any applicable legal guidance, by the U.S. Securities and Exchange Commission, judicial opinion, or otherwise. The determination of “reasonably promptly” may vary from case to case, and the Committee is authorized to adopt additional rules to further describe what repayment schedules satisfy this requirement.</w:t>
      </w:r>
    </w:p>
    <w:p>
      <w:pPr>
        <w:spacing w:after="0" w:line="181" w:lineRule="exact"/>
        <w:rPr>
          <w:rFonts w:ascii="Times New Roman" w:cs="Times New Roman" w:eastAsia="Times New Roman" w:hAnsi="Times New Roman"/>
          <w:sz w:val="19"/>
          <w:szCs w:val="19"/>
          <w:color w:val="auto"/>
        </w:rPr>
      </w:pPr>
    </w:p>
    <w:p>
      <w:pPr>
        <w:ind w:left="747" w:firstLine="4"/>
        <w:spacing w:after="0" w:line="237" w:lineRule="auto"/>
        <w:tabs>
          <w:tab w:leader="none" w:pos="1001"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Erroneously Awarded Compensation need not be recovered if the direct expense paid to a third party to assist in enforcing this Policy would exceed the amount to be recovered and the Committee has made a determination that recovery would be impracticable. Before concluding that it would be impracticable to recover any amount of Erroneously Awarded Compensation based on expense of enforcement, the Company shall make a reasonable attempt to recover such Erroneously Awarded Compensation, document such reasonable attempt(s) to recover, and provide that documentation to the Exchange.</w:t>
      </w:r>
    </w:p>
    <w:p>
      <w:pPr>
        <w:spacing w:after="0" w:line="181" w:lineRule="exact"/>
        <w:rPr>
          <w:rFonts w:ascii="Times New Roman" w:cs="Times New Roman" w:eastAsia="Times New Roman" w:hAnsi="Times New Roman"/>
          <w:sz w:val="19"/>
          <w:szCs w:val="19"/>
          <w:color w:val="auto"/>
        </w:rPr>
      </w:pPr>
    </w:p>
    <w:p>
      <w:pPr>
        <w:ind w:left="747" w:right="300" w:firstLine="4"/>
        <w:spacing w:after="0" w:line="239" w:lineRule="auto"/>
        <w:tabs>
          <w:tab w:leader="none" w:pos="1011"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Erroneously Awarded Compensation need not be recovered if recovery would violate home country law where that law was adopted prior to November 28, 2022. Before concluding that it would be impracticable to recover any amount of Erroneously Awarded Compensation based on violation of home country law, the Company shall obtain an opinion of home country counsel, acceptable to the Exchange, that recovery would result in such a violation and shall provide such opinion to the Exchange.</w:t>
      </w:r>
    </w:p>
    <w:p>
      <w:pPr>
        <w:spacing w:after="0" w:line="180" w:lineRule="exact"/>
        <w:rPr>
          <w:rFonts w:ascii="Times New Roman" w:cs="Times New Roman" w:eastAsia="Times New Roman" w:hAnsi="Times New Roman"/>
          <w:sz w:val="19"/>
          <w:szCs w:val="19"/>
          <w:color w:val="auto"/>
        </w:rPr>
      </w:pPr>
    </w:p>
    <w:p>
      <w:pPr>
        <w:ind w:left="747" w:right="240" w:firstLine="4"/>
        <w:spacing w:after="0" w:line="243" w:lineRule="auto"/>
        <w:tabs>
          <w:tab w:leader="none" w:pos="1001"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Erroneously Awarded Compensation need not be recovered if recovery would likely cause an otherwise tax-qualified retirement plan, under which benefits are broadly available to employees of the registrant, to fail to meet the requirements of 26 U.S.C. 401(a)(13) or 26 U.S.C. 411(a) and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869950</wp:posOffset>
            </wp:positionV>
            <wp:extent cx="7176135" cy="4000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7"/>
          </w:cols>
          <w:pgMar w:left="313" w:top="1233" w:right="359" w:bottom="1440" w:gutter="0" w:footer="0" w:header="0"/>
        </w:sectPr>
      </w:pPr>
    </w:p>
    <w:bookmarkStart w:id="199" w:name="page200"/>
    <w:bookmarkEnd w:id="199"/>
    <w:p>
      <w:pPr>
        <w:ind w:left="7" w:right="440" w:hanging="7"/>
        <w:spacing w:after="0" w:line="256" w:lineRule="auto"/>
        <w:tabs>
          <w:tab w:leader="none" w:pos="24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Committee Decisions</w:t>
      </w:r>
      <w:r>
        <w:rPr>
          <w:rFonts w:ascii="Times New Roman" w:cs="Times New Roman" w:eastAsia="Times New Roman" w:hAnsi="Times New Roman"/>
          <w:sz w:val="19"/>
          <w:szCs w:val="19"/>
          <w:color w:val="auto"/>
        </w:rPr>
        <w:t>. Decisions of the Committee with respect to this Policy shall be final, conclusive and binding on all Executive Officers subject to this policy, unless determined to be an abuse of discretion.</w:t>
      </w:r>
    </w:p>
    <w:p>
      <w:pPr>
        <w:spacing w:after="0" w:line="164" w:lineRule="exact"/>
        <w:rPr>
          <w:rFonts w:ascii="Times New Roman" w:cs="Times New Roman" w:eastAsia="Times New Roman" w:hAnsi="Times New Roman"/>
          <w:sz w:val="19"/>
          <w:szCs w:val="19"/>
          <w:color w:val="auto"/>
        </w:rPr>
      </w:pPr>
    </w:p>
    <w:p>
      <w:pPr>
        <w:ind w:left="7" w:right="20" w:hanging="7"/>
        <w:spacing w:after="0" w:line="256" w:lineRule="auto"/>
        <w:tabs>
          <w:tab w:leader="none" w:pos="24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Indemnification</w:t>
      </w:r>
      <w:r>
        <w:rPr>
          <w:rFonts w:ascii="Times New Roman" w:cs="Times New Roman" w:eastAsia="Times New Roman" w:hAnsi="Times New Roman"/>
          <w:sz w:val="19"/>
          <w:szCs w:val="19"/>
          <w:color w:val="auto"/>
        </w:rPr>
        <w:t>. Notwithstanding anything to the contrary in any other policy of the Company or any agreement between the Company and an Executive Officer, no Executive Officer shall be indemnified by the Company against the loss of any Erroneously Awarded Compensation.</w:t>
      </w:r>
    </w:p>
    <w:p>
      <w:pPr>
        <w:spacing w:after="0" w:line="160" w:lineRule="exact"/>
        <w:rPr>
          <w:rFonts w:ascii="Times New Roman" w:cs="Times New Roman" w:eastAsia="Times New Roman" w:hAnsi="Times New Roman"/>
          <w:sz w:val="19"/>
          <w:szCs w:val="19"/>
          <w:color w:val="auto"/>
        </w:rPr>
      </w:pPr>
    </w:p>
    <w:p>
      <w:pPr>
        <w:ind w:left="7" w:right="160" w:hanging="7"/>
        <w:spacing w:after="0" w:line="246" w:lineRule="auto"/>
        <w:tabs>
          <w:tab w:leader="none" w:pos="24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2015 Plan</w:t>
      </w:r>
      <w:r>
        <w:rPr>
          <w:rFonts w:ascii="Times New Roman" w:cs="Times New Roman" w:eastAsia="Times New Roman" w:hAnsi="Times New Roman"/>
          <w:sz w:val="19"/>
          <w:szCs w:val="19"/>
          <w:color w:val="auto"/>
        </w:rPr>
        <w:t>. The 2015 Omnibus Incentive Compensation Plan (the “</w:t>
      </w:r>
      <w:r>
        <w:rPr>
          <w:rFonts w:ascii="Times New Roman" w:cs="Times New Roman" w:eastAsia="Times New Roman" w:hAnsi="Times New Roman"/>
          <w:sz w:val="19"/>
          <w:szCs w:val="19"/>
          <w:b w:val="1"/>
          <w:bCs w:val="1"/>
          <w:color w:val="auto"/>
        </w:rPr>
        <w:t>2015 Plan</w:t>
      </w:r>
      <w:r>
        <w:rPr>
          <w:rFonts w:ascii="Times New Roman" w:cs="Times New Roman" w:eastAsia="Times New Roman" w:hAnsi="Times New Roman"/>
          <w:sz w:val="19"/>
          <w:szCs w:val="19"/>
          <w:color w:val="auto"/>
        </w:rPr>
        <w:t>”) provides that any grant awarded pursuant to it is subject to any applicable clawback policies adopted by the Board of Directors of the Company from time to time. For the avoidance of doubt, Section 20(h) of the 2015 Plan continues to apply.</w:t>
      </w:r>
    </w:p>
    <w:p>
      <w:pPr>
        <w:spacing w:after="0" w:line="172" w:lineRule="exact"/>
        <w:rPr>
          <w:rFonts w:ascii="Times New Roman" w:cs="Times New Roman" w:eastAsia="Times New Roman" w:hAnsi="Times New Roman"/>
          <w:sz w:val="19"/>
          <w:szCs w:val="19"/>
          <w:color w:val="auto"/>
        </w:rPr>
      </w:pPr>
    </w:p>
    <w:p>
      <w:pPr>
        <w:ind w:left="7" w:hanging="7"/>
        <w:spacing w:after="0" w:line="243" w:lineRule="auto"/>
        <w:tabs>
          <w:tab w:leader="none" w:pos="24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Agreement to Policy by Executive Officers</w:t>
      </w:r>
      <w:r>
        <w:rPr>
          <w:rFonts w:ascii="Times New Roman" w:cs="Times New Roman" w:eastAsia="Times New Roman" w:hAnsi="Times New Roman"/>
          <w:sz w:val="19"/>
          <w:szCs w:val="19"/>
          <w:color w:val="auto"/>
        </w:rPr>
        <w:t>. The Committee shall take reasonable steps to inform Executive Officers of this Policy and obtain their agreement to this Policy, which steps may constitute the inclusion of this Policy as an attachment to any award that is accepted by the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1003300</wp:posOffset>
            </wp:positionV>
            <wp:extent cx="7176135" cy="4000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7"/>
          </w:cols>
          <w:pgMar w:left="313" w:top="1237" w:right="339" w:bottom="1440" w:gutter="0" w:footer="0" w:header="0"/>
        </w:sectPr>
      </w:pPr>
    </w:p>
    <w:bookmarkStart w:id="200" w:name="page201"/>
    <w:bookmarkEnd w:id="20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1."/>
      <w:numFmt w:val="decimal"/>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1."/>
      <w:numFmt w:val="decimal"/>
      <w:start w:val="5"/>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
      <w:numFmt w:val="bullet"/>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
      <w:numFmt w:val="bullet"/>
      <w:start w:val="1"/>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
      <w:numFmt w:val="bullet"/>
      <w:start w:val="1"/>
    </w:lvl>
  </w:abstractNum>
  <w:abstractNum w:abstractNumId="37">
    <w:nsid w:val="A0382C5"/>
    <w:multiLevelType w:val="hybridMultilevel"/>
    <w:lvl w:ilvl="0">
      <w:lvlJc w:val="left"/>
      <w:lvlText w:val="•"/>
      <w:numFmt w:val="bullet"/>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
      <w:numFmt w:val="bullet"/>
      <w:start w:val="1"/>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
      <w:numFmt w:val="bullet"/>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1)"/>
      <w:numFmt w:val="decimal"/>
      <w:start w:val="1"/>
    </w:lvl>
  </w:abstractNum>
  <w:abstractNum w:abstractNumId="46">
    <w:nsid w:val="7FFFCA11"/>
    <w:multiLevelType w:val="hybridMultilevel"/>
    <w:lvl w:ilvl="0">
      <w:lvlJc w:val="left"/>
      <w:lvlText w:val="%1."/>
      <w:numFmt w:val="decimal"/>
      <w:start w:val="3"/>
    </w:lvl>
  </w:abstractNum>
  <w:abstractNum w:abstractNumId="47">
    <w:nsid w:val="1A27709E"/>
    <w:multiLevelType w:val="hybridMultilevel"/>
    <w:lvl w:ilvl="0">
      <w:lvlJc w:val="left"/>
      <w:lvlText w:val="•"/>
      <w:numFmt w:val="bullet"/>
      <w:start w:val="1"/>
    </w:lvl>
  </w:abstractNum>
  <w:abstractNum w:abstractNumId="48">
    <w:nsid w:val="71EA1109"/>
    <w:multiLevelType w:val="hybridMultilevel"/>
    <w:lvl w:ilvl="0">
      <w:lvlJc w:val="left"/>
      <w:lvlText w:val="(%1)"/>
      <w:numFmt w:val="decimal"/>
      <w:start w:val="2"/>
    </w:lvl>
  </w:abstractNum>
  <w:abstractNum w:abstractNumId="49">
    <w:nsid w:val="100F59DC"/>
    <w:multiLevelType w:val="hybridMultilevel"/>
    <w:lvl w:ilvl="0">
      <w:lvlJc w:val="left"/>
      <w:lvlText w:val="%1."/>
      <w:numFmt w:val="decimal"/>
      <w:start w:val="3"/>
    </w:lvl>
  </w:abstractNum>
  <w:abstractNum w:abstractNumId="50">
    <w:nsid w:val="7FB7E0AA"/>
    <w:multiLevelType w:val="hybridMultilevel"/>
    <w:lvl w:ilvl="0">
      <w:lvlJc w:val="left"/>
      <w:lvlText w:val="•"/>
      <w:numFmt w:val="bullet"/>
      <w:start w:val="1"/>
    </w:lvl>
  </w:abstractNum>
  <w:abstractNum w:abstractNumId="51">
    <w:nsid w:val="6EB5BD4"/>
    <w:multiLevelType w:val="hybridMultilevel"/>
    <w:lvl w:ilvl="0">
      <w:lvlJc w:val="left"/>
      <w:lvlText w:val="•"/>
      <w:numFmt w:val="bullet"/>
      <w:start w:val="1"/>
    </w:lvl>
  </w:abstractNum>
  <w:abstractNum w:abstractNumId="52">
    <w:nsid w:val="6F6DD9AC"/>
    <w:multiLevelType w:val="hybridMultilevel"/>
    <w:lvl w:ilvl="0">
      <w:lvlJc w:val="left"/>
      <w:lvlText w:val="+"/>
      <w:numFmt w:val="bullet"/>
      <w:start w:val="1"/>
    </w:lvl>
    <w:lvl w:ilvl="1">
      <w:lvlJc w:val="left"/>
      <w:lvlText w:val="%2"/>
      <w:numFmt w:val="decimal"/>
      <w:start w:val="104"/>
    </w:lvl>
  </w:abstractNum>
  <w:abstractNum w:abstractNumId="53">
    <w:nsid w:val="94211F2"/>
    <w:multiLevelType w:val="hybridMultilevel"/>
    <w:lvl w:ilvl="0">
      <w:lvlJc w:val="left"/>
      <w:lvlText w:val="++"/>
      <w:numFmt w:val="bullet"/>
      <w:start w:val="1"/>
    </w:lvl>
  </w:abstractNum>
  <w:abstractNum w:abstractNumId="54">
    <w:nsid w:val="885E1B"/>
    <w:multiLevelType w:val="hybridMultilevel"/>
    <w:lvl w:ilvl="0">
      <w:lvlJc w:val="left"/>
      <w:lvlText w:val="+++"/>
      <w:numFmt w:val="bullet"/>
      <w:start w:val="1"/>
    </w:lvl>
  </w:abstractNum>
  <w:abstractNum w:abstractNumId="55">
    <w:nsid w:val="76272110"/>
    <w:multiLevelType w:val="hybridMultilevel"/>
    <w:lvl w:ilvl="0">
      <w:lvlJc w:val="left"/>
      <w:lvlText w:val="(%1)"/>
      <w:numFmt w:val="lowerLetter"/>
      <w:start w:val="1"/>
    </w:lvl>
    <w:lvl w:ilvl="1">
      <w:lvlJc w:val="left"/>
      <w:lvlText w:val="(%2)"/>
      <w:numFmt w:val="lowerRoman"/>
      <w:start w:val="1"/>
    </w:lvl>
  </w:abstractNum>
  <w:abstractNum w:abstractNumId="56">
    <w:nsid w:val="4C04A8AF"/>
    <w:multiLevelType w:val="hybridMultilevel"/>
    <w:lvl w:ilvl="0">
      <w:lvlJc w:val="left"/>
      <w:lvlText w:val="(%1)"/>
      <w:numFmt w:val="lowerLetter"/>
      <w:start w:val="5"/>
    </w:lvl>
    <w:lvl w:ilvl="1">
      <w:lvlJc w:val="left"/>
      <w:lvlText w:val="(%2)"/>
      <w:numFmt w:val="lowerLetter"/>
      <w:start w:val="9"/>
    </w:lvl>
  </w:abstractNum>
  <w:abstractNum w:abstractNumId="57">
    <w:nsid w:val="1716703B"/>
    <w:multiLevelType w:val="hybridMultilevel"/>
    <w:lvl w:ilvl="0">
      <w:lvlJc w:val="left"/>
      <w:lvlText w:val="%1"/>
      <w:numFmt w:val="lowerLetter"/>
      <w:start w:val="1"/>
    </w:lvl>
    <w:lvl w:ilvl="1">
      <w:lvlJc w:val="left"/>
      <w:lvlText w:val="(%2)"/>
      <w:numFmt w:val="lowerRoman"/>
      <w:start w:val="2"/>
    </w:lvl>
  </w:abstractNum>
  <w:abstractNum w:abstractNumId="58">
    <w:nsid w:val="14E17E33"/>
    <w:multiLevelType w:val="hybridMultilevel"/>
    <w:lvl w:ilvl="0">
      <w:lvlJc w:val="left"/>
      <w:lvlText w:val="(%1)"/>
      <w:numFmt w:val="lowerLetter"/>
      <w:start w:val="19"/>
    </w:lvl>
    <w:lvl w:ilvl="1">
      <w:lvlJc w:val="left"/>
      <w:lvlText w:val="%2"/>
      <w:numFmt w:val="lowerRoman"/>
      <w:start w:val="1"/>
    </w:lvl>
  </w:abstractNum>
  <w:abstractNum w:abstractNumId="59">
    <w:nsid w:val="3222E7CD"/>
    <w:multiLevelType w:val="hybridMultilevel"/>
    <w:lvl w:ilvl="0">
      <w:lvlJc w:val="left"/>
      <w:lvlText w:val="(%1)"/>
      <w:numFmt w:val="lowerLetter"/>
      <w:start w:val="27"/>
    </w:lvl>
  </w:abstractNum>
  <w:abstractNum w:abstractNumId="60">
    <w:nsid w:val="74DE0EE3"/>
    <w:multiLevelType w:val="hybridMultilevel"/>
    <w:lvl w:ilvl="0">
      <w:lvlJc w:val="left"/>
      <w:lvlText w:val="(%1)"/>
      <w:numFmt w:val="lowerLetter"/>
      <w:start w:val="1"/>
    </w:lvl>
  </w:abstractNum>
  <w:abstractNum w:abstractNumId="61">
    <w:nsid w:val="68EBC550"/>
    <w:multiLevelType w:val="hybridMultilevel"/>
    <w:lvl w:ilvl="0">
      <w:lvlJc w:val="left"/>
      <w:lvlText w:val="(%1)"/>
      <w:numFmt w:val="lowerLetter"/>
      <w:start w:val="2"/>
    </w:lvl>
  </w:abstractNum>
  <w:abstractNum w:abstractNumId="62">
    <w:nsid w:val="2DF6D648"/>
    <w:multiLevelType w:val="hybridMultilevel"/>
    <w:lvl w:ilvl="0">
      <w:lvlJc w:val="left"/>
      <w:lvlText w:val="(%1)"/>
      <w:numFmt w:val="lowerLetter"/>
      <w:start w:val="1"/>
    </w:lvl>
  </w:abstractNum>
  <w:abstractNum w:abstractNumId="63">
    <w:nsid w:val="46B7D447"/>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64">
    <w:nsid w:val="4A2AC315"/>
    <w:multiLevelType w:val="hybridMultilevel"/>
    <w:lvl w:ilvl="0">
      <w:lvlJc w:val="left"/>
      <w:lvlText w:val="(%1)"/>
      <w:numFmt w:val="lowerLetter"/>
      <w:start w:val="1"/>
    </w:lvl>
  </w:abstractNum>
  <w:abstractNum w:abstractNumId="65">
    <w:nsid w:val="39EE015C"/>
    <w:multiLevelType w:val="hybridMultilevel"/>
    <w:lvl w:ilvl="0">
      <w:lvlJc w:val="left"/>
      <w:lvlText w:val="(%1)"/>
      <w:numFmt w:val="lowerLetter"/>
      <w:start w:val="2"/>
    </w:lvl>
  </w:abstractNum>
  <w:abstractNum w:abstractNumId="66">
    <w:nsid w:val="57FC4FBB"/>
    <w:multiLevelType w:val="hybridMultilevel"/>
    <w:lvl w:ilvl="0">
      <w:lvlJc w:val="left"/>
      <w:lvlText w:val="(%1)"/>
      <w:numFmt w:val="lowerLetter"/>
      <w:start w:val="1"/>
    </w:lvl>
    <w:lvl w:ilvl="1">
      <w:lvlJc w:val="left"/>
      <w:lvlText w:val="(%2)"/>
      <w:numFmt w:val="lowerRoman"/>
      <w:start w:val="1"/>
    </w:lvl>
  </w:abstractNum>
  <w:abstractNum w:abstractNumId="67">
    <w:nsid w:val="CC1016F"/>
    <w:multiLevelType w:val="hybridMultilevel"/>
    <w:lvl w:ilvl="0">
      <w:lvlJc w:val="left"/>
      <w:lvlText w:val="(%1)"/>
      <w:numFmt w:val="lowerLetter"/>
      <w:start w:val="8"/>
    </w:lvl>
  </w:abstractNum>
  <w:abstractNum w:abstractNumId="68">
    <w:nsid w:val="43F18422"/>
    <w:multiLevelType w:val="hybridMultilevel"/>
    <w:lvl w:ilvl="0">
      <w:lvlJc w:val="left"/>
      <w:lvlText w:val="(%1)"/>
      <w:numFmt w:val="lowerLetter"/>
      <w:start w:val="1"/>
    </w:lvl>
  </w:abstractNum>
  <w:abstractNum w:abstractNumId="69">
    <w:nsid w:val="60EF0119"/>
    <w:multiLevelType w:val="hybridMultilevel"/>
    <w:lvl w:ilvl="0">
      <w:lvlJc w:val="left"/>
      <w:lvlText w:val="(%1)"/>
      <w:numFmt w:val="lowerLetter"/>
      <w:start w:val="1"/>
    </w:lvl>
  </w:abstractNum>
  <w:abstractNum w:abstractNumId="70">
    <w:nsid w:val="26F324BA"/>
    <w:multiLevelType w:val="hybridMultilevel"/>
    <w:lvl w:ilvl="0">
      <w:lvlJc w:val="left"/>
      <w:lvlText w:val="(%1)"/>
      <w:numFmt w:val="lowerLetter"/>
      <w:start w:val="4"/>
    </w:lvl>
  </w:abstractNum>
  <w:abstractNum w:abstractNumId="71">
    <w:nsid w:val="7F01579B"/>
    <w:multiLevelType w:val="hybridMultilevel"/>
    <w:lvl w:ilvl="0">
      <w:lvlJc w:val="left"/>
      <w:lvlText w:val="(%1)"/>
      <w:numFmt w:val="lowerLetter"/>
      <w:start w:val="1"/>
    </w:lvl>
  </w:abstractNum>
  <w:abstractNum w:abstractNumId="72">
    <w:nsid w:val="49DA307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3">
    <w:nsid w:val="7055A5F5"/>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74">
    <w:nsid w:val="5FB8370B"/>
    <w:multiLevelType w:val="hybridMultilevel"/>
    <w:lvl w:ilvl="0">
      <w:lvlJc w:val="left"/>
      <w:lvlText w:val="(%1)"/>
      <w:numFmt w:val="lowerLetter"/>
      <w:start w:val="3"/>
    </w:lvl>
  </w:abstractNum>
  <w:abstractNum w:abstractNumId="75">
    <w:nsid w:val="50801EE1"/>
    <w:multiLevelType w:val="hybridMultilevel"/>
    <w:lvl w:ilvl="0">
      <w:lvlJc w:val="left"/>
      <w:lvlText w:val="(%1)"/>
      <w:numFmt w:val="lowerLetter"/>
      <w:start w:val="1"/>
    </w:lvl>
  </w:abstractNum>
  <w:abstractNum w:abstractNumId="76">
    <w:nsid w:val="488AC1A"/>
    <w:multiLevelType w:val="hybridMultilevel"/>
    <w:lvl w:ilvl="0">
      <w:lvlJc w:val="left"/>
      <w:lvlText w:val="(%1)"/>
      <w:numFmt w:val="lowerLetter"/>
      <w:start w:val="1"/>
    </w:lvl>
  </w:abstractNum>
  <w:abstractNum w:abstractNumId="77">
    <w:nsid w:val="5FB8011C"/>
    <w:multiLevelType w:val="hybridMultilevel"/>
    <w:lvl w:ilvl="0">
      <w:lvlJc w:val="left"/>
      <w:lvlText w:val="(%1)"/>
      <w:numFmt w:val="lowerLetter"/>
      <w:start w:val="1"/>
    </w:lvl>
  </w:abstractNum>
  <w:abstractNum w:abstractNumId="78">
    <w:nsid w:val="6AA78F7F"/>
    <w:multiLevelType w:val="hybridMultilevel"/>
    <w:lvl w:ilvl="0">
      <w:lvlJc w:val="left"/>
      <w:lvlText w:val="(%1)"/>
      <w:numFmt w:val="lowerLetter"/>
      <w:start w:val="1"/>
    </w:lvl>
    <w:lvl w:ilvl="1">
      <w:lvlJc w:val="left"/>
      <w:lvlText w:val="(%2)"/>
      <w:numFmt w:val="lowerRoman"/>
      <w:start w:val="1"/>
    </w:lvl>
  </w:abstractNum>
  <w:abstractNum w:abstractNumId="79">
    <w:nsid w:val="7672BD23"/>
    <w:multiLevelType w:val="hybridMultilevel"/>
    <w:lvl w:ilvl="0">
      <w:lvlJc w:val="left"/>
      <w:lvlText w:val="(%1)"/>
      <w:numFmt w:val="lowerLetter"/>
      <w:start w:val="5"/>
    </w:lvl>
  </w:abstractNum>
  <w:abstractNum w:abstractNumId="80">
    <w:nsid w:val="6FC75AF8"/>
    <w:multiLevelType w:val="hybridMultilevel"/>
    <w:lvl w:ilvl="0">
      <w:lvlJc w:val="left"/>
      <w:lvlText w:val="(%1)"/>
      <w:numFmt w:val="lowerLetter"/>
      <w:start w:val="1"/>
    </w:lvl>
    <w:lvl w:ilvl="1">
      <w:lvlJc w:val="left"/>
      <w:lvlText w:val="(%2)"/>
      <w:numFmt w:val="lowerRoman"/>
      <w:start w:val="1"/>
    </w:lvl>
  </w:abstractNum>
  <w:abstractNum w:abstractNumId="81">
    <w:nsid w:val="6A5F7029"/>
    <w:multiLevelType w:val="hybridMultilevel"/>
    <w:lvl w:ilvl="0">
      <w:lvlJc w:val="left"/>
      <w:lvlText w:val="*"/>
      <w:numFmt w:val="bullet"/>
      <w:start w:val="1"/>
    </w:lvl>
    <w:lvl w:ilvl="1">
      <w:lvlJc w:val="left"/>
      <w:lvlText w:val="%2"/>
      <w:numFmt w:val="lowerLetter"/>
      <w:start w:val="1"/>
    </w:lvl>
    <w:lvl w:ilvl="2">
      <w:lvlJc w:val="left"/>
      <w:lvlText w:val="(%3)"/>
      <w:numFmt w:val="lowerRoman"/>
      <w:start w:val="4"/>
    </w:lvl>
  </w:abstractNum>
  <w:abstractNum w:abstractNumId="82">
    <w:nsid w:val="7D5E18F8"/>
    <w:multiLevelType w:val="hybridMultilevel"/>
    <w:lvl w:ilvl="0">
      <w:lvlJc w:val="left"/>
      <w:lvlText w:val="*"/>
      <w:numFmt w:val="bullet"/>
      <w:start w:val="1"/>
    </w:lvl>
    <w:lvl w:ilvl="1">
      <w:lvlJc w:val="left"/>
      <w:lvlText w:val="(%2)"/>
      <w:numFmt w:val="lowerLetter"/>
      <w:start w:val="7"/>
    </w:lvl>
    <w:lvl w:ilvl="2">
      <w:lvlJc w:val="left"/>
      <w:lvlText w:val="%3"/>
      <w:numFmt w:val="lowerRoman"/>
      <w:start w:val="1"/>
    </w:lvl>
  </w:abstractNum>
  <w:abstractNum w:abstractNumId="83">
    <w:nsid w:val="5F3534A4"/>
    <w:multiLevelType w:val="hybridMultilevel"/>
    <w:lvl w:ilvl="0">
      <w:lvlJc w:val="left"/>
      <w:lvlText w:val="%1."/>
      <w:numFmt w:val="upperLetter"/>
      <w:start w:val="9"/>
    </w:lvl>
  </w:abstractNum>
  <w:abstractNum w:abstractNumId="84">
    <w:nsid w:val="73A1821B"/>
    <w:multiLevelType w:val="hybridMultilevel"/>
    <w:lvl w:ilvl="0">
      <w:lvlJc w:val="left"/>
      <w:lvlText w:val="%1."/>
      <w:numFmt w:val="upperLetter"/>
      <w:start w:val="35"/>
    </w:lvl>
    <w:lvl w:ilvl="1">
      <w:lvlJc w:val="left"/>
      <w:lvlText w:val="%2."/>
      <w:numFmt w:val="lowerLetter"/>
      <w:start w:val="1"/>
    </w:lvl>
  </w:abstractNum>
  <w:abstractNum w:abstractNumId="85">
    <w:nsid w:val="7DE67713"/>
    <w:multiLevelType w:val="hybridMultilevel"/>
    <w:lvl w:ilvl="0">
      <w:lvlJc w:val="left"/>
      <w:lvlText w:val="%1."/>
      <w:numFmt w:val="upperLetter"/>
      <w:start w:val="61"/>
    </w:lvl>
  </w:abstractNum>
  <w:abstractNum w:abstractNumId="86">
    <w:nsid w:val="555C55B5"/>
    <w:multiLevelType w:val="hybridMultilevel"/>
    <w:lvl w:ilvl="0">
      <w:lvlJc w:val="left"/>
      <w:lvlText w:val="%1."/>
      <w:numFmt w:val="lowerLetter"/>
      <w:start w:val="1"/>
    </w:lvl>
  </w:abstractNum>
  <w:abstractNum w:abstractNumId="87">
    <w:nsid w:val="3FA62ACA"/>
    <w:multiLevelType w:val="hybridMultilevel"/>
    <w:lvl w:ilvl="0">
      <w:lvlJc w:val="left"/>
      <w:lvlText w:val="%1."/>
      <w:numFmt w:val="lowerLetter"/>
      <w:start w:val="1"/>
    </w:lvl>
  </w:abstractNum>
  <w:abstractNum w:abstractNumId="88">
    <w:nsid w:val="14FCE74E"/>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89">
    <w:nsid w:val="6A3DD3E8"/>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1"/>
    </w:lvl>
    <w:lvl w:ilvl="3">
      <w:lvlJc w:val="left"/>
      <w:lvlText w:val="%4"/>
      <w:numFmt w:val="lowerRoman"/>
      <w:start w:val="1"/>
    </w:lvl>
  </w:abstractNum>
  <w:abstractNum w:abstractNumId="90">
    <w:nsid w:val="71C91298"/>
    <w:multiLevelType w:val="hybridMultilevel"/>
    <w:lvl w:ilvl="0">
      <w:lvlJc w:val="left"/>
      <w:lvlText w:val="%1."/>
      <w:numFmt w:val="lowerRoman"/>
      <w:start w:val="7"/>
    </w:lvl>
    <w:lvl w:ilvl="1">
      <w:lvlJc w:val="left"/>
      <w:lvlText w:val="%2."/>
      <w:numFmt w:val="lowerRoman"/>
      <w:start w:val="9"/>
    </w:lvl>
    <w:lvl w:ilvl="2">
      <w:lvlJc w:val="left"/>
      <w:lvlText w:val="%3."/>
      <w:numFmt w:val="lowerRoman"/>
      <w:start w:val="10"/>
    </w:lvl>
    <w:lvl w:ilvl="3">
      <w:lvlJc w:val="left"/>
      <w:lvlText w:val="%4"/>
      <w:numFmt w:val="lowerRoman"/>
      <w:start w:val="1"/>
    </w:lvl>
  </w:abstractNum>
  <w:abstractNum w:abstractNumId="91">
    <w:nsid w:val="9DAF632"/>
    <w:multiLevelType w:val="hybridMultilevel"/>
    <w:lvl w:ilvl="0">
      <w:lvlJc w:val="left"/>
      <w:lvlText w:val="%1"/>
      <w:numFmt w:val="lowerRoman"/>
      <w:start w:val="1"/>
    </w:lvl>
    <w:lvl w:ilvl="1">
      <w:lvlJc w:val="left"/>
      <w:lvlText w:val="%2."/>
      <w:numFmt w:val="lowerRoman"/>
      <w:start w:val="12"/>
    </w:lvl>
  </w:abstractNum>
  <w:abstractNum w:abstractNumId="92">
    <w:nsid w:val="53299938"/>
    <w:multiLevelType w:val="hybridMultilevel"/>
    <w:lvl w:ilvl="0">
      <w:lvlJc w:val="left"/>
      <w:lvlText w:val="%1."/>
      <w:numFmt w:val="lowerRoman"/>
      <w:start w:val="14"/>
    </w:lvl>
    <w:lvl w:ilvl="1">
      <w:lvlJc w:val="left"/>
      <w:lvlText w:val="%2"/>
      <w:numFmt w:val="lowerRoman"/>
      <w:start w:val="1"/>
    </w:lvl>
  </w:abstractNum>
  <w:abstractNum w:abstractNumId="93">
    <w:nsid w:val="1FBFE8E0"/>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94">
    <w:nsid w:val="5092CA7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95">
    <w:nsid w:val="1D545C4D"/>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1"/>
    </w:lvl>
  </w:abstractNum>
  <w:abstractNum w:abstractNumId="96">
    <w:nsid w:val="59ADEA3D"/>
    <w:multiLevelType w:val="hybridMultilevel"/>
    <w:lvl w:ilvl="0">
      <w:lvlJc w:val="left"/>
      <w:lvlText w:val="%1."/>
      <w:numFmt w:val="lowerRoman"/>
      <w:start w:val="4"/>
    </w:lvl>
    <w:lvl w:ilvl="1">
      <w:lvlJc w:val="left"/>
      <w:lvlText w:val="%2"/>
      <w:numFmt w:val="lowerRoman"/>
      <w:start w:val="1"/>
    </w:lvl>
    <w:lvl w:ilvl="2">
      <w:lvlJc w:val="left"/>
      <w:lvlText w:val="%3."/>
      <w:numFmt w:val="lowerRoman"/>
      <w:start w:val="5"/>
    </w:lvl>
  </w:abstractNum>
  <w:abstractNum w:abstractNumId="97">
    <w:nsid w:val="288F1A3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6"/>
    </w:lvl>
    <w:lvl w:ilvl="4">
      <w:lvlJc w:val="left"/>
      <w:lvlText w:val="%5"/>
      <w:numFmt w:val="lowerRoman"/>
      <w:start w:val="1"/>
    </w:lvl>
  </w:abstractNum>
  <w:abstractNum w:abstractNumId="98">
    <w:nsid w:val="2A155DB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7"/>
    </w:lvl>
    <w:lvl w:ilvl="3">
      <w:lvlJc w:val="left"/>
      <w:lvlText w:val="%4"/>
      <w:numFmt w:val="lowerRoman"/>
      <w:start w:val="1"/>
    </w:lvl>
    <w:lvl w:ilvl="4">
      <w:lvlJc w:val="left"/>
      <w:lvlText w:val="%5"/>
      <w:numFmt w:val="lowerRoman"/>
      <w:start w:val="1"/>
    </w:lvl>
  </w:abstractNum>
  <w:abstractNum w:abstractNumId="99">
    <w:nsid w:val="1D9F6E5F"/>
    <w:multiLevelType w:val="hybridMultilevel"/>
    <w:lvl w:ilvl="0">
      <w:lvlJc w:val="left"/>
      <w:lvlText w:val="%1"/>
      <w:numFmt w:val="lowerLetter"/>
      <w:start w:val="1"/>
    </w:lvl>
    <w:lvl w:ilvl="1">
      <w:lvlJc w:val="left"/>
      <w:lvlText w:val="%2."/>
      <w:numFmt w:val="lowerRoman"/>
      <w:start w:val="8"/>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100">
    <w:nsid w:val="97E1B4E"/>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101">
    <w:nsid w:val="51088277"/>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lvl w:ilvl="3">
      <w:lvlJc w:val="left"/>
      <w:lvlText w:val="%4."/>
      <w:numFmt w:val="decimal"/>
      <w:start w:val="1"/>
    </w:lvl>
    <w:lvl w:ilvl="4">
      <w:lvlJc w:val="left"/>
      <w:lvlText w:val="(%5)"/>
      <w:numFmt w:val="lowerRoman"/>
      <w:start w:val="1"/>
    </w:lvl>
    <w:lvl w:ilvl="5">
      <w:lvlJc w:val="left"/>
      <w:lvlText w:val="%6."/>
      <w:numFmt w:val="lowerLetter"/>
      <w:start w:val="1"/>
    </w:lvl>
  </w:abstractNum>
  <w:abstractNum w:abstractNumId="102">
    <w:nsid w:val="1CA0C5F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Letter"/>
      <w:start w:val="1"/>
    </w:lvl>
    <w:lvl w:ilvl="4">
      <w:lvlJc w:val="left"/>
      <w:lvlText w:val="%5."/>
      <w:numFmt w:val="lowerLetter"/>
      <w:start w:val="4"/>
    </w:lvl>
    <w:lvl w:ilvl="5">
      <w:lvlJc w:val="left"/>
      <w:lvlText w:val="%6."/>
      <w:numFmt w:val="lowerRoman"/>
      <w:start w:val="1"/>
    </w:lvl>
    <w:lvl w:ilvl="6">
      <w:lvlJc w:val="left"/>
      <w:lvlText w:val="%7."/>
      <w:numFmt w:val="lowerRoman"/>
      <w:start w:val="1"/>
    </w:lvl>
  </w:abstractNum>
  <w:abstractNum w:abstractNumId="103">
    <w:nsid w:val="53584BC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lvl w:ilvl="3">
      <w:lvlJc w:val="left"/>
      <w:lvlText w:val="%4"/>
      <w:numFmt w:val="lowerLetter"/>
      <w:start w:val="1"/>
    </w:lvl>
    <w:lvl w:ilvl="4">
      <w:lvlJc w:val="left"/>
      <w:lvlText w:val="%5"/>
      <w:numFmt w:val="lowerLetter"/>
      <w:start w:val="1"/>
    </w:lvl>
    <w:lvl w:ilvl="5">
      <w:lvlJc w:val="left"/>
      <w:lvlText w:val="%6"/>
      <w:numFmt w:val="lowerRoman"/>
      <w:start w:val="1"/>
    </w:lvl>
    <w:lvl w:ilvl="6">
      <w:lvlJc w:val="left"/>
      <w:lvlText w:val="%7"/>
      <w:numFmt w:val="lowerRoman"/>
      <w:start w:val="1"/>
    </w:lvl>
  </w:abstractNum>
  <w:abstractNum w:abstractNumId="104">
    <w:nsid w:val="415E286C"/>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lvl w:ilvl="3">
      <w:lvlJc w:val="left"/>
      <w:lvlText w:val="%4"/>
      <w:numFmt w:val="lowerLetter"/>
      <w:start w:val="1"/>
    </w:lvl>
    <w:lvl w:ilvl="4">
      <w:lvlJc w:val="left"/>
      <w:lvlText w:val="%5"/>
      <w:numFmt w:val="lowerLetter"/>
      <w:start w:val="1"/>
    </w:lvl>
    <w:lvl w:ilvl="5">
      <w:lvlJc w:val="left"/>
      <w:lvlText w:val="%6"/>
      <w:numFmt w:val="lowerRoman"/>
      <w:start w:val="1"/>
    </w:lvl>
    <w:lvl w:ilvl="6">
      <w:lvlJc w:val="left"/>
      <w:lvlText w:val="%7"/>
      <w:numFmt w:val="lowerRoman"/>
      <w:start w:val="1"/>
    </w:lvl>
  </w:abstractNum>
  <w:abstractNum w:abstractNumId="105">
    <w:nsid w:val="7C58FD05"/>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lvl w:ilvl="3">
      <w:lvlJc w:val="left"/>
      <w:lvlText w:val="%4."/>
      <w:numFmt w:val="lowerLetter"/>
      <w:start w:val="9"/>
    </w:lvl>
    <w:lvl w:ilvl="4">
      <w:lvlJc w:val="left"/>
      <w:lvlText w:val="%5"/>
      <w:numFmt w:val="lowerLetter"/>
      <w:start w:val="1"/>
    </w:lvl>
    <w:lvl w:ilvl="5">
      <w:lvlJc w:val="left"/>
      <w:lvlText w:val="%6"/>
      <w:numFmt w:val="lowerRoman"/>
      <w:start w:val="1"/>
    </w:lvl>
    <w:lvl w:ilvl="6">
      <w:lvlJc w:val="left"/>
      <w:lvlText w:val="%7"/>
      <w:numFmt w:val="lowerRoman"/>
      <w:start w:val="1"/>
    </w:lvl>
  </w:abstractNum>
  <w:abstractNum w:abstractNumId="106">
    <w:nsid w:val="23D86AAC"/>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1"/>
    </w:lvl>
  </w:abstractNum>
  <w:abstractNum w:abstractNumId="107">
    <w:nsid w:val="45E6D486"/>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abstractNum>
  <w:abstractNum w:abstractNumId="108">
    <w:nsid w:val="5C10FE21"/>
    <w:multiLevelType w:val="hybridMultilevel"/>
    <w:lvl w:ilvl="0">
      <w:lvlJc w:val="left"/>
      <w:lvlText w:val="%1."/>
      <w:numFmt w:val="lowerLetter"/>
      <w:start w:val="1"/>
    </w:lvl>
  </w:abstractNum>
  <w:abstractNum w:abstractNumId="109">
    <w:nsid w:val="E7FFA2B"/>
    <w:multiLevelType w:val="hybridMultilevel"/>
    <w:lvl w:ilvl="0">
      <w:lvlJc w:val="left"/>
      <w:lvlText w:val="%1."/>
      <w:numFmt w:val="decimal"/>
      <w:start w:val="1"/>
    </w:lvl>
  </w:abstractNum>
  <w:abstractNum w:abstractNumId="110">
    <w:nsid w:val="3C5991AA"/>
    <w:multiLevelType w:val="hybridMultilevel"/>
    <w:lvl w:ilvl="0">
      <w:lvlJc w:val="left"/>
      <w:lvlText w:val="•"/>
      <w:numFmt w:val="bullet"/>
      <w:start w:val="1"/>
    </w:lvl>
  </w:abstractNum>
  <w:abstractNum w:abstractNumId="111">
    <w:nsid w:val="4BD8591A"/>
    <w:multiLevelType w:val="hybridMultilevel"/>
    <w:lvl w:ilvl="0">
      <w:lvlJc w:val="left"/>
      <w:lvlText w:val="%1."/>
      <w:numFmt w:val="decimal"/>
      <w:start w:val="1"/>
    </w:lvl>
    <w:lvl w:ilvl="1">
      <w:lvlJc w:val="left"/>
      <w:lvlText w:val="%2)"/>
      <w:numFmt w:val="lowerLetter"/>
      <w:start w:val="1"/>
    </w:lvl>
  </w:abstractNum>
  <w:abstractNum w:abstractNumId="112">
    <w:nsid w:val="78DF6A55"/>
    <w:multiLevelType w:val="hybridMultilevel"/>
    <w:lvl w:ilvl="0">
      <w:lvlJc w:val="left"/>
      <w:lvlText w:val="%1."/>
      <w:numFmt w:val="decimal"/>
      <w:start w:val="1"/>
    </w:lvl>
    <w:lvl w:ilvl="1">
      <w:lvlJc w:val="left"/>
      <w:lvlText w:val="%2)"/>
      <w:numFmt w:val="lowerLetter"/>
      <w:start w:val="1"/>
    </w:lvl>
  </w:abstractNum>
  <w:abstractNum w:abstractNumId="113">
    <w:nsid w:val="39B7AAA2"/>
    <w:multiLevelType w:val="hybridMultilevel"/>
    <w:lvl w:ilvl="0">
      <w:lvlJc w:val="left"/>
      <w:lvlText w:val="%1)"/>
      <w:numFmt w:val="decimal"/>
      <w:start w:val="1"/>
    </w:lvl>
  </w:abstractNum>
  <w:abstractNum w:abstractNumId="114">
    <w:nsid w:val="2B0D8DBE"/>
    <w:multiLevelType w:val="hybridMultilevel"/>
    <w:lvl w:ilvl="0">
      <w:lvlJc w:val="left"/>
      <w:lvlText w:val="%1)"/>
      <w:numFmt w:val="decimal"/>
      <w:start w:val="1"/>
    </w:lvl>
  </w:abstractNum>
  <w:abstractNum w:abstractNumId="115">
    <w:nsid w:val="6C80EC70"/>
    <w:multiLevelType w:val="hybridMultilevel"/>
    <w:lvl w:ilvl="0">
      <w:lvlJc w:val="left"/>
      <w:lvlText w:val="%1."/>
      <w:numFmt w:val="decimal"/>
      <w:start w:val="1"/>
    </w:lvl>
    <w:lvl w:ilvl="1">
      <w:lvlJc w:val="left"/>
      <w:lvlText w:val="(%2)"/>
      <w:numFmt w:val="lowerLetter"/>
      <w:start w:val="1"/>
    </w:lvl>
  </w:abstractNum>
  <w:abstractNum w:abstractNumId="116">
    <w:nsid w:val="379E21B5"/>
    <w:multiLevelType w:val="hybridMultilevel"/>
    <w:lvl w:ilvl="0">
      <w:lvlJc w:val="left"/>
      <w:lvlText w:val="%1."/>
      <w:numFmt w:val="decimal"/>
      <w:start w:val="4"/>
    </w:lvl>
    <w:lvl w:ilvl="1">
      <w:lvlJc w:val="left"/>
      <w:lvlText w:val="(%2)"/>
      <w:numFmt w:val="lowerLetter"/>
      <w:start w:val="1"/>
    </w:lvl>
  </w:abstractNum>
  <w:abstractNum w:abstractNumId="117">
    <w:nsid w:val="69E373"/>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24" Type="http://schemas.openxmlformats.org/officeDocument/2006/relationships/image" Target="media/image502.png"/><Relationship Id="rId525" Type="http://schemas.openxmlformats.org/officeDocument/2006/relationships/image" Target="media/image503.png"/><Relationship Id="rId526" Type="http://schemas.openxmlformats.org/officeDocument/2006/relationships/image" Target="media/image504.png"/><Relationship Id="rId542" Type="http://schemas.openxmlformats.org/officeDocument/2006/relationships/image" Target="media/image505.png"/><Relationship Id="rId543" Type="http://schemas.openxmlformats.org/officeDocument/2006/relationships/image" Target="media/image506.png"/><Relationship Id="rId544" Type="http://schemas.openxmlformats.org/officeDocument/2006/relationships/image" Target="media/image507.png"/><Relationship Id="rId549" Type="http://schemas.openxmlformats.org/officeDocument/2006/relationships/image" Target="media/image508.png"/><Relationship Id="rId550" Type="http://schemas.openxmlformats.org/officeDocument/2006/relationships/image" Target="media/image509.png"/><Relationship Id="rId551" Type="http://schemas.openxmlformats.org/officeDocument/2006/relationships/image" Target="media/image510.png"/><Relationship Id="rId552" Type="http://schemas.openxmlformats.org/officeDocument/2006/relationships/image" Target="media/image511.png"/><Relationship Id="rId553" Type="http://schemas.openxmlformats.org/officeDocument/2006/relationships/image" Target="media/image512.png"/><Relationship Id="rId554" Type="http://schemas.openxmlformats.org/officeDocument/2006/relationships/image" Target="media/image513.png"/><Relationship Id="rId555" Type="http://schemas.openxmlformats.org/officeDocument/2006/relationships/image" Target="media/image514.png"/><Relationship Id="rId556" Type="http://schemas.openxmlformats.org/officeDocument/2006/relationships/image" Target="media/image515.png"/><Relationship Id="rId557" Type="http://schemas.openxmlformats.org/officeDocument/2006/relationships/image" Target="media/image516.png"/><Relationship Id="rId558" Type="http://schemas.openxmlformats.org/officeDocument/2006/relationships/image" Target="media/image517.png"/><Relationship Id="rId559" Type="http://schemas.openxmlformats.org/officeDocument/2006/relationships/image" Target="media/image518.png"/><Relationship Id="rId560" Type="http://schemas.openxmlformats.org/officeDocument/2006/relationships/image" Target="media/image519.png"/><Relationship Id="rId561" Type="http://schemas.openxmlformats.org/officeDocument/2006/relationships/image" Target="media/image520.png"/><Relationship Id="rId562" Type="http://schemas.openxmlformats.org/officeDocument/2006/relationships/image" Target="media/image521.png"/><Relationship Id="rId563" Type="http://schemas.openxmlformats.org/officeDocument/2006/relationships/image" Target="media/image522.png"/><Relationship Id="rId564" Type="http://schemas.openxmlformats.org/officeDocument/2006/relationships/image" Target="media/image523.png"/><Relationship Id="rId565" Type="http://schemas.openxmlformats.org/officeDocument/2006/relationships/image" Target="media/image524.png"/><Relationship Id="rId566" Type="http://schemas.openxmlformats.org/officeDocument/2006/relationships/image" Target="media/image525.png"/><Relationship Id="rId567" Type="http://schemas.openxmlformats.org/officeDocument/2006/relationships/image" Target="media/image526.png"/><Relationship Id="rId568" Type="http://schemas.openxmlformats.org/officeDocument/2006/relationships/image" Target="media/image527.png"/><Relationship Id="rId569" Type="http://schemas.openxmlformats.org/officeDocument/2006/relationships/image" Target="media/image528.png"/><Relationship Id="rId570" Type="http://schemas.openxmlformats.org/officeDocument/2006/relationships/image" Target="media/image529.png"/><Relationship Id="rId571" Type="http://schemas.openxmlformats.org/officeDocument/2006/relationships/image" Target="media/image530.png"/><Relationship Id="rId572" Type="http://schemas.openxmlformats.org/officeDocument/2006/relationships/image" Target="media/image531.png"/><Relationship Id="rId573" Type="http://schemas.openxmlformats.org/officeDocument/2006/relationships/image" Target="media/image532.png"/><Relationship Id="rId574" Type="http://schemas.openxmlformats.org/officeDocument/2006/relationships/image" Target="media/image533.png"/><Relationship Id="rId575" Type="http://schemas.openxmlformats.org/officeDocument/2006/relationships/image" Target="media/image534.png"/><Relationship Id="rId576" Type="http://schemas.openxmlformats.org/officeDocument/2006/relationships/image" Target="media/image535.png"/><Relationship Id="rId577" Type="http://schemas.openxmlformats.org/officeDocument/2006/relationships/image" Target="media/image536.png"/><Relationship Id="rId578" Type="http://schemas.openxmlformats.org/officeDocument/2006/relationships/image" Target="media/image537.png"/><Relationship Id="rId579" Type="http://schemas.openxmlformats.org/officeDocument/2006/relationships/image" Target="media/image538.png"/><Relationship Id="rId580" Type="http://schemas.openxmlformats.org/officeDocument/2006/relationships/image" Target="media/image539.png"/><Relationship Id="rId581" Type="http://schemas.openxmlformats.org/officeDocument/2006/relationships/image" Target="media/image540.png"/><Relationship Id="rId582" Type="http://schemas.openxmlformats.org/officeDocument/2006/relationships/image" Target="media/image541.png"/><Relationship Id="rId583" Type="http://schemas.openxmlformats.org/officeDocument/2006/relationships/image" Target="media/image542.png"/><Relationship Id="rId584" Type="http://schemas.openxmlformats.org/officeDocument/2006/relationships/image" Target="media/image543.png"/><Relationship Id="rId585" Type="http://schemas.openxmlformats.org/officeDocument/2006/relationships/image" Target="media/image544.png"/><Relationship Id="rId586" Type="http://schemas.openxmlformats.org/officeDocument/2006/relationships/image" Target="media/image545.png"/><Relationship Id="rId587" Type="http://schemas.openxmlformats.org/officeDocument/2006/relationships/image" Target="media/image546.png"/><Relationship Id="rId588" Type="http://schemas.openxmlformats.org/officeDocument/2006/relationships/image" Target="media/image547.png"/><Relationship Id="rId589" Type="http://schemas.openxmlformats.org/officeDocument/2006/relationships/image" Target="media/image548.png"/><Relationship Id="rId590" Type="http://schemas.openxmlformats.org/officeDocument/2006/relationships/image" Target="media/image549.png"/><Relationship Id="rId591" Type="http://schemas.openxmlformats.org/officeDocument/2006/relationships/image" Target="media/image550.png"/><Relationship Id="rId592" Type="http://schemas.openxmlformats.org/officeDocument/2006/relationships/image" Target="media/image551.png"/><Relationship Id="rId593" Type="http://schemas.openxmlformats.org/officeDocument/2006/relationships/image" Target="media/image552.png"/><Relationship Id="rId594" Type="http://schemas.openxmlformats.org/officeDocument/2006/relationships/image" Target="media/image553.png"/><Relationship Id="rId595" Type="http://schemas.openxmlformats.org/officeDocument/2006/relationships/image" Target="media/image554.png"/><Relationship Id="rId596" Type="http://schemas.openxmlformats.org/officeDocument/2006/relationships/image" Target="media/image555.png"/><Relationship Id="rId597" Type="http://schemas.openxmlformats.org/officeDocument/2006/relationships/image" Target="media/image556.png"/><Relationship Id="rId509" Type="http://schemas.openxmlformats.org/officeDocument/2006/relationships/hyperlink" Target="https://www.sec.gov/Archives/edgar/data/1579428/000110465915081125/a15-24048_1ex3d1.htm" TargetMode="External"/><Relationship Id="rId510" Type="http://schemas.openxmlformats.org/officeDocument/2006/relationships/hyperlink" Target="https://www.sec.gov/Archives/edgar/data/1579428/000110465915081125/a15-24048_1ex3d2.htm" TargetMode="External"/><Relationship Id="rId511" Type="http://schemas.openxmlformats.org/officeDocument/2006/relationships/hyperlink" Target="https://www.sec.gov/Archives/edgar/data/1579428/000104746915008199/a2226320zex-4_1.htm" TargetMode="External"/><Relationship Id="rId512" Type="http://schemas.openxmlformats.org/officeDocument/2006/relationships/hyperlink" Target="https://www.sec.gov/Archives/edgar/data/1579428/000104746915007821/a2226220zex-4_2.htm" TargetMode="External"/><Relationship Id="rId513" Type="http://schemas.openxmlformats.org/officeDocument/2006/relationships/hyperlink" Target="https://www.sec.gov/Archives/edgar/data/1579428/000104746915007821/a2226220zex-4_3.htm" TargetMode="External"/><Relationship Id="rId514" Type="http://schemas.openxmlformats.org/officeDocument/2006/relationships/hyperlink" Target="https://www.sec.gov/Archives/edgar/data/1579428/000110465917071533/a17-27901_1ex4d1.htm#Exhibit4_1_053031" TargetMode="External"/><Relationship Id="rId515" Type="http://schemas.openxmlformats.org/officeDocument/2006/relationships/hyperlink" Target="https://www.sec.gov/Archives/edgar/data/1579428/000155837020012949/axsm-20200930xex10d4.htm" TargetMode="External"/><Relationship Id="rId516" Type="http://schemas.openxmlformats.org/officeDocument/2006/relationships/hyperlink" Target="https://www.sec.gov/Archives/edgar/data/1579428/000155837020002573/axsm-20191231ex4132a1d5e.htm" TargetMode="External"/><Relationship Id="rId517" Type="http://schemas.openxmlformats.org/officeDocument/2006/relationships/hyperlink" Target="https://www.sec.gov/Archives/edgar/data/1579428/000104746915007821/a2226220zex-10_1.htm" TargetMode="External"/><Relationship Id="rId518" Type="http://schemas.openxmlformats.org/officeDocument/2006/relationships/hyperlink" Target="https://www.sec.gov/Archives/edgar/data/1579428/000110465915085196/a15-24973_1ex99d2.htm" TargetMode="External"/><Relationship Id="rId519" Type="http://schemas.openxmlformats.org/officeDocument/2006/relationships/hyperlink" Target="https://www.sec.gov/Archives/edgar/data/1579428/000155837020006307/axsm-20200508xex99d3.htm" TargetMode="External"/><Relationship Id="rId520" Type="http://schemas.openxmlformats.org/officeDocument/2006/relationships/hyperlink" Target="https://www.sec.gov/Archives/edgar/data/1579428/000155837020006307/axsm-20200508xex99d4.htm" TargetMode="External"/><Relationship Id="rId521" Type="http://schemas.openxmlformats.org/officeDocument/2006/relationships/hyperlink" Target="https://www.sec.gov/Archives/edgar/data/1579428/000095017023027059/axsm-ex10_1.htm" TargetMode="External"/><Relationship Id="rId522" Type="http://schemas.openxmlformats.org/officeDocument/2006/relationships/hyperlink" Target="https://www.sec.gov/Archives/edgar/data/1579428/000104746915007821/a2226220zex-10_2.htm" TargetMode="External"/><Relationship Id="rId523" Type="http://schemas.openxmlformats.org/officeDocument/2006/relationships/hyperlink" Target="https://www.sec.gov/Archives/edgar/data/1579428/000104746915007821/a2226220zex-10_4.htm" TargetMode="External"/><Relationship Id="rId527" Type="http://schemas.openxmlformats.org/officeDocument/2006/relationships/hyperlink" Target="https://www.sec.gov/Archives/edgar/data/1579428/000104746915007821/a2226220zex-10_5.htm" TargetMode="External"/><Relationship Id="rId528" Type="http://schemas.openxmlformats.org/officeDocument/2006/relationships/hyperlink" Target="https://www.sec.gov/Archives/edgar/data/1579428/000110465917071533/a17-27901_1ex10d1.htm" TargetMode="External"/><Relationship Id="rId529" Type="http://schemas.openxmlformats.org/officeDocument/2006/relationships/hyperlink" Target="https://www.sec.gov/Archives/edgar/data/1579428/000155837018004333/axsm-20180331ex101d19ec4.htm" TargetMode="External"/><Relationship Id="rId530" Type="http://schemas.openxmlformats.org/officeDocument/2006/relationships/hyperlink" Target="https://www.sec.gov/Archives/edgar/data/1579428/000110465918059225/a18-36094_1ex10d1.htm" TargetMode="External"/><Relationship Id="rId531" Type="http://schemas.openxmlformats.org/officeDocument/2006/relationships/hyperlink" Target="https://www.sec.gov/Archives/edgar/data/1579428/000155837020002573/axsm-20191231ex1015f938b.htm" TargetMode="External"/><Relationship Id="rId532" Type="http://schemas.openxmlformats.org/officeDocument/2006/relationships/hyperlink" Target="https://www.sec.gov/Archives/edgar/data/1579428/000110465920003255/tm203196d1_ex10-1.htm" TargetMode="External"/><Relationship Id="rId533" Type="http://schemas.openxmlformats.org/officeDocument/2006/relationships/hyperlink" Target="https://www.sec.gov/Archives/edgar/data/1579428/000155837020010231/axsm-20200630xex10d1.htm" TargetMode="External"/><Relationship Id="rId534" Type="http://schemas.openxmlformats.org/officeDocument/2006/relationships/hyperlink" Target="https://www.sec.gov/Archives/edgar/data/1579428/000155837020013181/axsm-20200930xex10d2.htm" TargetMode="External"/><Relationship Id="rId535" Type="http://schemas.openxmlformats.org/officeDocument/2006/relationships/hyperlink" Target="https://www.sec.gov/Archives/edgar/data/1579428/000155837020012949/axsm-20200930xex10d3.htm" TargetMode="External"/><Relationship Id="rId536" Type="http://schemas.openxmlformats.org/officeDocument/2006/relationships/hyperlink" Target="https://www.sec.gov/Archives/edgar/data/0001579428/000095017021003466/axsm-ex10_1.htm" TargetMode="External"/><Relationship Id="rId537" Type="http://schemas.openxmlformats.org/officeDocument/2006/relationships/hyperlink" Target="https://www.sec.gov/Archives/edgar/data/1579428/000095017022006901/axsm-ex10_1.htm" TargetMode="External"/><Relationship Id="rId538" Type="http://schemas.openxmlformats.org/officeDocument/2006/relationships/hyperlink" Target="https://www.sec.gov/Archives/edgar/data/1579428/000095017023018976/axsm-ex10_2.htm" TargetMode="External"/><Relationship Id="rId539" Type="http://schemas.openxmlformats.org/officeDocument/2006/relationships/hyperlink" Target="https://www.sec.gov/Archives/edgar/data/1579428/000095017023039178/axsm-ex10_1.htm" TargetMode="External"/><Relationship Id="rId540" Type="http://schemas.openxmlformats.org/officeDocument/2006/relationships/hyperlink" Target="https://www.sec.gov/Archives/edgar/data/1579428/000155837020012949/axsm-20200930xex10d5.htm" TargetMode="External"/><Relationship Id="rId541" Type="http://schemas.openxmlformats.org/officeDocument/2006/relationships/hyperlink" Target="https://www.sec.gov/Archives/edgar/data/1579428/000095017022005231/axsm-ex99_1.htm" TargetMode="External"/><Relationship Id="rId545" Type="http://schemas.openxmlformats.org/officeDocument/2006/relationships/hyperlink" Target="https://www.sec.gov/Archives/edgar/data/1579428/000095017022016143/axsm-ex10_1.htm" TargetMode="External"/><Relationship Id="rId546" Type="http://schemas.openxmlformats.org/officeDocument/2006/relationships/hyperlink" Target="https://www.sec.gov/Archives/edgar/data/1579428/000095017022016143/axsm-ex10_2.htm" TargetMode="External"/><Relationship Id="rId547" Type="http://schemas.openxmlformats.org/officeDocument/2006/relationships/hyperlink" Target="https://www.sec.gov/Archives/edgar/data/1579428/000095017023018976/axsm-ex10_1.htm" TargetMode="External"/><Relationship Id="rId548" Type="http://schemas.openxmlformats.org/officeDocument/2006/relationships/hyperlink" Target="https://www.sec.gov/Archives/edgar/data/1579428/000095017023018976/axsm-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2024-02-23T07:24:45Z</dcterms:created>
  <dcterms:modified xsi:type="dcterms:W3CDTF">2024-02-23T07:24:45Z</dcterms:modified>
</cp:coreProperties>
</file>