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200660</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jc w:val="center"/>
        <w:ind w:right="-20"/>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144145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jc w:val="center"/>
        <w:ind w:right="-20"/>
        <w:spacing w:after="0" w:line="205" w:lineRule="auto"/>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August 8, 2019</w:t>
      </w: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Axsome Therapeutics, Inc.</w:t>
      </w: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125095</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361" w:lineRule="exact"/>
        <w:rPr>
          <w:sz w:val="24"/>
          <w:szCs w:val="24"/>
          <w:color w:val="auto"/>
        </w:rPr>
      </w:pPr>
    </w:p>
    <w:tbl>
      <w:tblPr>
        <w:tblLayout w:type="fixed"/>
        <w:tblInd w:w="681" w:type="dxa"/>
        <w:tblCellMar>
          <w:top w:w="0" w:type="dxa"/>
          <w:left w:w="0" w:type="dxa"/>
          <w:bottom w:w="0" w:type="dxa"/>
          <w:right w:w="0" w:type="dxa"/>
        </w:tblCellMar>
      </w:tblPr>
      <w:tr>
        <w:trPr>
          <w:trHeight w:val="207"/>
        </w:trPr>
        <w:tc>
          <w:tcPr>
            <w:tcW w:w="35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212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001-37635</w:t>
            </w:r>
          </w:p>
        </w:tc>
        <w:tc>
          <w:tcPr>
            <w:tcW w:w="276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45-4241907</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90"/>
              <w:spacing w:after="0" w:line="176" w:lineRule="exact"/>
              <w:rPr>
                <w:sz w:val="20"/>
                <w:szCs w:val="20"/>
                <w:color w:val="auto"/>
              </w:rPr>
            </w:pPr>
            <w:r>
              <w:rPr>
                <w:rFonts w:ascii="Arial" w:cs="Arial" w:eastAsia="Arial" w:hAnsi="Arial"/>
                <w:sz w:val="18"/>
                <w:szCs w:val="18"/>
                <w:color w:val="auto"/>
                <w:w w:val="91"/>
              </w:rPr>
              <w:t>(State or other jurisdiction</w:t>
            </w:r>
          </w:p>
        </w:tc>
        <w:tc>
          <w:tcPr>
            <w:tcW w:w="2120" w:type="dxa"/>
            <w:vAlign w:val="bottom"/>
          </w:tcPr>
          <w:p>
            <w:pPr>
              <w:jc w:val="center"/>
              <w:ind w:right="410"/>
              <w:spacing w:after="0" w:line="176" w:lineRule="exact"/>
              <w:rPr>
                <w:sz w:val="20"/>
                <w:szCs w:val="20"/>
                <w:color w:val="auto"/>
              </w:rPr>
            </w:pPr>
            <w:r>
              <w:rPr>
                <w:rFonts w:ascii="Arial" w:cs="Arial" w:eastAsia="Arial" w:hAnsi="Arial"/>
                <w:sz w:val="18"/>
                <w:szCs w:val="18"/>
                <w:color w:val="auto"/>
                <w:w w:val="93"/>
              </w:rPr>
              <w:t>(Commission</w:t>
            </w:r>
          </w:p>
        </w:tc>
        <w:tc>
          <w:tcPr>
            <w:tcW w:w="2760" w:type="dxa"/>
            <w:vAlign w:val="bottom"/>
          </w:tcPr>
          <w:p>
            <w:pPr>
              <w:jc w:val="center"/>
              <w:ind w:left="135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610"/>
              <w:spacing w:after="0"/>
              <w:rPr>
                <w:sz w:val="20"/>
                <w:szCs w:val="20"/>
                <w:color w:val="auto"/>
              </w:rPr>
            </w:pPr>
            <w:r>
              <w:rPr>
                <w:rFonts w:ascii="Arial" w:cs="Arial" w:eastAsia="Arial" w:hAnsi="Arial"/>
                <w:sz w:val="18"/>
                <w:szCs w:val="18"/>
                <w:color w:val="auto"/>
                <w:w w:val="93"/>
              </w:rPr>
              <w:t>of incorporation)</w:t>
            </w:r>
          </w:p>
        </w:tc>
        <w:tc>
          <w:tcPr>
            <w:tcW w:w="2120" w:type="dxa"/>
            <w:vAlign w:val="bottom"/>
          </w:tcPr>
          <w:p>
            <w:pPr>
              <w:jc w:val="center"/>
              <w:ind w:right="410"/>
              <w:spacing w:after="0"/>
              <w:rPr>
                <w:sz w:val="20"/>
                <w:szCs w:val="20"/>
                <w:color w:val="auto"/>
              </w:rPr>
            </w:pPr>
            <w:r>
              <w:rPr>
                <w:rFonts w:ascii="Arial" w:cs="Arial" w:eastAsia="Arial" w:hAnsi="Arial"/>
                <w:sz w:val="18"/>
                <w:szCs w:val="18"/>
                <w:color w:val="auto"/>
                <w:w w:val="94"/>
              </w:rPr>
              <w:t>File Number)</w:t>
            </w: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42"/>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1"/>
              </w:rPr>
              <w:t>200 Broadway, 3rd Floor</w:t>
            </w:r>
          </w:p>
        </w:tc>
        <w:tc>
          <w:tcPr>
            <w:tcW w:w="2120" w:type="dxa"/>
            <w:vAlign w:val="bottom"/>
          </w:tcPr>
          <w:p>
            <w:pPr>
              <w:spacing w:after="0"/>
              <w:rPr>
                <w:sz w:val="21"/>
                <w:szCs w:val="21"/>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12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2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661" w:type="dxa"/>
        <w:tblCellMar>
          <w:top w:w="0" w:type="dxa"/>
          <w:left w:w="0" w:type="dxa"/>
          <w:bottom w:w="0" w:type="dxa"/>
          <w:right w:w="0" w:type="dxa"/>
        </w:tblCellMar>
      </w:tblPr>
      <w:tr>
        <w:trPr>
          <w:trHeight w:val="171"/>
        </w:trPr>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107315</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51" w:lineRule="exact"/>
        <w:rPr>
          <w:sz w:val="24"/>
          <w:szCs w:val="24"/>
          <w:color w:val="auto"/>
        </w:rPr>
      </w:pPr>
    </w:p>
    <w:p>
      <w:pPr>
        <w:ind w:left="1" w:right="220"/>
        <w:spacing w:after="0" w:line="23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801" w:hanging="801"/>
        <w:spacing w:after="0"/>
        <w:tabs>
          <w:tab w:leader="none" w:pos="8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ind w:left="1" w:right="620"/>
        <w:spacing w:after="0" w:line="25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left="1"/>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638873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476885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74" w:right="9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jc w:val="both"/>
        <w:ind w:right="340" w:firstLine="648"/>
        <w:spacing w:after="0" w:line="224" w:lineRule="auto"/>
        <w:rPr>
          <w:sz w:val="20"/>
          <w:szCs w:val="20"/>
          <w:color w:val="auto"/>
        </w:rPr>
      </w:pPr>
      <w:r>
        <w:rPr>
          <w:rFonts w:ascii="Arial" w:cs="Arial" w:eastAsia="Arial" w:hAnsi="Arial"/>
          <w:sz w:val="18"/>
          <w:szCs w:val="18"/>
          <w:color w:val="auto"/>
        </w:rPr>
        <w:t>On August 8, 2019, Axsome Therapeutics, Inc. (the “Company”) issued a press release announcing its financial results for the three months ended June 30, 2019 and an update on the Company’s operations. The Company is furnishing a copy of the press release, which is attached hereto as Exhibit 99.1.</w:t>
      </w:r>
    </w:p>
    <w:p>
      <w:pPr>
        <w:spacing w:after="0" w:line="163"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In accordance with General Instruction B.2 of Form 8-K, the information included in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c>
          <w:tcPr>
            <w:tcW w:w="6140" w:type="dxa"/>
            <w:vAlign w:val="bottom"/>
            <w:tcBorders>
              <w:bottom w:val="single" w:sz="8" w:color="auto"/>
            </w:tcBorders>
          </w:tcPr>
          <w:p>
            <w:pPr>
              <w:jc w:val="right"/>
              <w:ind w:right="3948"/>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8760" w:type="dxa"/>
            <w:vAlign w:val="bottom"/>
            <w:gridSpan w:val="3"/>
          </w:tcPr>
          <w:p>
            <w:pPr>
              <w:jc w:val="right"/>
              <w:ind w:right="6068"/>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August 8, 2019.</w:t>
              </w:r>
            </w:hyperlink>
          </w:p>
        </w:tc>
      </w:tr>
      <w:tr>
        <w:trPr>
          <w:trHeight w:val="495"/>
        </w:trPr>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tcBorders>
              <w:top w:val="single" w:sz="8" w:color="0000EE"/>
            </w:tcBorders>
            <w:gridSpan w:val="2"/>
          </w:tcPr>
          <w:p>
            <w:pPr>
              <w:spacing w:after="0"/>
              <w:rPr>
                <w:sz w:val="24"/>
                <w:szCs w:val="24"/>
                <w:color w:val="auto"/>
              </w:rPr>
            </w:pPr>
          </w:p>
        </w:tc>
        <w:tc>
          <w:tcPr>
            <w:tcW w:w="6140" w:type="dxa"/>
            <w:vAlign w:val="bottom"/>
          </w:tcPr>
          <w:p>
            <w:pPr>
              <w:jc w:val="right"/>
              <w:ind w:right="4928"/>
              <w:spacing w:after="0"/>
              <w:rPr>
                <w:sz w:val="20"/>
                <w:szCs w:val="20"/>
                <w:color w:val="auto"/>
              </w:rPr>
            </w:pPr>
            <w:r>
              <w:rPr>
                <w:rFonts w:ascii="Arial" w:cs="Arial" w:eastAsia="Arial" w:hAnsi="Arial"/>
                <w:sz w:val="14"/>
                <w:szCs w:val="14"/>
                <w:color w:val="auto"/>
              </w:rPr>
              <w:t>2</w:t>
            </w:r>
          </w:p>
        </w:tc>
      </w:tr>
      <w:tr>
        <w:trPr>
          <w:trHeight w:val="721"/>
        </w:trPr>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08" w:right="9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6740" w:type="dxa"/>
            <w:vAlign w:val="bottom"/>
            <w:gridSpan w:val="2"/>
          </w:tcPr>
          <w:p>
            <w:pPr>
              <w:ind w:left="1720"/>
              <w:spacing w:after="0"/>
              <w:rPr>
                <w:sz w:val="20"/>
                <w:szCs w:val="20"/>
                <w:color w:val="auto"/>
              </w:rPr>
            </w:pPr>
            <w:r>
              <w:rPr>
                <w:rFonts w:ascii="Arial" w:cs="Arial" w:eastAsia="Arial" w:hAnsi="Arial"/>
                <w:sz w:val="18"/>
                <w:szCs w:val="18"/>
                <w:b w:val="1"/>
                <w:bCs w:val="1"/>
                <w:color w:val="auto"/>
              </w:rPr>
              <w:t>Axsome Therapeutics, Inc.</w:t>
            </w:r>
          </w:p>
        </w:tc>
        <w:tc>
          <w:tcPr>
            <w:tcW w:w="0" w:type="dxa"/>
            <w:vAlign w:val="bottom"/>
          </w:tcPr>
          <w:p>
            <w:pPr>
              <w:spacing w:after="0"/>
              <w:rPr>
                <w:sz w:val="1"/>
                <w:szCs w:val="1"/>
                <w:color w:val="auto"/>
              </w:rPr>
            </w:pPr>
          </w:p>
        </w:tc>
      </w:tr>
      <w:tr>
        <w:trPr>
          <w:trHeight w:val="473"/>
        </w:trPr>
        <w:tc>
          <w:tcPr>
            <w:tcW w:w="3320" w:type="dxa"/>
            <w:vAlign w:val="bottom"/>
          </w:tcPr>
          <w:p>
            <w:pPr>
              <w:spacing w:after="0"/>
              <w:rPr>
                <w:sz w:val="20"/>
                <w:szCs w:val="20"/>
                <w:color w:val="auto"/>
              </w:rPr>
            </w:pPr>
            <w:r>
              <w:rPr>
                <w:rFonts w:ascii="Arial" w:cs="Arial" w:eastAsia="Arial" w:hAnsi="Arial"/>
                <w:sz w:val="18"/>
                <w:szCs w:val="18"/>
                <w:color w:val="auto"/>
              </w:rPr>
              <w:t>Dated: August 8, 2019</w:t>
            </w:r>
          </w:p>
        </w:tc>
        <w:tc>
          <w:tcPr>
            <w:tcW w:w="2120" w:type="dxa"/>
            <w:vAlign w:val="bottom"/>
          </w:tcPr>
          <w:p>
            <w:pPr>
              <w:ind w:left="1720"/>
              <w:spacing w:after="0"/>
              <w:rPr>
                <w:sz w:val="20"/>
                <w:szCs w:val="20"/>
                <w:color w:val="auto"/>
              </w:rPr>
            </w:pPr>
            <w:r>
              <w:rPr>
                <w:rFonts w:ascii="Arial" w:cs="Arial" w:eastAsia="Arial" w:hAnsi="Arial"/>
                <w:sz w:val="18"/>
                <w:szCs w:val="18"/>
                <w:color w:val="auto"/>
              </w:rPr>
              <w:t>By:</w:t>
            </w:r>
          </w:p>
        </w:tc>
        <w:tc>
          <w:tcPr>
            <w:tcW w:w="4620" w:type="dxa"/>
            <w:vAlign w:val="bottom"/>
          </w:tcPr>
          <w:p>
            <w:pPr>
              <w:ind w:left="40"/>
              <w:spacing w:after="0"/>
              <w:rPr>
                <w:sz w:val="20"/>
                <w:szCs w:val="20"/>
                <w:color w:val="auto"/>
              </w:rPr>
            </w:pPr>
            <w:r>
              <w:rPr>
                <w:rFonts w:ascii="Arial" w:cs="Arial" w:eastAsia="Arial" w:hAnsi="Arial"/>
                <w:sz w:val="18"/>
                <w:szCs w:val="18"/>
                <w:color w:val="auto"/>
              </w:rPr>
              <w:t>/s/ Herriot Tabuteau, M.D.</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120" w:type="dxa"/>
            <w:vAlign w:val="bottom"/>
            <w:vMerge w:val="restart"/>
          </w:tcPr>
          <w:p>
            <w:pPr>
              <w:ind w:left="1720"/>
              <w:spacing w:after="0" w:line="189" w:lineRule="exact"/>
              <w:rPr>
                <w:sz w:val="20"/>
                <w:szCs w:val="20"/>
                <w:color w:val="auto"/>
              </w:rPr>
            </w:pPr>
            <w:r>
              <w:rPr>
                <w:rFonts w:ascii="Arial" w:cs="Arial" w:eastAsia="Arial" w:hAnsi="Arial"/>
                <w:sz w:val="18"/>
                <w:szCs w:val="18"/>
                <w:color w:val="auto"/>
                <w:w w:val="71"/>
              </w:rPr>
              <w:t>Name:</w:t>
            </w:r>
          </w:p>
        </w:tc>
        <w:tc>
          <w:tcPr>
            <w:tcW w:w="4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4620" w:type="dxa"/>
            <w:vAlign w:val="bottom"/>
          </w:tcPr>
          <w:p>
            <w:pPr>
              <w:ind w:left="200"/>
              <w:spacing w:after="0" w:line="142" w:lineRule="exact"/>
              <w:rPr>
                <w:sz w:val="20"/>
                <w:szCs w:val="20"/>
                <w:color w:val="auto"/>
              </w:rPr>
            </w:pPr>
            <w:r>
              <w:rPr>
                <w:rFonts w:ascii="Arial" w:cs="Arial" w:eastAsia="Arial" w:hAnsi="Arial"/>
                <w:sz w:val="16"/>
                <w:szCs w:val="16"/>
                <w:color w:val="auto"/>
              </w:rPr>
              <w:t>Herriot Tabuteau, M.D.</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120" w:type="dxa"/>
            <w:vAlign w:val="bottom"/>
          </w:tcPr>
          <w:p>
            <w:pPr>
              <w:ind w:left="1720"/>
              <w:spacing w:after="0"/>
              <w:rPr>
                <w:sz w:val="20"/>
                <w:szCs w:val="20"/>
                <w:color w:val="auto"/>
              </w:rPr>
            </w:pPr>
            <w:r>
              <w:rPr>
                <w:rFonts w:ascii="Arial" w:cs="Arial" w:eastAsia="Arial" w:hAnsi="Arial"/>
                <w:sz w:val="18"/>
                <w:szCs w:val="18"/>
                <w:color w:val="auto"/>
                <w:w w:val="97"/>
              </w:rPr>
              <w:t>Title:</w:t>
            </w:r>
          </w:p>
        </w:tc>
        <w:tc>
          <w:tcPr>
            <w:tcW w:w="4620" w:type="dxa"/>
            <w:vAlign w:val="bottom"/>
          </w:tcPr>
          <w:p>
            <w:pPr>
              <w:ind w:left="2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98"/>
        </w:trPr>
        <w:tc>
          <w:tcPr>
            <w:tcW w:w="3320" w:type="dxa"/>
            <w:vAlign w:val="bottom"/>
          </w:tcPr>
          <w:p>
            <w:pPr>
              <w:spacing w:after="0"/>
              <w:rPr>
                <w:sz w:val="24"/>
                <w:szCs w:val="24"/>
                <w:color w:val="auto"/>
              </w:rPr>
            </w:pPr>
          </w:p>
        </w:tc>
        <w:tc>
          <w:tcPr>
            <w:tcW w:w="2120" w:type="dxa"/>
            <w:vAlign w:val="bottom"/>
          </w:tcPr>
          <w:p>
            <w:pPr>
              <w:ind w:left="1680"/>
              <w:spacing w:after="0"/>
              <w:rPr>
                <w:sz w:val="20"/>
                <w:szCs w:val="20"/>
                <w:color w:val="auto"/>
              </w:rPr>
            </w:pPr>
            <w:r>
              <w:rPr>
                <w:rFonts w:ascii="Arial" w:cs="Arial" w:eastAsia="Arial" w:hAnsi="Arial"/>
                <w:sz w:val="14"/>
                <w:szCs w:val="14"/>
                <w:color w:val="auto"/>
              </w:rPr>
              <w:t>3</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1"/>
        </w:trPr>
        <w:tc>
          <w:tcPr>
            <w:tcW w:w="3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08"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44081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8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Axsome Therapeutics Reports Second Quarter 2019 Financial Results and Provides Business Update</w:t>
      </w:r>
    </w:p>
    <w:p>
      <w:pPr>
        <w:spacing w:after="0" w:line="202" w:lineRule="exact"/>
        <w:rPr>
          <w:sz w:val="20"/>
          <w:szCs w:val="20"/>
          <w:color w:val="auto"/>
        </w:rPr>
      </w:pPr>
    </w:p>
    <w:p>
      <w:pPr>
        <w:jc w:val="center"/>
        <w:ind w:left="1260" w:right="40"/>
        <w:spacing w:after="0" w:line="277" w:lineRule="auto"/>
        <w:rPr>
          <w:sz w:val="20"/>
          <w:szCs w:val="20"/>
          <w:color w:val="auto"/>
        </w:rPr>
      </w:pPr>
      <w:r>
        <w:rPr>
          <w:rFonts w:ascii="Arial" w:cs="Arial" w:eastAsia="Arial" w:hAnsi="Arial"/>
          <w:sz w:val="18"/>
          <w:szCs w:val="18"/>
          <w:i w:val="1"/>
          <w:iCs w:val="1"/>
          <w:color w:val="auto"/>
        </w:rPr>
        <w:t>Both STRIDE-1 Phase 3 trial in TRD and GEMINI Phase 3 trial in MDD for AXS-05 on track for readout of topline results in 2H 2019</w:t>
      </w:r>
    </w:p>
    <w:p>
      <w:pPr>
        <w:spacing w:after="0" w:line="130" w:lineRule="exact"/>
        <w:rPr>
          <w:sz w:val="20"/>
          <w:szCs w:val="20"/>
          <w:color w:val="auto"/>
        </w:rPr>
      </w:pPr>
    </w:p>
    <w:p>
      <w:pPr>
        <w:ind w:left="1065"/>
        <w:spacing w:after="0"/>
        <w:rPr>
          <w:sz w:val="20"/>
          <w:szCs w:val="20"/>
          <w:color w:val="auto"/>
        </w:rPr>
      </w:pPr>
      <w:r>
        <w:rPr>
          <w:rFonts w:ascii="Arial" w:cs="Arial" w:eastAsia="Arial" w:hAnsi="Arial"/>
          <w:sz w:val="18"/>
          <w:szCs w:val="18"/>
          <w:i w:val="1"/>
          <w:iCs w:val="1"/>
          <w:color w:val="auto"/>
        </w:rPr>
        <w:t>MOMENTUM Phase 3 trial of AXS-07 in migraine on track for readout of topline results in 2H 2019</w:t>
      </w:r>
    </w:p>
    <w:p>
      <w:pPr>
        <w:spacing w:after="0" w:line="185" w:lineRule="exact"/>
        <w:rPr>
          <w:sz w:val="20"/>
          <w:szCs w:val="20"/>
          <w:color w:val="auto"/>
        </w:rPr>
      </w:pPr>
    </w:p>
    <w:p>
      <w:pPr>
        <w:ind w:left="65"/>
        <w:spacing w:after="0"/>
        <w:rPr>
          <w:sz w:val="20"/>
          <w:szCs w:val="20"/>
          <w:color w:val="auto"/>
        </w:rPr>
      </w:pPr>
      <w:r>
        <w:rPr>
          <w:rFonts w:ascii="Arial" w:cs="Arial" w:eastAsia="Arial" w:hAnsi="Arial"/>
          <w:sz w:val="16"/>
          <w:szCs w:val="16"/>
          <w:i w:val="1"/>
          <w:iCs w:val="1"/>
          <w:color w:val="auto"/>
        </w:rPr>
        <w:t>FDA End-of-Phase 2 meeting for AXS-07 held; MOMENTUM is only efficacy trial required to support NDA filing of AXS-07 for</w:t>
      </w:r>
    </w:p>
    <w:p>
      <w:pPr>
        <w:spacing w:after="0" w:line="46" w:lineRule="exact"/>
        <w:rPr>
          <w:sz w:val="20"/>
          <w:szCs w:val="20"/>
          <w:color w:val="auto"/>
        </w:rPr>
      </w:pPr>
    </w:p>
    <w:p>
      <w:pPr>
        <w:jc w:val="center"/>
        <w:ind w:right="-4"/>
        <w:spacing w:after="0"/>
        <w:rPr>
          <w:sz w:val="20"/>
          <w:szCs w:val="20"/>
          <w:color w:val="auto"/>
        </w:rPr>
      </w:pPr>
      <w:r>
        <w:rPr>
          <w:rFonts w:ascii="Arial" w:cs="Arial" w:eastAsia="Arial" w:hAnsi="Arial"/>
          <w:sz w:val="18"/>
          <w:szCs w:val="18"/>
          <w:i w:val="1"/>
          <w:iCs w:val="1"/>
          <w:color w:val="auto"/>
        </w:rPr>
        <w:t>migraine</w:t>
      </w:r>
    </w:p>
    <w:p>
      <w:pPr>
        <w:spacing w:after="0" w:line="184" w:lineRule="exact"/>
        <w:rPr>
          <w:sz w:val="20"/>
          <w:szCs w:val="20"/>
          <w:color w:val="auto"/>
        </w:rPr>
      </w:pPr>
    </w:p>
    <w:p>
      <w:pPr>
        <w:jc w:val="center"/>
        <w:ind w:right="-4"/>
        <w:spacing w:after="0"/>
        <w:rPr>
          <w:sz w:val="20"/>
          <w:szCs w:val="20"/>
          <w:color w:val="auto"/>
        </w:rPr>
      </w:pPr>
      <w:r>
        <w:rPr>
          <w:rFonts w:ascii="Arial" w:cs="Arial" w:eastAsia="Arial" w:hAnsi="Arial"/>
          <w:sz w:val="18"/>
          <w:szCs w:val="18"/>
          <w:i w:val="1"/>
          <w:iCs w:val="1"/>
          <w:color w:val="auto"/>
        </w:rPr>
        <w:t>CONCERT Phase 2 trial of AXS-12 in narcolepsy on track for readout of topline results in 2H 2019</w:t>
      </w:r>
    </w:p>
    <w:p>
      <w:pPr>
        <w:spacing w:after="0" w:line="185" w:lineRule="exact"/>
        <w:rPr>
          <w:sz w:val="20"/>
          <w:szCs w:val="20"/>
          <w:color w:val="auto"/>
        </w:rPr>
      </w:pPr>
    </w:p>
    <w:p>
      <w:pPr>
        <w:jc w:val="center"/>
        <w:ind w:right="-4"/>
        <w:spacing w:after="0"/>
        <w:rPr>
          <w:sz w:val="20"/>
          <w:szCs w:val="20"/>
          <w:color w:val="auto"/>
        </w:rPr>
      </w:pPr>
      <w:r>
        <w:rPr>
          <w:rFonts w:ascii="Arial" w:cs="Arial" w:eastAsia="Arial" w:hAnsi="Arial"/>
          <w:sz w:val="18"/>
          <w:szCs w:val="18"/>
          <w:i w:val="1"/>
          <w:iCs w:val="1"/>
          <w:color w:val="auto"/>
        </w:rPr>
        <w:t>Cash runway extended into 4Q 2021</w:t>
      </w:r>
    </w:p>
    <w:p>
      <w:pPr>
        <w:spacing w:after="0" w:line="185" w:lineRule="exact"/>
        <w:rPr>
          <w:sz w:val="20"/>
          <w:szCs w:val="20"/>
          <w:color w:val="auto"/>
        </w:rPr>
      </w:pPr>
    </w:p>
    <w:p>
      <w:pPr>
        <w:jc w:val="center"/>
        <w:ind w:right="-4"/>
        <w:spacing w:after="0"/>
        <w:rPr>
          <w:sz w:val="20"/>
          <w:szCs w:val="20"/>
          <w:color w:val="auto"/>
        </w:rPr>
      </w:pPr>
      <w:r>
        <w:rPr>
          <w:rFonts w:ascii="Arial" w:cs="Arial" w:eastAsia="Arial" w:hAnsi="Arial"/>
          <w:sz w:val="18"/>
          <w:szCs w:val="18"/>
          <w:i w:val="1"/>
          <w:iCs w:val="1"/>
          <w:color w:val="auto"/>
        </w:rPr>
        <w:t>Company to host conference call today at 8:00 AM Eastern</w:t>
      </w:r>
    </w:p>
    <w:p>
      <w:pPr>
        <w:spacing w:after="0" w:line="198" w:lineRule="exact"/>
        <w:rPr>
          <w:sz w:val="20"/>
          <w:szCs w:val="20"/>
          <w:color w:val="auto"/>
        </w:rPr>
      </w:pPr>
    </w:p>
    <w:p>
      <w:pPr>
        <w:jc w:val="both"/>
        <w:ind w:left="5" w:right="20"/>
        <w:spacing w:after="0" w:line="264" w:lineRule="auto"/>
        <w:rPr>
          <w:sz w:val="20"/>
          <w:szCs w:val="20"/>
          <w:color w:val="auto"/>
        </w:rPr>
      </w:pPr>
      <w:r>
        <w:rPr>
          <w:rFonts w:ascii="Arial" w:cs="Arial" w:eastAsia="Arial" w:hAnsi="Arial"/>
          <w:sz w:val="18"/>
          <w:szCs w:val="18"/>
          <w:color w:val="auto"/>
        </w:rPr>
        <w:t>NEW YORK, August 8, 2019 (Globe Newswire) – Axsome Therapeutics, Inc. (NASDAQ: AXSM), a clinical-stage biopharmaceutical company developing novel therapies for the management of central nervous system (CNS) disorders, today reported financial results for the second quarter ended June 30, 2019.</w:t>
      </w:r>
    </w:p>
    <w:p>
      <w:pPr>
        <w:spacing w:after="0" w:line="141" w:lineRule="exact"/>
        <w:rPr>
          <w:sz w:val="20"/>
          <w:szCs w:val="20"/>
          <w:color w:val="auto"/>
        </w:rPr>
      </w:pPr>
    </w:p>
    <w:p>
      <w:pPr>
        <w:jc w:val="both"/>
        <w:ind w:left="5"/>
        <w:spacing w:after="0" w:line="289" w:lineRule="auto"/>
        <w:rPr>
          <w:sz w:val="20"/>
          <w:szCs w:val="20"/>
          <w:color w:val="auto"/>
        </w:rPr>
      </w:pPr>
      <w:r>
        <w:rPr>
          <w:rFonts w:ascii="Arial" w:cs="Arial" w:eastAsia="Arial" w:hAnsi="Arial"/>
          <w:sz w:val="16"/>
          <w:szCs w:val="16"/>
          <w:color w:val="auto"/>
        </w:rPr>
        <w:t>“Over the past four months, we achieved several important clinical and regulatory milestones which significantly accelerated the clinical development of our potentially first-in-class or best-in-class CNS product candidates, with the aim of improving the lives of millions of patients living with difficult-to-treat CNS disorders,” said Herriot Tabuteau, MD, Chief Executive Officer of Axsome. “Following a successful FDA Breakthrough Therapy meeting, we launched two new clinical trials: the placebo-controlled GEMINI Phase 3 trial of AXS-05 in major depressive disorder, and a Phase 3 open-label long-term safety trial of AXS-05 in patients with major depressive disorder and treatment resistant depression. We also held a successful End-of-Phase 2 meeting with the FDA for AXS-07 in the acute treatment of migraine. Based on this meeting, the ongoing Phase 3 MOMENTUM trial, if successful, will be the only efficacy trial required to support an NDA filing for AXS-07. These developments position us to file potentially two NDAs in the second half of next year, one for AXS-05 in depression and one for AXS-07 in migraine.”</w:t>
      </w:r>
    </w:p>
    <w:p>
      <w:pPr>
        <w:spacing w:after="0" w:line="126" w:lineRule="exact"/>
        <w:rPr>
          <w:sz w:val="20"/>
          <w:szCs w:val="20"/>
          <w:color w:val="auto"/>
        </w:rPr>
      </w:pPr>
    </w:p>
    <w:p>
      <w:pPr>
        <w:jc w:val="both"/>
        <w:ind w:left="5" w:right="20"/>
        <w:spacing w:after="0" w:line="273" w:lineRule="auto"/>
        <w:rPr>
          <w:sz w:val="20"/>
          <w:szCs w:val="20"/>
          <w:color w:val="auto"/>
        </w:rPr>
      </w:pPr>
      <w:r>
        <w:rPr>
          <w:rFonts w:ascii="Arial" w:cs="Arial" w:eastAsia="Arial" w:hAnsi="Arial"/>
          <w:sz w:val="17"/>
          <w:szCs w:val="17"/>
          <w:color w:val="auto"/>
        </w:rPr>
        <w:t>“The next several months are expected to be highly active and potentially transformative for Axsome as we look forward to readouts from the Phase 3 STRIDE-1 trial of AXS-05 in treatment resistant depression, the GEMINI Phase 3 trial of AXS-05 in major depressive disorder, the Phase 3 MOMENTUM trial of AXS-07 in the acute treatment of migraine, and the Phase 2 CONCERT trial of AXS-12 in narcolepsy, with all four anticipated before the end of this year,” continued Dr. Tabuteau. “In addition, recent financing activities have enabled us to fully fund all ongoing clinical trials while further extending our cash runway into the fourth quarter of 2021, well beyond topline data readouts for all ongoing efficacy trials.”</w:t>
      </w:r>
    </w:p>
    <w:p>
      <w:pPr>
        <w:spacing w:after="0" w:line="14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CNS Pipeline Update</w:t>
      </w:r>
    </w:p>
    <w:p>
      <w:pPr>
        <w:spacing w:after="0" w:line="189" w:lineRule="exact"/>
        <w:rPr>
          <w:sz w:val="20"/>
          <w:szCs w:val="20"/>
          <w:color w:val="auto"/>
        </w:rPr>
      </w:pPr>
    </w:p>
    <w:p>
      <w:pPr>
        <w:jc w:val="both"/>
        <w:ind w:left="5"/>
        <w:spacing w:after="0" w:line="255" w:lineRule="auto"/>
        <w:rPr>
          <w:sz w:val="20"/>
          <w:szCs w:val="20"/>
          <w:color w:val="auto"/>
        </w:rPr>
      </w:pPr>
      <w:r>
        <w:rPr>
          <w:rFonts w:ascii="Arial" w:cs="Arial" w:eastAsia="Arial" w:hAnsi="Arial"/>
          <w:sz w:val="18"/>
          <w:szCs w:val="18"/>
          <w:color w:val="auto"/>
        </w:rPr>
        <w:t>Axsome is developing a portfolio of differentiated, patent-protected, central nervous system (CNS) product candidates. CNS disorders are distressing for patients, difficult to treat, and often underserved, with many having no approved or satisfactory treatment options. Axsome accelerates the development of new CNS medicines by utilizing proprietary medicinal chemistry and formulation technologies, and novel mechanisms of action, combined with human proof-of-concept data and innovative clinical trial designs. Axsome’s technologies include metabolic inhibition, MoSEIC™ delivery, chiral chemistry and formulation, and proprietary chemical synthesis and analysis. Our CNS pipeline includes three differentiated product candidates in active clinical development.</w:t>
      </w:r>
    </w:p>
    <w:p>
      <w:pPr>
        <w:spacing w:after="0" w:line="253" w:lineRule="exact"/>
        <w:rPr>
          <w:sz w:val="20"/>
          <w:szCs w:val="20"/>
          <w:color w:val="auto"/>
        </w:rPr>
      </w:pPr>
    </w:p>
    <w:p>
      <w:pPr>
        <w:ind w:left="325" w:hanging="325"/>
        <w:spacing w:after="0"/>
        <w:tabs>
          <w:tab w:leader="none" w:pos="32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AXS-05: </w:t>
      </w:r>
      <w:r>
        <w:rPr>
          <w:rFonts w:ascii="Arial" w:cs="Arial" w:eastAsia="Arial" w:hAnsi="Arial"/>
          <w:sz w:val="18"/>
          <w:szCs w:val="18"/>
          <w:color w:val="auto"/>
        </w:rPr>
        <w:t>AXS-05 is Axsome’s novel, oral, investigational NMDA receptor antagonist with multimodal activity being</w:t>
      </w:r>
    </w:p>
    <w:p>
      <w:pPr>
        <w:spacing w:after="0" w:line="27" w:lineRule="exact"/>
        <w:rPr>
          <w:rFonts w:ascii="Arial" w:cs="Arial" w:eastAsia="Arial" w:hAnsi="Arial"/>
          <w:sz w:val="18"/>
          <w:szCs w:val="18"/>
          <w:color w:val="auto"/>
        </w:rPr>
      </w:pPr>
    </w:p>
    <w:p>
      <w:pPr>
        <w:jc w:val="both"/>
        <w:ind w:left="325" w:right="20"/>
        <w:spacing w:after="0" w:line="253" w:lineRule="auto"/>
        <w:rPr>
          <w:rFonts w:ascii="Arial" w:cs="Arial" w:eastAsia="Arial" w:hAnsi="Arial"/>
          <w:sz w:val="18"/>
          <w:szCs w:val="18"/>
          <w:color w:val="auto"/>
        </w:rPr>
      </w:pPr>
      <w:r>
        <w:rPr>
          <w:rFonts w:ascii="Arial" w:cs="Arial" w:eastAsia="Arial" w:hAnsi="Arial"/>
          <w:sz w:val="18"/>
          <w:szCs w:val="18"/>
          <w:color w:val="auto"/>
        </w:rPr>
        <w:t>developed for the following indications: treatment resistant depression (TRD), major depressive disorder (MDD), Alzheimer’s disease (AD) agitation, and smoking cessation. AXS-05 consists of a proprietary formulation of dextromethorphan and bupropion and utilizes Axsome’s metabolic inhibition technology. AXS-05 has been granted U.S. Food and Drug Administration (FDA) Breakthrough Therapy designation for the treatment of MDD and Fast Track designations for the treatment of TRD and for the treatment of AD agitation.</w:t>
      </w:r>
    </w:p>
    <w:p>
      <w:pPr>
        <w:spacing w:after="0" w:line="19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495300</wp:posOffset>
            </wp:positionV>
            <wp:extent cx="5960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121" w:right="1239" w:bottom="1440" w:gutter="0" w:footer="0" w:header="0"/>
        </w:sectPr>
      </w:pPr>
    </w:p>
    <w:bookmarkStart w:id="4" w:name="page5"/>
    <w:bookmarkEnd w:id="4"/>
    <w:p>
      <w:pPr>
        <w:jc w:val="both"/>
        <w:ind w:left="325"/>
        <w:spacing w:after="0" w:line="254" w:lineRule="auto"/>
        <w:rPr>
          <w:sz w:val="20"/>
          <w:szCs w:val="20"/>
          <w:color w:val="auto"/>
        </w:rPr>
      </w:pPr>
      <w:r>
        <w:rPr>
          <w:rFonts w:ascii="Arial" w:cs="Arial" w:eastAsia="Arial" w:hAnsi="Arial"/>
          <w:sz w:val="18"/>
          <w:szCs w:val="18"/>
          <w:b w:val="1"/>
          <w:bCs w:val="1"/>
          <w:color w:val="auto"/>
        </w:rPr>
        <w:t xml:space="preserve">Depression: </w:t>
      </w:r>
      <w:r>
        <w:rPr>
          <w:rFonts w:ascii="Arial" w:cs="Arial" w:eastAsia="Arial" w:hAnsi="Arial"/>
          <w:sz w:val="18"/>
          <w:szCs w:val="18"/>
          <w:color w:val="auto"/>
        </w:rPr>
        <w:t>In June 2019, Axsome initiated the GEMINI study, a Phase 3, randomized, double-blind, multicenter, placebo-controlled trial of AXS-05 in patients with MDD. In the GEMINI study, approximately 300 patients with a confirmed diagnosis of moderate to severe MDD will be randomized in a 1:1 ratio to treatment with AXS-05 or placebo. To date, approximately 30% of the targeted number of patients have been randomized into this trial. Based on the results of Axsome’s recent Breakthrough Therapy meeting, the previously completed ASCEND trial of AXS-05 in MDD is considered pivotal and sufficient with either the GEMINI trial of AXS-05 in MDD or the STRIDE-1 trial of AXS-05 in TRD, if positive, to support an NDA filing for AXS-05 for the treatment of MDD, as previously reported. Axsome continues to expect topline efficacy results from both the STRIDE-1 and GEMINI trials in the second half of 2019, with an NDA filing anticipated in the second half of 2020.</w:t>
      </w:r>
    </w:p>
    <w:p>
      <w:pPr>
        <w:spacing w:after="0" w:line="166" w:lineRule="exact"/>
        <w:rPr>
          <w:sz w:val="20"/>
          <w:szCs w:val="20"/>
          <w:color w:val="auto"/>
        </w:rPr>
      </w:pPr>
    </w:p>
    <w:p>
      <w:pPr>
        <w:jc w:val="both"/>
        <w:ind w:left="325" w:right="20"/>
        <w:spacing w:after="0" w:line="264" w:lineRule="auto"/>
        <w:rPr>
          <w:sz w:val="20"/>
          <w:szCs w:val="20"/>
          <w:color w:val="auto"/>
        </w:rPr>
      </w:pPr>
      <w:r>
        <w:rPr>
          <w:rFonts w:ascii="Arial" w:cs="Arial" w:eastAsia="Arial" w:hAnsi="Arial"/>
          <w:sz w:val="18"/>
          <w:szCs w:val="18"/>
          <w:color w:val="auto"/>
        </w:rPr>
        <w:t>In July 2019, Axsome initiated a Phase 3 open-label, long-term safety extension study of AXS-05 in order to build the safety database of MDD and TRD patients required for a potential NDA filing. This open-label safety study is enrolling patients exiting the Phase 3 GEMINI trial, as well as patients exiting the Phase 3 STRIDE-1 trial.</w:t>
      </w:r>
    </w:p>
    <w:p>
      <w:pPr>
        <w:spacing w:after="0" w:line="137" w:lineRule="exact"/>
        <w:rPr>
          <w:sz w:val="20"/>
          <w:szCs w:val="20"/>
          <w:color w:val="auto"/>
        </w:rPr>
      </w:pPr>
    </w:p>
    <w:p>
      <w:pPr>
        <w:jc w:val="both"/>
        <w:ind w:left="325" w:right="20"/>
        <w:spacing w:after="0" w:line="314" w:lineRule="auto"/>
        <w:rPr>
          <w:sz w:val="20"/>
          <w:szCs w:val="20"/>
          <w:color w:val="auto"/>
        </w:rPr>
      </w:pPr>
      <w:r>
        <w:rPr>
          <w:rFonts w:ascii="Arial" w:cs="Arial" w:eastAsia="Arial" w:hAnsi="Arial"/>
          <w:sz w:val="16"/>
          <w:szCs w:val="16"/>
          <w:b w:val="1"/>
          <w:bCs w:val="1"/>
          <w:color w:val="auto"/>
        </w:rPr>
        <w:t xml:space="preserve">AD Agitation: </w:t>
      </w:r>
      <w:r>
        <w:rPr>
          <w:rFonts w:ascii="Arial" w:cs="Arial" w:eastAsia="Arial" w:hAnsi="Arial"/>
          <w:sz w:val="16"/>
          <w:szCs w:val="16"/>
          <w:color w:val="auto"/>
        </w:rPr>
        <w:t>Axsome is enrolling the ADVANCE-1 study, a Phase 2/3, randomized, double-blind, controlled, multicenter</w:t>
      </w:r>
      <w:r>
        <w:rPr>
          <w:rFonts w:ascii="Arial" w:cs="Arial" w:eastAsia="Arial" w:hAnsi="Arial"/>
          <w:sz w:val="16"/>
          <w:szCs w:val="16"/>
          <w:b w:val="1"/>
          <w:bCs w:val="1"/>
          <w:color w:val="auto"/>
        </w:rPr>
        <w:t xml:space="preserve"> </w:t>
      </w:r>
      <w:r>
        <w:rPr>
          <w:rFonts w:ascii="Arial" w:cs="Arial" w:eastAsia="Arial" w:hAnsi="Arial"/>
          <w:sz w:val="16"/>
          <w:szCs w:val="16"/>
          <w:color w:val="auto"/>
        </w:rPr>
        <w:t>trial to evaluate the efficacy and safety of AXS-05 in patients with agitation associated with AD. To date, just under 60% of the target number of subjects have been randomized in this trial. Topline results are anticipated in the first half of 2020.</w:t>
      </w:r>
    </w:p>
    <w:p>
      <w:pPr>
        <w:spacing w:after="0" w:line="102" w:lineRule="exact"/>
        <w:rPr>
          <w:sz w:val="20"/>
          <w:szCs w:val="20"/>
          <w:color w:val="auto"/>
        </w:rPr>
      </w:pPr>
    </w:p>
    <w:p>
      <w:pPr>
        <w:jc w:val="both"/>
        <w:ind w:left="325"/>
        <w:spacing w:after="0" w:line="261" w:lineRule="auto"/>
        <w:rPr>
          <w:sz w:val="20"/>
          <w:szCs w:val="20"/>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intends to meet with the FDA later this year to obtain advice on the continued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AXS-05 as an aid to smoking cessation treatment. Axsome previously reported positive topline results from a randomized, double-blind, active-controlled trial of AXS-05 for smoking cessation treatment. The study was conducted under a research collaboration between Axsome and Duke University.</w:t>
      </w:r>
    </w:p>
    <w:p>
      <w:pPr>
        <w:spacing w:after="0" w:line="261" w:lineRule="exact"/>
        <w:rPr>
          <w:sz w:val="20"/>
          <w:szCs w:val="20"/>
          <w:color w:val="auto"/>
        </w:rPr>
      </w:pPr>
    </w:p>
    <w:p>
      <w:pPr>
        <w:jc w:val="both"/>
        <w:ind w:left="325" w:right="20" w:hanging="325"/>
        <w:spacing w:after="0" w:line="258" w:lineRule="auto"/>
        <w:tabs>
          <w:tab w:leader="none" w:pos="325" w:val="left"/>
        </w:tabs>
        <w:numPr>
          <w:ilvl w:val="0"/>
          <w:numId w:val="3"/>
        </w:numPr>
        <w:rPr>
          <w:rFonts w:ascii="Arial" w:cs="Arial" w:eastAsia="Arial" w:hAnsi="Arial"/>
          <w:sz w:val="18"/>
          <w:szCs w:val="18"/>
          <w:color w:val="0D0D0D"/>
        </w:rPr>
      </w:pPr>
      <w:r>
        <w:rPr>
          <w:rFonts w:ascii="Arial" w:cs="Arial" w:eastAsia="Arial" w:hAnsi="Arial"/>
          <w:sz w:val="18"/>
          <w:szCs w:val="18"/>
          <w:b w:val="1"/>
          <w:bCs w:val="1"/>
          <w:color w:val="0D0D0D"/>
        </w:rPr>
        <w:t xml:space="preserve">AXS-07: </w:t>
      </w:r>
      <w:r>
        <w:rPr>
          <w:rFonts w:ascii="Arial" w:cs="Arial" w:eastAsia="Arial" w:hAnsi="Arial"/>
          <w:sz w:val="18"/>
          <w:szCs w:val="18"/>
          <w:color w:val="0D0D0D"/>
        </w:rPr>
        <w:t>AXS-07 is Axsome’s novel, oral, investigational medicine with distinct dual mechanisms of action being developed</w:t>
      </w:r>
      <w:r>
        <w:rPr>
          <w:rFonts w:ascii="Arial" w:cs="Arial" w:eastAsia="Arial" w:hAnsi="Arial"/>
          <w:sz w:val="18"/>
          <w:szCs w:val="18"/>
          <w:b w:val="1"/>
          <w:bCs w:val="1"/>
          <w:color w:val="0D0D0D"/>
        </w:rPr>
        <w:t xml:space="preserve"> </w:t>
      </w:r>
      <w:r>
        <w:rPr>
          <w:rFonts w:ascii="Arial" w:cs="Arial" w:eastAsia="Arial" w:hAnsi="Arial"/>
          <w:sz w:val="18"/>
          <w:szCs w:val="18"/>
          <w:color w:val="0D0D0D"/>
        </w:rPr>
        <w:t>for the acute treatment of migraine. AXS-07 consists of MoSEIC™ meloxicam and rizatriptan. The distinct mechanism of action and rapid absorption of MoSEIC™ meloxicam, combined with the known efficacy of rizatriptan, are designed to enable rapid, superior, and consistent relief of migraine pain, with lower symptom recurrence, as compared to currently available therapies.</w:t>
      </w:r>
    </w:p>
    <w:p>
      <w:pPr>
        <w:spacing w:after="0" w:line="75" w:lineRule="exact"/>
        <w:rPr>
          <w:rFonts w:ascii="Arial" w:cs="Arial" w:eastAsia="Arial" w:hAnsi="Arial"/>
          <w:sz w:val="18"/>
          <w:szCs w:val="18"/>
          <w:color w:val="0D0D0D"/>
        </w:rPr>
      </w:pPr>
    </w:p>
    <w:p>
      <w:pPr>
        <w:jc w:val="both"/>
        <w:ind w:left="325"/>
        <w:spacing w:after="0" w:line="253" w:lineRule="auto"/>
        <w:rPr>
          <w:rFonts w:ascii="Arial" w:cs="Arial" w:eastAsia="Arial" w:hAnsi="Arial"/>
          <w:sz w:val="18"/>
          <w:szCs w:val="18"/>
          <w:color w:val="0D0D0D"/>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Axsome is enrolling the MOMENTUM study, a Phase 3, randomized, double-blind, placebo- and active-controlled, multicenter trial to evaluate the efficacy and safety of AXS-07 in the acute treatment of migraine. The trial is being conducted pursuant to an FDA Special Protocol Assessment (SPA), and is enrolling only patients with a history of inadequate response to prior acute migraine treatments. The historical inadequate response in this difficult-to-treat population has been associated with a significantly increased risk of new-onset chronic migraine, which may be prevented by improving acute treatment outcomes [1]. In the MOMENTUM trial, patients are randomized to treatment with AXS-07, rizatriptan, meloxicam, or placebo. Rizatriptan, the active comparator in the trial, is considered to be one of the most efficacious oral medications currently available for the acute treatment of migraine [2]. Superiority of AXS-07 to the rizatriptan and meloxicam arms would be established based on sustained freedom from headache pain from two to 24 hours after dosing. The MOMENTUM study continues to enroll ahead of expectations and, to date, more than 70% of the target number of subjects in the trial have been randomized. Axsome continues to expect topline results from this trial in the second half of 2019.</w:t>
      </w:r>
    </w:p>
    <w:p>
      <w:pPr>
        <w:spacing w:after="0" w:line="154" w:lineRule="exact"/>
        <w:rPr>
          <w:rFonts w:ascii="Arial" w:cs="Arial" w:eastAsia="Arial" w:hAnsi="Arial"/>
          <w:sz w:val="18"/>
          <w:szCs w:val="18"/>
          <w:color w:val="0D0D0D"/>
        </w:rPr>
      </w:pPr>
    </w:p>
    <w:p>
      <w:pPr>
        <w:jc w:val="both"/>
        <w:ind w:left="325"/>
        <w:spacing w:after="0" w:line="255" w:lineRule="auto"/>
        <w:rPr>
          <w:rFonts w:ascii="Arial" w:cs="Arial" w:eastAsia="Arial" w:hAnsi="Arial"/>
          <w:sz w:val="18"/>
          <w:szCs w:val="18"/>
          <w:color w:val="0D0D0D"/>
        </w:rPr>
      </w:pPr>
      <w:r>
        <w:rPr>
          <w:rFonts w:ascii="Arial" w:cs="Arial" w:eastAsia="Arial" w:hAnsi="Arial"/>
          <w:sz w:val="18"/>
          <w:szCs w:val="18"/>
          <w:color w:val="auto"/>
        </w:rPr>
        <w:t>In May 2019, Axsome held an End-of-Phase 2 meeting with the FDA to discuss the development status and plan for AXS-07 for the acute treatment of migraine. Based on the results of this meeting, the ongoing MOMENTUM trial, if positive, will be the only efficacy trial required to support an NDA filing for AXS-07 for the acute treatment of migraine. A safety database including at least 300 patients treated with AXS-07 for at least six months and at least 100 patients treated for one year is required for the NDA filing. Axsome anticipates an NDA filing for AXS-07 in the acute treatment of migraine in the second half of 2020.</w:t>
      </w:r>
    </w:p>
    <w:p>
      <w:pPr>
        <w:spacing w:after="0" w:line="152" w:lineRule="exact"/>
        <w:rPr>
          <w:rFonts w:ascii="Arial" w:cs="Arial" w:eastAsia="Arial" w:hAnsi="Arial"/>
          <w:sz w:val="18"/>
          <w:szCs w:val="18"/>
          <w:color w:val="0D0D0D"/>
        </w:rPr>
      </w:pPr>
    </w:p>
    <w:p>
      <w:pPr>
        <w:jc w:val="both"/>
        <w:ind w:left="325" w:right="20"/>
        <w:spacing w:after="0" w:line="264" w:lineRule="auto"/>
        <w:rPr>
          <w:rFonts w:ascii="Arial" w:cs="Arial" w:eastAsia="Arial" w:hAnsi="Arial"/>
          <w:sz w:val="18"/>
          <w:szCs w:val="18"/>
          <w:color w:val="0D0D0D"/>
        </w:rPr>
      </w:pPr>
      <w:r>
        <w:rPr>
          <w:rFonts w:ascii="Arial" w:cs="Arial" w:eastAsia="Arial" w:hAnsi="Arial"/>
          <w:sz w:val="18"/>
          <w:szCs w:val="18"/>
          <w:color w:val="auto"/>
        </w:rPr>
        <w:t>In July 2019, Axsome initiated a Phase 3 open-label, long-term safety extension study of AXS-07 in order to build the safety database required for a potential NDA filing. This open-label safety study is enrolling patients exiting the Phase 3 MOMENTUM trial.</w:t>
      </w:r>
    </w:p>
    <w:p>
      <w:pPr>
        <w:spacing w:after="0" w:line="258" w:lineRule="exact"/>
        <w:rPr>
          <w:rFonts w:ascii="Arial" w:cs="Arial" w:eastAsia="Arial" w:hAnsi="Arial"/>
          <w:sz w:val="18"/>
          <w:szCs w:val="18"/>
          <w:color w:val="0D0D0D"/>
        </w:rPr>
      </w:pPr>
    </w:p>
    <w:p>
      <w:pPr>
        <w:jc w:val="both"/>
        <w:ind w:left="325" w:right="20" w:hanging="325"/>
        <w:spacing w:after="0" w:line="266" w:lineRule="auto"/>
        <w:tabs>
          <w:tab w:leader="none" w:pos="325" w:val="left"/>
        </w:tabs>
        <w:numPr>
          <w:ilvl w:val="0"/>
          <w:numId w:val="3"/>
        </w:numPr>
        <w:rPr>
          <w:rFonts w:ascii="Arial" w:cs="Arial" w:eastAsia="Arial" w:hAnsi="Arial"/>
          <w:sz w:val="18"/>
          <w:szCs w:val="18"/>
          <w:color w:val="0D0D0D"/>
        </w:rPr>
      </w:pPr>
      <w:r>
        <w:rPr>
          <w:rFonts w:ascii="Arial" w:cs="Arial" w:eastAsia="Arial" w:hAnsi="Arial"/>
          <w:sz w:val="18"/>
          <w:szCs w:val="18"/>
          <w:b w:val="1"/>
          <w:bCs w:val="1"/>
          <w:color w:val="0D0D0D"/>
        </w:rPr>
        <w:t xml:space="preserve">AXS-12: </w:t>
      </w:r>
      <w:r>
        <w:rPr>
          <w:rFonts w:ascii="Arial" w:cs="Arial" w:eastAsia="Arial" w:hAnsi="Arial"/>
          <w:sz w:val="18"/>
          <w:szCs w:val="18"/>
          <w:color w:val="0D0D0D"/>
        </w:rPr>
        <w:t>AXS-12 is Axsome’s novel, oral, potent, and highly selective norepinephrine reuptake inhibitor (reboxetine) being</w:t>
      </w:r>
      <w:r>
        <w:rPr>
          <w:rFonts w:ascii="Arial" w:cs="Arial" w:eastAsia="Arial" w:hAnsi="Arial"/>
          <w:sz w:val="18"/>
          <w:szCs w:val="18"/>
          <w:b w:val="1"/>
          <w:bCs w:val="1"/>
          <w:color w:val="0D0D0D"/>
        </w:rPr>
        <w:t xml:space="preserve"> </w:t>
      </w:r>
      <w:r>
        <w:rPr>
          <w:rFonts w:ascii="Arial" w:cs="Arial" w:eastAsia="Arial" w:hAnsi="Arial"/>
          <w:sz w:val="18"/>
          <w:szCs w:val="18"/>
          <w:color w:val="0D0D0D"/>
        </w:rPr>
        <w:t>developed for the treatment of narcolepsy. AXS-12 has been granted Orphan Drug Designation by the FDA for the treatment of narcolepsy.</w:t>
      </w:r>
    </w:p>
    <w:p>
      <w:pPr>
        <w:spacing w:after="0" w:line="18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495300</wp:posOffset>
            </wp:positionV>
            <wp:extent cx="59601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5"/>
          </w:cols>
          <w:pgMar w:left="1255" w:top="337" w:right="1239" w:bottom="1440" w:gutter="0" w:footer="0" w:header="0"/>
        </w:sectPr>
      </w:pPr>
    </w:p>
    <w:bookmarkStart w:id="5" w:name="page6"/>
    <w:bookmarkEnd w:id="5"/>
    <w:p>
      <w:pPr>
        <w:jc w:val="both"/>
        <w:ind w:left="325"/>
        <w:spacing w:after="0" w:line="277" w:lineRule="auto"/>
        <w:rPr>
          <w:sz w:val="20"/>
          <w:szCs w:val="20"/>
          <w:color w:val="auto"/>
        </w:rPr>
      </w:pPr>
      <w:r>
        <w:rPr>
          <w:rFonts w:ascii="Arial" w:cs="Arial" w:eastAsia="Arial" w:hAnsi="Arial"/>
          <w:sz w:val="17"/>
          <w:szCs w:val="17"/>
          <w:b w:val="1"/>
          <w:bCs w:val="1"/>
          <w:color w:val="0D0D0D"/>
        </w:rPr>
        <w:t xml:space="preserve">Narcolepsy: </w:t>
      </w:r>
      <w:r>
        <w:rPr>
          <w:rFonts w:ascii="Arial" w:cs="Arial" w:eastAsia="Arial" w:hAnsi="Arial"/>
          <w:sz w:val="17"/>
          <w:szCs w:val="17"/>
          <w:color w:val="0D0D0D"/>
        </w:rPr>
        <w:t>Axsome is enrolling the CONCERT study, a Phase 2, randomized, double-blind, placebo-controlled, crossover,</w:t>
      </w:r>
      <w:r>
        <w:rPr>
          <w:rFonts w:ascii="Arial" w:cs="Arial" w:eastAsia="Arial" w:hAnsi="Arial"/>
          <w:sz w:val="17"/>
          <w:szCs w:val="17"/>
          <w:b w:val="1"/>
          <w:bCs w:val="1"/>
          <w:color w:val="0D0D0D"/>
        </w:rPr>
        <w:t xml:space="preserve"> </w:t>
      </w:r>
      <w:r>
        <w:rPr>
          <w:rFonts w:ascii="Arial" w:cs="Arial" w:eastAsia="Arial" w:hAnsi="Arial"/>
          <w:sz w:val="17"/>
          <w:szCs w:val="17"/>
          <w:color w:val="0D0D0D"/>
        </w:rPr>
        <w:t>multicenter trial of AXS-12 in patients with narcolepsy. Eligible patients are randomized to receive either AXS-12 followed by placebo, or placebo followed by AXS-12. Efficacy assessments will include the frequency of cataplexy attacks and measures of other symptoms of narcolepsy. To date, randomization in this trial is approaching 50% of the target number of patients. Axsome continues to expect topline results from this trial in the second half of 2019.</w:t>
      </w:r>
    </w:p>
    <w:p>
      <w:pPr>
        <w:spacing w:after="0" w:line="141"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Corporate Update</w:t>
      </w:r>
    </w:p>
    <w:p>
      <w:pPr>
        <w:spacing w:after="0" w:line="297" w:lineRule="exact"/>
        <w:rPr>
          <w:sz w:val="20"/>
          <w:szCs w:val="20"/>
          <w:color w:val="auto"/>
        </w:rPr>
      </w:pPr>
    </w:p>
    <w:p>
      <w:pPr>
        <w:ind w:left="325" w:right="20" w:hanging="325"/>
        <w:spacing w:after="0" w:line="277"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2019, Axsome raised $20.1 million through the sale of 942,285 shares of its common stock under its existing at-the-market facility with SVB Leerink.</w:t>
      </w:r>
    </w:p>
    <w:p>
      <w:pPr>
        <w:spacing w:after="0" w:line="62" w:lineRule="exact"/>
        <w:rPr>
          <w:rFonts w:ascii="Arial" w:cs="Arial" w:eastAsia="Arial" w:hAnsi="Arial"/>
          <w:sz w:val="18"/>
          <w:szCs w:val="18"/>
          <w:color w:val="auto"/>
        </w:rPr>
      </w:pPr>
    </w:p>
    <w:p>
      <w:pPr>
        <w:ind w:left="325" w:right="20" w:hanging="325"/>
        <w:spacing w:after="0" w:line="277"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July 2019, Axsome was added to the Russell 3000® and Russell 2000® Indexes, as part of the annual Russell indexes reconstitution.</w:t>
      </w:r>
    </w:p>
    <w:p>
      <w:pPr>
        <w:spacing w:after="0" w:line="62" w:lineRule="exact"/>
        <w:rPr>
          <w:rFonts w:ascii="Arial" w:cs="Arial" w:eastAsia="Arial" w:hAnsi="Arial"/>
          <w:sz w:val="18"/>
          <w:szCs w:val="18"/>
          <w:color w:val="auto"/>
        </w:rPr>
      </w:pPr>
    </w:p>
    <w:p>
      <w:pPr>
        <w:jc w:val="both"/>
        <w:ind w:left="325" w:right="20" w:hanging="325"/>
        <w:spacing w:after="0" w:line="276" w:lineRule="auto"/>
        <w:tabs>
          <w:tab w:leader="none" w:pos="325"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July 2019, Axsome amended its existing term loan facility agreement, led by Silicon Valley Bank (SVB), to extend the initial 12-month interest-only payment period as well as the time for drawing down additional funding under the loan facility. Axsome entered into the $24 million loan agreement in March 2019. Under the amendment, the interest-only payment period is extended by a minimum of six months, to 18 months, which may be further extended to 24 months should Axsome elect to draw down an additional $4 million that remains unfunded under the loan agreement.</w:t>
      </w:r>
    </w:p>
    <w:p>
      <w:pPr>
        <w:spacing w:after="0" w:line="128"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Anticipated Milestones</w:t>
      </w:r>
    </w:p>
    <w:p>
      <w:pPr>
        <w:spacing w:after="0" w:line="306" w:lineRule="exact"/>
        <w:rPr>
          <w:sz w:val="20"/>
          <w:szCs w:val="20"/>
          <w:color w:val="auto"/>
        </w:rPr>
      </w:pPr>
    </w:p>
    <w:p>
      <w:pPr>
        <w:ind w:left="325" w:hanging="325"/>
        <w:spacing w:after="0"/>
        <w:tabs>
          <w:tab w:leader="none" w:pos="32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Clinical Trial Readouts:</w:t>
      </w:r>
    </w:p>
    <w:p>
      <w:pPr>
        <w:spacing w:after="0" w:line="121" w:lineRule="exact"/>
        <w:rPr>
          <w:sz w:val="20"/>
          <w:szCs w:val="20"/>
          <w:color w:val="auto"/>
        </w:rPr>
      </w:pPr>
    </w:p>
    <w:p>
      <w:pPr>
        <w:ind w:left="965" w:hanging="317"/>
        <w:spacing w:after="0"/>
        <w:tabs>
          <w:tab w:leader="none" w:pos="965"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Phase 3 STRIDE-1 trial of AXS-05 in TRD, topline data (2H 2019)</w:t>
      </w:r>
    </w:p>
    <w:p>
      <w:pPr>
        <w:spacing w:after="0" w:line="101" w:lineRule="exact"/>
        <w:rPr>
          <w:rFonts w:ascii="Courier New" w:cs="Courier New" w:eastAsia="Courier New" w:hAnsi="Courier New"/>
          <w:sz w:val="18"/>
          <w:szCs w:val="18"/>
          <w:color w:val="auto"/>
        </w:rPr>
      </w:pPr>
    </w:p>
    <w:p>
      <w:pPr>
        <w:ind w:left="965" w:hanging="317"/>
        <w:spacing w:after="0"/>
        <w:tabs>
          <w:tab w:leader="none" w:pos="965"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Phase 3 GEMINI trial of AXS-05 in MDD, topline data (2H 2019)</w:t>
      </w:r>
    </w:p>
    <w:p>
      <w:pPr>
        <w:spacing w:after="0" w:line="101" w:lineRule="exact"/>
        <w:rPr>
          <w:rFonts w:ascii="Courier New" w:cs="Courier New" w:eastAsia="Courier New" w:hAnsi="Courier New"/>
          <w:sz w:val="18"/>
          <w:szCs w:val="18"/>
          <w:color w:val="auto"/>
        </w:rPr>
      </w:pPr>
    </w:p>
    <w:p>
      <w:pPr>
        <w:ind w:left="965" w:hanging="317"/>
        <w:spacing w:after="0"/>
        <w:tabs>
          <w:tab w:leader="none" w:pos="965"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Phase 3 MOMENTUM trial of AXS-07 in migraine, topline data (2H 2019)</w:t>
      </w:r>
    </w:p>
    <w:p>
      <w:pPr>
        <w:spacing w:after="0" w:line="101" w:lineRule="exact"/>
        <w:rPr>
          <w:rFonts w:ascii="Courier New" w:cs="Courier New" w:eastAsia="Courier New" w:hAnsi="Courier New"/>
          <w:sz w:val="18"/>
          <w:szCs w:val="18"/>
          <w:color w:val="auto"/>
        </w:rPr>
      </w:pPr>
    </w:p>
    <w:p>
      <w:pPr>
        <w:ind w:left="965" w:hanging="317"/>
        <w:spacing w:after="0"/>
        <w:tabs>
          <w:tab w:leader="none" w:pos="965"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Phase 2 CONCERT trial of AXS-12 in narcolepsy, topline data (2H 2019)</w:t>
      </w:r>
    </w:p>
    <w:p>
      <w:pPr>
        <w:spacing w:after="0" w:line="101" w:lineRule="exact"/>
        <w:rPr>
          <w:rFonts w:ascii="Courier New" w:cs="Courier New" w:eastAsia="Courier New" w:hAnsi="Courier New"/>
          <w:sz w:val="18"/>
          <w:szCs w:val="18"/>
          <w:color w:val="auto"/>
        </w:rPr>
      </w:pPr>
    </w:p>
    <w:p>
      <w:pPr>
        <w:ind w:left="965" w:hanging="317"/>
        <w:spacing w:after="0"/>
        <w:tabs>
          <w:tab w:leader="none" w:pos="965"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Phase 2/3 ADVANCE-1 trial of AXS-05 in AD agitation, topline data (1H 2020)</w:t>
      </w:r>
    </w:p>
    <w:p>
      <w:pPr>
        <w:spacing w:after="0" w:line="97" w:lineRule="exact"/>
        <w:rPr>
          <w:rFonts w:ascii="Courier New" w:cs="Courier New" w:eastAsia="Courier New" w:hAnsi="Courier New"/>
          <w:sz w:val="18"/>
          <w:szCs w:val="18"/>
          <w:color w:val="auto"/>
        </w:rPr>
      </w:pPr>
    </w:p>
    <w:p>
      <w:pPr>
        <w:ind w:left="325" w:hanging="325"/>
        <w:spacing w:after="0"/>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NDA Filings:</w:t>
      </w:r>
    </w:p>
    <w:p>
      <w:pPr>
        <w:spacing w:after="0" w:line="121" w:lineRule="exact"/>
        <w:rPr>
          <w:rFonts w:ascii="Arial" w:cs="Arial" w:eastAsia="Arial" w:hAnsi="Arial"/>
          <w:sz w:val="18"/>
          <w:szCs w:val="18"/>
          <w:color w:val="auto"/>
        </w:rPr>
      </w:pPr>
    </w:p>
    <w:p>
      <w:pPr>
        <w:ind w:left="965" w:hanging="317"/>
        <w:spacing w:after="0"/>
        <w:tabs>
          <w:tab w:leader="none" w:pos="965"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AXS-05 in the treatment of MDD (2H 2020)</w:t>
      </w:r>
    </w:p>
    <w:p>
      <w:pPr>
        <w:spacing w:after="0" w:line="101" w:lineRule="exact"/>
        <w:rPr>
          <w:rFonts w:ascii="Courier New" w:cs="Courier New" w:eastAsia="Courier New" w:hAnsi="Courier New"/>
          <w:sz w:val="18"/>
          <w:szCs w:val="18"/>
          <w:color w:val="auto"/>
        </w:rPr>
      </w:pPr>
    </w:p>
    <w:p>
      <w:pPr>
        <w:ind w:left="965" w:hanging="317"/>
        <w:spacing w:after="0"/>
        <w:tabs>
          <w:tab w:leader="none" w:pos="965"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AXS-07 in the acute treatment of migraine (2H 2020)</w:t>
      </w:r>
    </w:p>
    <w:p>
      <w:pPr>
        <w:spacing w:after="0" w:line="16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Upcoming Investor Conferences</w:t>
      </w:r>
    </w:p>
    <w:p>
      <w:pPr>
        <w:spacing w:after="0" w:line="189" w:lineRule="exact"/>
        <w:rPr>
          <w:sz w:val="20"/>
          <w:szCs w:val="20"/>
          <w:color w:val="auto"/>
        </w:rPr>
      </w:pPr>
    </w:p>
    <w:p>
      <w:pPr>
        <w:ind w:left="5"/>
        <w:spacing w:after="0"/>
        <w:rPr>
          <w:sz w:val="20"/>
          <w:szCs w:val="20"/>
          <w:color w:val="auto"/>
        </w:rPr>
      </w:pPr>
      <w:r>
        <w:rPr>
          <w:rFonts w:ascii="Arial" w:cs="Arial" w:eastAsia="Arial" w:hAnsi="Arial"/>
          <w:sz w:val="18"/>
          <w:szCs w:val="18"/>
          <w:color w:val="auto"/>
        </w:rPr>
        <w:t>Axsome is scheduled to participate in the following five upcoming investor conferences over the next two months:</w:t>
      </w:r>
    </w:p>
    <w:p>
      <w:pPr>
        <w:spacing w:after="0" w:line="198" w:lineRule="exact"/>
        <w:rPr>
          <w:sz w:val="20"/>
          <w:szCs w:val="20"/>
          <w:color w:val="auto"/>
        </w:rPr>
      </w:pPr>
    </w:p>
    <w:p>
      <w:pPr>
        <w:ind w:left="325" w:hanging="325"/>
        <w:spacing w:after="0"/>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BTIG Biotechnology Conference – August 12, 2019, New York, NY (Not webcasted)</w:t>
      </w:r>
    </w:p>
    <w:p>
      <w:pPr>
        <w:spacing w:after="0" w:line="184" w:lineRule="exact"/>
        <w:rPr>
          <w:rFonts w:ascii="Arial" w:cs="Arial" w:eastAsia="Arial" w:hAnsi="Arial"/>
          <w:sz w:val="18"/>
          <w:szCs w:val="18"/>
          <w:color w:val="auto"/>
        </w:rPr>
      </w:pPr>
    </w:p>
    <w:p>
      <w:pPr>
        <w:ind w:left="325" w:hanging="325"/>
        <w:spacing w:after="0"/>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H.C. Wainwright Global Investment Conference – September 8-10, 2019, New York, NY (To be webcasted)</w:t>
      </w:r>
    </w:p>
    <w:p>
      <w:pPr>
        <w:spacing w:after="0" w:line="184" w:lineRule="exact"/>
        <w:rPr>
          <w:rFonts w:ascii="Arial" w:cs="Arial" w:eastAsia="Arial" w:hAnsi="Arial"/>
          <w:sz w:val="18"/>
          <w:szCs w:val="18"/>
          <w:color w:val="auto"/>
        </w:rPr>
      </w:pPr>
    </w:p>
    <w:p>
      <w:pPr>
        <w:ind w:left="325" w:hanging="325"/>
        <w:spacing w:after="0"/>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Morgan Stanley Global Healthcare – September 11, 2019, New York, NY (To be webcasted)</w:t>
      </w:r>
    </w:p>
    <w:p>
      <w:pPr>
        <w:spacing w:after="0" w:line="184" w:lineRule="exact"/>
        <w:rPr>
          <w:rFonts w:ascii="Arial" w:cs="Arial" w:eastAsia="Arial" w:hAnsi="Arial"/>
          <w:sz w:val="18"/>
          <w:szCs w:val="18"/>
          <w:color w:val="auto"/>
        </w:rPr>
      </w:pPr>
    </w:p>
    <w:p>
      <w:pPr>
        <w:ind w:left="325" w:hanging="325"/>
        <w:spacing w:after="0"/>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Ladenburg Thalmann Healthcare Conference – September 24, 2019, New York, NY (To be webcasted)</w:t>
      </w:r>
    </w:p>
    <w:p>
      <w:pPr>
        <w:spacing w:after="0" w:line="184" w:lineRule="exact"/>
        <w:rPr>
          <w:rFonts w:ascii="Arial" w:cs="Arial" w:eastAsia="Arial" w:hAnsi="Arial"/>
          <w:sz w:val="18"/>
          <w:szCs w:val="18"/>
          <w:color w:val="auto"/>
        </w:rPr>
      </w:pPr>
    </w:p>
    <w:p>
      <w:pPr>
        <w:ind w:left="325" w:hanging="325"/>
        <w:spacing w:after="0"/>
        <w:tabs>
          <w:tab w:leader="none" w:pos="325" w:val="left"/>
        </w:tabs>
        <w:numPr>
          <w:ilvl w:val="0"/>
          <w:numId w:val="7"/>
        </w:numPr>
        <w:rPr>
          <w:rFonts w:ascii="Arial" w:cs="Arial" w:eastAsia="Arial" w:hAnsi="Arial"/>
          <w:sz w:val="18"/>
          <w:szCs w:val="18"/>
          <w:color w:val="auto"/>
        </w:rPr>
      </w:pPr>
      <w:r>
        <w:rPr>
          <w:rFonts w:ascii="Arial" w:cs="Arial" w:eastAsia="Arial" w:hAnsi="Arial"/>
          <w:sz w:val="18"/>
          <w:szCs w:val="18"/>
          <w:color w:val="auto"/>
        </w:rPr>
        <w:t>Cantor Fitzgerald Global Healthcare Conference – October 2-4, 2019, New York, NY (To be webcasted)</w:t>
      </w:r>
    </w:p>
    <w:p>
      <w:pPr>
        <w:spacing w:after="0" w:line="185" w:lineRule="exact"/>
        <w:rPr>
          <w:sz w:val="20"/>
          <w:szCs w:val="20"/>
          <w:color w:val="auto"/>
        </w:rPr>
      </w:pPr>
    </w:p>
    <w:p>
      <w:pPr>
        <w:ind w:left="5" w:right="20"/>
        <w:spacing w:after="0" w:line="277" w:lineRule="auto"/>
        <w:rPr>
          <w:sz w:val="20"/>
          <w:szCs w:val="20"/>
          <w:color w:val="auto"/>
        </w:rPr>
      </w:pPr>
      <w:r>
        <w:rPr>
          <w:rFonts w:ascii="Arial" w:cs="Arial" w:eastAsia="Arial" w:hAnsi="Arial"/>
          <w:sz w:val="18"/>
          <w:szCs w:val="18"/>
          <w:color w:val="auto"/>
        </w:rPr>
        <w:t>The exact timing of these presentations and associated webcast information will be posted in advance under the Webcast and Presentations page on the Company’s website at www.axsome.com.</w:t>
      </w:r>
    </w:p>
    <w:p>
      <w:pPr>
        <w:spacing w:after="0" w:line="17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495300</wp:posOffset>
            </wp:positionV>
            <wp:extent cx="59601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5"/>
          </w:cols>
          <w:pgMar w:left="1255" w:top="337" w:right="1239" w:bottom="1440" w:gutter="0" w:footer="0" w:header="0"/>
        </w:sectPr>
      </w:pPr>
    </w:p>
    <w:bookmarkStart w:id="6" w:name="page7"/>
    <w:bookmarkEnd w:id="6"/>
    <w:p>
      <w:pPr>
        <w:ind w:left="5"/>
        <w:spacing w:after="0"/>
        <w:rPr>
          <w:sz w:val="20"/>
          <w:szCs w:val="20"/>
          <w:color w:val="auto"/>
        </w:rPr>
      </w:pPr>
      <w:r>
        <w:rPr>
          <w:rFonts w:ascii="Arial" w:cs="Arial" w:eastAsia="Arial" w:hAnsi="Arial"/>
          <w:sz w:val="18"/>
          <w:szCs w:val="18"/>
          <w:b w:val="1"/>
          <w:bCs w:val="1"/>
          <w:color w:val="auto"/>
        </w:rPr>
        <w:t>Second Quarter 2019 Financial Results</w:t>
      </w:r>
    </w:p>
    <w:p>
      <w:pPr>
        <w:spacing w:after="0" w:line="198" w:lineRule="exact"/>
        <w:rPr>
          <w:sz w:val="20"/>
          <w:szCs w:val="20"/>
          <w:color w:val="auto"/>
        </w:rPr>
      </w:pPr>
    </w:p>
    <w:p>
      <w:pPr>
        <w:jc w:val="both"/>
        <w:ind w:left="325" w:right="20" w:hanging="325"/>
        <w:spacing w:after="0" w:line="258" w:lineRule="auto"/>
        <w:tabs>
          <w:tab w:leader="none" w:pos="32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$11.0 million for the quarter ended June 30, 2019</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with $5.6 million for the comparable period in 2018. The increase was primarily due to the significantly faster-than-expected enrollment in the MOMENTUM trial; the preparation for and initiation of the GEMINI trial, the AXS-05 open-label safety study, and the AXS-07 open-label safety study; and continued progress of the STRIDE-1, ADVANCE-1, and CONCERT trials.</w:t>
      </w:r>
    </w:p>
    <w:p>
      <w:pPr>
        <w:spacing w:after="0" w:line="143" w:lineRule="exact"/>
        <w:rPr>
          <w:rFonts w:ascii="Arial" w:cs="Arial" w:eastAsia="Arial" w:hAnsi="Arial"/>
          <w:sz w:val="18"/>
          <w:szCs w:val="18"/>
          <w:color w:val="auto"/>
        </w:rPr>
      </w:pPr>
    </w:p>
    <w:p>
      <w:pPr>
        <w:ind w:left="325" w:right="20" w:hanging="325"/>
        <w:spacing w:after="0" w:line="282" w:lineRule="auto"/>
        <w:tabs>
          <w:tab w:leader="none" w:pos="32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for the three months ended June 30, 2019 was $2.4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was unchanged compared with the three months ended June 30, 2018.</w:t>
      </w:r>
    </w:p>
    <w:p>
      <w:pPr>
        <w:spacing w:after="0" w:line="121" w:lineRule="exact"/>
        <w:rPr>
          <w:rFonts w:ascii="Arial" w:cs="Arial" w:eastAsia="Arial" w:hAnsi="Arial"/>
          <w:sz w:val="18"/>
          <w:szCs w:val="18"/>
          <w:color w:val="auto"/>
        </w:rPr>
      </w:pPr>
    </w:p>
    <w:p>
      <w:pPr>
        <w:ind w:left="325" w:right="20" w:hanging="325"/>
        <w:spacing w:after="0" w:line="282" w:lineRule="auto"/>
        <w:tabs>
          <w:tab w:leader="none" w:pos="32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$13.8 million, or $(0.41) per share for the quarter ended June 30, 2019, compared with a net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$8.3 million, or $(0.32) per share for the comparable period in 2018.</w:t>
      </w:r>
    </w:p>
    <w:p>
      <w:pPr>
        <w:spacing w:after="0" w:line="121" w:lineRule="exact"/>
        <w:rPr>
          <w:rFonts w:ascii="Arial" w:cs="Arial" w:eastAsia="Arial" w:hAnsi="Arial"/>
          <w:sz w:val="18"/>
          <w:szCs w:val="18"/>
          <w:color w:val="auto"/>
        </w:rPr>
      </w:pPr>
    </w:p>
    <w:p>
      <w:pPr>
        <w:ind w:left="325" w:hanging="325"/>
        <w:spacing w:after="0"/>
        <w:tabs>
          <w:tab w:leader="none" w:pos="32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Cash: </w:t>
      </w:r>
      <w:r>
        <w:rPr>
          <w:rFonts w:ascii="Arial" w:cs="Arial" w:eastAsia="Arial" w:hAnsi="Arial"/>
          <w:sz w:val="17"/>
          <w:szCs w:val="17"/>
          <w:color w:val="auto"/>
        </w:rPr>
        <w:t>At June 30, 2019, Axsome had $53.8 million of cash compared with $42.6 million of cash as of March 31, 2019.</w:t>
      </w:r>
    </w:p>
    <w:p>
      <w:pPr>
        <w:spacing w:after="0" w:line="196" w:lineRule="exact"/>
        <w:rPr>
          <w:rFonts w:ascii="Arial" w:cs="Arial" w:eastAsia="Arial" w:hAnsi="Arial"/>
          <w:sz w:val="17"/>
          <w:szCs w:val="17"/>
          <w:color w:val="auto"/>
        </w:rPr>
      </w:pPr>
    </w:p>
    <w:p>
      <w:pPr>
        <w:ind w:left="325" w:hanging="325"/>
        <w:spacing w:after="0"/>
        <w:tabs>
          <w:tab w:leader="none" w:pos="32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At June 30, 2019, Axsome had 34,330,441 shares of common stock outstanding.</w:t>
      </w:r>
    </w:p>
    <w:p>
      <w:pPr>
        <w:spacing w:after="0" w:line="185"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Financial Guidance</w:t>
      </w:r>
    </w:p>
    <w:p>
      <w:pPr>
        <w:spacing w:after="0" w:line="189" w:lineRule="exact"/>
        <w:rPr>
          <w:sz w:val="20"/>
          <w:szCs w:val="20"/>
          <w:color w:val="auto"/>
        </w:rPr>
      </w:pPr>
    </w:p>
    <w:p>
      <w:pPr>
        <w:ind w:left="325" w:right="20" w:hanging="325"/>
        <w:spacing w:after="0" w:line="277" w:lineRule="auto"/>
        <w:tabs>
          <w:tab w:leader="none" w:pos="325" w:val="left"/>
        </w:tabs>
        <w:numPr>
          <w:ilvl w:val="0"/>
          <w:numId w:val="9"/>
        </w:numPr>
        <w:rPr>
          <w:rFonts w:ascii="Arial" w:cs="Arial" w:eastAsia="Arial" w:hAnsi="Arial"/>
          <w:sz w:val="18"/>
          <w:szCs w:val="18"/>
          <w:color w:val="auto"/>
        </w:rPr>
      </w:pPr>
      <w:r>
        <w:rPr>
          <w:rFonts w:ascii="Arial" w:cs="Arial" w:eastAsia="Arial" w:hAnsi="Arial"/>
          <w:sz w:val="18"/>
          <w:szCs w:val="18"/>
          <w:color w:val="auto"/>
        </w:rPr>
        <w:t>R&amp;D expenses are anticipated to decrease in subsequent quarters reflecting the completion of initiation of new trials, and the conclusion of ongoing trials.</w:t>
      </w:r>
    </w:p>
    <w:p>
      <w:pPr>
        <w:spacing w:after="0" w:line="129" w:lineRule="exact"/>
        <w:rPr>
          <w:rFonts w:ascii="Arial" w:cs="Arial" w:eastAsia="Arial" w:hAnsi="Arial"/>
          <w:sz w:val="18"/>
          <w:szCs w:val="18"/>
          <w:color w:val="auto"/>
        </w:rPr>
      </w:pPr>
    </w:p>
    <w:p>
      <w:pPr>
        <w:ind w:left="325" w:right="40" w:hanging="325"/>
        <w:spacing w:after="0" w:line="277" w:lineRule="auto"/>
        <w:tabs>
          <w:tab w:leader="none" w:pos="325" w:val="left"/>
        </w:tabs>
        <w:numPr>
          <w:ilvl w:val="0"/>
          <w:numId w:val="9"/>
        </w:numPr>
        <w:rPr>
          <w:rFonts w:ascii="Arial" w:cs="Arial" w:eastAsia="Arial" w:hAnsi="Arial"/>
          <w:sz w:val="18"/>
          <w:szCs w:val="18"/>
          <w:color w:val="auto"/>
        </w:rPr>
      </w:pPr>
      <w:r>
        <w:rPr>
          <w:rFonts w:ascii="Arial" w:cs="Arial" w:eastAsia="Arial" w:hAnsi="Arial"/>
          <w:sz w:val="18"/>
          <w:szCs w:val="18"/>
          <w:color w:val="auto"/>
        </w:rPr>
        <w:t>Axsome believes that its cash at June 30, 2019 will be sufficient to fund the company’s anticipated operations, based on its current operating plans, into the fourth quarter of 2021.</w:t>
      </w:r>
    </w:p>
    <w:p>
      <w:pPr>
        <w:spacing w:after="0" w:line="129" w:lineRule="exact"/>
        <w:rPr>
          <w:rFonts w:ascii="Arial" w:cs="Arial" w:eastAsia="Arial" w:hAnsi="Arial"/>
          <w:sz w:val="18"/>
          <w:szCs w:val="18"/>
          <w:color w:val="auto"/>
        </w:rPr>
      </w:pPr>
    </w:p>
    <w:p>
      <w:pPr>
        <w:ind w:left="325" w:right="20" w:hanging="325"/>
        <w:spacing w:after="0" w:line="277" w:lineRule="auto"/>
        <w:tabs>
          <w:tab w:leader="none" w:pos="325"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previously disclosed in June 2019, Axsome currently does not anticipate new equity financings prior to the readout from its Phase 3 trials.</w:t>
      </w:r>
    </w:p>
    <w:p>
      <w:pPr>
        <w:spacing w:after="0" w:line="12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Conference Call Information</w:t>
      </w:r>
    </w:p>
    <w:p>
      <w:pPr>
        <w:spacing w:after="0" w:line="189" w:lineRule="exact"/>
        <w:rPr>
          <w:sz w:val="20"/>
          <w:szCs w:val="20"/>
          <w:color w:val="auto"/>
        </w:rPr>
      </w:pPr>
    </w:p>
    <w:p>
      <w:pPr>
        <w:jc w:val="both"/>
        <w:ind w:left="5"/>
        <w:spacing w:after="0" w:line="257" w:lineRule="auto"/>
        <w:rPr>
          <w:sz w:val="20"/>
          <w:szCs w:val="20"/>
          <w:color w:val="auto"/>
        </w:rPr>
      </w:pPr>
      <w:r>
        <w:rPr>
          <w:rFonts w:ascii="Arial" w:cs="Arial" w:eastAsia="Arial" w:hAnsi="Arial"/>
          <w:sz w:val="18"/>
          <w:szCs w:val="18"/>
          <w:color w:val="auto"/>
        </w:rPr>
        <w:t>Axsome will host a conference call and webcast today at 8:00 AM Eastern to discuss second quarter 2019 financial results as well as to provide a corporate update. To participate in the live conference call, please dial (844) 698-4029 (toll-free domestic) or (647) 253-8660 (international), and use the conference ID 4184366. The live webcast can be accessed on the "Webcasts &amp; Presentations" page of the "Investors" section of the Company's website at axsome.com. A replay of the webcast will be available for approximately 30 days following the live event.</w:t>
      </w:r>
    </w:p>
    <w:p>
      <w:pPr>
        <w:spacing w:after="0" w:line="15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About Axsome Therapeutics, Inc.</w:t>
      </w:r>
    </w:p>
    <w:p>
      <w:pPr>
        <w:spacing w:after="0" w:line="189" w:lineRule="exact"/>
        <w:rPr>
          <w:sz w:val="20"/>
          <w:szCs w:val="20"/>
          <w:color w:val="auto"/>
        </w:rPr>
      </w:pPr>
    </w:p>
    <w:p>
      <w:pPr>
        <w:jc w:val="both"/>
        <w:ind w:left="5"/>
        <w:spacing w:after="0" w:line="287"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3 trial in major depressive disorder (MDD), and a Phase 2/3 trial in agitation associated with Alzheimer’s disease (AD). AXS-05 is also being developed for smoking cessation treatment. AXS-07 is currently in a Phase 3 trial for the acute treatment of migraine. AXS-12 is currently in a Phase 2 trial in narcolepsy. The Axsome Pain and Primary Care business unit (Axsome PPC) houses Axsome’s pain and primary care assets, including AXS-02 and AXS-06,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6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495300</wp:posOffset>
            </wp:positionV>
            <wp:extent cx="59601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337" w:right="1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plan to discontinue the bupropion treatment arm of the ADVANCE-1 study in accordance with the independent data monitoring committee’s recommendations); the potential for the ASCEND clinical trial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and the Company’s current expectations regarding its plans for future equity financings prior to the readout from its Phase 3 trials;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Information: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7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11,003,142</w:t>
            </w:r>
          </w:p>
        </w:tc>
        <w:tc>
          <w:tcPr>
            <w:tcW w:w="140" w:type="dxa"/>
            <w:vAlign w:val="bottom"/>
          </w:tcPr>
          <w:p>
            <w:pPr>
              <w:spacing w:after="0"/>
              <w:rPr>
                <w:sz w:val="19"/>
                <w:szCs w:val="19"/>
                <w:color w:val="auto"/>
              </w:rPr>
            </w:pPr>
          </w:p>
        </w:tc>
        <w:tc>
          <w:tcPr>
            <w:tcW w:w="6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5,550,532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2,445,077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2,439,061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13,448,219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7,989,593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(13,448,219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(7,989,593</w:t>
            </w: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(313,995)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(292,323)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3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(13,762,214)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(8,280,916)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13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line="203" w:lineRule="exact"/>
              <w:rPr>
                <w:sz w:val="20"/>
                <w:szCs w:val="20"/>
                <w:color w:val="auto"/>
              </w:rPr>
            </w:pPr>
            <w:r>
              <w:rPr>
                <w:rFonts w:ascii="Arial" w:cs="Arial" w:eastAsia="Arial" w:hAnsi="Arial"/>
                <w:sz w:val="18"/>
                <w:szCs w:val="18"/>
                <w:color w:val="auto"/>
                <w:w w:val="88"/>
              </w:rPr>
              <w:t>Weighted average common shares outstanding, basic and diluted</w:t>
            </w:r>
          </w:p>
        </w:tc>
        <w:tc>
          <w:tcPr>
            <w:tcW w:w="1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33,801,749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25,791,177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5</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400"/>
          </w:cols>
          <w:pgMar w:left="1260" w:top="337" w:right="1239" w:bottom="1440" w:gutter="0" w:footer="0" w:header="0"/>
        </w:sectPr>
      </w:pPr>
    </w:p>
    <w:bookmarkStart w:id="8" w:name="page9"/>
    <w:bookmarkEnd w:id="8"/>
    <w:p>
      <w:pPr>
        <w:ind w:left="5"/>
        <w:spacing w:after="0"/>
        <w:rPr>
          <w:sz w:val="20"/>
          <w:szCs w:val="20"/>
          <w:color w:val="auto"/>
        </w:rPr>
      </w:pPr>
      <w:r>
        <w:rPr>
          <w:rFonts w:ascii="Arial" w:cs="Arial" w:eastAsia="Arial" w:hAnsi="Arial"/>
          <w:sz w:val="16"/>
          <w:szCs w:val="16"/>
          <w:b w:val="1"/>
          <w:bCs w:val="1"/>
          <w:color w:val="auto"/>
        </w:rPr>
        <w:t>Balance Sheet Information:</w:t>
      </w:r>
    </w:p>
    <w:p>
      <w:pPr>
        <w:sectPr>
          <w:pgSz w:w="11900" w:h="16838" w:orient="portrait"/>
          <w:cols w:equalWidth="0" w:num="1">
            <w:col w:w="9345"/>
          </w:cols>
          <w:pgMar w:left="1255" w:top="337" w:right="129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5"/>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8"/>
          <w:szCs w:val="18"/>
          <w:color w:val="auto"/>
        </w:rPr>
        <w:t>Total assets</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6"/>
          <w:szCs w:val="16"/>
          <w:color w:val="auto"/>
        </w:rPr>
        <w:t>Loan payable, current and long-term</w:t>
      </w:r>
    </w:p>
    <w:p>
      <w:pPr>
        <w:spacing w:after="0" w:line="46" w:lineRule="exact"/>
        <w:rPr>
          <w:sz w:val="20"/>
          <w:szCs w:val="20"/>
          <w:color w:val="auto"/>
        </w:rPr>
      </w:pPr>
    </w:p>
    <w:p>
      <w:pPr>
        <w:ind w:left="5"/>
        <w:spacing w:after="0"/>
        <w:rPr>
          <w:sz w:val="20"/>
          <w:szCs w:val="20"/>
          <w:color w:val="auto"/>
        </w:rPr>
      </w:pPr>
      <w:r>
        <w:rPr>
          <w:rFonts w:ascii="Arial" w:cs="Arial" w:eastAsia="Arial" w:hAnsi="Arial"/>
          <w:sz w:val="18"/>
          <w:szCs w:val="18"/>
          <w:color w:val="auto"/>
        </w:rPr>
        <w:t>Accumulated deficit</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8"/>
          <w:szCs w:val="18"/>
          <w:color w:val="auto"/>
        </w:rPr>
        <w:t>Stockholders’ equity</w:t>
      </w:r>
    </w:p>
    <w:p>
      <w:pPr>
        <w:spacing w:after="0" w:line="24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7"/>
          <w:szCs w:val="17"/>
          <w:color w:val="auto"/>
        </w:rPr>
        <w:t>Senior Vice President, Operations</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ind w:left="5"/>
        <w:spacing w:after="0"/>
        <w:rPr>
          <w:sz w:val="20"/>
          <w:szCs w:val="20"/>
          <w:color w:val="auto"/>
        </w:rPr>
      </w:pPr>
      <w:r>
        <w:rPr>
          <w:rFonts w:ascii="Arial" w:cs="Arial" w:eastAsia="Arial" w:hAnsi="Arial"/>
          <w:sz w:val="18"/>
          <w:szCs w:val="18"/>
          <w:color w:val="auto"/>
        </w:rPr>
        <w:t>200 Broadway, 3</w:t>
      </w:r>
      <w:r>
        <w:rPr>
          <w:rFonts w:ascii="Arial" w:cs="Arial" w:eastAsia="Arial" w:hAnsi="Arial"/>
          <w:sz w:val="18"/>
          <w:szCs w:val="18"/>
          <w:color w:val="auto"/>
          <w:vertAlign w:val="superscript"/>
        </w:rPr>
        <w:t>rd</w:t>
      </w:r>
      <w:r>
        <w:rPr>
          <w:rFonts w:ascii="Arial" w:cs="Arial" w:eastAsia="Arial" w:hAnsi="Arial"/>
          <w:sz w:val="18"/>
          <w:szCs w:val="18"/>
          <w:color w:val="auto"/>
        </w:rPr>
        <w:t xml:space="preserve"> Floor</w:t>
      </w:r>
    </w:p>
    <w:p>
      <w:pPr>
        <w:spacing w:after="0" w:line="11" w:lineRule="exact"/>
        <w:rPr>
          <w:sz w:val="20"/>
          <w:szCs w:val="20"/>
          <w:color w:val="auto"/>
        </w:rPr>
      </w:pPr>
    </w:p>
    <w:p>
      <w:pPr>
        <w:ind w:left="5"/>
        <w:spacing w:after="0"/>
        <w:rPr>
          <w:sz w:val="20"/>
          <w:szCs w:val="20"/>
          <w:color w:val="auto"/>
        </w:rPr>
      </w:pPr>
      <w:r>
        <w:rPr>
          <w:rFonts w:ascii="Arial" w:cs="Arial" w:eastAsia="Arial" w:hAnsi="Arial"/>
          <w:sz w:val="18"/>
          <w:szCs w:val="18"/>
          <w:color w:val="auto"/>
        </w:rPr>
        <w:t>New York, NY 10038</w:t>
      </w:r>
    </w:p>
    <w:p>
      <w:pPr>
        <w:spacing w:after="0" w:line="7" w:lineRule="exact"/>
        <w:rPr>
          <w:sz w:val="20"/>
          <w:szCs w:val="20"/>
          <w:color w:val="auto"/>
        </w:rPr>
      </w:pPr>
    </w:p>
    <w:p>
      <w:pPr>
        <w:ind w:left="5"/>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ind w:left="5"/>
        <w:spacing w:after="0"/>
        <w:rPr>
          <w:sz w:val="20"/>
          <w:szCs w:val="20"/>
          <w:color w:val="auto"/>
        </w:rPr>
      </w:pPr>
      <w:r>
        <w:rPr>
          <w:rFonts w:ascii="Arial" w:cs="Arial" w:eastAsia="Arial" w:hAnsi="Arial"/>
          <w:sz w:val="17"/>
          <w:szCs w:val="17"/>
          <w:color w:val="auto"/>
        </w:rPr>
        <w:t>Email: mjacobson@axsome.com</w:t>
      </w:r>
    </w:p>
    <w:p>
      <w:pPr>
        <w:spacing w:after="0" w:line="21" w:lineRule="exact"/>
        <w:rPr>
          <w:sz w:val="20"/>
          <w:szCs w:val="20"/>
          <w:color w:val="auto"/>
        </w:rPr>
      </w:pPr>
    </w:p>
    <w:p>
      <w:pPr>
        <w:ind w:left="5"/>
        <w:spacing w:after="0"/>
        <w:rPr>
          <w:sz w:val="20"/>
          <w:szCs w:val="20"/>
          <w:color w:val="auto"/>
        </w:rPr>
      </w:pPr>
      <w:r>
        <w:rPr>
          <w:rFonts w:ascii="Arial" w:cs="Arial" w:eastAsia="Arial" w:hAnsi="Arial"/>
          <w:sz w:val="18"/>
          <w:szCs w:val="18"/>
          <w:color w:val="auto"/>
        </w:rPr>
        <w:t>www.axsome.com</w:t>
      </w:r>
    </w:p>
    <w:p>
      <w:pPr>
        <w:spacing w:after="0" w:line="207"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References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2019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December 31, 2018</w:t>
            </w:r>
          </w:p>
        </w:tc>
      </w:tr>
      <w:tr>
        <w:trPr>
          <w:trHeight w:val="209"/>
        </w:trPr>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53,753,137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13,968,742</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54,777,766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15,379,279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19,579,743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6,910,814</w:t>
            </w:r>
          </w:p>
        </w:tc>
        <w:tc>
          <w:tcPr>
            <w:tcW w:w="4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(131,952,897)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(107,550,307)</w:t>
            </w:r>
          </w:p>
        </w:tc>
      </w:tr>
      <w:tr>
        <w:trPr>
          <w:trHeight w:val="244"/>
        </w:trPr>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24,282,945</w:t>
            </w:r>
          </w:p>
        </w:tc>
        <w:tc>
          <w:tcPr>
            <w:tcW w:w="120" w:type="dxa"/>
            <w:vAlign w:val="bottom"/>
          </w:tcPr>
          <w:p>
            <w:pPr>
              <w:spacing w:after="0"/>
              <w:rPr>
                <w:sz w:val="21"/>
                <w:szCs w:val="21"/>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937,921</w:t>
            </w:r>
          </w:p>
        </w:tc>
        <w:tc>
          <w:tcPr>
            <w:tcW w:w="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-736600</wp:posOffset>
            </wp:positionV>
            <wp:extent cx="596011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0110" cy="14605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-445135</wp:posOffset>
            </wp:positionV>
            <wp:extent cx="596011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0110" cy="146050"/>
                    </a:xfrm>
                    <a:prstGeom prst="rect">
                      <a:avLst/>
                    </a:prstGeom>
                    <a:noFill/>
                  </pic:spPr>
                </pic:pic>
              </a:graphicData>
            </a:graphic>
          </wp:anchor>
        </w:drawing>
        <w:drawing>
          <wp:anchor simplePos="0" relativeHeight="251657728" behindDoc="1" locked="0" layoutInCell="0" allowOverlap="1">
            <wp:simplePos x="0" y="0"/>
            <wp:positionH relativeFrom="column">
              <wp:posOffset>-3542030</wp:posOffset>
            </wp:positionH>
            <wp:positionV relativeFrom="paragraph">
              <wp:posOffset>-153670</wp:posOffset>
            </wp:positionV>
            <wp:extent cx="596011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0110" cy="146050"/>
                    </a:xfrm>
                    <a:prstGeom prst="rect">
                      <a:avLst/>
                    </a:prstGeom>
                    <a:noFill/>
                  </pic:spPr>
                </pic:pic>
              </a:graphicData>
            </a:graphic>
          </wp:anchor>
        </w:drawing>
      </w:r>
    </w:p>
    <w:p>
      <w:pPr>
        <w:spacing w:after="0" w:line="2765" w:lineRule="exact"/>
        <w:rPr>
          <w:sz w:val="20"/>
          <w:szCs w:val="20"/>
          <w:color w:val="auto"/>
        </w:rPr>
      </w:pPr>
    </w:p>
    <w:p>
      <w:pPr>
        <w:sectPr>
          <w:pgSz w:w="11900" w:h="16838" w:orient="portrait"/>
          <w:cols w:equalWidth="0" w:num="2">
            <w:col w:w="4865" w:space="720"/>
            <w:col w:w="3760"/>
          </w:cols>
          <w:pgMar w:left="1255" w:top="337" w:right="1299" w:bottom="1440" w:gutter="0" w:footer="0" w:header="0"/>
          <w:type w:val="continuous"/>
        </w:sectPr>
      </w:pPr>
    </w:p>
    <w:p>
      <w:pPr>
        <w:spacing w:after="0" w:line="29" w:lineRule="exact"/>
        <w:rPr>
          <w:sz w:val="20"/>
          <w:szCs w:val="20"/>
          <w:color w:val="auto"/>
        </w:rPr>
      </w:pPr>
    </w:p>
    <w:p>
      <w:pPr>
        <w:ind w:left="5" w:right="620" w:hanging="5"/>
        <w:spacing w:after="0" w:line="277"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Lipton RB, Fanning KM, Serrano D, Reed ML, Cady R, Buse DC. Ineffective acute treatment of episodic migraine is associated with new-onset chronic migraine. Neurology. 2015 Feb 17;84(7):688-95.</w:t>
      </w:r>
    </w:p>
    <w:p>
      <w:pPr>
        <w:spacing w:after="0" w:line="170" w:lineRule="exact"/>
        <w:rPr>
          <w:rFonts w:ascii="Arial" w:cs="Arial" w:eastAsia="Arial" w:hAnsi="Arial"/>
          <w:sz w:val="18"/>
          <w:szCs w:val="18"/>
          <w:color w:val="auto"/>
        </w:rPr>
      </w:pPr>
    </w:p>
    <w:p>
      <w:pPr>
        <w:ind w:left="5" w:right="60" w:hanging="5"/>
        <w:spacing w:after="0" w:line="277"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Ferrari MD, Roon KI, Lipton RB, Goadsby PJ. Oral triptans (serotonin 5-HT(1B/1D) agonists) in acute migraine treatment: a meta-analysis of 53 trials. Lancet. 2001 Nov 17;358(9294):1668-75.</w:t>
      </w:r>
    </w:p>
    <w:p>
      <w:pPr>
        <w:spacing w:after="0" w:line="170"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503555</wp:posOffset>
            </wp:positionV>
            <wp:extent cx="59601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345"/>
          </w:cols>
          <w:pgMar w:left="1255" w:top="337" w:right="1299" w:bottom="1440" w:gutter="0" w:footer="0" w:header="0"/>
          <w:type w:val="continuous"/>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o"/>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2019-12-28T07:53:14Z</dcterms:created>
  <dcterms:modified xsi:type="dcterms:W3CDTF">2019-12-28T07:53:14Z</dcterms:modified>
</cp:coreProperties>
</file>