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22"/>
          <w:szCs w:val="22"/>
          <w:b w:val="1"/>
          <w:bCs w:val="1"/>
          <w:u w:val="single" w:color="auto"/>
          <w:color w:val="auto"/>
        </w:rPr>
        <w:t>ASHINGTON, D.C. 205</w:t>
      </w:r>
      <w:r>
        <w:rPr>
          <w:rFonts w:ascii="Times New Roman" w:cs="Times New Roman" w:eastAsia="Times New Roman" w:hAnsi="Times New Roman"/>
          <w:sz w:val="22"/>
          <w:szCs w:val="22"/>
          <w:b w:val="1"/>
          <w:bCs w:val="1"/>
          <w:color w:val="auto"/>
        </w:rPr>
        <w:t>49</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36195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94"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Axsome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171" w:lineRule="exact"/>
        <w:rPr>
          <w:sz w:val="24"/>
          <w:szCs w:val="24"/>
          <w:color w:val="auto"/>
        </w:rPr>
      </w:pPr>
    </w:p>
    <w:tbl>
      <w:tblPr>
        <w:tblLayout w:type="fixed"/>
        <w:tblInd w:w="1180" w:type="dxa"/>
        <w:tblCellMar>
          <w:top w:w="0" w:type="dxa"/>
          <w:left w:w="0" w:type="dxa"/>
          <w:bottom w:w="0" w:type="dxa"/>
          <w:right w:w="0" w:type="dxa"/>
        </w:tblCellMar>
      </w:tblPr>
      <w:tr>
        <w:trPr>
          <w:trHeight w:val="186"/>
        </w:trPr>
        <w:tc>
          <w:tcPr>
            <w:tcW w:w="3320" w:type="dxa"/>
            <w:vAlign w:val="bottom"/>
          </w:tcPr>
          <w:p>
            <w:pPr>
              <w:jc w:val="center"/>
              <w:ind w:right="841"/>
              <w:spacing w:after="0" w:line="186" w:lineRule="exact"/>
              <w:rPr>
                <w:sz w:val="20"/>
                <w:szCs w:val="20"/>
                <w:color w:val="auto"/>
              </w:rPr>
            </w:pPr>
            <w:r>
              <w:rPr>
                <w:rFonts w:ascii="Times New Roman" w:cs="Times New Roman" w:eastAsia="Times New Roman" w:hAnsi="Times New Roman"/>
                <w:sz w:val="18"/>
                <w:szCs w:val="18"/>
                <w:b w:val="1"/>
                <w:bCs w:val="1"/>
                <w:color w:val="auto"/>
                <w:w w:val="98"/>
              </w:rPr>
              <w:t>Delaware</w:t>
            </w:r>
          </w:p>
        </w:tc>
        <w:tc>
          <w:tcPr>
            <w:tcW w:w="2240" w:type="dxa"/>
            <w:vAlign w:val="bottom"/>
            <w:tcBorders>
              <w:top w:val="single" w:sz="8" w:color="auto"/>
            </w:tcBorders>
          </w:tcPr>
          <w:p>
            <w:pPr>
              <w:jc w:val="right"/>
              <w:ind w:right="541"/>
              <w:spacing w:after="0" w:line="186" w:lineRule="exact"/>
              <w:rPr>
                <w:sz w:val="20"/>
                <w:szCs w:val="20"/>
                <w:color w:val="auto"/>
              </w:rPr>
            </w:pPr>
            <w:r>
              <w:rPr>
                <w:rFonts w:ascii="Times New Roman" w:cs="Times New Roman" w:eastAsia="Times New Roman" w:hAnsi="Times New Roman"/>
                <w:sz w:val="18"/>
                <w:szCs w:val="18"/>
                <w:b w:val="1"/>
                <w:bCs w:val="1"/>
                <w:color w:val="auto"/>
              </w:rPr>
              <w:t>001-37635</w:t>
            </w:r>
          </w:p>
        </w:tc>
        <w:tc>
          <w:tcPr>
            <w:tcW w:w="2780" w:type="dxa"/>
            <w:vAlign w:val="bottom"/>
          </w:tcPr>
          <w:p>
            <w:pPr>
              <w:jc w:val="right"/>
              <w:ind w:right="24"/>
              <w:spacing w:after="0" w:line="186" w:lineRule="exact"/>
              <w:rPr>
                <w:sz w:val="20"/>
                <w:szCs w:val="20"/>
                <w:color w:val="auto"/>
              </w:rPr>
            </w:pPr>
            <w:r>
              <w:rPr>
                <w:rFonts w:ascii="Times New Roman" w:cs="Times New Roman" w:eastAsia="Times New Roman" w:hAnsi="Times New Roman"/>
                <w:sz w:val="18"/>
                <w:szCs w:val="18"/>
                <w:b w:val="1"/>
                <w:bCs w:val="1"/>
                <w:color w:val="auto"/>
              </w:rPr>
              <w:t>45-4241907</w:t>
            </w:r>
          </w:p>
        </w:tc>
      </w:tr>
      <w:tr>
        <w:trPr>
          <w:trHeight w:val="138"/>
        </w:trPr>
        <w:tc>
          <w:tcPr>
            <w:tcW w:w="3320" w:type="dxa"/>
            <w:vAlign w:val="bottom"/>
          </w:tcPr>
          <w:p>
            <w:pPr>
              <w:jc w:val="center"/>
              <w:ind w:right="841"/>
              <w:spacing w:after="0" w:line="13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240" w:type="dxa"/>
            <w:vAlign w:val="bottom"/>
          </w:tcPr>
          <w:p>
            <w:pPr>
              <w:jc w:val="center"/>
              <w:ind w:left="161"/>
              <w:spacing w:after="0" w:line="13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780" w:type="dxa"/>
            <w:vAlign w:val="bottom"/>
          </w:tcPr>
          <w:p>
            <w:pPr>
              <w:jc w:val="center"/>
              <w:ind w:left="1624"/>
              <w:spacing w:after="0" w:line="13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80"/>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9"/>
              </w:rPr>
              <w:t>22 Cortlandt Street, 16th Floor</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320" w:type="dxa"/>
            <w:vAlign w:val="bottom"/>
          </w:tcPr>
          <w:p>
            <w:pPr>
              <w:jc w:val="center"/>
              <w:ind w:right="861"/>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10007</w:t>
            </w:r>
          </w:p>
        </w:tc>
      </w:tr>
      <w:tr>
        <w:trPr>
          <w:trHeight w:val="178"/>
        </w:trPr>
        <w:tc>
          <w:tcPr>
            <w:tcW w:w="3320" w:type="dxa"/>
            <w:vAlign w:val="bottom"/>
          </w:tcPr>
          <w:p>
            <w:pPr>
              <w:jc w:val="center"/>
              <w:ind w:right="84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8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332-3241</w:t>
      </w: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121285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AXSM</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66" w:lineRule="exact"/>
        <w:rPr>
          <w:sz w:val="24"/>
          <w:szCs w:val="24"/>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On September 29, 2022, Axsome Therapeutics, Inc. (the “Company”) issued a press release regarding its AXS-07 development program for the acute treatment of migraine.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full text of the press release is filed as Exhibit 99.1 hereto, and is incorporated herein by reference.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6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5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9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September 29, 2022.</w:t>
            </w:r>
          </w:p>
        </w:tc>
        <w:tc>
          <w:tcPr>
            <w:tcW w:w="20" w:type="dxa"/>
            <w:vAlign w:val="bottom"/>
            <w:tcBorders>
              <w:bottom w:val="single" w:sz="8" w:color="0000EE"/>
            </w:tcBorders>
          </w:tcPr>
          <w:p>
            <w:pPr>
              <w:spacing w:after="0"/>
              <w:rPr>
                <w:sz w:val="24"/>
                <w:szCs w:val="24"/>
                <w:color w:val="auto"/>
              </w:rPr>
            </w:pPr>
          </w:p>
        </w:tc>
        <w:tc>
          <w:tcPr>
            <w:tcW w:w="6420" w:type="dxa"/>
            <w:vAlign w:val="bottom"/>
          </w:tcPr>
          <w:p>
            <w:pPr>
              <w:spacing w:after="0"/>
              <w:rPr>
                <w:sz w:val="24"/>
                <w:szCs w:val="24"/>
                <w:color w:val="auto"/>
              </w:rPr>
            </w:pPr>
          </w:p>
        </w:tc>
      </w:tr>
      <w:tr>
        <w:trPr>
          <w:trHeight w:val="426"/>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60" w:type="dxa"/>
            <w:vAlign w:val="bottom"/>
          </w:tcPr>
          <w:p>
            <w:pPr>
              <w:spacing w:after="0"/>
              <w:rPr>
                <w:sz w:val="24"/>
                <w:szCs w:val="24"/>
                <w:color w:val="auto"/>
              </w:rPr>
            </w:pPr>
          </w:p>
        </w:tc>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23"/>
        </w:trPr>
        <w:tc>
          <w:tcPr>
            <w:tcW w:w="10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Axsome Therapeutics, Inc.</w:t>
            </w:r>
          </w:p>
        </w:tc>
      </w:tr>
      <w:tr>
        <w:trPr>
          <w:trHeight w:val="553"/>
        </w:trPr>
        <w:tc>
          <w:tcPr>
            <w:tcW w:w="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3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29, 2022</w:t>
            </w:r>
          </w:p>
        </w:tc>
        <w:tc>
          <w:tcPr>
            <w:tcW w:w="24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Herriot Tabuteau, M.D.</w:t>
            </w:r>
          </w:p>
        </w:tc>
      </w:tr>
      <w:tr>
        <w:trPr>
          <w:trHeight w:val="155"/>
        </w:trPr>
        <w:tc>
          <w:tcPr>
            <w:tcW w:w="5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400" w:type="dxa"/>
            <w:vAlign w:val="bottom"/>
          </w:tcPr>
          <w:p>
            <w:pPr>
              <w:ind w:left="1760"/>
              <w:spacing w:after="0" w:line="156"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Herriot Tabuteau, M.D.</w:t>
            </w:r>
          </w:p>
        </w:tc>
      </w:tr>
      <w:tr>
        <w:trPr>
          <w:trHeight w:val="243"/>
        </w:trPr>
        <w:tc>
          <w:tcPr>
            <w:tcW w:w="56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4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884"/>
        </w:trPr>
        <w:tc>
          <w:tcPr>
            <w:tcW w:w="56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268730" cy="711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711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Announces Plans to Resubmit AXS-07 NDA Based on Successful FDA Type A Meeting</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NEW YORK, September 29, 2022 (GLOBE NEWSWIRE) – Axsome Therapeutics, Inc. (NASDAQ: AXSM), a biopharmaceutical company developing and delivering novel therapies for the management of central nervous system (CNS) disorders, announced that, following a Type A meeting with the U.S. Food and Drug Administration (FDA), it intends to resubmit its New Drug Application (NDA) for AXS-07 for the acute treatment of migraine in the third quarter of 2023.</w:t>
      </w:r>
    </w:p>
    <w:p>
      <w:pPr>
        <w:spacing w:after="0" w:line="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purpose of the Type A meeting was to obtain the FDA’s feedback and agreement on the Company’s plan to address the issues raised in the previously received Complete Response Letter (CRL) to support a resubmission of the AXS-07 NDA. The issues principally related to chemistry, manufacturing, and controls (CMC) considerations. Based on the FDA feedback, the Company will include new CMC information, including stability data on newly manufactured commercial scale batches of AXS-07, in its resubmission package. The resubmission package may also include additional clinical pharmacology information. The Company expects the NDA resubmission to be designated as Class 2 which would be subject to a six-month review. No additional clinical efficacy or safety trials have been requested by the FDA for a resubmission of the NDA.</w:t>
      </w:r>
    </w:p>
    <w:p>
      <w:pPr>
        <w:spacing w:after="0" w:line="6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are very pleased with the outcome of the Type A meeting which clarifies our approach to resubmitting the NDA for AXS-07 for the acute treatment of migraine," said Herriot Tabuteau, MD, Chief Executive Officer of Axsome. "We appreciate the FDA’s thoughtful engagement and look forward to a successful resubmission. The World Health Organization categorizes the disability from severe migraine attacks on the same level as that from quadriplegia, dementia, and acute psychosis. If approved, AXS-07 would provide an important new treatment option for the millions of people living with this debilitating condition."</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Migraine</w:t>
      </w:r>
    </w:p>
    <w:p>
      <w:pPr>
        <w:spacing w:after="0" w:line="10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Over 37 million Americans suffer from migraine according to the Centers for Disease Control, and it is the leading cause of disability among neurological disorders in the United States according to the American Migraine Foundation. Migraine is characterized by recurrent attacks of pulsating, often severe and disabling head pain associated with nausea, and sensitivity to light and or sound. It is estimated that migraine accounts for $78 billion in direct (e.g. doctor visits, medications) and indirect (e.g. missed work, lost productivity) costs each year in the United States</w:t>
      </w:r>
      <w:r>
        <w:rPr>
          <w:rFonts w:ascii="Arial" w:cs="Arial" w:eastAsia="Arial" w:hAnsi="Arial"/>
          <w:sz w:val="24"/>
          <w:szCs w:val="24"/>
          <w:color w:val="auto"/>
          <w:vertAlign w:val="superscript"/>
        </w:rPr>
        <w:t>1</w:t>
      </w:r>
      <w:r>
        <w:rPr>
          <w:rFonts w:ascii="Arial" w:cs="Arial" w:eastAsia="Arial" w:hAnsi="Arial"/>
          <w:sz w:val="18"/>
          <w:szCs w:val="18"/>
          <w:color w:val="auto"/>
        </w:rPr>
        <w:t>. Published surveys of migraine sufferers indicate that more than 70% are not fully satisfied with their current treatment, that nearly 80% would try a new therapy, and that they desire treatments that work faster, more consistently, and result in less symptom recurrence</w:t>
      </w:r>
      <w:r>
        <w:rPr>
          <w:rFonts w:ascii="Arial" w:cs="Arial" w:eastAsia="Arial" w:hAnsi="Arial"/>
          <w:sz w:val="24"/>
          <w:szCs w:val="24"/>
          <w:color w:val="auto"/>
          <w:vertAlign w:val="superscript"/>
        </w:rPr>
        <w:t>2,3</w:t>
      </w:r>
      <w:r>
        <w:rPr>
          <w:rFonts w:ascii="Arial" w:cs="Arial" w:eastAsia="Arial" w:hAnsi="Arial"/>
          <w:sz w:val="18"/>
          <w:szCs w:val="18"/>
          <w:color w:val="auto"/>
        </w:rPr>
        <w:t>.</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AXS-07</w:t>
      </w:r>
    </w:p>
    <w:p>
      <w:pPr>
        <w:spacing w:after="0" w:line="1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AXS-07 is a novel, oral, rapidly absorbed, multi-mechanistic investigational medicine for the acute treatment of migraine, consisting of MoSEIC™ meloxicam and rizatriptan. Meloxicam is a new molecular entity for migraine enabled by Axsome's MoSEIC™ (Molecular Solubility Enhanced Inclusion Complex) technology, which results in rapid absorption of meloxicam while maintaining a long plasma half-life. Meloxicam is a COX-2 preferential non-steroidal anti-inflammatory drug and rizatriptan is a 5-HT1B/1D agonist. AXS-07 is designed to provide rapid, enhances and consistent relief of migraine, with reduced symptom recurrence. AXS-07 is protected by a robust patent estate extending out to at least 2036. AXS-07 is not approved by the FDA.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Axsome Therapeutics, Inc.</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Axsome Therapeutics, Inc. is a biopharmaceutical company developing and delivering novel therapies for central nervous system (CNS) conditions that have limited treatment options. Through development of therapeutic options with novel mechanisms of action, we are transforming the approach to treating CNS conditions. At Axsome, we are committed to developing products that meaningfully improve the lives of patients and provide new therapeutic options for physicians. For more information, please visit the Company’s website at axsome.com. The Company may occasionally disseminate material, nonpublic information on the company website.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Certain matters discussed in this press release are “forward-looking statements”. We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continued commercial success of our Sunosi® product and the success of our efforts to obtain any additional indication(s) with respect to Sunosi; the commercial success of our Auvelity™ product and the success of our efforts to obtain any additional indication(s) with respect to AXS-05, the success, timing and cost of our ongoing clinical trials and anticipated clinical trials for our current product candidates, including statements regarding the timing of initiation, pace of enrollment and completion of the trials (including our ability to fully fund our disclosed clinical trials, which assumes no material changes to our currently projected expenses), futility analyses and receipt of interim results, which are not necessarily indicative of the final results of our ongoing clinical trials, and the number or type of studies or nature of results necessary to support the filing of a new drug application (“NDA”) for any of our current product candidates; our ability to fund additional clinical trials to continue the advancement of our product candidates; the timing of and our ability to obtain and maintain U.S. Food and Drug Administration (“FDA”) or other regulatory authority approval of, or other action with respect to, our product candidates (including, but not limited to,; whether issues identified by FDA in the complete response letter may impact the potential approvability of the Company’s NDA for AXS-07 for the acute treatment of migraine in adults with or without aura, pursuant to our special protocol assessment for the MOMENTUM clinical trial;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the Company’s anticipated capital requirements, including the amount of capital required for the successful commercialization of Sunosi and Auvelity and for the Company’s commercial launch of its other product candidates, and the potential impact on the Company’s anticipated cash runway; unforeseen circumstances or other disruptions to normal business operations arising from or related to COVID-19;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Axsome Contact: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Mark Jacobson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w:t>
      </w:r>
    </w:p>
    <w:p>
      <w:pPr>
        <w:spacing w:after="0"/>
        <w:rPr>
          <w:sz w:val="20"/>
          <w:szCs w:val="20"/>
          <w:color w:val="auto"/>
        </w:rPr>
      </w:pPr>
      <w:r>
        <w:rPr>
          <w:rFonts w:ascii="Arial" w:cs="Arial" w:eastAsia="Arial" w:hAnsi="Arial"/>
          <w:sz w:val="18"/>
          <w:szCs w:val="18"/>
          <w:color w:val="auto"/>
        </w:rPr>
        <w:t>Axsome Therapeutics, Inc.</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22 Cortlandt Street, 16th Floor</w:t>
      </w:r>
    </w:p>
    <w:p>
      <w:pPr>
        <w:spacing w:after="0" w:line="234" w:lineRule="auto"/>
        <w:rPr>
          <w:sz w:val="20"/>
          <w:szCs w:val="20"/>
          <w:color w:val="auto"/>
        </w:rPr>
      </w:pPr>
      <w:r>
        <w:rPr>
          <w:rFonts w:ascii="Arial" w:cs="Arial" w:eastAsia="Arial" w:hAnsi="Arial"/>
          <w:sz w:val="18"/>
          <w:szCs w:val="18"/>
          <w:color w:val="auto"/>
        </w:rPr>
        <w:t>New York, NY 10007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Tel: 212-332-3243</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Email: mjacobson@axsome.com</w:t>
      </w:r>
    </w:p>
    <w:p>
      <w:pPr>
        <w:spacing w:after="0"/>
        <w:rPr>
          <w:sz w:val="20"/>
          <w:szCs w:val="20"/>
          <w:color w:val="auto"/>
        </w:rPr>
      </w:pPr>
      <w:r>
        <w:rPr>
          <w:rFonts w:ascii="Arial" w:cs="Arial" w:eastAsia="Arial" w:hAnsi="Arial"/>
          <w:sz w:val="18"/>
          <w:szCs w:val="18"/>
          <w:color w:val="auto"/>
        </w:rPr>
        <w:t>www.axsome.com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117" w:lineRule="exact"/>
        <w:rPr>
          <w:sz w:val="20"/>
          <w:szCs w:val="20"/>
          <w:color w:val="auto"/>
        </w:rPr>
      </w:pPr>
    </w:p>
    <w:p>
      <w:pPr>
        <w:ind w:left="760" w:hanging="378"/>
        <w:spacing w:after="0" w:line="27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Gooch CL, Pracht E, Borenstein AR. The burden of neurological disease in the United States: A summary report and call to action. Ann Neurol. 2017 Apr; 81(4):479-484.</w:t>
      </w:r>
    </w:p>
    <w:p>
      <w:pPr>
        <w:spacing w:after="0" w:line="45" w:lineRule="exact"/>
        <w:rPr>
          <w:rFonts w:ascii="Arial" w:cs="Arial" w:eastAsia="Arial" w:hAnsi="Arial"/>
          <w:sz w:val="18"/>
          <w:szCs w:val="18"/>
          <w:color w:val="auto"/>
        </w:rPr>
      </w:pPr>
    </w:p>
    <w:p>
      <w:pPr>
        <w:jc w:val="both"/>
        <w:ind w:left="760" w:hanging="378"/>
        <w:spacing w:after="0" w:line="261"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Smelt AF, Louter MA, Kies DA, Blom JW, Terwindt GM, van der Heijden GJ, De Gucht V, Ferrari MD, Assendelft WJ. What do patients consider to be the most important outcomes for effectiveness studies on migraine treatment? Results of a Delphi study. PLoS One. 2014 Jun 16;9(6):e98933.</w:t>
      </w:r>
    </w:p>
    <w:p>
      <w:pPr>
        <w:spacing w:after="0" w:line="53" w:lineRule="exact"/>
        <w:rPr>
          <w:rFonts w:ascii="Arial" w:cs="Arial" w:eastAsia="Arial" w:hAnsi="Arial"/>
          <w:sz w:val="18"/>
          <w:szCs w:val="18"/>
          <w:color w:val="auto"/>
        </w:rPr>
      </w:pPr>
    </w:p>
    <w:p>
      <w:pPr>
        <w:ind w:left="760" w:hanging="378"/>
        <w:spacing w:after="0" w:line="287" w:lineRule="auto"/>
        <w:tabs>
          <w:tab w:leader="none" w:pos="7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Lipton RB, Stewart WF. Acute migraine therapy: do doctors understand what patients with migraine want from therapy? Headache. 1999;39(suppl 2):S20-S26.</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0"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2022-09-29T06:08:25Z</dcterms:created>
  <dcterms:modified xsi:type="dcterms:W3CDTF">2022-09-29T06:08:25Z</dcterms:modified>
</cp:coreProperties>
</file>