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040"/>
          </w:cols>
          <w:pgMar w:left="920" w:top="233" w:right="939" w:bottom="1440" w:gutter="0" w:footer="0" w:header="0"/>
        </w:sectPr>
      </w:pPr>
    </w:p>
    <w:p>
      <w:pPr>
        <w:spacing w:after="0" w:line="111" w:lineRule="exact"/>
        <w:rPr>
          <w:sz w:val="24"/>
          <w:szCs w:val="24"/>
          <w:color w:val="auto"/>
        </w:rPr>
      </w:pPr>
    </w:p>
    <w:p>
      <w:pPr>
        <w:ind w:left="2800" w:firstLine="595"/>
        <w:spacing w:after="0" w:line="331"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85" w:lineRule="exact"/>
        <w:rPr>
          <w:sz w:val="24"/>
          <w:szCs w:val="24"/>
          <w:color w:val="auto"/>
        </w:rPr>
      </w:pPr>
    </w:p>
    <w:p>
      <w:pPr>
        <w:sectPr>
          <w:pgSz w:w="11900" w:h="16838" w:orient="portrait"/>
          <w:cols w:equalWidth="0" w:num="2">
            <w:col w:w="6740" w:space="460"/>
            <w:col w:w="2840"/>
          </w:cols>
          <w:pgMar w:left="920" w:top="233" w:right="9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640" w:space="360"/>
            <w:col w:w="8040"/>
          </w:cols>
          <w:pgMar w:left="920" w:top="233" w:right="9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960" w:space="360"/>
            <w:col w:w="6720"/>
          </w:cols>
          <w:pgMar w:left="920" w:top="233" w:right="9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040"/>
          </w:cols>
          <w:pgMar w:left="920" w:top="233" w:right="939" w:bottom="1440" w:gutter="0" w:footer="0" w:header="0"/>
          <w:type w:val="continuous"/>
        </w:sectPr>
      </w:pPr>
    </w:p>
    <w:p>
      <w:pPr>
        <w:spacing w:after="0" w:line="248" w:lineRule="exact"/>
        <w:rPr>
          <w:sz w:val="24"/>
          <w:szCs w:val="24"/>
          <w:color w:val="auto"/>
        </w:rPr>
      </w:pPr>
    </w:p>
    <w:p>
      <w:pPr>
        <w:ind w:left="400" w:hanging="39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00" w:hanging="39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400" w:hanging="397"/>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00" w:hanging="397"/>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00" w:hanging="397"/>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645160</wp:posOffset>
            </wp:positionH>
            <wp:positionV relativeFrom="paragraph">
              <wp:posOffset>-130810</wp:posOffset>
            </wp:positionV>
            <wp:extent cx="5111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24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645160</wp:posOffset>
            </wp:positionH>
            <wp:positionV relativeFrom="paragraph">
              <wp:posOffset>-130175</wp:posOffset>
            </wp:positionV>
            <wp:extent cx="5111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7"/>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7"/>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860" w:right="120" w:hanging="384"/>
        <w:spacing w:after="0" w:line="258"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7" w:lineRule="exact"/>
        <w:rPr>
          <w:rFonts w:ascii="Arial" w:cs="Arial" w:eastAsia="Arial" w:hAnsi="Arial"/>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480" w:hanging="477"/>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7"/>
        <w:spacing w:after="0" w:line="264"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1" w:lineRule="exact"/>
        <w:rPr>
          <w:rFonts w:ascii="MS PGothic" w:cs="MS PGothic" w:eastAsia="MS PGothic" w:hAnsi="MS PGothic"/>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860" w:hanging="38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551180</wp:posOffset>
            </wp:positionH>
            <wp:positionV relativeFrom="paragraph">
              <wp:posOffset>14605</wp:posOffset>
            </wp:positionV>
            <wp:extent cx="5840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-404495</wp:posOffset>
            </wp:positionV>
            <wp:extent cx="5840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-687705</wp:posOffset>
            </wp:positionV>
            <wp:extent cx="5840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-1931035</wp:posOffset>
            </wp:positionV>
            <wp:extent cx="5840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-2214245</wp:posOffset>
            </wp:positionV>
            <wp:extent cx="5840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-2497455</wp:posOffset>
            </wp:positionV>
            <wp:extent cx="5840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-2780030</wp:posOffset>
            </wp:positionV>
            <wp:extent cx="5840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-3063240</wp:posOffset>
            </wp:positionV>
            <wp:extent cx="58400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233" w:right="9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92075</wp:posOffset>
            </wp:positionV>
            <wp:extent cx="2461260"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26, 2019</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You are cordially invited to attend the 2019 Annual Meeting of Stockholders of Axsome Therapeutics, Inc. (the “Annual Meeting”) that will be held on Friday, June 7, 2019 at 9:00 a.m. local time, at the offices of DLA Piper LLP (US) at 1251 Avenue of the Americas, New York, NY 10020.</w:t>
      </w:r>
    </w:p>
    <w:p>
      <w:pPr>
        <w:spacing w:after="0" w:line="7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Details regarding admission to the Annual Meeting and the business to be conducted are described in the accompanying proxy materials. Also included is a copy of our 2018 Annual Report. We encourage you to read this information carefully.</w:t>
      </w:r>
    </w:p>
    <w:p>
      <w:pPr>
        <w:spacing w:after="0" w:line="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Your vote is important. Whether or not you plan to attend the Annual Meeting, we hope you will vote as soon as possible. You may vote over the Internet, by telephone or by mailing a proxy card, if you have requested one. Voting over the Internet, by telephone or by written proxy will ensure your representation at the Annual Meeting regardless of whether or not you attend in person. Please review the instructions in the Proxy Materials you received in the mail regarding each of these voting options.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Thank you for your ongoing support of Axsome.</w:t>
      </w:r>
    </w:p>
    <w:p>
      <w:pPr>
        <w:spacing w:after="0" w:line="200" w:lineRule="exact"/>
        <w:rPr>
          <w:sz w:val="20"/>
          <w:szCs w:val="20"/>
          <w:color w:val="auto"/>
        </w:rPr>
      </w:pPr>
    </w:p>
    <w:p>
      <w:pPr>
        <w:spacing w:after="0" w:line="241"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Very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truly yours,</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HERRIOT TABUTEAU, M.D.</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631825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 Broadway, 3</w:t>
      </w:r>
      <w:r>
        <w:rPr>
          <w:rFonts w:ascii="Arial" w:cs="Arial" w:eastAsia="Arial" w:hAnsi="Arial"/>
          <w:sz w:val="8"/>
          <w:szCs w:val="8"/>
          <w:b w:val="1"/>
          <w:bCs w:val="1"/>
          <w:color w:val="auto"/>
        </w:rPr>
        <w:t>rd</w:t>
      </w:r>
      <w:r>
        <w:rPr>
          <w:rFonts w:ascii="Arial" w:cs="Arial" w:eastAsia="Arial" w:hAnsi="Arial"/>
          <w:sz w:val="18"/>
          <w:szCs w:val="18"/>
          <w:b w:val="1"/>
          <w:bCs w:val="1"/>
          <w:color w:val="auto"/>
        </w:rPr>
        <w:t xml:space="preserve"> Floor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10038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575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6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Friday, June 7, 2019 at 9:00 a.m. local time.</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The offices of DLA Piper LLP (US) at 1251 Avenue of</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the Americas, New York, NY 10020.</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(1) To elect one director named in the proxy statement</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accompanying this notice to serve as a Class I director</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until the annual meeting held in 2022 and until his</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successor is duly elected and qualified.</w:t>
            </w:r>
          </w:p>
        </w:tc>
      </w:tr>
      <w:tr>
        <w:trPr>
          <w:trHeight w:val="418"/>
        </w:trPr>
        <w:tc>
          <w:tcPr>
            <w:tcW w:w="2800" w:type="dxa"/>
            <w:vAlign w:val="bottom"/>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(2) To ratify the appointment of Ernst &amp; Young LLP as</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Axsome Therapeutics, Inc.’s independent registered</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public accounting firm for the year ending</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December 31, 2019.</w:t>
            </w:r>
          </w:p>
        </w:tc>
      </w:tr>
      <w:tr>
        <w:trPr>
          <w:trHeight w:val="418"/>
        </w:trPr>
        <w:tc>
          <w:tcPr>
            <w:tcW w:w="2800" w:type="dxa"/>
            <w:vAlign w:val="bottom"/>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 To transact such other business as may properly come</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before the annual meeting or any adjournment thereof.</w:t>
            </w:r>
          </w:p>
        </w:tc>
      </w:tr>
      <w:tr>
        <w:trPr>
          <w:trHeight w:val="418"/>
        </w:trPr>
        <w:tc>
          <w:tcPr>
            <w:tcW w:w="2800" w:type="dxa"/>
            <w:vAlign w:val="bottom"/>
          </w:tcPr>
          <w:p>
            <w:pPr>
              <w:spacing w:after="0"/>
              <w:rPr>
                <w:sz w:val="24"/>
                <w:szCs w:val="24"/>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These items of business are more fully described in the</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proxy statement accompanying this notice.</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w w:val="91"/>
              </w:rPr>
              <w:t>Adjournments and Postponements:</w:t>
            </w: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Any action on the items of business described above</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may be considered at the annual meeting at the time and</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on the date specified above or at any time and date to</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which the annual meeting may be properly adjourned or</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postponed.</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You are entitled to vote if you were a stockholder of</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record as of the close of business on April 22, 2019.</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Your vote is very important. Whether or not you plan to</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attend the annual meeting, we encourage you to read</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the proxy statement and vote on the Internet or by</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telephone or submit your proxy card, if you have</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requested one, as soon as possible. For specific</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instructions on how to vote your shares, please refer to</w:t>
            </w:r>
          </w:p>
        </w:tc>
      </w:tr>
      <w:tr>
        <w:trPr>
          <w:trHeight w:val="216"/>
        </w:trPr>
        <w:tc>
          <w:tcPr>
            <w:tcW w:w="2800" w:type="dxa"/>
            <w:vAlign w:val="bottom"/>
          </w:tcPr>
          <w:p>
            <w:pPr>
              <w:spacing w:after="0"/>
              <w:rPr>
                <w:sz w:val="18"/>
                <w:szCs w:val="18"/>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the section herein entitled “Questions and Answers</w:t>
            </w:r>
          </w:p>
        </w:tc>
      </w:tr>
      <w:tr>
        <w:trPr>
          <w:trHeight w:val="230"/>
        </w:trPr>
        <w:tc>
          <w:tcPr>
            <w:tcW w:w="2800" w:type="dxa"/>
            <w:vAlign w:val="bottom"/>
          </w:tcPr>
          <w:p>
            <w:pPr>
              <w:spacing w:after="0"/>
              <w:rPr>
                <w:sz w:val="20"/>
                <w:szCs w:val="20"/>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About Procedural Matters.”</w:t>
            </w:r>
          </w:p>
        </w:tc>
      </w:tr>
      <w:tr>
        <w:trPr>
          <w:trHeight w:val="432"/>
        </w:trPr>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JACOBSON</w:t>
            </w:r>
          </w:p>
        </w:tc>
      </w:tr>
      <w:tr>
        <w:trPr>
          <w:trHeight w:val="195"/>
        </w:trPr>
        <w:tc>
          <w:tcPr>
            <w:tcW w:w="2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Mark Jacobson</w:t>
            </w:r>
          </w:p>
        </w:tc>
      </w:tr>
      <w:tr>
        <w:trPr>
          <w:trHeight w:val="230"/>
        </w:trPr>
        <w:tc>
          <w:tcPr>
            <w:tcW w:w="2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Secretary</w:t>
            </w:r>
          </w:p>
        </w:tc>
      </w:tr>
    </w:tbl>
    <w:p>
      <w:pPr>
        <w:spacing w:after="0" w:line="16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This notice of annual meeting, proxy statement, and accompanying form of proxy card, dated as of April 26, 2019 are filed and are being made publicly available on April 26, 2019, and will be mailed to you on or about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636905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34"/>
            <w:vMerge w:val="restart"/>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QUESTIONS AND ANSWERS ABOUT PROCEDURAL MATTERS</w:t>
              </w:r>
            </w:hyperlink>
          </w:p>
        </w:tc>
        <w:tc>
          <w:tcPr>
            <w:tcW w:w="3600" w:type="dxa"/>
            <w:vAlign w:val="bottom"/>
            <w:gridSpan w:val="7"/>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120" w:type="dxa"/>
            <w:vAlign w:val="bottom"/>
            <w:tcBorders>
              <w:bottom w:val="single" w:sz="8" w:color="0000EE"/>
            </w:tcBorders>
            <w:gridSpan w:val="34"/>
            <w:vMerge w:val="continue"/>
          </w:tcPr>
          <w:p>
            <w:pPr>
              <w:spacing w:after="0"/>
              <w:rPr>
                <w:sz w:val="13"/>
                <w:szCs w:val="13"/>
                <w:color w:val="auto"/>
              </w:rPr>
            </w:pPr>
          </w:p>
        </w:tc>
        <w:tc>
          <w:tcPr>
            <w:tcW w:w="3600" w:type="dxa"/>
            <w:vAlign w:val="bottom"/>
            <w:gridSpan w:val="7"/>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Annual Meeting</w:t>
              </w:r>
            </w:hyperlink>
          </w:p>
        </w:tc>
        <w:tc>
          <w:tcPr>
            <w:tcW w:w="7340" w:type="dxa"/>
            <w:vAlign w:val="bottom"/>
            <w:gridSpan w:val="36"/>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Stock Ownership</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Quorum and Voting</w:t>
              </w:r>
            </w:hyperlink>
          </w:p>
        </w:tc>
        <w:tc>
          <w:tcPr>
            <w:tcW w:w="7080" w:type="dxa"/>
            <w:vAlign w:val="bottom"/>
            <w:gridSpan w:val="3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Stockholder Proposals and Director Nominations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Additional Information about the Proxy Materials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4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IMPORTANT NOTICE REGARDING THE AVAILABILITY OF PROXY MATERIALS FOR THE</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STOCKHOLDER MEETING TO BE HELD ON JUNE 7, 2019</w:t>
              </w:r>
            </w:hyperlink>
          </w:p>
        </w:tc>
        <w:tc>
          <w:tcPr>
            <w:tcW w:w="144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PROPOSAL ONE—ELECTION OF DIRECTORS</w:t>
              </w:r>
            </w:hyperlink>
          </w:p>
        </w:tc>
        <w:tc>
          <w:tcPr>
            <w:tcW w:w="498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General</w:t>
              </w:r>
            </w:hyperlink>
          </w:p>
        </w:tc>
        <w:tc>
          <w:tcPr>
            <w:tcW w:w="7940" w:type="dxa"/>
            <w:vAlign w:val="bottom"/>
            <w:gridSpan w:val="3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Nominees</w:t>
              </w:r>
            </w:hyperlink>
          </w:p>
        </w:tc>
        <w:tc>
          <w:tcPr>
            <w:tcW w:w="7780" w:type="dxa"/>
            <w:vAlign w:val="bottom"/>
            <w:gridSpan w:val="3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Information Regarding the Nominees and Other Directors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4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PROPOSAL TWO—RATIFICATION OF THE APPOINTMENT OF INDEPENDENT REGISTERED PUBLIC</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ACCOUNTING FIRM</w:t>
              </w:r>
            </w:hyperlink>
          </w:p>
        </w:tc>
        <w:tc>
          <w:tcPr>
            <w:tcW w:w="6280" w:type="dxa"/>
            <w:vAlign w:val="bottom"/>
            <w:tcBorders>
              <w:top w:val="single" w:sz="8" w:color="0000EE"/>
            </w:tcBorders>
            <w:gridSpan w:val="28"/>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General</w:t>
              </w:r>
            </w:hyperlink>
          </w:p>
        </w:tc>
        <w:tc>
          <w:tcPr>
            <w:tcW w:w="7940" w:type="dxa"/>
            <w:vAlign w:val="bottom"/>
            <w:gridSpan w:val="3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Principal Accounting Fees and Services</w:t>
              </w:r>
            </w:hyperlink>
          </w:p>
        </w:tc>
        <w:tc>
          <w:tcPr>
            <w:tcW w:w="564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Pre-Approval of Audit and Non-Audit Services</w:t>
              </w:r>
            </w:hyperlink>
          </w:p>
        </w:tc>
        <w:tc>
          <w:tcPr>
            <w:tcW w:w="510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CORPORATE GOVERNANCE</w:t>
              </w:r>
            </w:hyperlink>
          </w:p>
        </w:tc>
        <w:tc>
          <w:tcPr>
            <w:tcW w:w="6380" w:type="dxa"/>
            <w:vAlign w:val="bottom"/>
            <w:gridSpan w:val="2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Code of Business Conduct and Ethics</w:t>
              </w:r>
            </w:hyperlink>
          </w:p>
        </w:tc>
        <w:tc>
          <w:tcPr>
            <w:tcW w:w="5800" w:type="dxa"/>
            <w:vAlign w:val="bottom"/>
            <w:gridSpan w:val="2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Board Composition</w:t>
              </w:r>
            </w:hyperlink>
          </w:p>
        </w:tc>
        <w:tc>
          <w:tcPr>
            <w:tcW w:w="7100" w:type="dxa"/>
            <w:vAlign w:val="bottom"/>
            <w:gridSpan w:val="3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Board Leadership Structure</w:t>
              </w:r>
            </w:hyperlink>
          </w:p>
        </w:tc>
        <w:tc>
          <w:tcPr>
            <w:tcW w:w="6520" w:type="dxa"/>
            <w:vAlign w:val="bottom"/>
            <w:gridSpan w:val="2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Board Committees</w:t>
              </w:r>
            </w:hyperlink>
          </w:p>
        </w:tc>
        <w:tc>
          <w:tcPr>
            <w:tcW w:w="7160" w:type="dxa"/>
            <w:vAlign w:val="bottom"/>
            <w:gridSpan w:val="3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Committee Interlocks and Insider Participation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Meetings of the Board of Directors</w:t>
              </w:r>
            </w:hyperlink>
          </w:p>
        </w:tc>
        <w:tc>
          <w:tcPr>
            <w:tcW w:w="1920" w:type="dxa"/>
            <w:vAlign w:val="bottom"/>
            <w:tcBorders>
              <w:top w:val="single" w:sz="8" w:color="0000EE"/>
            </w:tcBorders>
            <w:gridSpan w:val="12"/>
          </w:tcPr>
          <w:p>
            <w:pPr>
              <w:spacing w:after="0"/>
              <w:rPr>
                <w:sz w:val="17"/>
                <w:szCs w:val="17"/>
                <w:color w:val="auto"/>
              </w:rPr>
            </w:pPr>
          </w:p>
        </w:tc>
        <w:tc>
          <w:tcPr>
            <w:tcW w:w="40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Oversight of Risk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Nomination Process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Compensation</w:t>
              </w:r>
            </w:hyperlink>
          </w:p>
        </w:tc>
        <w:tc>
          <w:tcPr>
            <w:tcW w:w="642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Limitation of Liability and Indemnification Arrangements</w:t>
              </w:r>
            </w:hyperlink>
          </w:p>
        </w:tc>
        <w:tc>
          <w:tcPr>
            <w:tcW w:w="432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Stockholder Communications with the Board of Directors</w:t>
              </w:r>
            </w:hyperlink>
          </w:p>
        </w:tc>
        <w:tc>
          <w:tcPr>
            <w:tcW w:w="434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20" w:type="dxa"/>
            <w:vAlign w:val="bottom"/>
            <w:gridSpan w:val="4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OFFICERS &amp; KEY PERSONNEL</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EXECUTIVE COMPENSATION</w:t>
              </w:r>
            </w:hyperlink>
          </w:p>
        </w:tc>
        <w:tc>
          <w:tcPr>
            <w:tcW w:w="514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gridSpan w:val="16"/>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Summary Compensation Table</w:t>
              </w:r>
            </w:hyperlink>
          </w:p>
        </w:tc>
        <w:tc>
          <w:tcPr>
            <w:tcW w:w="6280" w:type="dxa"/>
            <w:vAlign w:val="bottom"/>
            <w:gridSpan w:val="2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960" w:type="dxa"/>
            <w:vAlign w:val="bottom"/>
            <w:tcBorders>
              <w:right w:val="single" w:sz="8" w:color="0000EE"/>
            </w:tcBorders>
            <w:gridSpan w:val="10"/>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Narrative Explanation of Certain Aspects of the Summary Compensation Table</w:t>
              </w:r>
            </w:hyperlink>
          </w:p>
        </w:tc>
        <w:tc>
          <w:tcPr>
            <w:tcW w:w="28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gridSpan w:val="3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Outstanding Equity Awards as of December 31, 2018</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Employee Benefits and Perquisites</w:t>
              </w:r>
            </w:hyperlink>
          </w:p>
        </w:tc>
        <w:tc>
          <w:tcPr>
            <w:tcW w:w="1320" w:type="dxa"/>
            <w:vAlign w:val="bottom"/>
            <w:tcBorders>
              <w:top w:val="single" w:sz="8" w:color="0000EE"/>
            </w:tcBorders>
            <w:gridSpan w:val="9"/>
          </w:tcPr>
          <w:p>
            <w:pPr>
              <w:spacing w:after="0"/>
              <w:rPr>
                <w:sz w:val="17"/>
                <w:szCs w:val="17"/>
                <w:color w:val="auto"/>
              </w:rPr>
            </w:pPr>
          </w:p>
        </w:tc>
        <w:tc>
          <w:tcPr>
            <w:tcW w:w="468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COMPENSATION COMMITTEE REPORT</w:t>
              </w:r>
            </w:hyperlink>
          </w:p>
        </w:tc>
        <w:tc>
          <w:tcPr>
            <w:tcW w:w="548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38"/>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SECURITY OWNERSHIP OF CERTAIN BENEFICIAL OWNERS AND MANAGEMENT</w:t>
              </w:r>
            </w:hyperlink>
          </w:p>
        </w:tc>
        <w:tc>
          <w:tcPr>
            <w:tcW w:w="198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2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EQUITY COMPENSATION PLAN INFORMATION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7"/>
            <w:shd w:val="clear" w:color="auto" w:fill="0000EE"/>
          </w:tcPr>
          <w:p>
            <w:pPr>
              <w:spacing w:after="0" w:line="20" w:lineRule="exact"/>
              <w:rPr>
                <w:sz w:val="1"/>
                <w:szCs w:val="1"/>
                <w:color w:val="auto"/>
              </w:rPr>
            </w:pPr>
          </w:p>
        </w:tc>
        <w:tc>
          <w:tcPr>
            <w:tcW w:w="960" w:type="dxa"/>
            <w:vAlign w:val="bottom"/>
            <w:tcBorders>
              <w:right w:val="single" w:sz="8" w:color="0000EE"/>
            </w:tcBorders>
            <w:gridSpan w:val="10"/>
            <w:shd w:val="clear" w:color="auto" w:fill="0000EE"/>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35"/>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CERTAIN RELATIONSHIPS AND RELATED PARTY TRANSACTIONS</w:t>
              </w:r>
            </w:hyperlink>
          </w:p>
        </w:tc>
        <w:tc>
          <w:tcPr>
            <w:tcW w:w="324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36"/>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SECTION 16(a) BENEFICIAL OWNERSHIP REPORTING COMPLIANCE</w:t>
              </w:r>
            </w:hyperlink>
          </w:p>
        </w:tc>
        <w:tc>
          <w:tcPr>
            <w:tcW w:w="30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20" w:type="dxa"/>
            <w:vAlign w:val="bottom"/>
            <w:gridSpan w:val="4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AUDIT COMMITTEE REPORT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MATTERS</w:t>
              </w:r>
            </w:hyperlink>
          </w:p>
        </w:tc>
        <w:tc>
          <w:tcPr>
            <w:tcW w:w="6300" w:type="dxa"/>
            <w:vAlign w:val="bottom"/>
            <w:gridSpan w:val="2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7"/>
        </w:trPr>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AXSOME THERAPEUTICS,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 Broadway, 3</w:t>
      </w:r>
      <w:r>
        <w:rPr>
          <w:rFonts w:ascii="Arial" w:cs="Arial" w:eastAsia="Arial" w:hAnsi="Arial"/>
          <w:sz w:val="8"/>
          <w:szCs w:val="8"/>
          <w:b w:val="1"/>
          <w:bCs w:val="1"/>
          <w:color w:val="auto"/>
        </w:rPr>
        <w:t>rd</w:t>
      </w:r>
      <w:r>
        <w:rPr>
          <w:rFonts w:ascii="Arial" w:cs="Arial" w:eastAsia="Arial" w:hAnsi="Arial"/>
          <w:sz w:val="18"/>
          <w:szCs w:val="18"/>
          <w:b w:val="1"/>
          <w:bCs w:val="1"/>
          <w:color w:val="auto"/>
        </w:rPr>
        <w:t xml:space="preserve"> Floor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10038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3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This proxy statement is furnished in connection with solicitation of proxies by our board of directors for use at the 2019 Annual Meeting of Stockholders (the “Annual Meeting”) to be held at 9:00 a.m. local time on Friday, June 7, 2019, and any postponements or adjournments thereof. The Annual Meeting will be held at the offices of DLA Piper LLP (US) at 1251 Avenue of the Americas, New York, NY 10020. As used in this proxy statement, the terms “Axsome,” “we,” “us,” and “our” mean Axsome Therapeutics, Inc. unless the context indicates otherwise.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PROCEDURAL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these proxy materials?</w:t>
      </w:r>
    </w:p>
    <w:p>
      <w:pPr>
        <w:spacing w:after="0" w:line="121" w:lineRule="exact"/>
        <w:rPr>
          <w:sz w:val="20"/>
          <w:szCs w:val="20"/>
          <w:color w:val="auto"/>
        </w:rPr>
      </w:pPr>
    </w:p>
    <w:p>
      <w:pPr>
        <w:ind w:left="320" w:right="40" w:hanging="317"/>
        <w:spacing w:after="0" w:line="293" w:lineRule="auto"/>
        <w:tabs>
          <w:tab w:leader="none" w:pos="31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board of directors is providing these proxy materials to you in connection with the solicitation of proxies for use at the Annual Meeting to be held on Friday, June 7, 2019 at 9:00 a.m. local time, and at any adjournment or postponement thereof, for the purpose of considering and acting upon the matters set forth herein. We intend to mail the notice of Annual Meeting, this proxy statement, accompanying form of proxy card, and our 2018 Annual Report on Form 10-K to you on or about May 3, 2019. This proxy statement includes information that we are required to provide to you by the Securities and Exchange Commission, or the SEC, and that is designed to assist you in voting your shares.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included in the proxy materials?</w:t>
      </w:r>
    </w:p>
    <w:p>
      <w:pPr>
        <w:spacing w:after="0" w:line="121"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proxy materials include: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proxy statement for the Annual Meeting;</w:t>
      </w:r>
    </w:p>
    <w:p>
      <w:pPr>
        <w:spacing w:after="0" w:line="117" w:lineRule="exact"/>
        <w:rPr>
          <w:rFonts w:ascii="Arial" w:cs="Arial" w:eastAsia="Arial" w:hAnsi="Arial"/>
          <w:sz w:val="18"/>
          <w:szCs w:val="18"/>
          <w:color w:val="auto"/>
        </w:rPr>
      </w:pPr>
    </w:p>
    <w:p>
      <w:pPr>
        <w:ind w:left="660" w:right="280" w:hanging="333"/>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2018 Annual Report to Stockholders, which consists of our Annual Report on Form 10-K for the year ended December 31, 2018; and</w:t>
      </w:r>
    </w:p>
    <w:p>
      <w:pPr>
        <w:spacing w:after="0" w:line="62" w:lineRule="exact"/>
        <w:rPr>
          <w:rFonts w:ascii="Arial" w:cs="Arial" w:eastAsia="Arial" w:hAnsi="Arial"/>
          <w:sz w:val="18"/>
          <w:szCs w:val="18"/>
          <w:color w:val="auto"/>
        </w:rPr>
      </w:pPr>
    </w:p>
    <w:p>
      <w:pPr>
        <w:ind w:left="660" w:right="160" w:hanging="333"/>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proxy card or a voting instruction form for the Annual Meeting, if you have requested that the proxy materials be mailed to you.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get electronic access to the proxy materials?</w:t>
      </w:r>
    </w:p>
    <w:p>
      <w:pPr>
        <w:spacing w:after="0" w:line="121" w:lineRule="exact"/>
        <w:rPr>
          <w:sz w:val="20"/>
          <w:szCs w:val="20"/>
          <w:color w:val="auto"/>
        </w:rPr>
      </w:pPr>
    </w:p>
    <w:p>
      <w:pPr>
        <w:ind w:left="320" w:right="20" w:hanging="317"/>
        <w:spacing w:after="0" w:line="264"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proxy materials are available at the AST proxy website and at www.axsome.com. Our website address is included for reference only. The information contained on our website is not incorporated by reference into this proxy statement.</w:t>
      </w:r>
    </w:p>
    <w:p>
      <w:pPr>
        <w:spacing w:after="0" w:line="73" w:lineRule="exact"/>
        <w:rPr>
          <w:rFonts w:ascii="Arial" w:cs="Arial" w:eastAsia="Arial" w:hAnsi="Arial"/>
          <w:sz w:val="18"/>
          <w:szCs w:val="18"/>
          <w:color w:val="auto"/>
        </w:rPr>
      </w:pPr>
    </w:p>
    <w:p>
      <w:pPr>
        <w:ind w:left="320" w:right="40"/>
        <w:spacing w:after="0" w:line="297" w:lineRule="auto"/>
        <w:rPr>
          <w:rFonts w:ascii="Arial" w:cs="Arial" w:eastAsia="Arial" w:hAnsi="Arial"/>
          <w:sz w:val="18"/>
          <w:szCs w:val="18"/>
          <w:color w:val="auto"/>
        </w:rPr>
      </w:pPr>
      <w:r>
        <w:rPr>
          <w:rFonts w:ascii="Arial" w:cs="Arial" w:eastAsia="Arial" w:hAnsi="Arial"/>
          <w:sz w:val="16"/>
          <w:szCs w:val="16"/>
          <w:color w:val="auto"/>
        </w:rPr>
        <w:t>You can find directions on how to instruct us to send future proxy materials to you by email at www.voteproxy.com. Choosing to receive future proxy materials by email will save us the cost of printing and mailing documents to you and will reduce the impact of our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information is contained in this proxy statement?</w:t>
      </w:r>
    </w:p>
    <w:p>
      <w:pPr>
        <w:spacing w:after="0" w:line="121" w:lineRule="exact"/>
        <w:rPr>
          <w:sz w:val="20"/>
          <w:szCs w:val="20"/>
          <w:color w:val="auto"/>
        </w:rPr>
      </w:pPr>
    </w:p>
    <w:p>
      <w:pPr>
        <w:ind w:left="320" w:hanging="317"/>
        <w:spacing w:after="0" w:line="264" w:lineRule="auto"/>
        <w:tabs>
          <w:tab w:leader="none" w:pos="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Where is the Annual Meeting?</w:t>
      </w:r>
    </w:p>
    <w:p>
      <w:pPr>
        <w:spacing w:after="0" w:line="121" w:lineRule="exact"/>
        <w:rPr>
          <w:sz w:val="20"/>
          <w:szCs w:val="20"/>
          <w:color w:val="auto"/>
        </w:rPr>
      </w:pPr>
    </w:p>
    <w:p>
      <w:pPr>
        <w:ind w:left="320" w:right="400" w:hanging="317"/>
        <w:spacing w:after="0" w:line="277" w:lineRule="auto"/>
        <w:tabs>
          <w:tab w:leader="none" w:pos="3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Annual Meeting will be held at the offices of DLA Piper (US) at 1251 Avenue of the Americas, New York, NY 10020.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attend the Annual Meeting?</w:t>
      </w:r>
    </w:p>
    <w:p>
      <w:pPr>
        <w:spacing w:after="0" w:line="121" w:lineRule="exact"/>
        <w:rPr>
          <w:sz w:val="20"/>
          <w:szCs w:val="20"/>
          <w:color w:val="auto"/>
        </w:rPr>
      </w:pPr>
    </w:p>
    <w:p>
      <w:pPr>
        <w:ind w:left="320" w:right="40" w:hanging="317"/>
        <w:spacing w:after="0" w:line="276"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You are invited to attend the Annual Meeting if you were a stockholder of record or a beneficial owner as of April 22, 2019, the Record Date. Admission will begin at 8:45 a.m. local time on the date of the Annual Meeting, and you must present valid picture identification such as a driver’s license or passport and, if asked, provide proof of stock ownership as of the Record Date. The use of mobile phones, pagers, recording or photographic equipment, tablets and/or computers is not permitted at the Annual Meeting. The meeting will begin promptly at 9:00 a.m. local time.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difference between holding shares as a stockholder of record and as a beneficial owner?</w:t>
      </w:r>
    </w:p>
    <w:p>
      <w:pPr>
        <w:spacing w:after="0" w:line="121" w:lineRule="exact"/>
        <w:rPr>
          <w:sz w:val="20"/>
          <w:szCs w:val="20"/>
          <w:color w:val="auto"/>
        </w:rPr>
      </w:pPr>
    </w:p>
    <w:p>
      <w:pPr>
        <w:ind w:left="320" w:right="180" w:hanging="317"/>
        <w:spacing w:after="0" w:line="302" w:lineRule="auto"/>
        <w:tabs>
          <w:tab w:leader="none" w:pos="311"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—If your shares are registered directly in your name with our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LLC, you are 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46" w:lineRule="exact"/>
        <w:rPr>
          <w:rFonts w:ascii="Arial" w:cs="Arial" w:eastAsia="Arial" w:hAnsi="Arial"/>
          <w:sz w:val="16"/>
          <w:szCs w:val="16"/>
          <w:color w:val="auto"/>
        </w:rPr>
      </w:pPr>
    </w:p>
    <w:p>
      <w:pPr>
        <w:ind w:left="320" w:right="60"/>
        <w:spacing w:after="0" w:line="279" w:lineRule="auto"/>
        <w:rPr>
          <w:rFonts w:ascii="Arial" w:cs="Arial" w:eastAsia="Arial" w:hAnsi="Arial"/>
          <w:sz w:val="16"/>
          <w:szCs w:val="16"/>
          <w:color w:val="auto"/>
        </w:rPr>
      </w:pPr>
      <w:r>
        <w:rPr>
          <w:rFonts w:ascii="Arial" w:cs="Arial" w:eastAsia="Arial" w:hAnsi="Arial"/>
          <w:sz w:val="17"/>
          <w:szCs w:val="17"/>
          <w:i w:val="1"/>
          <w:iCs w:val="1"/>
          <w:color w:val="auto"/>
        </w:rPr>
        <w:t>Beneficial owners</w:t>
      </w:r>
      <w:r>
        <w:rPr>
          <w:rFonts w:ascii="Arial" w:cs="Arial" w:eastAsia="Arial" w:hAnsi="Arial"/>
          <w:sz w:val="17"/>
          <w:szCs w:val="17"/>
          <w:color w:val="auto"/>
        </w:rPr>
        <w:t>—Many Axsome stockholders hold their shares through a broker, trustee or other nominee, rather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in their own name. If your shares 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63" w:lineRule="exact"/>
        <w:rPr>
          <w:rFonts w:ascii="Arial" w:cs="Arial" w:eastAsia="Arial" w:hAnsi="Arial"/>
          <w:sz w:val="16"/>
          <w:szCs w:val="16"/>
          <w:color w:val="auto"/>
        </w:rPr>
      </w:pPr>
    </w:p>
    <w:p>
      <w:pPr>
        <w:ind w:left="320" w:right="60"/>
        <w:spacing w:after="0" w:line="257" w:lineRule="auto"/>
        <w:rPr>
          <w:rFonts w:ascii="Arial" w:cs="Arial" w:eastAsia="Arial" w:hAnsi="Arial"/>
          <w:sz w:val="16"/>
          <w:szCs w:val="16"/>
          <w:color w:val="auto"/>
        </w:rPr>
      </w:pPr>
      <w:r>
        <w:rPr>
          <w:rFonts w:ascii="Arial" w:cs="Arial" w:eastAsia="Arial" w:hAnsi="Arial"/>
          <w:sz w:val="18"/>
          <w:szCs w:val="18"/>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shares must be present or represented to conduct business at the Annual Meeting?</w:t>
      </w:r>
    </w:p>
    <w:p>
      <w:pPr>
        <w:spacing w:after="0" w:line="121" w:lineRule="exact"/>
        <w:rPr>
          <w:sz w:val="20"/>
          <w:szCs w:val="20"/>
          <w:color w:val="auto"/>
        </w:rPr>
      </w:pPr>
    </w:p>
    <w:p>
      <w:pPr>
        <w:ind w:left="320" w:right="20" w:hanging="317"/>
        <w:spacing w:after="0" w:line="279" w:lineRule="auto"/>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spacing w:after="0" w:line="63" w:lineRule="exact"/>
        <w:rPr>
          <w:rFonts w:ascii="Arial" w:cs="Arial" w:eastAsia="Arial" w:hAnsi="Arial"/>
          <w:sz w:val="17"/>
          <w:szCs w:val="17"/>
          <w:color w:val="auto"/>
        </w:rPr>
      </w:pPr>
    </w:p>
    <w:p>
      <w:pPr>
        <w:ind w:left="320"/>
        <w:spacing w:after="0" w:line="277" w:lineRule="auto"/>
        <w:rPr>
          <w:rFonts w:ascii="Arial" w:cs="Arial" w:eastAsia="Arial" w:hAnsi="Arial"/>
          <w:sz w:val="17"/>
          <w:szCs w:val="17"/>
          <w:color w:val="auto"/>
        </w:rPr>
      </w:pPr>
      <w:r>
        <w:rPr>
          <w:rFonts w:ascii="Arial" w:cs="Arial" w:eastAsia="Arial" w:hAnsi="Arial"/>
          <w:sz w:val="18"/>
          <w:szCs w:val="18"/>
          <w:color w:val="auto"/>
        </w:rPr>
        <w:t>A proxy submitted by a stockholder may indicate that the shares represented by the proxy are not being voted, referred to as stockholder withholding with respect to a particular matter.</w:t>
      </w:r>
    </w:p>
    <w:p>
      <w:pPr>
        <w:spacing w:after="0" w:line="62" w:lineRule="exact"/>
        <w:rPr>
          <w:rFonts w:ascii="Arial" w:cs="Arial" w:eastAsia="Arial" w:hAnsi="Arial"/>
          <w:sz w:val="17"/>
          <w:szCs w:val="17"/>
          <w:color w:val="auto"/>
        </w:rPr>
      </w:pPr>
    </w:p>
    <w:p>
      <w:pPr>
        <w:ind w:left="320" w:right="420"/>
        <w:spacing w:after="0" w:line="277" w:lineRule="auto"/>
        <w:rPr>
          <w:rFonts w:ascii="Arial" w:cs="Arial" w:eastAsia="Arial" w:hAnsi="Arial"/>
          <w:sz w:val="17"/>
          <w:szCs w:val="17"/>
          <w:color w:val="auto"/>
        </w:rPr>
      </w:pPr>
      <w:r>
        <w:rPr>
          <w:rFonts w:ascii="Arial" w:cs="Arial" w:eastAsia="Arial" w:hAnsi="Arial"/>
          <w:sz w:val="18"/>
          <w:szCs w:val="18"/>
          <w:color w:val="auto"/>
        </w:rPr>
        <w:t>Under the DGCL, abstentions and broker “non-votes” are counted as present and entitled to vote and are, therefore, included for purposes of determining whether a quorum is present at the Annual Meeting.</w:t>
      </w:r>
    </w:p>
    <w:p>
      <w:pPr>
        <w:spacing w:after="0" w:line="62" w:lineRule="exact"/>
        <w:rPr>
          <w:rFonts w:ascii="Arial" w:cs="Arial" w:eastAsia="Arial" w:hAnsi="Arial"/>
          <w:sz w:val="17"/>
          <w:szCs w:val="17"/>
          <w:color w:val="auto"/>
        </w:rPr>
      </w:pPr>
    </w:p>
    <w:p>
      <w:pPr>
        <w:ind w:left="320" w:right="20"/>
        <w:spacing w:after="0" w:line="264" w:lineRule="auto"/>
        <w:rPr>
          <w:rFonts w:ascii="Arial" w:cs="Arial" w:eastAsia="Arial" w:hAnsi="Arial"/>
          <w:sz w:val="17"/>
          <w:szCs w:val="17"/>
          <w:color w:val="auto"/>
        </w:rPr>
      </w:pPr>
      <w:r>
        <w:rPr>
          <w:rFonts w:ascii="Arial" w:cs="Arial" w:eastAsia="Arial" w:hAnsi="Arial"/>
          <w:sz w:val="18"/>
          <w:szCs w:val="18"/>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entitled to vote at the Annual Meeting?</w:t>
      </w:r>
    </w:p>
    <w:p>
      <w:pPr>
        <w:spacing w:after="0" w:line="121" w:lineRule="exact"/>
        <w:rPr>
          <w:sz w:val="20"/>
          <w:szCs w:val="20"/>
          <w:color w:val="auto"/>
        </w:rPr>
      </w:pPr>
    </w:p>
    <w:p>
      <w:pPr>
        <w:ind w:left="320" w:hanging="317"/>
        <w:spacing w:after="0" w:line="257" w:lineRule="auto"/>
        <w:tabs>
          <w:tab w:leader="none" w:pos="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Holders of record of our common stock at the close of business on the Record Date are entitled to receive notice of and to vote their shares at the Annual Meeting. As of the Record Date, we had 33,305,310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vote my shares in person at the Annual Meeting?</w:t>
      </w:r>
    </w:p>
    <w:p>
      <w:pPr>
        <w:spacing w:after="0" w:line="121" w:lineRule="exact"/>
        <w:rPr>
          <w:sz w:val="20"/>
          <w:szCs w:val="20"/>
          <w:color w:val="auto"/>
        </w:rPr>
      </w:pPr>
    </w:p>
    <w:p>
      <w:pPr>
        <w:ind w:left="320" w:right="80" w:hanging="317"/>
        <w:spacing w:after="0" w:line="255" w:lineRule="auto"/>
        <w:tabs>
          <w:tab w:leader="none" w:pos="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Shares held in your name as the stockholder of record may be voted in person at the Annual Meeting. Shares held beneficially in street name may be voted in person at the Annual Meeting only if you obtain a legal proxy from the broker, trustee or other nominee that holds your shares giving you the right to vote the shares. </w:t>
      </w:r>
      <w:r>
        <w:rPr>
          <w:rFonts w:ascii="Arial" w:cs="Arial" w:eastAsia="Arial" w:hAnsi="Arial"/>
          <w:sz w:val="18"/>
          <w:szCs w:val="18"/>
          <w:b w:val="1"/>
          <w:bCs w:val="1"/>
          <w:color w:val="auto"/>
        </w:rPr>
        <w:t>Even if you plan to</w:t>
      </w:r>
      <w:r>
        <w:rPr>
          <w:rFonts w:ascii="Arial" w:cs="Arial" w:eastAsia="Arial" w:hAnsi="Arial"/>
          <w:sz w:val="18"/>
          <w:szCs w:val="18"/>
          <w:color w:val="auto"/>
        </w:rPr>
        <w:t xml:space="preserve"> </w:t>
      </w:r>
      <w:r>
        <w:rPr>
          <w:rFonts w:ascii="Arial" w:cs="Arial" w:eastAsia="Arial" w:hAnsi="Arial"/>
          <w:sz w:val="18"/>
          <w:szCs w:val="18"/>
          <w:b w:val="1"/>
          <w:bCs w:val="1"/>
          <w:color w:val="auto"/>
        </w:rPr>
        <w:t>attend the Annual Meeting, we recommend that you also submit your proxy card, if you have requested one, or follow the voting directions described below, so that your vote will be counted if you later decide not to attend the Annual Meeting.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vote my shares without attending the Annual Meeting?</w:t>
      </w:r>
    </w:p>
    <w:p>
      <w:pPr>
        <w:spacing w:after="0" w:line="121" w:lineRule="exact"/>
        <w:rPr>
          <w:sz w:val="20"/>
          <w:szCs w:val="20"/>
          <w:color w:val="auto"/>
        </w:rPr>
      </w:pPr>
    </w:p>
    <w:p>
      <w:pPr>
        <w:ind w:left="320" w:right="360" w:hanging="317"/>
        <w:spacing w:after="0" w:line="277" w:lineRule="auto"/>
        <w:tabs>
          <w:tab w:leader="none" w:pos="31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—If you are a stockholder of record, there are three ways to vote without attending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62" w:lineRule="exact"/>
        <w:rPr>
          <w:rFonts w:ascii="Arial" w:cs="Arial" w:eastAsia="Arial" w:hAnsi="Arial"/>
          <w:sz w:val="18"/>
          <w:szCs w:val="18"/>
          <w:color w:val="auto"/>
        </w:rPr>
      </w:pPr>
    </w:p>
    <w:p>
      <w:pPr>
        <w:ind w:left="660" w:right="200" w:hanging="333"/>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Via the Internet</w:t>
      </w:r>
      <w:r>
        <w:rPr>
          <w:rFonts w:ascii="Arial" w:cs="Arial" w:eastAsia="Arial" w:hAnsi="Arial"/>
          <w:sz w:val="18"/>
          <w:szCs w:val="18"/>
          <w:color w:val="auto"/>
        </w:rPr>
        <w:t>—You may vote by proxy via the Internet by following the instructions provided in the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and at www.voteproxy.com.</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—You may vote by proxy by telephone by calling the toll-free number found on the proxy card.</w:t>
      </w:r>
    </w:p>
    <w:p>
      <w:pPr>
        <w:spacing w:after="0" w:line="128" w:lineRule="exact"/>
        <w:rPr>
          <w:rFonts w:ascii="Arial" w:cs="Arial" w:eastAsia="Arial" w:hAnsi="Arial"/>
          <w:sz w:val="17"/>
          <w:szCs w:val="17"/>
          <w:color w:val="auto"/>
        </w:rPr>
      </w:pPr>
    </w:p>
    <w:p>
      <w:pPr>
        <w:ind w:left="660" w:hanging="333"/>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proxy by filling out the proxy card and returning it in the envelope provided.</w:t>
      </w:r>
    </w:p>
    <w:p>
      <w:pPr>
        <w:spacing w:after="0" w:line="117"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—If you are a beneficial owner holding shares through a bank, broker or other nominee, please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forwarded by your bank or broker to see which voting options are available to you.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proposals will be voted on at the Annual Meeting?</w:t>
      </w:r>
    </w:p>
    <w:p>
      <w:pPr>
        <w:spacing w:after="0" w:line="121"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Annual Meeting, stockholders will be asked to vote:</w:t>
      </w:r>
    </w:p>
    <w:p>
      <w:pPr>
        <w:spacing w:after="0" w:line="117" w:lineRule="exact"/>
        <w:rPr>
          <w:rFonts w:ascii="Arial" w:cs="Arial" w:eastAsia="Arial" w:hAnsi="Arial"/>
          <w:sz w:val="18"/>
          <w:szCs w:val="18"/>
          <w:color w:val="auto"/>
        </w:rPr>
      </w:pPr>
    </w:p>
    <w:p>
      <w:pPr>
        <w:ind w:left="660" w:right="300" w:hanging="333"/>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elect the one director identified in this proxy statement to serve as a Class I director until the annual meeting held in 2022 and until his successor is duly elected and qualified;</w:t>
      </w:r>
    </w:p>
    <w:p>
      <w:pPr>
        <w:spacing w:after="0" w:line="62" w:lineRule="exact"/>
        <w:rPr>
          <w:rFonts w:ascii="Arial" w:cs="Arial" w:eastAsia="Arial" w:hAnsi="Arial"/>
          <w:sz w:val="18"/>
          <w:szCs w:val="18"/>
          <w:color w:val="auto"/>
        </w:rPr>
      </w:pPr>
    </w:p>
    <w:p>
      <w:pPr>
        <w:ind w:left="660" w:right="160" w:hanging="333"/>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year ending December 31, 2019;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thereof.</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voting requirement to approve each of the proposals?</w:t>
      </w:r>
    </w:p>
    <w:p>
      <w:pPr>
        <w:spacing w:after="0" w:line="121" w:lineRule="exact"/>
        <w:rPr>
          <w:sz w:val="20"/>
          <w:szCs w:val="20"/>
          <w:color w:val="auto"/>
        </w:rPr>
      </w:pPr>
    </w:p>
    <w:p>
      <w:pPr>
        <w:ind w:left="320" w:right="140" w:hanging="317"/>
        <w:spacing w:after="0" w:line="257" w:lineRule="auto"/>
        <w:tabs>
          <w:tab w:leader="none" w:pos="31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Proposal One</w:t>
      </w:r>
      <w:r>
        <w:rPr>
          <w:rFonts w:ascii="Arial" w:cs="Arial" w:eastAsia="Arial" w:hAnsi="Arial"/>
          <w:sz w:val="18"/>
          <w:szCs w:val="18"/>
          <w:color w:val="auto"/>
        </w:rPr>
        <w:t>—The election of a director requires a plurality vote of the shares of common stock voted at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“Plurality” means that the individual 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8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color w:val="auto"/>
        </w:rPr>
        <w:t>Proposal Two</w:t>
      </w:r>
      <w:r>
        <w:rPr>
          <w:rFonts w:ascii="Arial" w:cs="Arial" w:eastAsia="Arial" w:hAnsi="Arial"/>
          <w:sz w:val="18"/>
          <w:szCs w:val="18"/>
          <w:color w:val="auto"/>
        </w:rPr>
        <w:t>—The affirmative vote of a majority of votes cast is required to ratify the appointment of Ernst &amp;</w:t>
      </w:r>
    </w:p>
    <w:p>
      <w:pPr>
        <w:spacing w:after="0" w:line="23" w:lineRule="exact"/>
        <w:rPr>
          <w:rFonts w:ascii="Arial" w:cs="Arial" w:eastAsia="Arial" w:hAnsi="Arial"/>
          <w:sz w:val="18"/>
          <w:szCs w:val="18"/>
          <w:color w:val="auto"/>
        </w:rPr>
      </w:pPr>
    </w:p>
    <w:p>
      <w:pPr>
        <w:ind w:left="320" w:right="120"/>
        <w:spacing w:after="0" w:line="261" w:lineRule="auto"/>
        <w:rPr>
          <w:rFonts w:ascii="Arial" w:cs="Arial" w:eastAsia="Arial" w:hAnsi="Arial"/>
          <w:sz w:val="18"/>
          <w:szCs w:val="18"/>
          <w:color w:val="auto"/>
        </w:rPr>
      </w:pPr>
      <w:r>
        <w:rPr>
          <w:rFonts w:ascii="Arial" w:cs="Arial" w:eastAsia="Arial" w:hAnsi="Arial"/>
          <w:sz w:val="18"/>
          <w:szCs w:val="18"/>
          <w:color w:val="auto"/>
        </w:rPr>
        <w:t>Young LLP as our independent registered public accounting firm. Abstentions will have the effect of a vote against this proposal and broker non-votes will have no effect on the outcome of this proposal.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does the board of directors recommend that I vote?</w:t>
      </w:r>
    </w:p>
    <w:p>
      <w:pPr>
        <w:spacing w:after="0" w:line="121"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unanimously recommends that you vote your shares: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the nominee for election as director listed in Proposal One; and</w:t>
      </w:r>
    </w:p>
    <w:p>
      <w:pPr>
        <w:spacing w:after="0" w:line="117" w:lineRule="exact"/>
        <w:rPr>
          <w:rFonts w:ascii="Arial" w:cs="Arial" w:eastAsia="Arial" w:hAnsi="Arial"/>
          <w:sz w:val="18"/>
          <w:szCs w:val="18"/>
          <w:color w:val="auto"/>
        </w:rPr>
      </w:pPr>
    </w:p>
    <w:p>
      <w:pPr>
        <w:ind w:left="660" w:right="200" w:hanging="333"/>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year ending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do not give specific voting instructions?</w:t>
      </w:r>
    </w:p>
    <w:p>
      <w:pPr>
        <w:spacing w:after="0" w:line="121"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—If you are a stockholder of record and you:</w:t>
      </w:r>
    </w:p>
    <w:p>
      <w:pPr>
        <w:spacing w:after="0" w:line="117" w:lineRule="exact"/>
        <w:rPr>
          <w:rFonts w:ascii="Arial" w:cs="Arial" w:eastAsia="Arial" w:hAnsi="Arial"/>
          <w:sz w:val="18"/>
          <w:szCs w:val="18"/>
          <w:color w:val="auto"/>
        </w:rPr>
      </w:pPr>
    </w:p>
    <w:p>
      <w:pPr>
        <w:ind w:left="660" w:right="640" w:hanging="333"/>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our board of directors; or</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117" w:lineRule="exact"/>
        <w:rPr>
          <w:sz w:val="20"/>
          <w:szCs w:val="20"/>
          <w:color w:val="auto"/>
        </w:rPr>
      </w:pPr>
    </w:p>
    <w:p>
      <w:pPr>
        <w:ind w:left="320" w:right="100"/>
        <w:spacing w:after="0" w:line="264" w:lineRule="auto"/>
        <w:rPr>
          <w:sz w:val="20"/>
          <w:szCs w:val="20"/>
          <w:color w:val="auto"/>
        </w:rPr>
      </w:pPr>
      <w:r>
        <w:rPr>
          <w:rFonts w:ascii="Arial" w:cs="Arial" w:eastAsia="Arial" w:hAnsi="Arial"/>
          <w:sz w:val="18"/>
          <w:szCs w:val="18"/>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73" w:lineRule="exact"/>
        <w:rPr>
          <w:sz w:val="20"/>
          <w:szCs w:val="20"/>
          <w:color w:val="auto"/>
        </w:rPr>
      </w:pPr>
    </w:p>
    <w:p>
      <w:pPr>
        <w:ind w:left="320" w:right="40"/>
        <w:spacing w:after="0" w:line="273" w:lineRule="auto"/>
        <w:rPr>
          <w:sz w:val="20"/>
          <w:szCs w:val="20"/>
          <w:color w:val="auto"/>
        </w:rPr>
      </w:pPr>
      <w:r>
        <w:rPr>
          <w:rFonts w:ascii="Arial" w:cs="Arial" w:eastAsia="Arial" w:hAnsi="Arial"/>
          <w:sz w:val="17"/>
          <w:szCs w:val="17"/>
          <w:i w:val="1"/>
          <w:iCs w:val="1"/>
          <w:color w:val="auto"/>
        </w:rPr>
        <w:t>Beneficial owners</w:t>
      </w:r>
      <w:r>
        <w:rPr>
          <w:rFonts w:ascii="Arial" w:cs="Arial" w:eastAsia="Arial" w:hAnsi="Arial"/>
          <w:sz w:val="17"/>
          <w:szCs w:val="17"/>
          <w:color w:val="auto"/>
        </w:rPr>
        <w:t>—If you are a beneficial owner of shares held in street name and do not provide the organization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holds your shares with specific voting 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may my brokerage firm or other intermediary vote my shares if I fail to provide timely directions?</w:t>
      </w:r>
    </w:p>
    <w:p>
      <w:pPr>
        <w:spacing w:after="0" w:line="121" w:lineRule="exact"/>
        <w:rPr>
          <w:sz w:val="20"/>
          <w:szCs w:val="20"/>
          <w:color w:val="auto"/>
        </w:rPr>
      </w:pPr>
    </w:p>
    <w:p>
      <w:pPr>
        <w:ind w:left="320" w:right="180" w:hanging="317"/>
        <w:spacing w:after="0" w:line="279" w:lineRule="auto"/>
        <w:tabs>
          <w:tab w:leader="none" w:pos="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Ernst &amp; Young LLP. Your broker will not have discretion to vote on the election of directors.</w:t>
      </w:r>
    </w:p>
    <w:p>
      <w:pPr>
        <w:spacing w:after="0" w:line="59" w:lineRule="exact"/>
        <w:rPr>
          <w:sz w:val="20"/>
          <w:szCs w:val="20"/>
          <w:color w:val="auto"/>
        </w:rPr>
      </w:pPr>
    </w:p>
    <w:p>
      <w:pPr>
        <w:ind w:left="320" w:right="120"/>
        <w:spacing w:after="0" w:line="266" w:lineRule="auto"/>
        <w:rPr>
          <w:sz w:val="20"/>
          <w:szCs w:val="20"/>
          <w:color w:val="auto"/>
        </w:rPr>
      </w:pPr>
      <w:r>
        <w:rPr>
          <w:rFonts w:ascii="Arial" w:cs="Arial" w:eastAsia="Arial" w:hAnsi="Arial"/>
          <w:sz w:val="18"/>
          <w:szCs w:val="18"/>
          <w:b w:val="1"/>
          <w:bCs w:val="1"/>
          <w:color w:val="auto"/>
        </w:rPr>
        <w:t xml:space="preserve">Please note that brokers may not vote your shares on the election of directors in the absence of your specific instructions as to how to vote, so we </w:t>
      </w:r>
      <w:r>
        <w:rPr>
          <w:rFonts w:ascii="Arial" w:cs="Arial" w:eastAsia="Arial" w:hAnsi="Arial"/>
          <w:sz w:val="18"/>
          <w:szCs w:val="18"/>
          <w:color w:val="auto"/>
        </w:rPr>
        <w:t>encourage</w:t>
      </w:r>
      <w:r>
        <w:rPr>
          <w:rFonts w:ascii="Arial" w:cs="Arial" w:eastAsia="Arial" w:hAnsi="Arial"/>
          <w:sz w:val="18"/>
          <w:szCs w:val="18"/>
          <w:b w:val="1"/>
          <w:bCs w:val="1"/>
          <w:color w:val="auto"/>
        </w:rPr>
        <w:t xml:space="preserve"> you to provide instructions to your broker regarding the voting of your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additional matters are presented at the Annual Meeting?</w:t>
      </w:r>
    </w:p>
    <w:p>
      <w:pPr>
        <w:spacing w:after="0" w:line="121" w:lineRule="exact"/>
        <w:rPr>
          <w:sz w:val="20"/>
          <w:szCs w:val="20"/>
          <w:color w:val="auto"/>
        </w:rPr>
      </w:pPr>
    </w:p>
    <w:p>
      <w:pPr>
        <w:ind w:left="320" w:right="80" w:hanging="317"/>
        <w:spacing w:after="0" w:line="257" w:lineRule="auto"/>
        <w:tabs>
          <w:tab w:leader="none" w:pos="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or revoke my vote after submitting my proxy?</w:t>
      </w:r>
    </w:p>
    <w:p>
      <w:pPr>
        <w:spacing w:after="0" w:line="121" w:lineRule="exact"/>
        <w:rPr>
          <w:sz w:val="20"/>
          <w:szCs w:val="20"/>
          <w:color w:val="auto"/>
        </w:rPr>
      </w:pPr>
    </w:p>
    <w:p>
      <w:pPr>
        <w:ind w:left="320" w:right="180" w:hanging="317"/>
        <w:spacing w:after="0" w:line="277" w:lineRule="auto"/>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any rules your broker, trustee or nominee may have, you may change or revoke your proxy in any one of the ways listed below at any time before your proxy is voted at the Annual Meeting.</w:t>
      </w:r>
    </w:p>
    <w:p>
      <w:pPr>
        <w:spacing w:after="0" w:line="62" w:lineRule="exact"/>
        <w:rPr>
          <w:rFonts w:ascii="Arial" w:cs="Arial" w:eastAsia="Arial" w:hAnsi="Arial"/>
          <w:sz w:val="18"/>
          <w:szCs w:val="18"/>
          <w:color w:val="auto"/>
        </w:rPr>
      </w:pPr>
    </w:p>
    <w:p>
      <w:pPr>
        <w:ind w:left="320" w:right="140"/>
        <w:spacing w:after="0" w:line="255" w:lineRule="auto"/>
        <w:rPr>
          <w:rFonts w:ascii="Arial" w:cs="Arial" w:eastAsia="Arial" w:hAnsi="Arial"/>
          <w:sz w:val="18"/>
          <w:szCs w:val="18"/>
          <w:color w:val="auto"/>
        </w:rPr>
      </w:pPr>
      <w:r>
        <w:rPr>
          <w:rFonts w:ascii="Arial" w:cs="Arial" w:eastAsia="Arial" w:hAnsi="Arial"/>
          <w:sz w:val="18"/>
          <w:szCs w:val="18"/>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stockholder of record that has voted on the Internet or by telephone may also change his or her vote by later making a timely and valid Internet or telephone vote.</w:t>
      </w:r>
    </w:p>
    <w:p>
      <w:pPr>
        <w:spacing w:after="0" w:line="85" w:lineRule="exact"/>
        <w:rPr>
          <w:rFonts w:ascii="Arial" w:cs="Arial" w:eastAsia="Arial" w:hAnsi="Arial"/>
          <w:sz w:val="18"/>
          <w:szCs w:val="18"/>
          <w:color w:val="auto"/>
        </w:rPr>
      </w:pPr>
    </w:p>
    <w:p>
      <w:pPr>
        <w:ind w:left="320" w:right="20"/>
        <w:spacing w:after="0" w:line="255" w:lineRule="auto"/>
        <w:rPr>
          <w:rFonts w:ascii="Arial" w:cs="Arial" w:eastAsia="Arial" w:hAnsi="Arial"/>
          <w:sz w:val="18"/>
          <w:szCs w:val="18"/>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spacing w:after="0" w:line="85" w:lineRule="exact"/>
        <w:rPr>
          <w:rFonts w:ascii="Arial" w:cs="Arial" w:eastAsia="Arial" w:hAnsi="Arial"/>
          <w:sz w:val="18"/>
          <w:szCs w:val="18"/>
          <w:color w:val="auto"/>
        </w:rPr>
      </w:pPr>
    </w:p>
    <w:p>
      <w:pPr>
        <w:ind w:left="320" w:right="80"/>
        <w:spacing w:after="0" w:line="259" w:lineRule="auto"/>
        <w:rPr>
          <w:rFonts w:ascii="Arial" w:cs="Arial" w:eastAsia="Arial" w:hAnsi="Arial"/>
          <w:sz w:val="18"/>
          <w:szCs w:val="18"/>
          <w:color w:val="auto"/>
        </w:rPr>
      </w:pPr>
      <w:r>
        <w:rPr>
          <w:rFonts w:ascii="Arial" w:cs="Arial" w:eastAsia="Arial" w:hAnsi="Arial"/>
          <w:sz w:val="18"/>
          <w:szCs w:val="18"/>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bear the cost of soliciting votes for the Annual Meeting?</w:t>
      </w:r>
    </w:p>
    <w:p>
      <w:pPr>
        <w:spacing w:after="0" w:line="121" w:lineRule="exact"/>
        <w:rPr>
          <w:sz w:val="20"/>
          <w:szCs w:val="20"/>
          <w:color w:val="auto"/>
        </w:rPr>
      </w:pPr>
    </w:p>
    <w:p>
      <w:pPr>
        <w:ind w:left="320" w:hanging="317"/>
        <w:spacing w:after="0" w:line="270"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Is my vote confidential?</w:t>
      </w:r>
    </w:p>
    <w:p>
      <w:pPr>
        <w:spacing w:after="0" w:line="121" w:lineRule="exact"/>
        <w:rPr>
          <w:sz w:val="20"/>
          <w:szCs w:val="20"/>
          <w:color w:val="auto"/>
        </w:rPr>
      </w:pPr>
    </w:p>
    <w:p>
      <w:pPr>
        <w:ind w:left="320" w:right="260" w:hanging="317"/>
        <w:spacing w:after="0" w:line="259" w:lineRule="auto"/>
        <w:tabs>
          <w:tab w:leader="none" w:pos="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Where can I find the voting results of the Annual Meeting?</w:t>
      </w:r>
    </w:p>
    <w:p>
      <w:pPr>
        <w:spacing w:after="0" w:line="121" w:lineRule="exact"/>
        <w:rPr>
          <w:sz w:val="20"/>
          <w:szCs w:val="20"/>
          <w:color w:val="auto"/>
        </w:rPr>
      </w:pPr>
    </w:p>
    <w:p>
      <w:pPr>
        <w:ind w:left="320" w:hanging="317"/>
        <w:spacing w:after="0" w:line="277" w:lineRule="auto"/>
        <w:tabs>
          <w:tab w:leader="none" w:pos="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Annual Meeting and will publish final results in a Current Report on Form 8-K within four business days after the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17" w:lineRule="exact"/>
        <w:rPr>
          <w:sz w:val="20"/>
          <w:szCs w:val="20"/>
          <w:color w:val="auto"/>
        </w:rPr>
      </w:pPr>
    </w:p>
    <w:p>
      <w:pPr>
        <w:ind w:left="320" w:right="420" w:hanging="317"/>
        <w:spacing w:after="0" w:line="282" w:lineRule="auto"/>
        <w:tabs>
          <w:tab w:leader="none" w:pos="33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8"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may submit proposals, including director nominations, for consideration at future stockholder meetings.</w:t>
      </w:r>
    </w:p>
    <w:p>
      <w:pPr>
        <w:spacing w:after="0" w:line="117" w:lineRule="exact"/>
        <w:rPr>
          <w:rFonts w:ascii="Arial" w:cs="Arial" w:eastAsia="Arial" w:hAnsi="Arial"/>
          <w:sz w:val="18"/>
          <w:szCs w:val="18"/>
          <w:color w:val="auto"/>
        </w:rPr>
      </w:pPr>
    </w:p>
    <w:p>
      <w:pPr>
        <w:ind w:left="320" w:right="80"/>
        <w:spacing w:after="0" w:line="285" w:lineRule="auto"/>
        <w:rPr>
          <w:rFonts w:ascii="Arial" w:cs="Arial" w:eastAsia="Arial" w:hAnsi="Arial"/>
          <w:sz w:val="18"/>
          <w:szCs w:val="18"/>
          <w:color w:val="auto"/>
        </w:rPr>
      </w:pPr>
      <w:r>
        <w:rPr>
          <w:rFonts w:ascii="Arial" w:cs="Arial" w:eastAsia="Arial" w:hAnsi="Arial"/>
          <w:sz w:val="16"/>
          <w:szCs w:val="16"/>
          <w:i w:val="1"/>
          <w:iCs w:val="1"/>
          <w:color w:val="auto"/>
        </w:rPr>
        <w:t>Requirements for stockholder proposals to be considered for inclusion in our proxy materials</w:t>
      </w:r>
      <w:r>
        <w:rPr>
          <w:rFonts w:ascii="Arial" w:cs="Arial" w:eastAsia="Arial" w:hAnsi="Arial"/>
          <w:sz w:val="16"/>
          <w:szCs w:val="16"/>
          <w:color w:val="auto"/>
        </w:rPr>
        <w:t>—Stockholders may</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proper proposals for inclusion in our proxy statement and for consideration at our next annual meeting of stockholders by submitting their proposals in writing to our Corporate Secretary in a timely manner. In order to be included in the proxy statement for the 2020 annual meeting of stockholders, stockholder proposals must be received by our Corporate Secretary no later than December 28, 2019, and must otherwise comply with the requirements of</w:t>
      </w:r>
    </w:p>
    <w:p>
      <w:pPr>
        <w:spacing w:after="0" w:line="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Rule 14a-8 of the Securities Exchange Act of 1934, as amended, or the Exchange Act.</w:t>
      </w:r>
    </w:p>
    <w:p>
      <w:pPr>
        <w:spacing w:after="0" w:line="102" w:lineRule="exact"/>
        <w:rPr>
          <w:rFonts w:ascii="Arial" w:cs="Arial" w:eastAsia="Arial" w:hAnsi="Arial"/>
          <w:sz w:val="18"/>
          <w:szCs w:val="18"/>
          <w:color w:val="auto"/>
        </w:rPr>
      </w:pPr>
    </w:p>
    <w:p>
      <w:pPr>
        <w:ind w:left="320" w:right="2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Requirements for stockholder proposals to be brought before an annual meeting</w:t>
      </w:r>
      <w:r>
        <w:rPr>
          <w:rFonts w:ascii="Arial" w:cs="Arial" w:eastAsia="Arial" w:hAnsi="Arial"/>
          <w:sz w:val="18"/>
          <w:szCs w:val="18"/>
          <w:color w:val="auto"/>
        </w:rPr>
        <w:t>—In addition, our bylaws establish an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notice 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8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7"/>
          <w:szCs w:val="17"/>
          <w:color w:val="auto"/>
        </w:rPr>
        <w:t>Our bylaws also provide that the only business that may be conducted at an annual meeting is business that is</w:t>
      </w:r>
    </w:p>
    <w:p>
      <w:pPr>
        <w:spacing w:after="0" w:line="34" w:lineRule="exact"/>
        <w:rPr>
          <w:rFonts w:ascii="Arial" w:cs="Arial" w:eastAsia="Arial" w:hAnsi="Arial"/>
          <w:sz w:val="18"/>
          <w:szCs w:val="18"/>
          <w:color w:val="auto"/>
        </w:rPr>
      </w:pPr>
    </w:p>
    <w:p>
      <w:pPr>
        <w:ind w:left="580" w:hanging="253"/>
        <w:spacing w:after="0"/>
        <w:tabs>
          <w:tab w:leader="none" w:pos="5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our board of directors,</w:t>
      </w:r>
    </w:p>
    <w:p>
      <w:pPr>
        <w:spacing w:after="0" w:line="32" w:lineRule="exact"/>
        <w:rPr>
          <w:rFonts w:ascii="Arial" w:cs="Arial" w:eastAsia="Arial" w:hAnsi="Arial"/>
          <w:sz w:val="16"/>
          <w:szCs w:val="16"/>
          <w:color w:val="auto"/>
        </w:rPr>
      </w:pPr>
    </w:p>
    <w:p>
      <w:pPr>
        <w:ind w:left="320" w:right="200" w:firstLine="7"/>
        <w:spacing w:after="0" w:line="255" w:lineRule="auto"/>
        <w:tabs>
          <w:tab w:leader="none" w:pos="5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82" w:lineRule="exact"/>
        <w:rPr>
          <w:sz w:val="20"/>
          <w:szCs w:val="20"/>
          <w:color w:val="auto"/>
        </w:rPr>
      </w:pPr>
    </w:p>
    <w:p>
      <w:pPr>
        <w:ind w:left="320" w:right="100"/>
        <w:spacing w:after="0" w:line="312" w:lineRule="auto"/>
        <w:rPr>
          <w:sz w:val="20"/>
          <w:szCs w:val="20"/>
          <w:color w:val="auto"/>
        </w:rPr>
      </w:pPr>
      <w:r>
        <w:rPr>
          <w:rFonts w:ascii="Arial" w:cs="Arial" w:eastAsia="Arial" w:hAnsi="Arial"/>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2020 annual meeting of stockholders is between January 9, 2020 and February 8, 2020.</w:t>
      </w:r>
    </w:p>
    <w:p>
      <w:pPr>
        <w:spacing w:after="0" w:line="39" w:lineRule="exact"/>
        <w:rPr>
          <w:sz w:val="20"/>
          <w:szCs w:val="20"/>
          <w:color w:val="auto"/>
        </w:rPr>
      </w:pPr>
    </w:p>
    <w:p>
      <w:pPr>
        <w:ind w:left="320" w:right="120"/>
        <w:spacing w:after="0" w:line="308" w:lineRule="auto"/>
        <w:rPr>
          <w:sz w:val="20"/>
          <w:szCs w:val="20"/>
          <w:color w:val="auto"/>
        </w:rPr>
      </w:pPr>
      <w:r>
        <w:rPr>
          <w:rFonts w:ascii="Arial" w:cs="Arial" w:eastAsia="Arial" w:hAnsi="Arial"/>
          <w:sz w:val="17"/>
          <w:szCs w:val="17"/>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38" w:lineRule="exact"/>
        <w:rPr>
          <w:sz w:val="20"/>
          <w:szCs w:val="20"/>
          <w:color w:val="auto"/>
        </w:rPr>
      </w:pPr>
    </w:p>
    <w:p>
      <w:pPr>
        <w:ind w:left="320" w:right="40"/>
        <w:spacing w:after="0" w:line="264" w:lineRule="auto"/>
        <w:rPr>
          <w:sz w:val="20"/>
          <w:szCs w:val="20"/>
          <w:color w:val="auto"/>
        </w:rPr>
      </w:pPr>
      <w:r>
        <w:rPr>
          <w:rFonts w:ascii="Arial" w:cs="Arial" w:eastAsia="Arial" w:hAnsi="Arial"/>
          <w:sz w:val="18"/>
          <w:szCs w:val="18"/>
          <w:i w:val="1"/>
          <w:iCs w:val="1"/>
          <w:color w:val="auto"/>
        </w:rPr>
        <w:t>Recommendation of director candidates</w:t>
      </w:r>
      <w:r>
        <w:rPr>
          <w:rFonts w:ascii="Arial" w:cs="Arial" w:eastAsia="Arial" w:hAnsi="Arial"/>
          <w:sz w:val="18"/>
          <w:szCs w:val="18"/>
          <w:color w:val="auto"/>
        </w:rPr>
        <w:t>—You may recommend candidates to our board of directors for consideration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our nominating and governance committee by following the procedures set forth below in “Corporation Governance— Stockholder Recommendations for Nominations to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How may I obtain a copy of the bylaw provisions regarding stockholder proposals and director nominations?</w:t>
      </w:r>
    </w:p>
    <w:p>
      <w:pPr>
        <w:spacing w:after="0" w:line="144" w:lineRule="exact"/>
        <w:rPr>
          <w:sz w:val="20"/>
          <w:szCs w:val="20"/>
          <w:color w:val="auto"/>
        </w:rPr>
      </w:pPr>
    </w:p>
    <w:p>
      <w:pPr>
        <w:ind w:left="320" w:hanging="317"/>
        <w:spacing w:after="0" w:line="255" w:lineRule="auto"/>
        <w:tabs>
          <w:tab w:leader="none" w:pos="3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Proxy Materials</w:t>
      </w:r>
    </w:p>
    <w:p>
      <w:pPr>
        <w:spacing w:after="0" w:line="117" w:lineRule="exact"/>
        <w:rPr>
          <w:sz w:val="20"/>
          <w:szCs w:val="20"/>
          <w:color w:val="auto"/>
        </w:rPr>
      </w:pPr>
    </w:p>
    <w:p>
      <w:pPr>
        <w:ind w:left="320" w:right="400" w:hanging="317"/>
        <w:spacing w:after="0" w:line="282" w:lineRule="auto"/>
        <w:tabs>
          <w:tab w:leader="none" w:pos="33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multiple members of my household are stockholders but we only received one full set of proxy materials in the mail?</w:t>
      </w:r>
    </w:p>
    <w:p>
      <w:pPr>
        <w:spacing w:after="0" w:line="58" w:lineRule="exact"/>
        <w:rPr>
          <w:sz w:val="20"/>
          <w:szCs w:val="20"/>
          <w:color w:val="auto"/>
        </w:rPr>
      </w:pPr>
    </w:p>
    <w:p>
      <w:pPr>
        <w:ind w:left="320" w:hanging="317"/>
        <w:spacing w:after="0" w:line="270" w:lineRule="auto"/>
        <w:tabs>
          <w:tab w:leader="none" w:pos="3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mailing address for Axsome’s principal executive offices?</w:t>
      </w:r>
    </w:p>
    <w:p>
      <w:pPr>
        <w:spacing w:after="0" w:line="121" w:lineRule="exact"/>
        <w:rPr>
          <w:sz w:val="20"/>
          <w:szCs w:val="20"/>
          <w:color w:val="auto"/>
        </w:rPr>
      </w:pPr>
    </w:p>
    <w:p>
      <w:pPr>
        <w:ind w:left="320" w:right="480" w:hanging="317"/>
        <w:spacing w:after="0" w:line="277" w:lineRule="auto"/>
        <w:tabs>
          <w:tab w:leader="none" w:pos="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principal executive offices are located at 200 Broadway, 3</w:t>
      </w:r>
      <w:r>
        <w:rPr>
          <w:rFonts w:ascii="Arial" w:cs="Arial" w:eastAsia="Arial" w:hAnsi="Arial"/>
          <w:sz w:val="8"/>
          <w:szCs w:val="8"/>
          <w:color w:val="auto"/>
        </w:rPr>
        <w:t>rd</w:t>
      </w:r>
      <w:r>
        <w:rPr>
          <w:rFonts w:ascii="Arial" w:cs="Arial" w:eastAsia="Arial" w:hAnsi="Arial"/>
          <w:sz w:val="18"/>
          <w:szCs w:val="18"/>
          <w:color w:val="auto"/>
        </w:rPr>
        <w:t xml:space="preserve"> Floor, New York, New York 10038. The telephone number at that location is (212) 332-3241.</w:t>
      </w:r>
    </w:p>
    <w:p>
      <w:pPr>
        <w:spacing w:after="0" w:line="62" w:lineRule="exact"/>
        <w:rPr>
          <w:sz w:val="20"/>
          <w:szCs w:val="20"/>
          <w:color w:val="auto"/>
        </w:rPr>
      </w:pPr>
    </w:p>
    <w:p>
      <w:pPr>
        <w:jc w:val="both"/>
        <w:ind w:left="320" w:right="520"/>
        <w:spacing w:after="0" w:line="286" w:lineRule="auto"/>
        <w:rPr>
          <w:sz w:val="20"/>
          <w:szCs w:val="20"/>
          <w:color w:val="auto"/>
        </w:rPr>
      </w:pPr>
      <w:r>
        <w:rPr>
          <w:rFonts w:ascii="Arial" w:cs="Arial" w:eastAsia="Arial" w:hAnsi="Arial"/>
          <w:sz w:val="17"/>
          <w:szCs w:val="17"/>
          <w:color w:val="auto"/>
        </w:rPr>
        <w:t>Any written requests for additional information, copies of the proxy materials and 2018 Annual Report, notices of stockholder proposals, recommendations for candidates to our board of directors, communications to our board of directors or any other communications should be sent to the address above.</w:t>
      </w:r>
    </w:p>
    <w:p>
      <w:pPr>
        <w:spacing w:after="0" w:line="5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ANNUAL MEETING TO BE HELD ON JUNE 7, 2019.</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to stockholders is available at the AST proxy website.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Our board of directors is currently comprised of five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The term of office of our Class I director, Roger Jeffs, Ph.D., will expire at this year’s Annual Meeting. Your proxy cannot be voted for a greater number of persons than the number of nominees named in this proxy statement.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One Class I director has been nominated for election at the Annual Meeting for a three-year term expiring in 2022. Upon the recommendation of our nominating and governance committee, our board of directors has nominated Roger Jeffs, Ph.D. for election as a Class I director. The term of office of the nominee elected as director will continue until such director’s term expires in 2022 and until his successor has been duly elected and qualified.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 and Other Directors</w:t>
      </w:r>
    </w:p>
    <w:p>
      <w:pPr>
        <w:spacing w:after="0" w:line="81" w:lineRule="exact"/>
        <w:rPr>
          <w:sz w:val="20"/>
          <w:szCs w:val="20"/>
          <w:color w:val="auto"/>
        </w:rPr>
      </w:pPr>
    </w:p>
    <w:p>
      <w:pPr>
        <w:ind w:left="2380"/>
        <w:spacing w:after="0"/>
        <w:rPr>
          <w:sz w:val="20"/>
          <w:szCs w:val="20"/>
          <w:color w:val="auto"/>
        </w:rPr>
      </w:pPr>
      <w:r>
        <w:rPr>
          <w:rFonts w:ascii="Arial" w:cs="Arial" w:eastAsia="Arial" w:hAnsi="Arial"/>
          <w:sz w:val="18"/>
          <w:szCs w:val="18"/>
          <w:b w:val="1"/>
          <w:bCs w:val="1"/>
          <w:i w:val="1"/>
          <w:iCs w:val="1"/>
          <w:color w:val="auto"/>
        </w:rPr>
        <w:t>Nominee for Class I Director for a Term Expiring in 2022</w:t>
      </w:r>
    </w:p>
    <w:p>
      <w:pPr>
        <w:spacing w:after="0" w:line="9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contains information about the nominee as of the Record Date,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5400" w:type="dxa"/>
            <w:vAlign w:val="bottom"/>
          </w:tcPr>
          <w:p>
            <w:pPr>
              <w:ind w:left="126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156"/>
        </w:trPr>
        <w:tc>
          <w:tcPr>
            <w:tcW w:w="24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Roger Jeffs, Ph.D.</w:t>
            </w:r>
          </w:p>
        </w:tc>
        <w:tc>
          <w:tcPr>
            <w:tcW w:w="180" w:type="dxa"/>
            <w:vAlign w:val="bottom"/>
          </w:tcPr>
          <w:p>
            <w:pPr>
              <w:spacing w:after="0"/>
              <w:rPr>
                <w:sz w:val="13"/>
                <w:szCs w:val="13"/>
                <w:color w:val="auto"/>
              </w:rPr>
            </w:pPr>
          </w:p>
        </w:tc>
        <w:tc>
          <w:tcPr>
            <w:tcW w:w="420" w:type="dxa"/>
            <w:vAlign w:val="bottom"/>
            <w:tcBorders>
              <w:top w:val="single" w:sz="8" w:color="auto"/>
            </w:tcBorders>
          </w:tcPr>
          <w:p>
            <w:pPr>
              <w:jc w:val="right"/>
              <w:ind w:right="39"/>
              <w:spacing w:after="0" w:line="156"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3"/>
                <w:szCs w:val="13"/>
                <w:color w:val="auto"/>
              </w:rPr>
            </w:pPr>
          </w:p>
        </w:tc>
        <w:tc>
          <w:tcPr>
            <w:tcW w:w="540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w w:val="95"/>
              </w:rPr>
              <w:t>Dr. Jeffs has been a member of our board of directors since December</w:t>
            </w:r>
          </w:p>
        </w:tc>
      </w:tr>
      <w:tr>
        <w:trPr>
          <w:trHeight w:val="188"/>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rPr>
              <w:t>2014. Dr. Jeffs is the co-founder and co</w:t>
            </w:r>
            <w:r>
              <w:rPr>
                <w:rFonts w:ascii="MS PGothic" w:cs="MS PGothic" w:eastAsia="MS PGothic" w:hAnsi="MS PGothic"/>
                <w:sz w:val="18"/>
                <w:szCs w:val="18"/>
                <w:color w:val="auto"/>
              </w:rPr>
              <w:t>‑</w:t>
            </w:r>
            <w:r>
              <w:rPr>
                <w:rFonts w:ascii="Arial" w:cs="Arial" w:eastAsia="Arial" w:hAnsi="Arial"/>
                <w:sz w:val="18"/>
                <w:szCs w:val="18"/>
                <w:color w:val="auto"/>
              </w:rPr>
              <w:t>owner of Bull City Select</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6"/>
              </w:rPr>
              <w:t>Investments. Dr. Jeffs retired from United Therapeutics Corporation in</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2"/>
              </w:rPr>
              <w:t>2016, where he worked for 18 years. Dr. Jeffs joined United Therapeutics</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5"/>
              </w:rPr>
              <w:t>Corporation during its inception phase in 1998 as Director of Research,</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rPr>
              <w:t>Development, and Medical and served as its President and Chief</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7"/>
              </w:rPr>
              <w:t>Operating Officer from 2001 to 2014, and President and co-CEO from</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rPr>
              <w:t>2015-2016, and was a member of the Board of Directors from 2001</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0"/>
              </w:rPr>
              <w:t>through 2016. While at United Therapeutics, Dr. Jeffs helped lead the IPO,</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4"/>
              </w:rPr>
              <w:t>oversaw the clinical development and regulatory approval of 6 products</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rPr>
              <w:t>for rare diseases, and managed the commercial effort that led to a</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1"/>
              </w:rPr>
              <w:t>consistent &gt;20% CAGR and $1.5B revenue run rate. United Therapeutics</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1"/>
              </w:rPr>
              <w:t>was consistently recognized as one of the fastest growing companies and</w:t>
            </w:r>
          </w:p>
        </w:tc>
      </w:tr>
      <w:tr>
        <w:trPr>
          <w:trHeight w:val="23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best places to work during his tenure.</w:t>
            </w:r>
          </w:p>
        </w:tc>
      </w:tr>
      <w:tr>
        <w:trPr>
          <w:trHeight w:val="229"/>
        </w:trPr>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Dr. Jeffs previously held positions at Amgen, Inc. and Burroughs</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1"/>
              </w:rPr>
              <w:t>Wellcome Co. where he held roles in clinical development. Dr. Jeffs holds</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3"/>
              </w:rPr>
              <w:t>an undergraduate degree in chemistry from Duke University and a Ph.D.</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rPr>
              <w:t>in pharmacology from the University of North Carolina School of</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2"/>
              </w:rPr>
              <w:t>Medicine. Dr. Jeffs currently serves on the Board of Directors of Axovant,</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6"/>
              </w:rPr>
              <w:t>Dova Pharmaceuticals, Albireo Pharma, and Sangamo Therapeutics.;</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3"/>
              </w:rPr>
              <w:t>however, he will not be seeking re-election as a Director for Axovant and</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4"/>
              </w:rPr>
              <w:t>Sangamo in 2019, thereby reducing his public company directorships to</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5"/>
              </w:rPr>
              <w:t>three Boards. Dr. Jeffs’ scientific background and business experience,</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8"/>
              </w:rPr>
              <w:t>coupled with his experience as a chief executive officer of a publicly-</w:t>
            </w: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8"/>
                <w:szCs w:val="18"/>
                <w:color w:val="auto"/>
                <w:w w:val="96"/>
              </w:rPr>
              <w:t>traded biotechnology company, provide him with the qualifications and</w:t>
            </w:r>
          </w:p>
        </w:tc>
      </w:tr>
      <w:tr>
        <w:trPr>
          <w:trHeight w:val="230"/>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skills to serve as a director.</w:t>
            </w:r>
          </w:p>
        </w:tc>
      </w:tr>
    </w:tbl>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 A VOTE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CLASS I NOMINEE NAMED ABOVE.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Incumbent Class II Directors Whose Terms Expire in 2020</w:t>
      </w:r>
    </w:p>
    <w:p>
      <w:pPr>
        <w:sectPr>
          <w:pgSz w:w="11900" w:h="16838" w:orient="portrait"/>
          <w:cols w:equalWidth="0" w:num="1">
            <w:col w:w="9040"/>
          </w:cols>
          <w:pgMar w:left="1420" w:top="125" w:right="1439" w:bottom="1440" w:gutter="0" w:footer="0" w:header="0"/>
        </w:sectPr>
      </w:pP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224"/>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Myrtle Potter</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Mark Saad</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4474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right="300"/>
        <w:spacing w:after="0" w:line="249" w:lineRule="auto"/>
        <w:rPr>
          <w:sz w:val="20"/>
          <w:szCs w:val="20"/>
          <w:color w:val="auto"/>
        </w:rPr>
      </w:pPr>
      <w:r>
        <w:rPr>
          <w:rFonts w:ascii="Arial" w:cs="Arial" w:eastAsia="Arial" w:hAnsi="Arial"/>
          <w:sz w:val="16"/>
          <w:szCs w:val="16"/>
          <w:color w:val="auto"/>
        </w:rPr>
        <w:t>Ms. Potter has been a member of our board of directors since June 2017. Ms. Potter is the Chief Executive Officer and Founder of Myrtle Potter &amp; Company, a healthcare and life science advisory firm, which she founded in 2005. Ms. Potter previously served as the President, Commercial Operations and Chief Operating Officer of Genentech, Inc. from 2000 to 2005, where she also served on the Executive Committee and was Co-Chair of the Product Portfolio Committee. At Genentech, Ms. Potter led the commercialization of a number of products including Avastin™, Rituxan™, Herceptin™, Tarceva™, Xolair™, Nutropin™, Activase™, and TNkase™. Prior to joining Genentech, she held executive operating positions at Bristol-Myers Squibb Company and Merck &amp; Co., Inc. While at Merck, she started the joint venture entity Astra Merck Inc., which through merger, later became AstraZeneca plc. She began her career with Procter &amp; Gamble Co. Patient Care Products.</w:t>
      </w:r>
    </w:p>
    <w:p>
      <w:pPr>
        <w:spacing w:after="0" w:line="67" w:lineRule="exact"/>
        <w:rPr>
          <w:sz w:val="20"/>
          <w:szCs w:val="20"/>
          <w:color w:val="auto"/>
        </w:rPr>
      </w:pPr>
    </w:p>
    <w:p>
      <w:pPr>
        <w:ind w:right="220"/>
        <w:spacing w:after="0" w:line="222" w:lineRule="auto"/>
        <w:rPr>
          <w:sz w:val="20"/>
          <w:szCs w:val="20"/>
          <w:color w:val="auto"/>
        </w:rPr>
      </w:pPr>
      <w:r>
        <w:rPr>
          <w:rFonts w:ascii="Arial" w:cs="Arial" w:eastAsia="Arial" w:hAnsi="Arial"/>
          <w:sz w:val="18"/>
          <w:szCs w:val="18"/>
          <w:color w:val="auto"/>
        </w:rPr>
        <w:t>Ms. Potter currently serves on the Board of Directors of Axovant Sciences, Ltd., Liberty Mutual Holding Company, Inc., Myovant Sciences, Ltd., Urovant Sciences, Ltd., Proteus Digital Health, Inc., and Arbutus Biopharma Corporation. She is also on the Board of Trustees of The University of Chicago and previously served on the boards of Amazon.com, Inc., FoxHollow Technologies Inc., eV3, Inc., Medco Health Solutions, Inc., Express Scripts, Inc., Insmed Incorporated, and Rite Aid Corporation. Ms. Potter holds a Bachelor of Arts Degree from The University of Chicago. Ms. Potter’s years of experience in the biotechnology industry, including extensive commercial and operational experience leading pharmaceutical companies in bringing new therapies to market, provides her with the qualifications and skills to serve as a director.</w:t>
      </w:r>
    </w:p>
    <w:p>
      <w:pPr>
        <w:spacing w:after="0" w:line="77"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Mr. Saad has been a member of our board of directors since December 2014. Mr. Saad is currently a Partner and Chief Operating Officer of Alethea Capital Management, LLC, an asset management firm based in San Diego. Between August 2014 and February 2017, he served as the Chief Financial Officer of Bird Rock Bio, Inc., a clinical stage biopharmaceutical company focused on developing innovative immuno-inflammatory regulators. Previously, he served as Chief Financial Officer of Cytori Therapeutics from 2004 to 2014, where he was responsible for finance and accounting, business development, and other operating functions. Prior to Cytori, he served as Executive Director of UBS Investment Bank, where he was the Chief Operating Officer of the Global Healthcare Group. Prior to UBS, he was part of the Health Care Investment Banking Group at Salomon Smith Barney.</w:t>
      </w:r>
    </w:p>
    <w:p>
      <w:pPr>
        <w:spacing w:after="0" w:line="67" w:lineRule="exact"/>
        <w:rPr>
          <w:sz w:val="20"/>
          <w:szCs w:val="20"/>
          <w:color w:val="auto"/>
        </w:rPr>
      </w:pPr>
    </w:p>
    <w:p>
      <w:pPr>
        <w:ind w:right="520"/>
        <w:spacing w:after="0" w:line="242" w:lineRule="auto"/>
        <w:rPr>
          <w:sz w:val="20"/>
          <w:szCs w:val="20"/>
          <w:color w:val="auto"/>
        </w:rPr>
      </w:pPr>
      <w:r>
        <w:rPr>
          <w:rFonts w:ascii="Arial" w:cs="Arial" w:eastAsia="Arial" w:hAnsi="Arial"/>
          <w:sz w:val="17"/>
          <w:szCs w:val="17"/>
          <w:color w:val="auto"/>
        </w:rPr>
        <w:t>Mr. Saad currently serves on the Board of Directors of Ra Medical. Mr. Saad holds a Bachelor of Arts Degree from Villanova University. Through his years of experience as a chief financial officer, and his experience in the investment banking field, Mr. Saad provides valuable financial and leadership experience to the board.</w:t>
      </w:r>
    </w:p>
    <w:p>
      <w:pPr>
        <w:spacing w:after="0" w:line="200" w:lineRule="exact"/>
        <w:rPr>
          <w:sz w:val="20"/>
          <w:szCs w:val="20"/>
          <w:color w:val="auto"/>
        </w:rPr>
      </w:pPr>
    </w:p>
    <w:p>
      <w:pPr>
        <w:sectPr>
          <w:pgSz w:w="11900" w:h="16838" w:orient="portrait"/>
          <w:cols w:equalWidth="0" w:num="2">
            <w:col w:w="3240" w:space="160"/>
            <w:col w:w="5640"/>
          </w:cols>
          <w:pgMar w:left="1420" w:top="125" w:right="14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Incumbent Class III Directors Whose Terms Expire in 2021</w:t>
      </w:r>
    </w:p>
    <w:p>
      <w:pPr>
        <w:sectPr>
          <w:pgSz w:w="11900" w:h="16838" w:orient="portrait"/>
          <w:cols w:equalWidth="0" w:num="1">
            <w:col w:w="9039"/>
          </w:cols>
          <w:pgMar w:left="1420" w:top="125" w:right="1440" w:bottom="1440" w:gutter="0" w:footer="0" w:header="0"/>
        </w:sectPr>
      </w:pP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22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Herriot Tabuteau, M.D.</w:t>
            </w:r>
          </w:p>
        </w:tc>
        <w:tc>
          <w:tcPr>
            <w:tcW w:w="180" w:type="dxa"/>
            <w:vAlign w:val="bottom"/>
          </w:tcPr>
          <w:p>
            <w:pPr>
              <w:spacing w:after="0"/>
              <w:rPr>
                <w:sz w:val="19"/>
                <w:szCs w:val="19"/>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22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Coleman, M.D</w:t>
            </w:r>
          </w:p>
        </w:tc>
        <w:tc>
          <w:tcPr>
            <w:tcW w:w="180" w:type="dxa"/>
            <w:vAlign w:val="bottom"/>
          </w:tcPr>
          <w:p>
            <w:pPr>
              <w:spacing w:after="0"/>
              <w:rPr>
                <w:sz w:val="19"/>
                <w:szCs w:val="19"/>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430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right="379"/>
        <w:spacing w:after="0" w:line="246" w:lineRule="auto"/>
        <w:rPr>
          <w:sz w:val="20"/>
          <w:szCs w:val="20"/>
          <w:color w:val="auto"/>
        </w:rPr>
      </w:pPr>
      <w:r>
        <w:rPr>
          <w:rFonts w:ascii="Arial" w:cs="Arial" w:eastAsia="Arial" w:hAnsi="Arial"/>
          <w:sz w:val="16"/>
          <w:szCs w:val="16"/>
          <w:color w:val="auto"/>
        </w:rPr>
        <w:t>Dr. Tabuteau has served as our founder, Chief Executive Officer, and Chairman of our board of directors since our founding in January 2012. He is also the founder of Antecip Capital LLC (formerly Versant Capital Management LLC), one of our principal stockholders, for which</w:t>
      </w:r>
    </w:p>
    <w:p>
      <w:pPr>
        <w:spacing w:after="0" w:line="2" w:lineRule="exact"/>
        <w:rPr>
          <w:sz w:val="20"/>
          <w:szCs w:val="20"/>
          <w:color w:val="auto"/>
        </w:rPr>
      </w:pPr>
    </w:p>
    <w:p>
      <w:pPr>
        <w:ind w:right="219"/>
        <w:spacing w:after="0" w:line="250" w:lineRule="auto"/>
        <w:rPr>
          <w:sz w:val="20"/>
          <w:szCs w:val="20"/>
          <w:color w:val="auto"/>
        </w:rPr>
      </w:pPr>
      <w:r>
        <w:rPr>
          <w:rFonts w:ascii="Arial" w:cs="Arial" w:eastAsia="Arial" w:hAnsi="Arial"/>
          <w:sz w:val="16"/>
          <w:szCs w:val="16"/>
          <w:color w:val="auto"/>
        </w:rPr>
        <w:t>Dr. Tabuteau has been the managing member since 2003. Dr. Tabuteau is also the managing member of Antecip Bioventures II LLC. Prior to founding our company, Dr. Tabuteau was a Senior Analyst and Partner at Healthco/S.A.C. Capital (now known as HealthCor) where he was responsible for the biotechnology, genomics, and instrumentation portfolios. Previously, Dr. Tabuteau was the healthcare analyst at Kingdon Capital. Prior to that position, Dr. Tabuteau was a Senior Research Analyst at Banc of America Securities covering the hospital supplies sector. Prior to Banc of America, Dr. Tabuteau was part of the healthcare investment banking group at Goldman Sachs. Dr. Tabuteau earned his M.D. from Yale University School of Medicine and his Bachelor of Arts in molecular biology and biochemistry from Wesleyan University.</w:t>
      </w:r>
    </w:p>
    <w:p>
      <w:pPr>
        <w:spacing w:after="0" w:line="8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Principal Occupation and Business Experience</w:t>
      </w:r>
    </w:p>
    <w:p>
      <w:pPr>
        <w:spacing w:after="0" w:line="25" w:lineRule="exact"/>
        <w:rPr>
          <w:sz w:val="20"/>
          <w:szCs w:val="20"/>
          <w:color w:val="auto"/>
        </w:rPr>
      </w:pPr>
    </w:p>
    <w:p>
      <w:pPr>
        <w:ind w:right="259"/>
        <w:spacing w:after="0" w:line="248" w:lineRule="auto"/>
        <w:rPr>
          <w:sz w:val="20"/>
          <w:szCs w:val="20"/>
          <w:color w:val="auto"/>
        </w:rPr>
      </w:pPr>
      <w:r>
        <w:rPr>
          <w:rFonts w:ascii="Arial" w:cs="Arial" w:eastAsia="Arial" w:hAnsi="Arial"/>
          <w:sz w:val="16"/>
          <w:szCs w:val="16"/>
          <w:color w:val="auto"/>
        </w:rPr>
        <w:t>Dr. Coleman has been a member of our board of directors since December 2014. In addition, from 2012 to 2014, Dr. Coleman served as a consultant to us. Since 2005, Dr. Coleman is currently serving as the President of National Spine and Pain Centers, or NSPC, the nation’s largest interventional pain management group. His clinical duties include serving as the Medical Director of the Pikesville, Maryland branch. Dr. Coleman served as Director of Novel Therapies at NSPC from 2009 to 2011. NSPC routinely evaluates emerging treatments for pain through the conduct of clinical trials. Dr. Coleman is a Diplomat of the American Board of Anesthesiology in Anesthesiology and Pain Management. Dr. Coleman holds an M.D. from Johns Hopkins University School of Medicine and received his undergraduate degree from Wesleyan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-1440180</wp:posOffset>
            </wp:positionV>
            <wp:extent cx="3430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right="219"/>
        <w:spacing w:after="0" w:line="286" w:lineRule="auto"/>
        <w:rPr>
          <w:sz w:val="20"/>
          <w:szCs w:val="20"/>
          <w:color w:val="auto"/>
        </w:rPr>
      </w:pPr>
      <w:r>
        <w:rPr>
          <w:rFonts w:ascii="Arial" w:cs="Arial" w:eastAsia="Arial" w:hAnsi="Arial"/>
          <w:sz w:val="16"/>
          <w:szCs w:val="16"/>
          <w:color w:val="auto"/>
        </w:rPr>
        <w:t>Dr. Coleman’s medical background, particularly his specialized experience in the treatment of pain, make him qualified to serve on our board.</w:t>
      </w:r>
    </w:p>
    <w:p>
      <w:pPr>
        <w:spacing w:after="0" w:line="153" w:lineRule="exact"/>
        <w:rPr>
          <w:sz w:val="20"/>
          <w:szCs w:val="20"/>
          <w:color w:val="auto"/>
        </w:rPr>
      </w:pPr>
    </w:p>
    <w:p>
      <w:pPr>
        <w:sectPr>
          <w:pgSz w:w="11900" w:h="16838" w:orient="portrait"/>
          <w:cols w:equalWidth="0" w:num="2">
            <w:col w:w="3280" w:space="160"/>
            <w:col w:w="5599"/>
          </w:cols>
          <w:pgMar w:left="1420" w:top="125" w:right="1440" w:bottom="1440" w:gutter="0" w:footer="0" w:header="0"/>
          <w:type w:val="continuous"/>
        </w:sectPr>
      </w:pPr>
    </w:p>
    <w:p>
      <w:pPr>
        <w:ind w:right="139" w:firstLine="324"/>
        <w:spacing w:after="0" w:line="277" w:lineRule="auto"/>
        <w:rPr>
          <w:sz w:val="20"/>
          <w:szCs w:val="20"/>
          <w:color w:val="auto"/>
        </w:rPr>
      </w:pPr>
      <w:r>
        <w:rPr>
          <w:rFonts w:ascii="Arial" w:cs="Arial" w:eastAsia="Arial" w:hAnsi="Arial"/>
          <w:sz w:val="18"/>
          <w:szCs w:val="18"/>
          <w:color w:val="auto"/>
        </w:rPr>
        <w:t>There are no family relationships among any of our directors or executive officers. See “Corporate Governance” below for additional information regarding our board of directors.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PROPOSAL TWO</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RATIFICATION OF THE APPOINTMENT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audit committee has appointed the firm of Ernst &amp; Young LLP, independent registered public accountants, to audit our financial statements for the year ending December 31, 2019. Ernst &amp; Young LLP has audited our financial statements since the fiscal year ended December 31, 2013.</w:t>
      </w:r>
    </w:p>
    <w:p>
      <w:pPr>
        <w:spacing w:after="0" w:line="4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2019.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spacing w:after="0" w:line="4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If this proposal does not receive the affirmative approval of a majority of the votes cast on the proposal, the audit committee would reconsider the appointment.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all fees paid or accrued by us for professional audit services and other services rendered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 during the years ended December 31, 2018 and 2017:</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577,100</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Audit-Related Fees(2)</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Fees(4)</w:t>
            </w:r>
          </w:p>
        </w:tc>
        <w:tc>
          <w:tcPr>
            <w:tcW w:w="3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454,000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577,100</w:t>
            </w:r>
          </w:p>
        </w:tc>
      </w:tr>
      <w:tr>
        <w:trPr>
          <w:trHeight w:val="129"/>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121" w:lineRule="exact"/>
        <w:rPr>
          <w:sz w:val="20"/>
          <w:szCs w:val="20"/>
          <w:color w:val="auto"/>
        </w:rPr>
      </w:pPr>
    </w:p>
    <w:p>
      <w:pPr>
        <w:ind w:left="1000" w:right="880" w:hanging="315"/>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by Ernst &amp; Young LLP in connection with the audit of our financial statements, review of our quarterly financial statements, and related services that are normally provided in connection with statutory and regulatory filings or engagements.</w:t>
      </w:r>
    </w:p>
    <w:p>
      <w:pPr>
        <w:spacing w:after="0" w:line="78" w:lineRule="exact"/>
        <w:rPr>
          <w:rFonts w:ascii="Arial" w:cs="Arial" w:eastAsia="Arial" w:hAnsi="Arial"/>
          <w:sz w:val="18"/>
          <w:szCs w:val="18"/>
          <w:color w:val="auto"/>
        </w:rPr>
      </w:pPr>
    </w:p>
    <w:p>
      <w:pPr>
        <w:jc w:val="both"/>
        <w:ind w:left="1000" w:right="900" w:hanging="315"/>
        <w:spacing w:after="0" w:line="26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or review of our financial statements, including, but not limited to, the review of registration statements.</w:t>
      </w:r>
    </w:p>
    <w:p>
      <w:pPr>
        <w:spacing w:after="0" w:line="73" w:lineRule="exact"/>
        <w:rPr>
          <w:rFonts w:ascii="Arial" w:cs="Arial" w:eastAsia="Arial" w:hAnsi="Arial"/>
          <w:sz w:val="18"/>
          <w:szCs w:val="18"/>
          <w:color w:val="auto"/>
        </w:rPr>
      </w:pPr>
    </w:p>
    <w:p>
      <w:pPr>
        <w:ind w:left="1000" w:right="760" w:hanging="315"/>
        <w:spacing w:after="0" w:line="26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spacing w:after="0" w:line="73" w:lineRule="exact"/>
        <w:rPr>
          <w:rFonts w:ascii="Arial" w:cs="Arial" w:eastAsia="Arial" w:hAnsi="Arial"/>
          <w:sz w:val="18"/>
          <w:szCs w:val="18"/>
          <w:color w:val="auto"/>
        </w:rPr>
      </w:pPr>
    </w:p>
    <w:p>
      <w:pPr>
        <w:ind w:left="1000" w:right="780" w:hanging="315"/>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Fees: Consist of the aggregate fees billed for any other products and services performed by the principal accountant.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spacing w:after="0" w:line="81" w:lineRule="exact"/>
        <w:rPr>
          <w:sz w:val="20"/>
          <w:szCs w:val="20"/>
          <w:color w:val="auto"/>
        </w:rPr>
      </w:pPr>
    </w:p>
    <w:p>
      <w:pPr>
        <w:jc w:val="center"/>
        <w:ind w:left="1440" w:right="520"/>
        <w:spacing w:after="0" w:line="266" w:lineRule="auto"/>
        <w:rPr>
          <w:sz w:val="20"/>
          <w:szCs w:val="20"/>
          <w:color w:val="auto"/>
        </w:rPr>
      </w:pPr>
      <w:r>
        <w:rPr>
          <w:rFonts w:ascii="Arial" w:cs="Arial" w:eastAsia="Arial" w:hAnsi="Arial"/>
          <w:sz w:val="18"/>
          <w:szCs w:val="18"/>
          <w:b w:val="1"/>
          <w:bCs w:val="1"/>
          <w:color w:val="auto"/>
        </w:rPr>
        <w:t>OUR BOARD OF DIRECTORS UNANIMOUSLY RECOMMENDS A VOTE “FOR” RATIFICATION OF THE APPOINTMENT OF ERNST &amp; YOUNG LLP AS OUR INDEPENDENT REGISTERED PUBLIC ACCOUNTING FIRM FOR THE YEAR ENDING DECEMBER 31, 2019.</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board of directors currently consists of five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listing requirements and rules of the Nasdaq Global Market, or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spacing w:after="0" w:line="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5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a result of this review, our board of directors determined that Dr. Coleman, Dr. Jeffs, Ms. Potter,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5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Ms. Potter, and Mr. Saad qualify as an independent director pursuant to Rule 10A-3.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positions of Chief Executive Officer and Chairman of the Board are both currently held by Dr. Tabuteau. Our board of directors has also appointed a Lead Director, Dr. Jeffs.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the board of our directors, and our company’s strong corporate governance policies and procedures.</w:t>
      </w:r>
    </w:p>
    <w:p>
      <w:pPr>
        <w:spacing w:after="0" w:line="6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7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Dr. Coleman, Dr. Jeffs, Ms. Potter, and Mr. Saad currently serve on the audit committee,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chaired by Mr. Saad. Our board of directors has 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2018. The audit committee’s responsibilities include:</w:t>
      </w:r>
    </w:p>
    <w:p>
      <w:pPr>
        <w:spacing w:after="0" w:line="71" w:lineRule="exact"/>
        <w:rPr>
          <w:sz w:val="20"/>
          <w:szCs w:val="20"/>
          <w:color w:val="auto"/>
        </w:rPr>
      </w:pPr>
    </w:p>
    <w:p>
      <w:pPr>
        <w:ind w:left="660" w:right="300" w:hanging="333"/>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62" w:lineRule="exact"/>
        <w:rPr>
          <w:rFonts w:ascii="Arial" w:cs="Arial" w:eastAsia="Arial" w:hAnsi="Arial"/>
          <w:sz w:val="18"/>
          <w:szCs w:val="18"/>
          <w:color w:val="auto"/>
        </w:rPr>
      </w:pPr>
    </w:p>
    <w:p>
      <w:pPr>
        <w:ind w:left="660" w:right="320" w:hanging="333"/>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660" w:right="920" w:hanging="333"/>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the overall audit plan with the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ind w:left="660" w:right="20" w:hanging="333"/>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5" w:lineRule="exact"/>
        <w:rPr>
          <w:rFonts w:ascii="Arial" w:cs="Arial" w:eastAsia="Arial" w:hAnsi="Arial"/>
          <w:sz w:val="16"/>
          <w:szCs w:val="16"/>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establishing policies and procedures for the receipt and retention of accounting-related complaints and concerns;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660" w:right="180" w:hanging="333"/>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73" w:lineRule="exact"/>
        <w:rPr>
          <w:rFonts w:ascii="Arial" w:cs="Arial" w:eastAsia="Arial" w:hAnsi="Arial"/>
          <w:sz w:val="18"/>
          <w:szCs w:val="18"/>
          <w:color w:val="auto"/>
        </w:rPr>
      </w:pPr>
    </w:p>
    <w:p>
      <w:pPr>
        <w:ind w:left="660" w:right="220" w:hanging="333"/>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17" w:lineRule="exact"/>
        <w:rPr>
          <w:rFonts w:ascii="Arial" w:cs="Arial" w:eastAsia="Arial" w:hAnsi="Arial"/>
          <w:sz w:val="18"/>
          <w:szCs w:val="18"/>
          <w:color w:val="auto"/>
        </w:rPr>
      </w:pPr>
    </w:p>
    <w:p>
      <w:pPr>
        <w:ind w:left="660" w:right="780" w:hanging="333"/>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11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Dr. Coleman, Dr. Jeffs, Ms. Potter, and Mr. Saad currently serve on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which is chaired by Ms. Potter. Dr. Jeffs served as chairman of the compensation committee from June 2016 until he was replaced as chairman by Ms. Potter in June 2017. Our 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in person or by phone three times during the year ended December 31, 2018. The compensation committee’s responsibilities include:</w:t>
      </w:r>
    </w:p>
    <w:p>
      <w:pPr>
        <w:spacing w:after="0" w:line="58" w:lineRule="exact"/>
        <w:rPr>
          <w:sz w:val="20"/>
          <w:szCs w:val="20"/>
          <w:color w:val="auto"/>
        </w:rPr>
      </w:pPr>
    </w:p>
    <w:p>
      <w:pPr>
        <w:ind w:left="660" w:right="4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annually reviewing and making recommendations to the board of directors with respect to corporate goals and objectives relevant to the compensation of our chief executive officer;</w:t>
      </w:r>
    </w:p>
    <w:p>
      <w:pPr>
        <w:spacing w:after="0" w:line="62" w:lineRule="exact"/>
        <w:rPr>
          <w:rFonts w:ascii="Arial" w:cs="Arial" w:eastAsia="Arial" w:hAnsi="Arial"/>
          <w:sz w:val="18"/>
          <w:szCs w:val="18"/>
          <w:color w:val="auto"/>
        </w:rPr>
      </w:pPr>
    </w:p>
    <w:p>
      <w:pPr>
        <w:ind w:left="660" w:right="40" w:hanging="333"/>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15" w:lineRule="exact"/>
        <w:rPr>
          <w:rFonts w:ascii="Arial" w:cs="Arial" w:eastAsia="Arial" w:hAnsi="Arial"/>
          <w:sz w:val="16"/>
          <w:szCs w:val="16"/>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117" w:lineRule="exact"/>
        <w:rPr>
          <w:rFonts w:ascii="Arial" w:cs="Arial" w:eastAsia="Arial" w:hAnsi="Arial"/>
          <w:sz w:val="18"/>
          <w:szCs w:val="18"/>
          <w:color w:val="auto"/>
        </w:rPr>
      </w:pPr>
    </w:p>
    <w:p>
      <w:pPr>
        <w:ind w:left="660" w:right="140" w:hanging="333"/>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 which we will be required to include at such time as we are determined to no longer qualify as an “emerging growth company”;</w:t>
      </w:r>
    </w:p>
    <w:p>
      <w:pPr>
        <w:spacing w:after="0" w:line="73" w:lineRule="exact"/>
        <w:rPr>
          <w:rFonts w:ascii="Arial" w:cs="Arial" w:eastAsia="Arial" w:hAnsi="Arial"/>
          <w:sz w:val="18"/>
          <w:szCs w:val="18"/>
          <w:color w:val="auto"/>
        </w:rPr>
      </w:pPr>
    </w:p>
    <w:p>
      <w:pPr>
        <w:ind w:left="660" w:right="1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discussing with the board of directors corporate succession plans for the chief executive officer and other key officers; and</w:t>
      </w:r>
    </w:p>
    <w:p>
      <w:pPr>
        <w:spacing w:after="0" w:line="62"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hiring third party compensation consultants to review and make recommendations on the compensation of directors, executive officers and other key officers.</w:t>
      </w:r>
    </w:p>
    <w:p>
      <w:pPr>
        <w:spacing w:after="0" w:line="6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During the year ended December 31, 2018 and December 31, 2017, our compensation committee retained Frederick W. Cook &amp; Co., or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Dr. Coleman, Dr. Jeffs, Ms. Potter, and Mr. Saad currently serve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nominating and corporate governance 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did not meet during the year ended December 31, 2018, however, the committee members did meet informally during meetings of the full board of directors to discuss particular candidates and matters related to corporate governance. The nominating and corporate governance committee’s responsibilities include:</w:t>
      </w:r>
    </w:p>
    <w:p>
      <w:pPr>
        <w:spacing w:after="0" w:line="59" w:lineRule="exact"/>
        <w:rPr>
          <w:sz w:val="20"/>
          <w:szCs w:val="20"/>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17" w:lineRule="exact"/>
        <w:rPr>
          <w:rFonts w:ascii="Arial" w:cs="Arial" w:eastAsia="Arial" w:hAnsi="Arial"/>
          <w:sz w:val="18"/>
          <w:szCs w:val="18"/>
          <w:color w:val="auto"/>
        </w:rPr>
      </w:pPr>
    </w:p>
    <w:p>
      <w:pPr>
        <w:ind w:left="660" w:right="96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stockholders;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660" w:right="42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 of director’s committees;</w:t>
      </w:r>
    </w:p>
    <w:p>
      <w:pPr>
        <w:spacing w:after="0" w:line="62" w:lineRule="exact"/>
        <w:rPr>
          <w:rFonts w:ascii="Arial" w:cs="Arial" w:eastAsia="Arial" w:hAnsi="Arial"/>
          <w:sz w:val="18"/>
          <w:szCs w:val="18"/>
          <w:color w:val="auto"/>
        </w:rPr>
      </w:pPr>
    </w:p>
    <w:p>
      <w:pPr>
        <w:ind w:left="660" w:right="6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w:t>
      </w:r>
    </w:p>
    <w:p>
      <w:pPr>
        <w:spacing w:after="0" w:line="62" w:lineRule="exact"/>
        <w:rPr>
          <w:rFonts w:ascii="Arial" w:cs="Arial" w:eastAsia="Arial" w:hAnsi="Arial"/>
          <w:sz w:val="18"/>
          <w:szCs w:val="18"/>
          <w:color w:val="auto"/>
        </w:rPr>
      </w:pPr>
    </w:p>
    <w:p>
      <w:pPr>
        <w:ind w:left="660" w:right="62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 mechanism by which violations of the code of business conduct and ethics can be reported in a confidential manner;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full board of directors met in person or by phone five times during the year ended December 31, 2018 and then also acted by written consent during the year as needed. No director attended fewer than 75% of the total number of meetings of the board of directors and of any committees of the board of directors of which he or she was a member during our year ended December 31, 2018.</w:t>
      </w:r>
    </w:p>
    <w:p>
      <w:pPr>
        <w:spacing w:after="0" w:line="7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It is our policy that directors are invited and encouraged to attend our annual meetings of stockholders. We have scheduled our Annual Meeting on the same day as a regularly scheduled board of directors meeting in order to facilitate attendance by the members of our board of directors. All of our directors at the time of our 2018 annual meeting of stockholders attended the 2018 annual meeting of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sexual orientation, disability or any other basis proscribed by law.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During our fiscal year ended December 31, 2018, our non-employee directors earned options to purchase shares of our common stock under our 2015 Omnibus Incentive Compensation Plan, which will be granted after the Annual Meeting. All members of the board of directors, with the exception of Ms. Potter, elected to receive options to purchase shares of our common stock in lieu of the fees earned in cash in 2018, which options were granted in March 2019. A non-employee director is a director who is not employed by us and who does not receive compensation from us (other than for services as a director) or have a business relationship with us that would require disclosure under certain SEC rules. Dr. Tabuteau, our Chief Executive Officer and Chairman of our board of directors, did not receive any compensation from us during our fiscal year ended December 31, 2018 for his service as a director and is not included in the table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Fees Earned</w:t>
            </w:r>
          </w:p>
        </w:tc>
        <w:tc>
          <w:tcPr>
            <w:tcW w:w="140" w:type="dxa"/>
            <w:vAlign w:val="bottom"/>
          </w:tcPr>
          <w:p>
            <w:pPr>
              <w:spacing w:after="0"/>
              <w:rPr>
                <w:sz w:val="14"/>
                <w:szCs w:val="14"/>
                <w:color w:val="auto"/>
              </w:rPr>
            </w:pP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 Cash(1)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Awards(2)(3)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Jeffs, Ph.D.</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99,380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Mark Coleman, M.D.</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51,500</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29,380 (5)</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ind w:left="100"/>
              <w:spacing w:after="0"/>
              <w:rPr>
                <w:sz w:val="20"/>
                <w:szCs w:val="20"/>
                <w:color w:val="auto"/>
              </w:rPr>
            </w:pPr>
            <w:r>
              <w:rPr>
                <w:rFonts w:ascii="Arial" w:cs="Arial" w:eastAsia="Arial" w:hAnsi="Arial"/>
                <w:sz w:val="18"/>
                <w:szCs w:val="18"/>
                <w:color w:val="auto"/>
                <w:w w:val="94"/>
              </w:rPr>
              <w:t>80,880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 Saad</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29,380 (6)</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88,380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Myrtle Potter</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38,060 (7)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ind w:left="100"/>
              <w:spacing w:after="0"/>
              <w:rPr>
                <w:sz w:val="20"/>
                <w:szCs w:val="20"/>
                <w:color w:val="auto"/>
              </w:rPr>
            </w:pPr>
            <w:r>
              <w:rPr>
                <w:rFonts w:ascii="Arial" w:cs="Arial" w:eastAsia="Arial" w:hAnsi="Arial"/>
                <w:sz w:val="18"/>
                <w:szCs w:val="18"/>
                <w:color w:val="auto"/>
                <w:w w:val="94"/>
              </w:rPr>
              <w:t>94,560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7" w:lineRule="exact"/>
        <w:rPr>
          <w:sz w:val="20"/>
          <w:szCs w:val="20"/>
          <w:color w:val="auto"/>
        </w:rPr>
      </w:pPr>
    </w:p>
    <w:p>
      <w:pPr>
        <w:ind w:left="320" w:right="200" w:hanging="317"/>
        <w:spacing w:after="0" w:line="235"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members of the board of directors, other than Ms. Potter, have elected to receive options to purchase our common stock in lieu of the fees earned in cash in 2018. The options have a grant date fair value that is equal to the value of the fees earned in cash in 2018. These grants were made in March 2019.</w:t>
      </w:r>
    </w:p>
    <w:p>
      <w:pPr>
        <w:spacing w:after="0" w:line="26" w:lineRule="exact"/>
        <w:rPr>
          <w:rFonts w:ascii="Arial" w:cs="Arial" w:eastAsia="Arial" w:hAnsi="Arial"/>
          <w:sz w:val="18"/>
          <w:szCs w:val="18"/>
          <w:color w:val="auto"/>
        </w:rPr>
      </w:pPr>
    </w:p>
    <w:p>
      <w:pPr>
        <w:ind w:left="320" w:right="40" w:hanging="317"/>
        <w:spacing w:after="0" w:line="227"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ind w:left="320" w:right="40" w:hanging="317"/>
        <w:spacing w:after="0" w:line="227"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June 2018, each member of the board of directors received an annual option grant of 13,000 options for service as a board member, which options vest in full on the one-year anniversary of the date of grant. Because Ms. Potter had recently become a member of the board of directors, she received an additional one-time grant of 4,000 options as the Compensation Committee had approved an increase in the number of options to be granted to new board members. One-third of the additional options vested in June 2018, with the remaining options vesting in one-third installments in June 2019 and June 2020, respectively.</w:t>
      </w:r>
    </w:p>
    <w:p>
      <w:pPr>
        <w:spacing w:after="0" w:line="27" w:lineRule="exact"/>
        <w:rPr>
          <w:rFonts w:ascii="Arial" w:cs="Arial" w:eastAsia="Arial" w:hAnsi="Arial"/>
          <w:sz w:val="18"/>
          <w:szCs w:val="18"/>
          <w:color w:val="auto"/>
        </w:rPr>
      </w:pPr>
    </w:p>
    <w:p>
      <w:pPr>
        <w:ind w:left="320" w:hanging="31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option awards held by Dr. Jeffs as of December 31, 2018 is 81,940.</w:t>
      </w:r>
    </w:p>
    <w:p>
      <w:pPr>
        <w:spacing w:after="0" w:line="49" w:lineRule="exact"/>
        <w:rPr>
          <w:rFonts w:ascii="Arial" w:cs="Arial" w:eastAsia="Arial" w:hAnsi="Arial"/>
          <w:sz w:val="18"/>
          <w:szCs w:val="18"/>
          <w:color w:val="auto"/>
        </w:rPr>
      </w:pPr>
    </w:p>
    <w:p>
      <w:pPr>
        <w:ind w:left="320" w:hanging="31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option awards held by Dr. Coleman as of December 31, 2018 is 157,496.</w:t>
      </w:r>
    </w:p>
    <w:p>
      <w:pPr>
        <w:spacing w:after="0" w:line="49" w:lineRule="exact"/>
        <w:rPr>
          <w:rFonts w:ascii="Arial" w:cs="Arial" w:eastAsia="Arial" w:hAnsi="Arial"/>
          <w:sz w:val="18"/>
          <w:szCs w:val="18"/>
          <w:color w:val="auto"/>
        </w:rPr>
      </w:pPr>
    </w:p>
    <w:p>
      <w:pPr>
        <w:ind w:left="320" w:hanging="31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option awards held by Mr. Saad as of December 31, 2018 is 114,322.</w:t>
      </w:r>
    </w:p>
    <w:p>
      <w:pPr>
        <w:spacing w:after="0" w:line="49" w:lineRule="exact"/>
        <w:rPr>
          <w:rFonts w:ascii="Arial" w:cs="Arial" w:eastAsia="Arial" w:hAnsi="Arial"/>
          <w:sz w:val="18"/>
          <w:szCs w:val="18"/>
          <w:color w:val="auto"/>
        </w:rPr>
      </w:pPr>
    </w:p>
    <w:p>
      <w:pPr>
        <w:ind w:left="320" w:hanging="31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option awards held by Ms. Potter as of December 31, 2018 is 47,197.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w:t>
      </w:r>
    </w:p>
    <w:p>
      <w:pPr>
        <w:spacing w:after="0" w:line="11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During our fiscal year ended December 31, 2018, each of our non-employee directors received the following cash compensation for board services, as applicable: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Annual Compensation for Service as:</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Dr. Jeffs</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Dr. Coleman</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Mr. Saad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Ms. Potter</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member: $35,000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Lead Director: $15,000</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 $7,500</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Chairman of the audit committee: $15,000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 $5,000</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64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Chairman of the compensation committee: $10,000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 $4,000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w w:val="94"/>
              </w:rPr>
              <w:t>Chairman of the nominating and corporate governance committee: $7,500</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70,000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$51,500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59,000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56,500</w:t>
            </w: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addition, each of our non-employee directors receive an annual equity grant of 13,000 options per year for service as a member of the board of directors, and all new directors receive an initial equity grant of 26,000 options.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retainers are prorated for any portion of a year to which they apply for each non-employee director.</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non-employee director may elect to receive, in lieu of such cash compensation, options to purchase shares of our common stock, with an exercise price per share equal to the fair market value of our common stock on the date of such grant. Such options will be granted at the same time as all executive officer annual option grants, which will be on the close of business on the third trading day following the filing of our Annual Report on Form 10-K for each recently completed fiscal year. The annual equity grants to the directors will be made on the close of business on the date of the annual meeting. We will also continue to reimburse our non-employee directors for their reasonable out-of-pocket expenses incurred in attending board and committee meetings.</w:t>
      </w:r>
    </w:p>
    <w:p>
      <w:pPr>
        <w:spacing w:after="0" w:line="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March 2019, all of our non-employee directors were granted options to purchase shares of our common stock in lieu of the fees earned in cash in 2018, with the exception of Ms. Potter, who elected to receive her fees earned in cash. Such options were granted at an exercise price equal to $12.95 and were immediately vested and exercisable.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Arrangements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79" w:lineRule="exact"/>
        <w:rPr>
          <w:sz w:val="20"/>
          <w:szCs w:val="20"/>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unlawful payments related to dividends or unlawful stock repurchases, redemptions or other distributions; or</w:t>
      </w:r>
    </w:p>
    <w:p>
      <w:pPr>
        <w:spacing w:after="0" w:line="140" w:lineRule="exact"/>
        <w:rPr>
          <w:rFonts w:ascii="Arial" w:cs="Arial" w:eastAsia="Arial" w:hAnsi="Arial"/>
          <w:sz w:val="16"/>
          <w:szCs w:val="16"/>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our amended and restated bylaws provide that:</w:t>
      </w:r>
    </w:p>
    <w:p>
      <w:pPr>
        <w:spacing w:after="0" w:line="117" w:lineRule="exact"/>
        <w:rPr>
          <w:sz w:val="20"/>
          <w:szCs w:val="20"/>
          <w:color w:val="auto"/>
        </w:rPr>
      </w:pPr>
    </w:p>
    <w:p>
      <w:pPr>
        <w:ind w:left="660" w:right="280" w:hanging="333"/>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and</w:t>
      </w:r>
    </w:p>
    <w:p>
      <w:pPr>
        <w:spacing w:after="0" w:line="62" w:lineRule="exact"/>
        <w:rPr>
          <w:rFonts w:ascii="Arial" w:cs="Arial" w:eastAsia="Arial" w:hAnsi="Arial"/>
          <w:sz w:val="18"/>
          <w:szCs w:val="18"/>
          <w:color w:val="auto"/>
        </w:rPr>
      </w:pPr>
    </w:p>
    <w:p>
      <w:pPr>
        <w:ind w:left="660" w:right="200" w:hanging="333"/>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advance expenses, including attorneys’ fees, to our directors and, in the discretion of our board of directors, to our officers and certain employees, in connection with legal proceedings, subject to limited exceptions.</w:t>
      </w:r>
    </w:p>
    <w:p>
      <w:pPr>
        <w:spacing w:after="0" w:line="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8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5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OFFICERS &amp; KEY PERSONNEL</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following table provides information concerning our executive officers and key personnel as of the Record Date: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484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2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i w:val="1"/>
                <w:iCs w:val="1"/>
                <w:color w:val="auto"/>
              </w:rPr>
              <w:t>Executive Officers</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40" w:type="dxa"/>
            <w:vAlign w:val="bottom"/>
            <w:tcBorders>
              <w:top w:val="single" w:sz="8" w:color="auto"/>
            </w:tcBorders>
            <w:shd w:val="clear" w:color="auto" w:fill="CCEEFF"/>
          </w:tcPr>
          <w:p>
            <w:pPr>
              <w:spacing w:after="0"/>
              <w:rPr>
                <w:sz w:val="17"/>
                <w:szCs w:val="17"/>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Herriot Tabuteau, M.D.</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50</w:t>
            </w: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w w:val="97"/>
              </w:rPr>
              <w:t>Chief Executive Officer, President, and Chairman of the Board</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Nick Pizzie, CPA, M.B.A.</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44</w:t>
            </w: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Key Personnel</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Cedric O’Gorman, M.D., M.B.A.</w:t>
            </w:r>
          </w:p>
        </w:tc>
        <w:tc>
          <w:tcPr>
            <w:tcW w:w="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44</w:t>
            </w: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Senior Vice President, Clinical Development and Medical Affairs</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Mark Jacobson, M.A.</w:t>
            </w:r>
          </w:p>
        </w:tc>
        <w:tc>
          <w:tcPr>
            <w:tcW w:w="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35</w:t>
            </w: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Operations and Secretary</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99" w:firstLine="324"/>
        <w:spacing w:after="0" w:line="342" w:lineRule="auto"/>
        <w:rPr>
          <w:sz w:val="20"/>
          <w:szCs w:val="20"/>
          <w:color w:val="auto"/>
        </w:rPr>
      </w:pPr>
      <w:r>
        <w:rPr>
          <w:rFonts w:ascii="Arial" w:cs="Arial" w:eastAsia="Arial" w:hAnsi="Arial"/>
          <w:sz w:val="16"/>
          <w:szCs w:val="16"/>
          <w:i w:val="1"/>
          <w:iCs w:val="1"/>
          <w:color w:val="auto"/>
        </w:rPr>
        <w:t xml:space="preserve">Herriot Tabuteau, M.D. </w:t>
      </w:r>
      <w:r>
        <w:rPr>
          <w:rFonts w:ascii="Arial" w:cs="Arial" w:eastAsia="Arial" w:hAnsi="Arial"/>
          <w:sz w:val="16"/>
          <w:szCs w:val="16"/>
          <w:color w:val="auto"/>
        </w:rPr>
        <w:t>Please see Dr. Tabuteau’s biography on page 9 of this proxy statement under the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“Proposal One—Election of Director—Incumbent Class III Directors Whose Terms Expire in 2021.”</w:t>
      </w:r>
    </w:p>
    <w:p>
      <w:pPr>
        <w:spacing w:after="0" w:line="16" w:lineRule="exact"/>
        <w:rPr>
          <w:sz w:val="20"/>
          <w:szCs w:val="20"/>
          <w:color w:val="auto"/>
        </w:rPr>
      </w:pPr>
    </w:p>
    <w:p>
      <w:pPr>
        <w:ind w:right="419" w:firstLine="324"/>
        <w:spacing w:after="0" w:line="293" w:lineRule="auto"/>
        <w:rPr>
          <w:sz w:val="20"/>
          <w:szCs w:val="20"/>
          <w:color w:val="auto"/>
        </w:rPr>
      </w:pPr>
      <w:r>
        <w:rPr>
          <w:rFonts w:ascii="Arial" w:cs="Arial" w:eastAsia="Arial" w:hAnsi="Arial"/>
          <w:sz w:val="16"/>
          <w:szCs w:val="16"/>
          <w:i w:val="1"/>
          <w:iCs w:val="1"/>
          <w:color w:val="auto"/>
        </w:rPr>
        <w:t xml:space="preserve">Nick Pizzie, CPA, M.B.A. </w:t>
      </w:r>
      <w:r>
        <w:rPr>
          <w:rFonts w:ascii="Arial" w:cs="Arial" w:eastAsia="Arial" w:hAnsi="Arial"/>
          <w:sz w:val="16"/>
          <w:szCs w:val="16"/>
          <w:color w:val="auto"/>
        </w:rPr>
        <w:t>Mr. Pizzie has served as our Chief Financial Officer since May 2018.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Axsome, Mr. Pizzie 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where he served as staff auditor. He earned his Bachelor of Science in Accounting, Bachelor of Arts in Economics, and Master of Business Administration in Finance, and Supply Chain Logistics, from Rutgers University.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121" w:lineRule="exact"/>
        <w:rPr>
          <w:sz w:val="20"/>
          <w:szCs w:val="20"/>
          <w:color w:val="auto"/>
        </w:rPr>
      </w:pPr>
    </w:p>
    <w:p>
      <w:pPr>
        <w:ind w:right="39" w:firstLine="324"/>
        <w:spacing w:after="0" w:line="271" w:lineRule="auto"/>
        <w:rPr>
          <w:sz w:val="20"/>
          <w:szCs w:val="20"/>
          <w:color w:val="auto"/>
        </w:rPr>
      </w:pPr>
      <w:r>
        <w:rPr>
          <w:rFonts w:ascii="Arial" w:cs="Arial" w:eastAsia="Arial" w:hAnsi="Arial"/>
          <w:sz w:val="17"/>
          <w:szCs w:val="17"/>
          <w:i w:val="1"/>
          <w:iCs w:val="1"/>
          <w:color w:val="auto"/>
        </w:rPr>
        <w:t xml:space="preserve">Cedric O’Gorman, M.D., M.B.A. </w:t>
      </w:r>
      <w:r>
        <w:rPr>
          <w:rFonts w:ascii="Arial" w:cs="Arial" w:eastAsia="Arial" w:hAnsi="Arial"/>
          <w:sz w:val="17"/>
          <w:szCs w:val="17"/>
          <w:color w:val="auto"/>
        </w:rPr>
        <w:t>Dr. O’Gorman has served as our Senior Vice President, Clinical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Affairs since September 2017. Prior to joining us, Dr. O’Gorman was the Vice President of Medical Affairs at Intra-Cellular Therapies since December 2014. Before that, Dr. O’Gorman was the U.S. medical lead for psychiatry at Genentech/Roche. Prior to Genentech/Roche, Dr. O’Gorman spent 5 years at Pfizer representing medical affairs on several branded neuroscience products including Geodon for schizophrenia and bipolar disorder, and Pristiq for major depressive disorder. Dr. O’Gorman received his medical degree from the National University of Ireland, in Galway, Ireland, trained at the Institute of Psychiatry, in London, England, and earned his Master of Business Administration from the New York University Stern School of Business.</w:t>
      </w:r>
    </w:p>
    <w:p>
      <w:pPr>
        <w:spacing w:after="0" w:line="71" w:lineRule="exact"/>
        <w:rPr>
          <w:sz w:val="20"/>
          <w:szCs w:val="20"/>
          <w:color w:val="auto"/>
        </w:rPr>
      </w:pPr>
    </w:p>
    <w:p>
      <w:pPr>
        <w:ind w:right="19" w:firstLine="324"/>
        <w:spacing w:after="0" w:line="289" w:lineRule="auto"/>
        <w:rPr>
          <w:sz w:val="20"/>
          <w:szCs w:val="20"/>
          <w:color w:val="auto"/>
        </w:rPr>
      </w:pPr>
      <w:r>
        <w:rPr>
          <w:rFonts w:ascii="Arial" w:cs="Arial" w:eastAsia="Arial" w:hAnsi="Arial"/>
          <w:sz w:val="16"/>
          <w:szCs w:val="16"/>
          <w:i w:val="1"/>
          <w:iCs w:val="1"/>
          <w:color w:val="auto"/>
        </w:rPr>
        <w:t xml:space="preserve">Mark Jacobson, M.A. </w:t>
      </w:r>
      <w:r>
        <w:rPr>
          <w:rFonts w:ascii="Arial" w:cs="Arial" w:eastAsia="Arial" w:hAnsi="Arial"/>
          <w:sz w:val="16"/>
          <w:szCs w:val="16"/>
          <w:color w:val="auto"/>
        </w:rPr>
        <w:t>Mr. Jacobson has served as our Senior Vice President, Operations since September 2017, when</w:t>
      </w:r>
      <w:r>
        <w:rPr>
          <w:rFonts w:ascii="Arial" w:cs="Arial" w:eastAsia="Arial" w:hAnsi="Arial"/>
          <w:sz w:val="16"/>
          <w:szCs w:val="16"/>
          <w:i w:val="1"/>
          <w:iCs w:val="1"/>
          <w:color w:val="auto"/>
        </w:rPr>
        <w:t xml:space="preserve"> </w:t>
      </w:r>
      <w:r>
        <w:rPr>
          <w:rFonts w:ascii="Arial" w:cs="Arial" w:eastAsia="Arial" w:hAnsi="Arial"/>
          <w:sz w:val="16"/>
          <w:szCs w:val="16"/>
          <w:color w:val="auto"/>
        </w:rPr>
        <w:t>he was promoted from his role as our Vice President, Operations, which he had been serving as since October 2015. Prior to that, Mr. Jacobson served as our Senior Director of Operations from April 2014 until October 2015. Prior to joining Axsome, he was Director of Corporate Development at Stemline Therapeutics, Inc., where he played a critical role in advancing the company from a three-person team in 2010 to the successful completion of an initial public offering and secondary public offering in 2013, which together raised approximately $100 million for the company. While at Stemline, Mr. Jacobson’s responsibilities spanned investor relations, public relations, corporate operations,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following table provides information concerning the compensation paid to our Chief Executive Officer and Chief Financial Officer, as well as our former Chief Financial Officer, for the fiscal years ended December 31, 2018 and December 31, 2017. We refer to these individuals as our named executive officers.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Non-equity</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plan</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b w:val="1"/>
                <w:bCs w:val="1"/>
                <w:color w:val="auto"/>
              </w:rPr>
              <w:t>)</w:t>
            </w: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($)(7)</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2018</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435,000</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361,425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261,000</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1"/>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1,057,425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2017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435,000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488,252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1,123,352</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Chairman of the Board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Nick Pizzie, CPA, M.B.A.</w:t>
            </w:r>
          </w:p>
        </w:tc>
        <w:tc>
          <w:tcPr>
            <w:tcW w:w="120" w:type="dxa"/>
            <w:vAlign w:val="bottom"/>
          </w:tcPr>
          <w:p>
            <w:pPr>
              <w:spacing w:after="0"/>
              <w:rPr>
                <w:sz w:val="17"/>
                <w:szCs w:val="17"/>
                <w:color w:val="auto"/>
              </w:rPr>
            </w:pPr>
          </w:p>
        </w:tc>
        <w:tc>
          <w:tcPr>
            <w:tcW w:w="520" w:type="dxa"/>
            <w:vAlign w:val="bottom"/>
          </w:tcPr>
          <w:p>
            <w:pPr>
              <w:ind w:left="100"/>
              <w:spacing w:after="0" w:line="201" w:lineRule="exact"/>
              <w:rPr>
                <w:sz w:val="20"/>
                <w:szCs w:val="20"/>
                <w:color w:val="auto"/>
              </w:rPr>
            </w:pPr>
            <w:r>
              <w:rPr>
                <w:rFonts w:ascii="Arial" w:cs="Arial" w:eastAsia="Arial" w:hAnsi="Arial"/>
                <w:sz w:val="18"/>
                <w:szCs w:val="18"/>
                <w:color w:val="auto"/>
                <w:w w:val="99"/>
              </w:rPr>
              <w:t>2018</w:t>
            </w:r>
          </w:p>
        </w:tc>
        <w:tc>
          <w:tcPr>
            <w:tcW w:w="18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203,125 (3)</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15,000</w:t>
            </w: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0"/>
              </w:rPr>
              <w:t>(4)</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313,856</w:t>
            </w:r>
          </w:p>
        </w:tc>
        <w:tc>
          <w:tcPr>
            <w:tcW w:w="1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156,000</w:t>
            </w:r>
          </w:p>
        </w:tc>
        <w:tc>
          <w:tcPr>
            <w:tcW w:w="3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w w:val="90"/>
              </w:rPr>
              <w:t>(1)</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687,981</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Golubieski</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2018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115,833 (5)</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(50,000)(6)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65,833</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Former Chief Financial Officer</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2017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131,875 (5)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750,448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a discretionary bonus awarded as a result of performance in the 2018 fiscal year paid in March 2019.</w:t>
      </w:r>
    </w:p>
    <w:p>
      <w:pPr>
        <w:spacing w:after="0" w:line="128" w:lineRule="exact"/>
        <w:rPr>
          <w:rFonts w:ascii="Arial" w:cs="Arial" w:eastAsia="Arial" w:hAnsi="Arial"/>
          <w:sz w:val="17"/>
          <w:szCs w:val="17"/>
          <w:color w:val="auto"/>
        </w:rPr>
      </w:pPr>
    </w:p>
    <w:p>
      <w:pPr>
        <w:ind w:left="320" w:hanging="317"/>
        <w:spacing w:after="0"/>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a discretionary bonus awarded as a result of performance in the 2017 fiscal year paid in March 2018.</w:t>
      </w:r>
    </w:p>
    <w:p>
      <w:pPr>
        <w:spacing w:after="0" w:line="128" w:lineRule="exact"/>
        <w:rPr>
          <w:rFonts w:ascii="Arial" w:cs="Arial" w:eastAsia="Arial" w:hAnsi="Arial"/>
          <w:sz w:val="17"/>
          <w:szCs w:val="17"/>
          <w:color w:val="auto"/>
        </w:rPr>
      </w:pPr>
    </w:p>
    <w:p>
      <w:pPr>
        <w:ind w:left="320" w:right="400" w:hanging="317"/>
        <w:spacing w:after="0" w:line="342"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Pizzie’s employment commenced on May 16, 2018, at which time he became an executive officer. The amount reported represents the pro rata portion of Mr. Pizzie’s salary from May 16, 2018 through December 31, 2018.</w:t>
      </w:r>
    </w:p>
    <w:p>
      <w:pPr>
        <w:spacing w:after="0" w:line="15" w:lineRule="exact"/>
        <w:rPr>
          <w:rFonts w:ascii="Arial" w:cs="Arial" w:eastAsia="Arial" w:hAnsi="Arial"/>
          <w:sz w:val="16"/>
          <w:szCs w:val="16"/>
          <w:color w:val="auto"/>
        </w:rPr>
      </w:pPr>
    </w:p>
    <w:p>
      <w:pPr>
        <w:ind w:left="320" w:hanging="317"/>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 one-time payment to Mr. Pizzie as a signing bonus in May 2018.</w:t>
      </w:r>
    </w:p>
    <w:p>
      <w:pPr>
        <w:spacing w:after="0" w:line="117" w:lineRule="exact"/>
        <w:rPr>
          <w:rFonts w:ascii="Arial" w:cs="Arial" w:eastAsia="Arial" w:hAnsi="Arial"/>
          <w:sz w:val="18"/>
          <w:szCs w:val="18"/>
          <w:color w:val="auto"/>
        </w:rPr>
      </w:pPr>
    </w:p>
    <w:p>
      <w:pPr>
        <w:ind w:left="320" w:right="260" w:hanging="317"/>
        <w:spacing w:after="0" w:line="276"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Mr. Golubieski’s employment as Chief Financial Officer ended on May 9, 2018. As a result, he was no longer an executive officer as of May 9, 2018. The amount reported for 2018 represents the pro rata portion of Mr. Golubieski’s salary as Chief Financial Officer from January 1, 2018 to May 9, 2018. Mr. Golubieski’s employment commenced on August 4, 2017, at which time he became an executive officer. The amount reported for 2017 represents the pro rata portion of Mr. Golubieski’s salary from August 4, 2017 through December 31, 2017.</w:t>
      </w:r>
    </w:p>
    <w:p>
      <w:pPr>
        <w:spacing w:after="0" w:line="64" w:lineRule="exact"/>
        <w:rPr>
          <w:rFonts w:ascii="Arial" w:cs="Arial" w:eastAsia="Arial" w:hAnsi="Arial"/>
          <w:sz w:val="17"/>
          <w:szCs w:val="17"/>
          <w:color w:val="auto"/>
        </w:rPr>
      </w:pPr>
    </w:p>
    <w:p>
      <w:pPr>
        <w:ind w:left="320" w:right="20" w:hanging="317"/>
        <w:spacing w:after="0" w:line="264"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 one-time payment to Mr. Golubieski as a signing bonus in August 2017, which was repaid in full because his employment ended voluntarily on May 9, 2018, which was within the one-year forfeiture period specified in his offer letter.</w:t>
      </w:r>
    </w:p>
    <w:p>
      <w:pPr>
        <w:spacing w:after="0" w:line="73" w:lineRule="exact"/>
        <w:rPr>
          <w:rFonts w:ascii="Arial" w:cs="Arial" w:eastAsia="Arial" w:hAnsi="Arial"/>
          <w:sz w:val="18"/>
          <w:szCs w:val="18"/>
          <w:color w:val="auto"/>
        </w:rPr>
      </w:pPr>
    </w:p>
    <w:p>
      <w:pPr>
        <w:ind w:left="320" w:right="40" w:hanging="317"/>
        <w:spacing w:after="0" w:line="25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computed in accordance with Financial Accounting Standard Board Accounting Codification Topic 718 for stock-based compensation transactions (ASC 718).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Explanation of Certain Aspects of the Summary Compensation Table</w:t>
      </w:r>
    </w:p>
    <w:p>
      <w:pPr>
        <w:spacing w:after="0" w:line="12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Each of our named executive officers is eligible to receive (i) a base salary that may be increased at the discretion of the compensation committee of the board of directors, (ii) a grant of stock options or restricted stock at the discretion of the compensation committee, and (iii) an annual performance bonus at the discretion of the compensation committee. The target amount of each named executive officer’s annual performance bonus is a percentage of his or her base salary, as set forth in the table below, and the actual amount payable is based on the achievement of individual and corporate objectives.</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base salary and target annual performance bonus for each of our named executive officers for our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is listed in the table below:</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2018 Target</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Base</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Salary ($)</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Bonus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center"/>
              <w:ind w:right="19"/>
              <w:spacing w:after="0"/>
              <w:rPr>
                <w:sz w:val="20"/>
                <w:szCs w:val="20"/>
                <w:color w:val="auto"/>
              </w:rPr>
            </w:pPr>
            <w:r>
              <w:rPr>
                <w:rFonts w:ascii="Arial" w:cs="Arial" w:eastAsia="Arial" w:hAnsi="Arial"/>
                <w:sz w:val="18"/>
                <w:szCs w:val="18"/>
                <w:color w:val="auto"/>
                <w:w w:val="89"/>
              </w:rPr>
              <w:t>435,000</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50%(1)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Nick Pizzie, CPA, M.B.A.(2)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right="19"/>
              <w:spacing w:after="0"/>
              <w:rPr>
                <w:sz w:val="20"/>
                <w:szCs w:val="20"/>
                <w:color w:val="auto"/>
              </w:rPr>
            </w:pPr>
            <w:r>
              <w:rPr>
                <w:rFonts w:ascii="Arial" w:cs="Arial" w:eastAsia="Arial" w:hAnsi="Arial"/>
                <w:sz w:val="18"/>
                <w:szCs w:val="18"/>
                <w:color w:val="auto"/>
                <w:w w:val="89"/>
              </w:rPr>
              <w:t>325,000</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Golubieski(3)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8"/>
                <w:szCs w:val="18"/>
                <w:color w:val="auto"/>
                <w:w w:val="89"/>
              </w:rPr>
              <w:t>325,000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40" w:right="980" w:hanging="35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February 2019, our compensation committee approved an effective bonus of 120% of the 2018 target performance bonus.</w:t>
      </w:r>
    </w:p>
    <w:p>
      <w:pPr>
        <w:spacing w:after="0" w:line="8" w:lineRule="exact"/>
        <w:rPr>
          <w:rFonts w:ascii="Arial" w:cs="Arial" w:eastAsia="Arial" w:hAnsi="Arial"/>
          <w:sz w:val="18"/>
          <w:szCs w:val="18"/>
          <w:color w:val="auto"/>
        </w:rPr>
      </w:pPr>
    </w:p>
    <w:p>
      <w:pPr>
        <w:ind w:left="1040" w:hanging="35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Pizzie’s actual 2018 salary was prorated for the period May 16, 2018 to December 31, 2018.</w:t>
      </w:r>
    </w:p>
    <w:p>
      <w:pPr>
        <w:spacing w:after="0" w:line="63" w:lineRule="exact"/>
        <w:rPr>
          <w:rFonts w:ascii="Arial" w:cs="Arial" w:eastAsia="Arial" w:hAnsi="Arial"/>
          <w:sz w:val="18"/>
          <w:szCs w:val="18"/>
          <w:color w:val="auto"/>
        </w:rPr>
      </w:pPr>
    </w:p>
    <w:p>
      <w:pPr>
        <w:ind w:left="1040" w:right="1040" w:hanging="355"/>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Golubieski resigned from our company, effective May 9, 2018. The actual amount of compensation Mr. Golubieski received for his services during 2018 is reflected in the “Summary Compensation Table” above.</w:t>
      </w:r>
    </w:p>
    <w:p>
      <w:pPr>
        <w:spacing w:after="0" w:line="235"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The specific performance factors taken into account in assessing the named executive officers’ bonuses for our fiscal year ended December 31, 2018 included: (i) progress of our clinical trials including initiation, enrollment, and receipt of results; (ii) achievement of regulatory milestones; (iii) investor relations initiatives; expansion of infrastructure and headcount to achieve our corporate objectives; and (iv) new business initiatives including financing activities.</w:t>
      </w:r>
    </w:p>
    <w:p>
      <w:pPr>
        <w:spacing w:after="0" w:line="46"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Based on these and other performance factors that were not originally included in the 2018 goals and objectives, but resulted in significant value creation for our company, the compensation committee determined in February 2019 that the 2018 named executive officer target bonuses should be paid at 120% for Herriot Tabuteau, M.D., which represents an effective bonus of 60%, and 120% for Nick Pizzie, CPA, M.B.A. which represents an effective bonus of 48%. Accordingly, Dr. Tabuteau received a bonus payment of $261,000 and Mr. Pizzie received a bonus payment of $156,000.</w:t>
      </w:r>
    </w:p>
    <w:p>
      <w:pPr>
        <w:spacing w:after="0" w:line="50"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February 2018, our compensation committee determined that the 2018 base salaries of each of our then-employed named executive officers shall remain unchanged from such named executive officer’s 2017 annual base salary.</w:t>
      </w:r>
    </w:p>
    <w:p>
      <w:pPr>
        <w:spacing w:after="0" w:line="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February 2019, our compensation committee determined that the 2019 base salaries of each of our currently employed named executive officers shall remain unchanged from such named executive officer’s 2018 annual base salary.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historically offered stock options to our employees, including our named executive officers, as the long-term incentive component of our compensation program. Stock options allow employees to purchase shares of our common stock at a price per share equal to the fair market value of our common stock on the date of grant and may or may not be intended to qualify as “incentive stock options” for U.S. federal income tax purposes. We typically grant stock options to new hires upon their commencing employment with us.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part of an annual compensation evaluation of our named executive officers at the beginning of each year, the compensation committee of the board of directors considers granting stock options to our named executive officers based on such executive’s individual performance and the percentage achievement of our corporate objectives for the preceding year and as an incentive for future performance. Stock options are granted under our 2015 Omnibus Incentive Compensation Plan, and generally vest and become exercisable beginning three months following the grant date in equal quarterly installments over four years.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Effective March 12, 2018, our compensation committee granted Dr. Tabuteau a stock option to purchase 187,628 shares of our common stock with an exercise price of $2.85 per share. These options will vest in substantially equal quarterly installments such that the options will be fully vested on March 12, 2022. The exercise price of $2.85 per share of the options was the closing price of our common stock on March 12, 2018 as reported by Nasdaq. Our compensation committee determined not to grant Mr. Golubieski an annual stock option because he had only been employed by us for a portion of 2017.</w:t>
      </w:r>
    </w:p>
    <w:p>
      <w:pPr>
        <w:spacing w:after="0" w:line="8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Effective March 19, 2019, our compensation committee granted Dr. Tabuteau a stock option to purchase 319,212 shares of our common stock with an exercise price of $12.95 per share and granted Mr. Pizzie a stock option to purchase 75,102 shares of common stock with an exercise price of $12.95 per share. These options will vest in substantially equal quarterly installments such that the options will be fully vested on March 19, 2023. The exercise price of $12.95 per share of the options was the closing price of our common stock on March 19, 2019 as reported by Nasdaq.</w:t>
      </w:r>
    </w:p>
    <w:p>
      <w:pPr>
        <w:spacing w:after="0" w:line="5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described under “Outstanding Equity Awards as of December 31, 2018” below, all outstanding, unvested and unexercisable options held by our named executive officers are subject to accelerated vesting in the event we experience a change in control and the stock options are not assumed by the successor corporation, or at the discretion of the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 sets forth information regarding each outstanding and unexercised option held by each of our named executive officers as of December 31, 2018. The number of shares subject to each award and, where applicable, the exercise price per share, reflect all changes as a result of our capitalization adjustments.</w:t>
      </w:r>
    </w:p>
    <w:p>
      <w:pPr>
        <w:spacing w:after="0" w:line="7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vesting and exercisability schedule applicable to each outstanding award is described in the footnotes to the table below.</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1460" w:type="dxa"/>
            <w:vAlign w:val="bottom"/>
            <w:gridSpan w:val="2"/>
          </w:tcPr>
          <w:p>
            <w:pPr>
              <w:jc w:val="center"/>
              <w:ind w:right="19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4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4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5/27/2016</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327,506</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196,494</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83.809 (2)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3/12/2018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152,447 (3)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Nick Pizzie, CPA, M.B.A.</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5/16/2018</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132,000 (4)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76835</wp:posOffset>
            </wp:positionV>
            <wp:extent cx="1217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35" w:lineRule="exact"/>
        <w:rPr>
          <w:sz w:val="20"/>
          <w:szCs w:val="20"/>
          <w:color w:val="auto"/>
        </w:rPr>
      </w:pPr>
    </w:p>
    <w:p>
      <w:pPr>
        <w:ind w:left="1040" w:right="700" w:hanging="355"/>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installments on a quarterly basis through May 27, 2020, provided that the executive continues to provide services to us through the applicable dates.</w:t>
      </w:r>
    </w:p>
    <w:p>
      <w:pPr>
        <w:spacing w:after="0" w:line="73" w:lineRule="exact"/>
        <w:rPr>
          <w:rFonts w:ascii="Arial" w:cs="Arial" w:eastAsia="Arial" w:hAnsi="Arial"/>
          <w:sz w:val="18"/>
          <w:szCs w:val="18"/>
          <w:color w:val="auto"/>
        </w:rPr>
      </w:pPr>
    </w:p>
    <w:p>
      <w:pPr>
        <w:ind w:left="1040" w:right="760" w:hanging="355"/>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quarterly installments over four years such that the options will be fully vested on March 15, 2021, provided that the executive continues to provide services to us through the applicable dates.</w:t>
      </w:r>
    </w:p>
    <w:p>
      <w:pPr>
        <w:spacing w:after="0" w:line="73" w:lineRule="exact"/>
        <w:rPr>
          <w:rFonts w:ascii="Arial" w:cs="Arial" w:eastAsia="Arial" w:hAnsi="Arial"/>
          <w:sz w:val="18"/>
          <w:szCs w:val="18"/>
          <w:color w:val="auto"/>
        </w:rPr>
      </w:pPr>
    </w:p>
    <w:p>
      <w:pPr>
        <w:ind w:left="1040" w:right="760" w:hanging="355"/>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quarterly installments over four years such that the options will be fully vested on March 12, 2022, provided that the executive continues to provide services to us through the applicable dates.</w:t>
      </w:r>
    </w:p>
    <w:p>
      <w:pPr>
        <w:spacing w:after="0" w:line="73" w:lineRule="exact"/>
        <w:rPr>
          <w:rFonts w:ascii="Arial" w:cs="Arial" w:eastAsia="Arial" w:hAnsi="Arial"/>
          <w:sz w:val="18"/>
          <w:szCs w:val="18"/>
          <w:color w:val="auto"/>
        </w:rPr>
      </w:pPr>
    </w:p>
    <w:p>
      <w:pPr>
        <w:ind w:left="1040" w:right="760" w:hanging="355"/>
        <w:spacing w:after="0" w:line="25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unexercisable options will vest over a four-year period as follows: 25% of the options will vest on the first anniversary of the Grant Date, and the remaining 75% of the options in equal increments thereafter each quarter of the remaining three years, provided that the executive continues to provide services to us through the applicable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Perquisites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would be eligible generally, including reimbursement of certain medical insurance expenses incurred by our named executive officers. We do not generally provide our named executive officers with perquisites or other personal benefits.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199" w:firstLine="324"/>
        <w:spacing w:after="0" w:line="259" w:lineRule="auto"/>
        <w:rPr>
          <w:sz w:val="20"/>
          <w:szCs w:val="20"/>
          <w:color w:val="auto"/>
        </w:rPr>
      </w:pPr>
      <w:r>
        <w:rPr>
          <w:rFonts w:ascii="Arial" w:cs="Arial" w:eastAsia="Arial" w:hAnsi="Arial"/>
          <w:sz w:val="18"/>
          <w:szCs w:val="18"/>
          <w:i w:val="1"/>
          <w:iCs w:val="1"/>
          <w:color w:val="auto"/>
        </w:rPr>
        <w:t>The information contained in the following report of Axsome’s compensation committee is not considered to be “soliciting material,” “filed” or incorporated by reference in any past or future filing by us under the Securities Exchange Act of 1934, as amended, or the Securities Act of 1933, as amended, unless and only to the extent that Axsome specifically incorporates it by reference.</w:t>
      </w:r>
    </w:p>
    <w:p>
      <w:pPr>
        <w:spacing w:after="0" w:line="79"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The compensation committee has reviewed and discussed the section captioned “Executive Compensation,” included in this proxy statement, with management and, based on such review and discussion, the compensation committee has recommended to our board of directors that this “Executive Compensation” section be included in our annual report on Form 10-K and in this proxy statement.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Myrtle Potter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Coleman,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 Jeffs,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Saad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Record Date for:</w:t>
      </w:r>
    </w:p>
    <w:p>
      <w:pPr>
        <w:spacing w:after="0" w:line="103" w:lineRule="exact"/>
        <w:rPr>
          <w:sz w:val="20"/>
          <w:szCs w:val="20"/>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persons known by us to beneficially own more than 5% of our common stock.</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Applicable percentage ownership is based on 33,305,310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200 Broadway, 3</w:t>
      </w:r>
      <w:r>
        <w:rPr>
          <w:rFonts w:ascii="Arial" w:cs="Arial" w:eastAsia="Arial" w:hAnsi="Arial"/>
          <w:sz w:val="8"/>
          <w:szCs w:val="8"/>
          <w:color w:val="auto"/>
        </w:rPr>
        <w:t>rd</w:t>
      </w:r>
      <w:r>
        <w:rPr>
          <w:rFonts w:ascii="Arial" w:cs="Arial" w:eastAsia="Arial" w:hAnsi="Arial"/>
          <w:sz w:val="17"/>
          <w:szCs w:val="17"/>
          <w:color w:val="auto"/>
        </w:rPr>
        <w:t xml:space="preserve"> Floor, New York, New York 10038.</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 Owner(1)</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1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Percentage of Shares</w:t>
            </w:r>
          </w:p>
        </w:tc>
        <w:tc>
          <w:tcPr>
            <w:tcW w:w="0" w:type="dxa"/>
            <w:vAlign w:val="bottom"/>
          </w:tcPr>
          <w:p>
            <w:pPr>
              <w:spacing w:after="0"/>
              <w:rPr>
                <w:sz w:val="1"/>
                <w:szCs w:val="1"/>
                <w:color w:val="auto"/>
              </w:rPr>
            </w:pPr>
          </w:p>
        </w:tc>
      </w:tr>
      <w:tr>
        <w:trPr>
          <w:trHeight w:val="171"/>
        </w:trPr>
        <w:tc>
          <w:tcPr>
            <w:tcW w:w="4380" w:type="dxa"/>
            <w:vAlign w:val="bottom"/>
            <w:gridSpan w:val="4"/>
            <w:vMerge w:val="continue"/>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Beneficially Owned</w:t>
            </w: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Antecip Capital LLC(2)</w:t>
            </w:r>
          </w:p>
        </w:tc>
        <w:tc>
          <w:tcPr>
            <w:tcW w:w="1500" w:type="dxa"/>
            <w:vAlign w:val="bottom"/>
          </w:tcPr>
          <w:p>
            <w:pPr>
              <w:jc w:val="right"/>
              <w:spacing w:after="0"/>
              <w:rPr>
                <w:sz w:val="20"/>
                <w:szCs w:val="20"/>
                <w:color w:val="auto"/>
              </w:rPr>
            </w:pPr>
            <w:r>
              <w:rPr>
                <w:rFonts w:ascii="Arial" w:cs="Arial" w:eastAsia="Arial" w:hAnsi="Arial"/>
                <w:sz w:val="18"/>
                <w:szCs w:val="18"/>
                <w:color w:val="auto"/>
              </w:rPr>
              <w:t>7,344,500</w:t>
            </w:r>
          </w:p>
        </w:tc>
        <w:tc>
          <w:tcPr>
            <w:tcW w:w="1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Herriot Tabuteau, M.D.(3)</w:t>
            </w:r>
          </w:p>
        </w:tc>
        <w:tc>
          <w:tcPr>
            <w:tcW w:w="1500" w:type="dxa"/>
            <w:vAlign w:val="bottom"/>
          </w:tcPr>
          <w:p>
            <w:pPr>
              <w:jc w:val="right"/>
              <w:spacing w:after="0"/>
              <w:rPr>
                <w:sz w:val="20"/>
                <w:szCs w:val="20"/>
                <w:color w:val="auto"/>
              </w:rPr>
            </w:pPr>
            <w:r>
              <w:rPr>
                <w:rFonts w:ascii="Arial" w:cs="Arial" w:eastAsia="Arial" w:hAnsi="Arial"/>
                <w:sz w:val="18"/>
                <w:szCs w:val="18"/>
                <w:color w:val="auto"/>
              </w:rPr>
              <w:t>7,907,135</w:t>
            </w:r>
          </w:p>
        </w:tc>
        <w:tc>
          <w:tcPr>
            <w:tcW w:w="1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Nick Pizzie, CPA, M.B.A.(4)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John Golubieski</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Roger Jeffs, Ph.D.(5)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163,718</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Mark Coleman, M.D.(6)</w:t>
            </w:r>
          </w:p>
        </w:tc>
        <w:tc>
          <w:tcPr>
            <w:tcW w:w="1500" w:type="dxa"/>
            <w:vAlign w:val="bottom"/>
          </w:tcPr>
          <w:p>
            <w:pPr>
              <w:jc w:val="right"/>
              <w:spacing w:after="0"/>
              <w:rPr>
                <w:sz w:val="20"/>
                <w:szCs w:val="20"/>
                <w:color w:val="auto"/>
              </w:rPr>
            </w:pPr>
            <w:r>
              <w:rPr>
                <w:rFonts w:ascii="Arial" w:cs="Arial" w:eastAsia="Arial" w:hAnsi="Arial"/>
                <w:sz w:val="18"/>
                <w:szCs w:val="18"/>
                <w:color w:val="auto"/>
              </w:rPr>
              <w:t>836,246</w:t>
            </w:r>
          </w:p>
        </w:tc>
        <w:tc>
          <w:tcPr>
            <w:tcW w:w="1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Saad(7)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Myrtle Potter(8)</w:t>
            </w:r>
          </w:p>
        </w:tc>
        <w:tc>
          <w:tcPr>
            <w:tcW w:w="1500" w:type="dxa"/>
            <w:vAlign w:val="bottom"/>
          </w:tcPr>
          <w:p>
            <w:pPr>
              <w:jc w:val="right"/>
              <w:spacing w:after="0"/>
              <w:rPr>
                <w:sz w:val="20"/>
                <w:szCs w:val="20"/>
                <w:color w:val="auto"/>
              </w:rPr>
            </w:pPr>
            <w:r>
              <w:rPr>
                <w:rFonts w:ascii="Arial" w:cs="Arial" w:eastAsia="Arial" w:hAnsi="Arial"/>
                <w:sz w:val="18"/>
                <w:szCs w:val="18"/>
                <w:color w:val="auto"/>
              </w:rPr>
              <w:t>38,531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All named executive officers and directors as a group</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(7 persons)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9,166,995</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40" w:hanging="35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w:t>
      </w:r>
    </w:p>
    <w:p>
      <w:pPr>
        <w:spacing w:after="0" w:line="117" w:lineRule="exact"/>
        <w:rPr>
          <w:sz w:val="20"/>
          <w:szCs w:val="20"/>
          <w:color w:val="auto"/>
        </w:rPr>
      </w:pPr>
    </w:p>
    <w:p>
      <w:pPr>
        <w:ind w:left="1040" w:right="760" w:hanging="355"/>
        <w:spacing w:after="0" w:line="297"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spacing w:after="0" w:line="50" w:lineRule="exact"/>
        <w:rPr>
          <w:rFonts w:ascii="Arial" w:cs="Arial" w:eastAsia="Arial" w:hAnsi="Arial"/>
          <w:sz w:val="16"/>
          <w:szCs w:val="16"/>
          <w:color w:val="auto"/>
        </w:rPr>
      </w:pPr>
    </w:p>
    <w:p>
      <w:pPr>
        <w:ind w:left="1040" w:right="780" w:hanging="355"/>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address of Antecip Capital LLC is 630 5th Avenue, Suite 2000, New York, NY 10111. Dr. Tabuteau is the managing member of Antecip Capital LLC and exercises sole dispositive and voting power over these shares.</w:t>
      </w:r>
    </w:p>
    <w:p>
      <w:pPr>
        <w:spacing w:after="0" w:line="73" w:lineRule="exact"/>
        <w:rPr>
          <w:rFonts w:ascii="Arial" w:cs="Arial" w:eastAsia="Arial" w:hAnsi="Arial"/>
          <w:sz w:val="18"/>
          <w:szCs w:val="18"/>
          <w:color w:val="auto"/>
        </w:rPr>
      </w:pPr>
    </w:p>
    <w:p>
      <w:pPr>
        <w:ind w:left="1040" w:right="900" w:hanging="355"/>
        <w:spacing w:after="0" w:line="291"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(a) 7,229 shares of common stock owned by Dr. Tabuteau; (b) 555,406 shares of common stock that Dr. Tabuteau has the right to acquire from us within 60 days of the Record Date and</w:t>
      </w:r>
    </w:p>
    <w:p>
      <w:pPr>
        <w:ind w:left="1040" w:right="720"/>
        <w:spacing w:after="0" w:line="255" w:lineRule="auto"/>
        <w:rPr>
          <w:rFonts w:ascii="Arial" w:cs="Arial" w:eastAsia="Arial" w:hAnsi="Arial"/>
          <w:sz w:val="16"/>
          <w:szCs w:val="16"/>
          <w:color w:val="auto"/>
        </w:rPr>
      </w:pPr>
      <w:r>
        <w:rPr>
          <w:rFonts w:ascii="Arial" w:cs="Arial" w:eastAsia="Arial" w:hAnsi="Arial"/>
          <w:sz w:val="18"/>
          <w:szCs w:val="18"/>
          <w:color w:val="auto"/>
        </w:rPr>
        <w:t>(c) 7,344,500 shares of common stock held by an affiliate, Antecip Capital LLC. Dr. Tabuteau is the managing member of Antecip Capital LLC and so may be deemed to beneficially own such shares of common stock.</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1040" w:right="959" w:hanging="355"/>
        <w:spacing w:after="0" w:line="276"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(a) 36,400 shares of common stock owned by Mr. Pizzie; (b) 60 shares of common stock that may be deemed to be indirectly beneficially owned by Mr. Pizzie as custodian for his son’s UTMA account and (c) 37,694 shares of common stock that Mr. Pizzie has the right to acquire from us within 60 days of the Record Date. Mr. Pizzie disclaims beneficial ownership of the 60 shares of common stock held in his son’s UTMA account.</w:t>
      </w:r>
    </w:p>
    <w:p>
      <w:pPr>
        <w:spacing w:after="0" w:line="64" w:lineRule="exact"/>
        <w:rPr>
          <w:rFonts w:ascii="Arial" w:cs="Arial" w:eastAsia="Arial" w:hAnsi="Arial"/>
          <w:sz w:val="17"/>
          <w:szCs w:val="17"/>
          <w:color w:val="auto"/>
        </w:rPr>
      </w:pPr>
    </w:p>
    <w:p>
      <w:pPr>
        <w:ind w:left="1040" w:right="879" w:hanging="355"/>
        <w:spacing w:after="0" w:line="34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 46,912 shares of common stock owned by Dr. Jeffs and (b) 116,806 shares of common stock that Dr. Jeffs has the right to acquire from us within 60 days of the Record Date.</w:t>
      </w:r>
    </w:p>
    <w:p>
      <w:pPr>
        <w:spacing w:after="0" w:line="15" w:lineRule="exact"/>
        <w:rPr>
          <w:rFonts w:ascii="Arial" w:cs="Arial" w:eastAsia="Arial" w:hAnsi="Arial"/>
          <w:sz w:val="16"/>
          <w:szCs w:val="16"/>
          <w:color w:val="auto"/>
        </w:rPr>
      </w:pPr>
    </w:p>
    <w:p>
      <w:pPr>
        <w:ind w:left="1040" w:right="759" w:hanging="355"/>
        <w:spacing w:after="0" w:line="259"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 647,998 shares of common stock owned by Dr. Coleman; (b) 5,100 shares of common stock owned by an entity of which Dr. Coleman has sole voting and dispositive power and (c) 183,148 shares of common stock that Dr. Coleman has the right to acquire from us within 60 days of the Record Date.</w:t>
      </w:r>
    </w:p>
    <w:p>
      <w:pPr>
        <w:spacing w:after="0" w:line="78" w:lineRule="exact"/>
        <w:rPr>
          <w:rFonts w:ascii="Arial" w:cs="Arial" w:eastAsia="Arial" w:hAnsi="Arial"/>
          <w:sz w:val="18"/>
          <w:szCs w:val="18"/>
          <w:color w:val="auto"/>
        </w:rPr>
      </w:pPr>
    </w:p>
    <w:p>
      <w:pPr>
        <w:ind w:left="1040" w:right="919" w:hanging="355"/>
        <w:spacing w:after="0" w:line="34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 3,502 shares of common stock owned by Mr. Saad and (b) 143,709 shares of common stock that Mr. Saad has the right to acquire from us within 60 days of the Record Date.</w:t>
      </w:r>
    </w:p>
    <w:p>
      <w:pPr>
        <w:spacing w:after="0" w:line="15" w:lineRule="exact"/>
        <w:rPr>
          <w:rFonts w:ascii="Arial" w:cs="Arial" w:eastAsia="Arial" w:hAnsi="Arial"/>
          <w:sz w:val="16"/>
          <w:szCs w:val="16"/>
          <w:color w:val="auto"/>
        </w:rPr>
      </w:pPr>
    </w:p>
    <w:p>
      <w:pPr>
        <w:ind w:left="1040" w:right="1159" w:hanging="35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38,531 shares of common stock that Ms. Potter has the right to acquire from us within 60 days of the Record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contains information about our equity compensation plans as of December 31,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Equity Compensation Plan Information</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40" w:type="dxa"/>
            <w:vAlign w:val="bottom"/>
          </w:tcPr>
          <w:p>
            <w:pPr>
              <w:spacing w:after="0"/>
              <w:rPr>
                <w:sz w:val="12"/>
                <w:szCs w:val="12"/>
                <w:color w:val="auto"/>
              </w:rPr>
            </w:pPr>
          </w:p>
        </w:tc>
        <w:tc>
          <w:tcPr>
            <w:tcW w:w="14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warrants, and rights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7"/>
              </w:rPr>
              <w:t>Equity compensation plans approved by security holders</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2,274,768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3,609,552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2,283,036</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3,609,552</w:t>
            </w:r>
          </w:p>
        </w:tc>
        <w:tc>
          <w:tcPr>
            <w:tcW w:w="0" w:type="dxa"/>
            <w:vAlign w:val="bottom"/>
          </w:tcPr>
          <w:p>
            <w:pPr>
              <w:spacing w:after="0"/>
              <w:rPr>
                <w:sz w:val="1"/>
                <w:szCs w:val="1"/>
                <w:color w:val="auto"/>
              </w:rPr>
            </w:pPr>
          </w:p>
        </w:tc>
      </w:tr>
      <w:tr>
        <w:trPr>
          <w:trHeight w:val="871"/>
        </w:trPr>
        <w:tc>
          <w:tcPr>
            <w:tcW w:w="44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25</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following is a description of transactions since January 1, 2017, in which we were a party and the amount involved exceeded or will exceed $120,000 or 1% of the average of our total assets at year-end for the last two completed fiscal years, and in which any of our executive officers, directors, or holders of more than 5% of any class of our voting securities, or an affiliate or immediate family member thereof, had or will have a direct or indirect material interest, other than compensation arrangements which are described under “Executive Compensation”.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04"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w:t>
      </w:r>
    </w:p>
    <w:p>
      <w:pPr>
        <w:spacing w:after="0" w:line="3" w:lineRule="exact"/>
        <w:rPr>
          <w:sz w:val="20"/>
          <w:szCs w:val="20"/>
          <w:color w:val="auto"/>
        </w:rPr>
      </w:pPr>
    </w:p>
    <w:p>
      <w:pPr>
        <w:ind w:firstLine="3"/>
        <w:spacing w:after="0" w:line="267" w:lineRule="auto"/>
        <w:tabs>
          <w:tab w:leader="none" w:pos="2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0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3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60" w:lineRule="exact"/>
        <w:rPr>
          <w:sz w:val="20"/>
          <w:szCs w:val="20"/>
          <w:color w:val="auto"/>
        </w:rPr>
      </w:pPr>
    </w:p>
    <w:p>
      <w:pPr>
        <w:ind w:left="660" w:hanging="333"/>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related party’s interest in the transaction;</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approximate dollar value of the transaction;</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76" w:lineRule="exact"/>
        <w:rPr>
          <w:rFonts w:ascii="Arial" w:cs="Arial" w:eastAsia="Arial" w:hAnsi="Arial"/>
          <w:sz w:val="18"/>
          <w:szCs w:val="18"/>
          <w:color w:val="auto"/>
        </w:rPr>
      </w:pPr>
    </w:p>
    <w:p>
      <w:pPr>
        <w:ind w:left="660" w:right="520" w:hanging="333"/>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we could have reached with an unrelated third party; and</w:t>
      </w:r>
    </w:p>
    <w:p>
      <w:pPr>
        <w:spacing w:after="0" w:line="21" w:lineRule="exact"/>
        <w:rPr>
          <w:rFonts w:ascii="Arial" w:cs="Arial" w:eastAsia="Arial" w:hAnsi="Arial"/>
          <w:sz w:val="18"/>
          <w:szCs w:val="18"/>
          <w:color w:val="auto"/>
        </w:rPr>
      </w:pPr>
    </w:p>
    <w:p>
      <w:pPr>
        <w:ind w:left="660" w:hanging="333"/>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purpose and potential benefit to us of the transaction.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79" w:firstLine="324"/>
        <w:spacing w:after="0" w:line="312"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39" w:lineRule="exact"/>
        <w:rPr>
          <w:sz w:val="20"/>
          <w:szCs w:val="20"/>
          <w:color w:val="auto"/>
        </w:rPr>
      </w:pPr>
    </w:p>
    <w:p>
      <w:pPr>
        <w:jc w:val="both"/>
        <w:ind w:right="179" w:firstLine="324"/>
        <w:spacing w:after="0" w:line="286" w:lineRule="auto"/>
        <w:rPr>
          <w:sz w:val="20"/>
          <w:szCs w:val="20"/>
          <w:color w:val="auto"/>
        </w:rPr>
      </w:pPr>
      <w:r>
        <w:rPr>
          <w:rFonts w:ascii="Arial" w:cs="Arial" w:eastAsia="Arial" w:hAnsi="Arial"/>
          <w:sz w:val="17"/>
          <w:szCs w:val="17"/>
          <w:color w:val="auto"/>
        </w:rPr>
        <w:t>SEC regulations require us to identify in this proxy statement anyone who filed a required report late during the most recent fiscal year. Based on our review of forms we received, or written representations from reporting persons, we believe that during fiscal 2018, all Section 16(a) filing requirements were satisfied in a timely manner.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39" w:firstLine="324"/>
        <w:spacing w:after="0" w:line="286" w:lineRule="auto"/>
        <w:rPr>
          <w:sz w:val="20"/>
          <w:szCs w:val="20"/>
          <w:color w:val="auto"/>
        </w:rPr>
      </w:pPr>
      <w:r>
        <w:rPr>
          <w:rFonts w:ascii="Arial" w:cs="Arial" w:eastAsia="Arial" w:hAnsi="Arial"/>
          <w:sz w:val="17"/>
          <w:szCs w:val="17"/>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Audit Committee</w:t>
      </w:r>
    </w:p>
    <w:p>
      <w:pPr>
        <w:spacing w:after="0" w:line="121" w:lineRule="exact"/>
        <w:rPr>
          <w:sz w:val="20"/>
          <w:szCs w:val="20"/>
          <w:color w:val="auto"/>
        </w:rPr>
      </w:pPr>
    </w:p>
    <w:p>
      <w:pPr>
        <w:ind w:right="39" w:firstLine="324"/>
        <w:spacing w:after="0" w:line="286" w:lineRule="auto"/>
        <w:rPr>
          <w:sz w:val="20"/>
          <w:szCs w:val="20"/>
          <w:color w:val="auto"/>
        </w:rPr>
      </w:pPr>
      <w:r>
        <w:rPr>
          <w:rFonts w:ascii="Arial" w:cs="Arial" w:eastAsia="Arial" w:hAnsi="Arial"/>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64" w:lineRule="exact"/>
        <w:rPr>
          <w:sz w:val="20"/>
          <w:szCs w:val="20"/>
          <w:color w:val="auto"/>
        </w:rPr>
      </w:pPr>
    </w:p>
    <w:p>
      <w:pPr>
        <w:ind w:right="79" w:firstLine="324"/>
        <w:spacing w:after="0" w:line="257" w:lineRule="auto"/>
        <w:rPr>
          <w:sz w:val="20"/>
          <w:szCs w:val="20"/>
          <w:color w:val="auto"/>
        </w:rPr>
      </w:pPr>
      <w:r>
        <w:rPr>
          <w:rFonts w:ascii="Arial" w:cs="Arial" w:eastAsia="Arial" w:hAnsi="Arial"/>
          <w:sz w:val="18"/>
          <w:szCs w:val="18"/>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Audited Financial Statements for the Year Ended December 31, 2018</w:t>
      </w:r>
    </w:p>
    <w:p>
      <w:pPr>
        <w:spacing w:after="0" w:line="121" w:lineRule="exact"/>
        <w:rPr>
          <w:sz w:val="20"/>
          <w:szCs w:val="20"/>
          <w:color w:val="auto"/>
        </w:rPr>
      </w:pPr>
    </w:p>
    <w:p>
      <w:pPr>
        <w:ind w:right="79" w:firstLine="324"/>
        <w:spacing w:after="0" w:line="257" w:lineRule="auto"/>
        <w:rPr>
          <w:sz w:val="20"/>
          <w:szCs w:val="20"/>
          <w:color w:val="auto"/>
        </w:rPr>
      </w:pPr>
      <w:r>
        <w:rPr>
          <w:rFonts w:ascii="Arial" w:cs="Arial" w:eastAsia="Arial" w:hAnsi="Arial"/>
          <w:sz w:val="18"/>
          <w:szCs w:val="18"/>
          <w:color w:val="auto"/>
        </w:rPr>
        <w:t>The audit committee has reviewed and discussed with Axsome’s management and Ernst &amp; Young LLP the audited consolidated financial statements of Axsome Therapeutics, Inc. for the year ended December 31, 2018.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spacing w:after="0" w:line="80" w:lineRule="exact"/>
        <w:rPr>
          <w:sz w:val="20"/>
          <w:szCs w:val="20"/>
          <w:color w:val="auto"/>
        </w:rPr>
      </w:pPr>
    </w:p>
    <w:p>
      <w:pPr>
        <w:ind w:right="99" w:firstLine="324"/>
        <w:spacing w:after="0" w:line="259" w:lineRule="auto"/>
        <w:rPr>
          <w:sz w:val="20"/>
          <w:szCs w:val="20"/>
          <w:color w:val="auto"/>
        </w:rPr>
      </w:pPr>
      <w:r>
        <w:rPr>
          <w:rFonts w:ascii="Arial" w:cs="Arial" w:eastAsia="Arial" w:hAnsi="Arial"/>
          <w:sz w:val="18"/>
          <w:szCs w:val="18"/>
          <w:color w:val="auto"/>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spacing w:after="0" w:line="79" w:lineRule="exact"/>
        <w:rPr>
          <w:sz w:val="20"/>
          <w:szCs w:val="20"/>
          <w:color w:val="auto"/>
        </w:rPr>
      </w:pPr>
    </w:p>
    <w:p>
      <w:pPr>
        <w:jc w:val="both"/>
        <w:ind w:right="39" w:firstLine="324"/>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financial statements be included in Axsome’s annual report on Form 10-K for the year ended December 31, 2018 for filing with the Securities and Exchange Commission.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Saad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Coleman,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 Jeffs,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Myrtle Potter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59" w:firstLine="324"/>
        <w:spacing w:after="0" w:line="264"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73" w:lineRule="exact"/>
        <w:rPr>
          <w:sz w:val="20"/>
          <w:szCs w:val="20"/>
          <w:color w:val="auto"/>
        </w:rPr>
      </w:pPr>
    </w:p>
    <w:p>
      <w:pPr>
        <w:jc w:val="both"/>
        <w:ind w:right="159" w:firstLine="324"/>
        <w:spacing w:after="0" w:line="264"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April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6"/>
          <w:szCs w:val="16"/>
          <w:u w:val="single" w:color="auto"/>
          <w:color w:val="0563C1"/>
        </w:rPr>
      </w:pPr>
      <w:hyperlink w:anchor="page4">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388735" cy="87128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8712835"/>
                    </a:xfrm>
                    <a:prstGeom prst="rect">
                      <a:avLst/>
                    </a:prstGeom>
                    <a:noFill/>
                  </pic:spPr>
                </pic:pic>
              </a:graphicData>
            </a:graphic>
          </wp:anchor>
        </w:drawing>
      </w:r>
    </w:p>
    <w:p>
      <w:pPr>
        <w:sectPr>
          <w:pgSz w:w="11900" w:h="16838" w:orient="portrait"/>
          <w:cols w:equalWidth="0" w:num="1">
            <w:col w:w="9539"/>
          </w:cols>
          <w:pgMar w:left="920" w:top="125" w:right="1440" w:bottom="1440" w:gutter="0" w:footer="0" w:header="0"/>
        </w:sectPr>
      </w:pPr>
    </w:p>
    <w:bookmarkStart w:id="34" w:name="page35"/>
    <w:bookmarkEnd w:id="34"/>
    <w:p>
      <w:pPr>
        <w:spacing w:after="0"/>
        <w:rPr>
          <w:rFonts w:ascii="Arial" w:cs="Arial" w:eastAsia="Arial" w:hAnsi="Arial"/>
          <w:sz w:val="16"/>
          <w:szCs w:val="16"/>
          <w:u w:val="single" w:color="auto"/>
          <w:color w:val="0563C1"/>
        </w:rPr>
      </w:pPr>
      <w:hyperlink w:anchor="page4">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235585</wp:posOffset>
            </wp:positionV>
            <wp:extent cx="6388735" cy="8489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8489950"/>
                    </a:xfrm>
                    <a:prstGeom prst="rect">
                      <a:avLst/>
                    </a:prstGeom>
                    <a:noFill/>
                  </pic:spPr>
                </pic:pic>
              </a:graphicData>
            </a:graphic>
          </wp:anchor>
        </w:drawing>
      </w:r>
    </w:p>
    <w:sectPr>
      <w:pgSz w:w="11900" w:h="16838" w:orient="portrait"/>
      <w:cols w:equalWidth="0" w:num="1">
        <w:col w:w="9539"/>
      </w:cols>
      <w:pgMar w:left="9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2)"/>
      <w:numFmt w:val="decimal"/>
      <w:start w:val="1"/>
    </w:lvl>
  </w:abstractNum>
  <w:abstractNum w:abstractNumId="5">
    <w:nsid w:val="2CA88611"/>
    <w:multiLevelType w:val="hybridMultilevel"/>
    <w:lvl w:ilvl="0">
      <w:lvlJc w:val="left"/>
      <w:lvlText w:val="%1:"/>
      <w:numFmt w:val="upperLetter"/>
      <w:start w:val="1"/>
    </w:lvl>
  </w:abstractNum>
  <w:abstractNum w:abstractNumId="6">
    <w:nsid w:val="836C40E"/>
    <w:multiLevelType w:val="hybridMultilevel"/>
    <w:lvl w:ilvl="0">
      <w:lvlJc w:val="left"/>
      <w:lvlText w:val="%1:"/>
      <w:numFmt w:val="upperLetter"/>
      <w:start w:val="1"/>
    </w:lvl>
    <w:lvl w:ilvl="1">
      <w:lvlJc w:val="left"/>
      <w:lvlText w:val="·"/>
      <w:numFmt w:val="bullet"/>
      <w:start w:val="1"/>
    </w:lvl>
  </w:abstractNum>
  <w:abstractNum w:abstractNumId="7">
    <w:nsid w:val="2901D82"/>
    <w:multiLevelType w:val="hybridMultilevel"/>
    <w:lvl w:ilvl="0">
      <w:lvlJc w:val="left"/>
      <w:lvlText w:val="%1:"/>
      <w:numFmt w:val="upperLetter"/>
      <w:start w:val="1"/>
    </w:lvl>
  </w:abstractNum>
  <w:abstractNum w:abstractNumId="8">
    <w:nsid w:val="3A95F874"/>
    <w:multiLevelType w:val="hybridMultilevel"/>
    <w:lvl w:ilvl="0">
      <w:lvlJc w:val="left"/>
      <w:lvlText w:val="%1:"/>
      <w:numFmt w:val="upperLetter"/>
      <w:start w:val="1"/>
    </w:lvl>
  </w:abstractNum>
  <w:abstractNum w:abstractNumId="9">
    <w:nsid w:val="8138641"/>
    <w:multiLevelType w:val="hybridMultilevel"/>
    <w:lvl w:ilvl="0">
      <w:lvlJc w:val="left"/>
      <w:lvlText w:val="%1:"/>
      <w:numFmt w:val="upperLetter"/>
      <w:start w:val="1"/>
    </w:lvl>
  </w:abstractNum>
  <w:abstractNum w:abstractNumId="10">
    <w:nsid w:val="1E7FF521"/>
    <w:multiLevelType w:val="hybridMultilevel"/>
    <w:lvl w:ilvl="0">
      <w:lvlJc w:val="left"/>
      <w:lvlText w:val="%1:"/>
      <w:numFmt w:val="upperLetter"/>
      <w:start w:val="1"/>
    </w:lvl>
  </w:abstractNum>
  <w:abstractNum w:abstractNumId="11">
    <w:nsid w:val="7C3DBD3D"/>
    <w:multiLevelType w:val="hybridMultilevel"/>
    <w:lvl w:ilvl="0">
      <w:lvlJc w:val="left"/>
      <w:lvlText w:val="%1:"/>
      <w:numFmt w:val="upperLetter"/>
      <w:start w:val="1"/>
    </w:lvl>
  </w:abstractNum>
  <w:abstractNum w:abstractNumId="12">
    <w:nsid w:val="737B8DDC"/>
    <w:multiLevelType w:val="hybridMultilevel"/>
    <w:lvl w:ilvl="0">
      <w:lvlJc w:val="left"/>
      <w:lvlText w:val="%1:"/>
      <w:numFmt w:val="upperLetter"/>
      <w:start w:val="1"/>
    </w:lvl>
  </w:abstractNum>
  <w:abstractNum w:abstractNumId="13">
    <w:nsid w:val="6CEAF087"/>
    <w:multiLevelType w:val="hybridMultilevel"/>
    <w:lvl w:ilvl="0">
      <w:lvlJc w:val="left"/>
      <w:lvlText w:val="%1:"/>
      <w:numFmt w:val="upperLetter"/>
      <w:start w:val="1"/>
    </w:lvl>
  </w:abstractNum>
  <w:abstractNum w:abstractNumId="14">
    <w:nsid w:val="22221A70"/>
    <w:multiLevelType w:val="hybridMultilevel"/>
    <w:lvl w:ilvl="0">
      <w:lvlJc w:val="left"/>
      <w:lvlText w:val="%1:"/>
      <w:numFmt w:val="upperLetter"/>
      <w:start w:val="1"/>
    </w:lvl>
  </w:abstractNum>
  <w:abstractNum w:abstractNumId="15">
    <w:nsid w:val="4516DDE9"/>
    <w:multiLevelType w:val="hybridMultilevel"/>
    <w:lvl w:ilvl="0">
      <w:lvlJc w:val="left"/>
      <w:lvlText w:val="%1:"/>
      <w:numFmt w:val="upperLetter"/>
      <w:start w:val="1"/>
    </w:lvl>
    <w:lvl w:ilvl="1">
      <w:lvlJc w:val="left"/>
      <w:lvlText w:val="·"/>
      <w:numFmt w:val="bullet"/>
      <w:start w:val="1"/>
    </w:lvl>
  </w:abstractNum>
  <w:abstractNum w:abstractNumId="16">
    <w:nsid w:val="3006C83E"/>
    <w:multiLevelType w:val="hybridMultilevel"/>
    <w:lvl w:ilvl="0">
      <w:lvlJc w:val="left"/>
      <w:lvlText w:val="%1:"/>
      <w:numFmt w:val="upperLetter"/>
      <w:start w:val="1"/>
    </w:lvl>
    <w:lvl w:ilvl="1">
      <w:lvlJc w:val="left"/>
      <w:lvlText w:val="(%2)"/>
      <w:numFmt w:val="decimal"/>
      <w:start w:val="1"/>
    </w:lvl>
  </w:abstractNum>
  <w:abstractNum w:abstractNumId="17">
    <w:nsid w:val="614FD4A1"/>
    <w:multiLevelType w:val="hybridMultilevel"/>
    <w:lvl w:ilvl="0">
      <w:lvlJc w:val="left"/>
      <w:lvlText w:val="%1:"/>
      <w:numFmt w:val="upperLetter"/>
      <w:start w:val="1"/>
    </w:lvl>
  </w:abstractNum>
  <w:abstractNum w:abstractNumId="18">
    <w:nsid w:val="419AC241"/>
    <w:multiLevelType w:val="hybridMultilevel"/>
    <w:lvl w:ilvl="0">
      <w:lvlJc w:val="left"/>
      <w:lvlText w:val="%1:"/>
      <w:numFmt w:val="upperLetter"/>
      <w:start w:val="1"/>
    </w:lvl>
    <w:lvl w:ilvl="1">
      <w:lvlJc w:val="left"/>
      <w:lvlText w:val="·"/>
      <w:numFmt w:val="bullet"/>
      <w:start w:val="1"/>
    </w:lvl>
  </w:abstractNum>
  <w:abstractNum w:abstractNumId="19">
    <w:nsid w:val="5577F8E1"/>
    <w:multiLevelType w:val="hybridMultilevel"/>
    <w:lvl w:ilvl="0">
      <w:lvlJc w:val="left"/>
      <w:lvlText w:val="%1:"/>
      <w:numFmt w:val="upperLetter"/>
      <w:start w:val="1"/>
    </w:lvl>
    <w:lvl w:ilvl="1">
      <w:lvlJc w:val="left"/>
      <w:lvlText w:val="·"/>
      <w:numFmt w:val="bullet"/>
      <w:start w:val="1"/>
    </w:lvl>
  </w:abstractNum>
  <w:abstractNum w:abstractNumId="20">
    <w:nsid w:val="440BADFC"/>
    <w:multiLevelType w:val="hybridMultilevel"/>
    <w:lvl w:ilvl="0">
      <w:lvlJc w:val="left"/>
      <w:lvlText w:val="%1:"/>
      <w:numFmt w:val="upperLetter"/>
      <w:start w:val="1"/>
    </w:lvl>
  </w:abstractNum>
  <w:abstractNum w:abstractNumId="21">
    <w:nsid w:val="5072367"/>
    <w:multiLevelType w:val="hybridMultilevel"/>
    <w:lvl w:ilvl="0">
      <w:lvlJc w:val="left"/>
      <w:lvlText w:val="%1:"/>
      <w:numFmt w:val="upperLetter"/>
      <w:start w:val="1"/>
    </w:lvl>
  </w:abstractNum>
  <w:abstractNum w:abstractNumId="22">
    <w:nsid w:val="3804823E"/>
    <w:multiLevelType w:val="hybridMultilevel"/>
    <w:lvl w:ilvl="0">
      <w:lvlJc w:val="left"/>
      <w:lvlText w:val="%1:"/>
      <w:numFmt w:val="upperLetter"/>
      <w:start w:val="1"/>
    </w:lvl>
  </w:abstractNum>
  <w:abstractNum w:abstractNumId="23">
    <w:nsid w:val="77465F01"/>
    <w:multiLevelType w:val="hybridMultilevel"/>
    <w:lvl w:ilvl="0">
      <w:lvlJc w:val="left"/>
      <w:lvlText w:val="%1:"/>
      <w:numFmt w:val="upperLetter"/>
      <w:start w:val="1"/>
    </w:lvl>
  </w:abstractNum>
  <w:abstractNum w:abstractNumId="24">
    <w:nsid w:val="7724C67E"/>
    <w:multiLevelType w:val="hybridMultilevel"/>
    <w:lvl w:ilvl="0">
      <w:lvlJc w:val="left"/>
      <w:lvlText w:val="%1:"/>
      <w:numFmt w:val="upperLetter"/>
      <w:start w:val="1"/>
    </w:lvl>
  </w:abstractNum>
  <w:abstractNum w:abstractNumId="25">
    <w:nsid w:val="5C482A97"/>
    <w:multiLevelType w:val="hybridMultilevel"/>
    <w:lvl w:ilvl="0">
      <w:lvlJc w:val="left"/>
      <w:lvlText w:val="%1:"/>
      <w:numFmt w:val="upperLetter"/>
      <w:start w:val="1"/>
    </w:lvl>
  </w:abstractNum>
  <w:abstractNum w:abstractNumId="26">
    <w:nsid w:val="2463B9EA"/>
    <w:multiLevelType w:val="hybridMultilevel"/>
    <w:lvl w:ilvl="0">
      <w:lvlJc w:val="left"/>
      <w:lvlText w:val="%1:"/>
      <w:numFmt w:val="upperLetter"/>
      <w:start w:val="17"/>
    </w:lvl>
  </w:abstractNum>
  <w:abstractNum w:abstractNumId="27">
    <w:nsid w:val="5E884ADC"/>
    <w:multiLevelType w:val="hybridMultilevel"/>
    <w:lvl w:ilvl="0">
      <w:lvlJc w:val="left"/>
      <w:lvlText w:val="%1:"/>
      <w:numFmt w:val="upperLetter"/>
      <w:start w:val="1"/>
    </w:lvl>
    <w:lvl w:ilvl="1">
      <w:lvlJc w:val="left"/>
      <w:lvlText w:val="(%2)"/>
      <w:numFmt w:val="decimal"/>
      <w:start w:val="1"/>
    </w:lvl>
  </w:abstractNum>
  <w:abstractNum w:abstractNumId="28">
    <w:nsid w:val="51EAD36B"/>
    <w:multiLevelType w:val="hybridMultilevel"/>
    <w:lvl w:ilvl="0">
      <w:lvlJc w:val="left"/>
      <w:lvlText w:val="%1:"/>
      <w:numFmt w:val="upperLetter"/>
      <w:start w:val="1"/>
    </w:lvl>
  </w:abstractNum>
  <w:abstractNum w:abstractNumId="29">
    <w:nsid w:val="2D517796"/>
    <w:multiLevelType w:val="hybridMultilevel"/>
    <w:lvl w:ilvl="0">
      <w:lvlJc w:val="left"/>
      <w:lvlText w:val="%1:"/>
      <w:numFmt w:val="upperLetter"/>
      <w:start w:val="17"/>
    </w:lvl>
  </w:abstractNum>
  <w:abstractNum w:abstractNumId="30">
    <w:nsid w:val="580BD78F"/>
    <w:multiLevelType w:val="hybridMultilevel"/>
    <w:lvl w:ilvl="0">
      <w:lvlJc w:val="left"/>
      <w:lvlText w:val="%1:"/>
      <w:numFmt w:val="upperLetter"/>
      <w:start w:val="1"/>
    </w:lvl>
  </w:abstractNum>
  <w:abstractNum w:abstractNumId="31">
    <w:nsid w:val="153EA438"/>
    <w:multiLevelType w:val="hybridMultilevel"/>
    <w:lvl w:ilvl="0">
      <w:lvlJc w:val="left"/>
      <w:lvlText w:val="%1:"/>
      <w:numFmt w:val="upperLetter"/>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3"/>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4"/>
    </w:lvl>
  </w:abstractNum>
  <w:abstractNum w:abstractNumId="48">
    <w:nsid w:val="579478FE"/>
    <w:multiLevelType w:val="hybridMultilevel"/>
    <w:lvl w:ilvl="0">
      <w:lvlJc w:val="left"/>
      <w:lvlText w:val="%1."/>
      <w:numFmt w:val="decimal"/>
      <w:start w:val="4"/>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2019-12-03T05:34:52Z</dcterms:created>
  <dcterms:modified xsi:type="dcterms:W3CDTF">2019-12-03T05:34:52Z</dcterms:modified>
</cp:coreProperties>
</file>