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jc w:val="right"/>
        <w:spacing w:after="0"/>
        <w:rPr>
          <w:sz w:val="20"/>
          <w:szCs w:val="20"/>
          <w:color w:val="auto"/>
        </w:rPr>
      </w:pPr>
      <w:r>
        <w:rPr>
          <w:rFonts w:ascii="Arial" w:cs="Arial" w:eastAsia="Arial" w:hAnsi="Arial"/>
          <w:sz w:val="18"/>
          <w:szCs w:val="18"/>
          <w:b w:val="1"/>
          <w:bCs w:val="1"/>
          <w:color w:val="auto"/>
        </w:rPr>
        <w:t>Registration No. 333-235372</w:t>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54" w:lineRule="exact"/>
        <w:rPr>
          <w:sz w:val="24"/>
          <w:szCs w:val="24"/>
          <w:color w:val="auto"/>
        </w:rPr>
      </w:pPr>
    </w:p>
    <w:tbl>
      <w:tblPr>
        <w:tblLayout w:type="fixed"/>
        <w:tblInd w:w="10" w:type="dxa"/>
        <w:tblCellMar>
          <w:top w:w="0" w:type="dxa"/>
          <w:left w:w="0" w:type="dxa"/>
          <w:bottom w:w="0" w:type="dxa"/>
          <w:right w:w="0" w:type="dxa"/>
        </w:tblCellMar>
      </w:tblPr>
      <w:tr>
        <w:trPr>
          <w:trHeight w:val="148"/>
        </w:trPr>
        <w:tc>
          <w:tcPr>
            <w:tcW w:w="29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Title of each class of</w:t>
            </w:r>
          </w:p>
        </w:tc>
        <w:tc>
          <w:tcPr>
            <w:tcW w:w="1600" w:type="dxa"/>
            <w:vAlign w:val="bottom"/>
            <w:tcBorders>
              <w:top w:val="single" w:sz="8" w:color="auto"/>
              <w:right w:val="single" w:sz="8" w:color="auto"/>
            </w:tcBorders>
          </w:tcPr>
          <w:p>
            <w:pPr>
              <w:jc w:val="center"/>
              <w:ind w:left="104"/>
              <w:spacing w:after="0" w:line="148" w:lineRule="exact"/>
              <w:rPr>
                <w:sz w:val="20"/>
                <w:szCs w:val="20"/>
                <w:color w:val="auto"/>
              </w:rPr>
            </w:pPr>
            <w:r>
              <w:rPr>
                <w:rFonts w:ascii="Arial" w:cs="Arial" w:eastAsia="Arial" w:hAnsi="Arial"/>
                <w:sz w:val="14"/>
                <w:szCs w:val="14"/>
                <w:b w:val="1"/>
                <w:bCs w:val="1"/>
                <w:color w:val="auto"/>
                <w:w w:val="94"/>
              </w:rPr>
              <w:t>Amount</w:t>
            </w:r>
          </w:p>
        </w:tc>
        <w:tc>
          <w:tcPr>
            <w:tcW w:w="1600" w:type="dxa"/>
            <w:vAlign w:val="bottom"/>
            <w:tcBorders>
              <w:top w:val="single" w:sz="8" w:color="auto"/>
              <w:right w:val="single" w:sz="8" w:color="auto"/>
            </w:tcBorders>
          </w:tcPr>
          <w:p>
            <w:pPr>
              <w:jc w:val="center"/>
              <w:ind w:left="124"/>
              <w:spacing w:after="0" w:line="148" w:lineRule="exact"/>
              <w:rPr>
                <w:sz w:val="20"/>
                <w:szCs w:val="20"/>
                <w:color w:val="auto"/>
              </w:rPr>
            </w:pPr>
            <w:r>
              <w:rPr>
                <w:rFonts w:ascii="Arial" w:cs="Arial" w:eastAsia="Arial" w:hAnsi="Arial"/>
                <w:sz w:val="14"/>
                <w:szCs w:val="14"/>
                <w:b w:val="1"/>
                <w:bCs w:val="1"/>
                <w:color w:val="auto"/>
                <w:w w:val="99"/>
              </w:rPr>
              <w:t>Maximum</w:t>
            </w:r>
          </w:p>
        </w:tc>
        <w:tc>
          <w:tcPr>
            <w:tcW w:w="1640" w:type="dxa"/>
            <w:vAlign w:val="bottom"/>
            <w:tcBorders>
              <w:top w:val="single" w:sz="8" w:color="auto"/>
              <w:right w:val="single" w:sz="8" w:color="auto"/>
            </w:tcBorders>
          </w:tcPr>
          <w:p>
            <w:pPr>
              <w:jc w:val="center"/>
              <w:ind w:left="124"/>
              <w:spacing w:after="0" w:line="148"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top w:val="single" w:sz="8" w:color="auto"/>
              <w:right w:val="single" w:sz="8" w:color="auto"/>
            </w:tcBorders>
            <w:vMerge w:val="restart"/>
          </w:tcPr>
          <w:p>
            <w:pPr>
              <w:jc w:val="center"/>
              <w:ind w:left="10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2980" w:type="dxa"/>
            <w:vAlign w:val="bottom"/>
            <w:tcBorders>
              <w:left w:val="single" w:sz="8" w:color="auto"/>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144"/>
              <w:spacing w:after="0" w:line="148"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124"/>
              <w:spacing w:after="0" w:line="148" w:lineRule="exact"/>
              <w:rPr>
                <w:sz w:val="20"/>
                <w:szCs w:val="20"/>
                <w:color w:val="auto"/>
              </w:rPr>
            </w:pPr>
            <w:r>
              <w:rPr>
                <w:rFonts w:ascii="Arial" w:cs="Arial" w:eastAsia="Arial" w:hAnsi="Arial"/>
                <w:sz w:val="14"/>
                <w:szCs w:val="14"/>
                <w:b w:val="1"/>
                <w:bCs w:val="1"/>
                <w:color w:val="auto"/>
                <w:w w:val="93"/>
              </w:rPr>
              <w:t>offering price</w:t>
            </w:r>
          </w:p>
        </w:tc>
        <w:tc>
          <w:tcPr>
            <w:tcW w:w="1640" w:type="dxa"/>
            <w:vAlign w:val="bottom"/>
            <w:tcBorders>
              <w:right w:val="single" w:sz="8" w:color="auto"/>
            </w:tcBorders>
          </w:tcPr>
          <w:p>
            <w:pPr>
              <w:jc w:val="center"/>
              <w:ind w:left="124"/>
              <w:spacing w:after="0" w:line="148" w:lineRule="exact"/>
              <w:rPr>
                <w:sz w:val="20"/>
                <w:szCs w:val="20"/>
                <w:color w:val="auto"/>
              </w:rPr>
            </w:pPr>
            <w:r>
              <w:rPr>
                <w:rFonts w:ascii="Arial" w:cs="Arial" w:eastAsia="Arial" w:hAnsi="Arial"/>
                <w:sz w:val="14"/>
                <w:szCs w:val="14"/>
                <w:b w:val="1"/>
                <w:bCs w:val="1"/>
                <w:color w:val="auto"/>
                <w:w w:val="89"/>
              </w:rPr>
              <w:t>aggregate</w:t>
            </w:r>
          </w:p>
        </w:tc>
        <w:tc>
          <w:tcPr>
            <w:tcW w:w="16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securities to be registered</w:t>
            </w:r>
          </w:p>
        </w:tc>
        <w:tc>
          <w:tcPr>
            <w:tcW w:w="1600" w:type="dxa"/>
            <w:vAlign w:val="bottom"/>
            <w:tcBorders>
              <w:bottom w:val="single" w:sz="8" w:color="auto"/>
              <w:right w:val="single" w:sz="8" w:color="auto"/>
            </w:tcBorders>
          </w:tcPr>
          <w:p>
            <w:pPr>
              <w:jc w:val="center"/>
              <w:ind w:left="124"/>
              <w:spacing w:after="0"/>
              <w:rPr>
                <w:sz w:val="20"/>
                <w:szCs w:val="20"/>
                <w:color w:val="auto"/>
              </w:rPr>
            </w:pPr>
            <w:r>
              <w:rPr>
                <w:rFonts w:ascii="Arial" w:cs="Arial" w:eastAsia="Arial" w:hAnsi="Arial"/>
                <w:sz w:val="14"/>
                <w:szCs w:val="14"/>
                <w:b w:val="1"/>
                <w:bCs w:val="1"/>
                <w:color w:val="auto"/>
                <w:w w:val="89"/>
              </w:rPr>
              <w:t>registered(1)</w:t>
            </w:r>
          </w:p>
        </w:tc>
        <w:tc>
          <w:tcPr>
            <w:tcW w:w="1600" w:type="dxa"/>
            <w:vAlign w:val="bottom"/>
            <w:tcBorders>
              <w:bottom w:val="single" w:sz="8" w:color="auto"/>
              <w:right w:val="single" w:sz="8" w:color="auto"/>
            </w:tcBorders>
          </w:tcPr>
          <w:p>
            <w:pPr>
              <w:jc w:val="center"/>
              <w:ind w:left="124"/>
              <w:spacing w:after="0"/>
              <w:rPr>
                <w:sz w:val="20"/>
                <w:szCs w:val="20"/>
                <w:color w:val="auto"/>
              </w:rPr>
            </w:pPr>
            <w:r>
              <w:rPr>
                <w:rFonts w:ascii="Arial" w:cs="Arial" w:eastAsia="Arial" w:hAnsi="Arial"/>
                <w:sz w:val="14"/>
                <w:szCs w:val="14"/>
                <w:b w:val="1"/>
                <w:bCs w:val="1"/>
                <w:color w:val="auto"/>
                <w:w w:val="88"/>
              </w:rPr>
              <w:t>per share</w:t>
            </w:r>
          </w:p>
        </w:tc>
        <w:tc>
          <w:tcPr>
            <w:tcW w:w="1640" w:type="dxa"/>
            <w:vAlign w:val="bottom"/>
            <w:tcBorders>
              <w:bottom w:val="single" w:sz="8" w:color="auto"/>
              <w:right w:val="single" w:sz="8" w:color="auto"/>
            </w:tcBorders>
          </w:tcPr>
          <w:p>
            <w:pPr>
              <w:jc w:val="center"/>
              <w:ind w:left="104"/>
              <w:spacing w:after="0"/>
              <w:rPr>
                <w:sz w:val="20"/>
                <w:szCs w:val="20"/>
                <w:color w:val="auto"/>
              </w:rPr>
            </w:pPr>
            <w:r>
              <w:rPr>
                <w:rFonts w:ascii="Arial" w:cs="Arial" w:eastAsia="Arial" w:hAnsi="Arial"/>
                <w:sz w:val="14"/>
                <w:szCs w:val="14"/>
                <w:b w:val="1"/>
                <w:bCs w:val="1"/>
                <w:color w:val="auto"/>
                <w:w w:val="91"/>
              </w:rPr>
              <w:t>offering price</w:t>
            </w:r>
          </w:p>
        </w:tc>
        <w:tc>
          <w:tcPr>
            <w:tcW w:w="1600" w:type="dxa"/>
            <w:vAlign w:val="bottom"/>
            <w:tcBorders>
              <w:bottom w:val="single" w:sz="8" w:color="auto"/>
              <w:right w:val="single" w:sz="8" w:color="auto"/>
            </w:tcBorders>
          </w:tcPr>
          <w:p>
            <w:pPr>
              <w:jc w:val="center"/>
              <w:ind w:left="102"/>
              <w:spacing w:after="0"/>
              <w:rPr>
                <w:sz w:val="20"/>
                <w:szCs w:val="20"/>
                <w:color w:val="auto"/>
              </w:rPr>
            </w:pPr>
            <w:r>
              <w:rPr>
                <w:rFonts w:ascii="Arial" w:cs="Arial" w:eastAsia="Arial" w:hAnsi="Arial"/>
                <w:sz w:val="14"/>
                <w:szCs w:val="14"/>
                <w:b w:val="1"/>
                <w:bCs w:val="1"/>
                <w:color w:val="auto"/>
                <w:w w:val="92"/>
              </w:rPr>
              <w:t>registration fee(2)</w:t>
            </w:r>
          </w:p>
        </w:tc>
        <w:tc>
          <w:tcPr>
            <w:tcW w:w="0" w:type="dxa"/>
            <w:vAlign w:val="bottom"/>
          </w:tcPr>
          <w:p>
            <w:pPr>
              <w:spacing w:after="0"/>
              <w:rPr>
                <w:sz w:val="1"/>
                <w:szCs w:val="1"/>
                <w:color w:val="auto"/>
              </w:rPr>
            </w:pPr>
          </w:p>
        </w:tc>
      </w:tr>
      <w:tr>
        <w:trPr>
          <w:trHeight w:val="154"/>
        </w:trPr>
        <w:tc>
          <w:tcPr>
            <w:tcW w:w="2980" w:type="dxa"/>
            <w:vAlign w:val="bottom"/>
            <w:tcBorders>
              <w:left w:val="single" w:sz="8" w:color="auto"/>
              <w:right w:val="single" w:sz="8" w:color="auto"/>
            </w:tcBorders>
          </w:tcPr>
          <w:p>
            <w:pPr>
              <w:ind w:left="80"/>
              <w:spacing w:after="0" w:line="154" w:lineRule="exact"/>
              <w:rPr>
                <w:sz w:val="20"/>
                <w:szCs w:val="20"/>
                <w:color w:val="auto"/>
              </w:rPr>
            </w:pPr>
            <w:r>
              <w:rPr>
                <w:rFonts w:ascii="Arial" w:cs="Arial" w:eastAsia="Arial" w:hAnsi="Arial"/>
                <w:sz w:val="17"/>
                <w:szCs w:val="17"/>
                <w:color w:val="auto"/>
                <w:w w:val="99"/>
              </w:rPr>
              <w:t>Common stock, par value $0.0001 per</w:t>
            </w:r>
          </w:p>
        </w:tc>
        <w:tc>
          <w:tcPr>
            <w:tcW w:w="160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98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share</w:t>
            </w:r>
          </w:p>
        </w:tc>
        <w:tc>
          <w:tcPr>
            <w:tcW w:w="1600" w:type="dxa"/>
            <w:vAlign w:val="bottom"/>
            <w:tcBorders>
              <w:bottom w:val="single" w:sz="8" w:color="auto"/>
              <w:right w:val="single" w:sz="8" w:color="auto"/>
            </w:tcBorders>
          </w:tcPr>
          <w:p>
            <w:pPr>
              <w:jc w:val="right"/>
              <w:ind w:right="264"/>
              <w:spacing w:after="0"/>
              <w:rPr>
                <w:sz w:val="20"/>
                <w:szCs w:val="20"/>
                <w:color w:val="auto"/>
              </w:rPr>
            </w:pPr>
            <w:r>
              <w:rPr>
                <w:rFonts w:ascii="Arial" w:cs="Arial" w:eastAsia="Arial" w:hAnsi="Arial"/>
                <w:sz w:val="18"/>
                <w:szCs w:val="18"/>
                <w:color w:val="auto"/>
              </w:rPr>
              <w:t>2,300,000</w:t>
            </w:r>
          </w:p>
        </w:tc>
        <w:tc>
          <w:tcPr>
            <w:tcW w:w="1600" w:type="dxa"/>
            <w:vAlign w:val="bottom"/>
            <w:tcBorders>
              <w:bottom w:val="single" w:sz="8" w:color="auto"/>
              <w:right w:val="single" w:sz="8" w:color="auto"/>
            </w:tcBorders>
          </w:tcPr>
          <w:p>
            <w:pPr>
              <w:jc w:val="center"/>
              <w:ind w:left="124"/>
              <w:spacing w:after="0"/>
              <w:rPr>
                <w:sz w:val="20"/>
                <w:szCs w:val="20"/>
                <w:color w:val="auto"/>
              </w:rPr>
            </w:pPr>
            <w:r>
              <w:rPr>
                <w:rFonts w:ascii="Arial" w:cs="Arial" w:eastAsia="Arial" w:hAnsi="Arial"/>
                <w:sz w:val="18"/>
                <w:szCs w:val="18"/>
                <w:color w:val="auto"/>
                <w:w w:val="87"/>
              </w:rPr>
              <w:t>$87.00</w:t>
            </w:r>
          </w:p>
        </w:tc>
        <w:tc>
          <w:tcPr>
            <w:tcW w:w="1640" w:type="dxa"/>
            <w:vAlign w:val="bottom"/>
            <w:tcBorders>
              <w:bottom w:val="single" w:sz="8" w:color="auto"/>
              <w:right w:val="single" w:sz="8" w:color="auto"/>
            </w:tcBorders>
          </w:tcPr>
          <w:p>
            <w:pPr>
              <w:jc w:val="center"/>
              <w:ind w:left="104"/>
              <w:spacing w:after="0"/>
              <w:rPr>
                <w:sz w:val="20"/>
                <w:szCs w:val="20"/>
                <w:color w:val="auto"/>
              </w:rPr>
            </w:pPr>
            <w:r>
              <w:rPr>
                <w:rFonts w:ascii="Arial" w:cs="Arial" w:eastAsia="Arial" w:hAnsi="Arial"/>
                <w:sz w:val="18"/>
                <w:szCs w:val="18"/>
                <w:color w:val="auto"/>
                <w:w w:val="88"/>
              </w:rPr>
              <w:t>$200,100,000</w:t>
            </w:r>
          </w:p>
        </w:tc>
        <w:tc>
          <w:tcPr>
            <w:tcW w:w="1600" w:type="dxa"/>
            <w:vAlign w:val="bottom"/>
            <w:tcBorders>
              <w:bottom w:val="single" w:sz="8" w:color="auto"/>
              <w:right w:val="single" w:sz="8" w:color="auto"/>
            </w:tcBorders>
          </w:tcPr>
          <w:p>
            <w:pPr>
              <w:jc w:val="center"/>
              <w:ind w:left="82"/>
              <w:spacing w:after="0"/>
              <w:rPr>
                <w:sz w:val="20"/>
                <w:szCs w:val="20"/>
                <w:color w:val="auto"/>
              </w:rPr>
            </w:pPr>
            <w:r>
              <w:rPr>
                <w:rFonts w:ascii="Arial" w:cs="Arial" w:eastAsia="Arial" w:hAnsi="Arial"/>
                <w:sz w:val="18"/>
                <w:szCs w:val="18"/>
                <w:color w:val="auto"/>
                <w:w w:val="88"/>
              </w:rPr>
              <w:t>$25,972.98</w:t>
            </w:r>
          </w:p>
        </w:tc>
        <w:tc>
          <w:tcPr>
            <w:tcW w:w="0" w:type="dxa"/>
            <w:vAlign w:val="bottom"/>
          </w:tcPr>
          <w:p>
            <w:pPr>
              <w:spacing w:after="0"/>
              <w:rPr>
                <w:sz w:val="1"/>
                <w:szCs w:val="1"/>
                <w:color w:val="auto"/>
              </w:rPr>
            </w:pPr>
          </w:p>
        </w:tc>
      </w:tr>
    </w:tbl>
    <w:p>
      <w:pPr>
        <w:ind w:left="500" w:right="140" w:hanging="440"/>
        <w:spacing w:after="0" w:line="226"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300,000 shares of common stock issuable upon exercise of the underwriters’ option to purchase additional shares of common stock.</w:t>
      </w:r>
    </w:p>
    <w:p>
      <w:pPr>
        <w:spacing w:after="0" w:line="1" w:lineRule="exact"/>
        <w:rPr>
          <w:rFonts w:ascii="Arial" w:cs="Arial" w:eastAsia="Arial" w:hAnsi="Arial"/>
          <w:sz w:val="18"/>
          <w:szCs w:val="18"/>
          <w:color w:val="auto"/>
        </w:rPr>
      </w:pPr>
    </w:p>
    <w:p>
      <w:pPr>
        <w:ind w:left="500" w:right="240" w:hanging="440"/>
        <w:spacing w:after="0" w:line="225"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is calculated and being paid pursuant to Rule 457(r) of the Securities Act of 1933, as amended, or the Securities Act, and relates to the registrant’s Registration Statement on Form S-3ASR (File No. 333-235372), or the Registration Statement. In accordance with Rules 456(b) and 457(r) of the Securities Act, the registrant initially deferred payment of the registration fee for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1375410</wp:posOffset>
            </wp:positionV>
            <wp:extent cx="59664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400"/>
          </w:cols>
          <w:pgMar w:left="1260" w:top="219" w:right="1239" w:bottom="1440" w:gutter="0" w:footer="0" w:header="0"/>
        </w:sectPr>
      </w:pPr>
    </w:p>
    <w:bookmarkStart w:id="1" w:name="page2"/>
    <w:bookmarkEnd w:id="1"/>
    <w:p>
      <w:pPr>
        <w:ind w:left="6"/>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PROSPECTUS SUPPLEMENT</w:t>
      </w:r>
    </w:p>
    <w:p>
      <w:pPr>
        <w:ind w:left="6"/>
        <w:spacing w:after="0"/>
        <w:rPr>
          <w:sz w:val="20"/>
          <w:szCs w:val="20"/>
          <w:color w:val="auto"/>
        </w:rPr>
      </w:pPr>
      <w:r>
        <w:rPr>
          <w:rFonts w:ascii="Arial" w:cs="Arial" w:eastAsia="Arial" w:hAnsi="Arial"/>
          <w:sz w:val="18"/>
          <w:szCs w:val="18"/>
          <w:b w:val="1"/>
          <w:bCs w:val="1"/>
          <w:color w:val="auto"/>
        </w:rPr>
        <w:t>(To Prospectus dated December 5, 2019)</w:t>
      </w:r>
    </w:p>
    <w:p>
      <w:pPr>
        <w:spacing w:after="0" w:line="140" w:lineRule="exact"/>
        <w:rPr>
          <w:sz w:val="20"/>
          <w:szCs w:val="20"/>
          <w:color w:val="auto"/>
        </w:rPr>
      </w:pPr>
    </w:p>
    <w:p>
      <w:pPr>
        <w:jc w:val="center"/>
        <w:ind w:right="-5"/>
        <w:spacing w:after="0"/>
        <w:rPr>
          <w:sz w:val="20"/>
          <w:szCs w:val="20"/>
          <w:color w:val="auto"/>
        </w:rPr>
      </w:pPr>
      <w:r>
        <w:rPr>
          <w:rFonts w:ascii="Arial" w:cs="Arial" w:eastAsia="Arial" w:hAnsi="Arial"/>
          <w:sz w:val="22"/>
          <w:szCs w:val="22"/>
          <w:b w:val="1"/>
          <w:bCs w:val="1"/>
          <w:color w:val="auto"/>
        </w:rPr>
        <w:t>2,000,000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1767840</wp:posOffset>
            </wp:positionH>
            <wp:positionV relativeFrom="paragraph">
              <wp:posOffset>121285</wp:posOffset>
            </wp:positionV>
            <wp:extent cx="2432685" cy="75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32685" cy="75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
        <w:spacing w:after="0"/>
        <w:rPr>
          <w:sz w:val="20"/>
          <w:szCs w:val="20"/>
          <w:color w:val="auto"/>
        </w:rPr>
      </w:pPr>
      <w:r>
        <w:rPr>
          <w:rFonts w:ascii="Arial" w:cs="Arial" w:eastAsia="Arial" w:hAnsi="Arial"/>
          <w:sz w:val="22"/>
          <w:szCs w:val="22"/>
          <w:b w:val="1"/>
          <w:bCs w:val="1"/>
          <w:color w:val="auto"/>
        </w:rPr>
        <w:t>Axsome Therapeutics, Inc.</w:t>
      </w:r>
    </w:p>
    <w:p>
      <w:pPr>
        <w:spacing w:after="0" w:line="97" w:lineRule="exact"/>
        <w:rPr>
          <w:sz w:val="20"/>
          <w:szCs w:val="20"/>
          <w:color w:val="auto"/>
        </w:rPr>
      </w:pPr>
    </w:p>
    <w:p>
      <w:pPr>
        <w:jc w:val="center"/>
        <w:ind w:right="-5"/>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2237105</wp:posOffset>
            </wp:positionH>
            <wp:positionV relativeFrom="paragraph">
              <wp:posOffset>70485</wp:posOffset>
            </wp:positionV>
            <wp:extent cx="14935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188" w:lineRule="exact"/>
        <w:rPr>
          <w:sz w:val="20"/>
          <w:szCs w:val="20"/>
          <w:color w:val="auto"/>
        </w:rPr>
      </w:pPr>
    </w:p>
    <w:p>
      <w:pPr>
        <w:ind w:left="6" w:right="200"/>
        <w:spacing w:after="0" w:line="239" w:lineRule="auto"/>
        <w:rPr>
          <w:sz w:val="20"/>
          <w:szCs w:val="20"/>
          <w:color w:val="auto"/>
        </w:rPr>
      </w:pPr>
      <w:r>
        <w:rPr>
          <w:rFonts w:ascii="Arial" w:cs="Arial" w:eastAsia="Arial" w:hAnsi="Arial"/>
          <w:sz w:val="16"/>
          <w:szCs w:val="16"/>
          <w:color w:val="auto"/>
        </w:rPr>
        <w:t>We are offering 2,000,000 shares of our common stock. Our common stock is listed on the Nasdaq Global Market under the symbol “AXSM.” On December 18, 2019, the last reported sale price of our common stock was $89.57 per share.</w:t>
      </w:r>
    </w:p>
    <w:p>
      <w:pPr>
        <w:spacing w:after="0" w:line="64" w:lineRule="exact"/>
        <w:rPr>
          <w:sz w:val="20"/>
          <w:szCs w:val="20"/>
          <w:color w:val="auto"/>
        </w:rPr>
      </w:pPr>
    </w:p>
    <w:p>
      <w:pPr>
        <w:ind w:left="6" w:right="480"/>
        <w:spacing w:after="0" w:line="239" w:lineRule="auto"/>
        <w:rPr>
          <w:sz w:val="20"/>
          <w:szCs w:val="20"/>
          <w:color w:val="auto"/>
        </w:rPr>
      </w:pPr>
      <w:r>
        <w:rPr>
          <w:rFonts w:ascii="Arial" w:cs="Arial" w:eastAsia="Arial" w:hAnsi="Arial"/>
          <w:sz w:val="16"/>
          <w:szCs w:val="16"/>
          <w:color w:val="auto"/>
        </w:rPr>
        <w:t>We are an emerging growth company as that term is used in the Jumpstart Our Business Startups Act of 2012 and, as such, have elected to comply with certain reduced public company reporting requirements.</w:t>
      </w:r>
    </w:p>
    <w:p>
      <w:pPr>
        <w:spacing w:after="0" w:line="60" w:lineRule="exact"/>
        <w:rPr>
          <w:sz w:val="20"/>
          <w:szCs w:val="20"/>
          <w:color w:val="auto"/>
        </w:rPr>
      </w:pPr>
    </w:p>
    <w:p>
      <w:pPr>
        <w:ind w:left="6" w:right="180"/>
        <w:spacing w:after="0" w:line="244" w:lineRule="auto"/>
        <w:rPr>
          <w:sz w:val="20"/>
          <w:szCs w:val="20"/>
          <w:color w:val="auto"/>
        </w:rPr>
      </w:pPr>
      <w:r>
        <w:rPr>
          <w:rFonts w:ascii="Arial" w:cs="Arial" w:eastAsia="Arial" w:hAnsi="Arial"/>
          <w:sz w:val="16"/>
          <w:szCs w:val="16"/>
          <w:b w:val="1"/>
          <w:bCs w:val="1"/>
          <w:color w:val="auto"/>
        </w:rPr>
        <w:t>Investing in our common stock involves a high degree of risk. See “Risk Factors” beginning on page S-4 of this prospectus and the risk factors in the documents incorporated by reference in this prospectus.</w:t>
      </w:r>
    </w:p>
    <w:p>
      <w:pPr>
        <w:spacing w:after="0" w:line="56" w:lineRule="exact"/>
        <w:rPr>
          <w:sz w:val="20"/>
          <w:szCs w:val="20"/>
          <w:color w:val="auto"/>
        </w:rPr>
      </w:pPr>
    </w:p>
    <w:p>
      <w:pPr>
        <w:ind w:left="6" w:right="60"/>
        <w:spacing w:after="0" w:line="276"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78" w:lineRule="exact"/>
        <w:rPr>
          <w:sz w:val="20"/>
          <w:szCs w:val="20"/>
          <w:color w:val="auto"/>
        </w:rPr>
      </w:pPr>
    </w:p>
    <w:tbl>
      <w:tblPr>
        <w:tblLayout w:type="fixed"/>
        <w:tblInd w:w="1486"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2"/>
              </w:rPr>
              <w:t>Per</w:t>
            </w:r>
          </w:p>
        </w:tc>
        <w:tc>
          <w:tcPr>
            <w:tcW w:w="300" w:type="dxa"/>
            <w:vAlign w:val="bottom"/>
          </w:tcPr>
          <w:p>
            <w:pPr>
              <w:spacing w:after="0"/>
              <w:rPr>
                <w:sz w:val="16"/>
                <w:szCs w:val="16"/>
                <w:color w:val="auto"/>
              </w:rPr>
            </w:pP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8"/>
        </w:trPr>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9"/>
              </w:rPr>
              <w:t>Share</w:t>
            </w:r>
          </w:p>
        </w:tc>
        <w:tc>
          <w:tcPr>
            <w:tcW w:w="3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180" w:type="dxa"/>
            <w:vAlign w:val="bottom"/>
          </w:tcPr>
          <w:p>
            <w:pPr>
              <w:spacing w:after="0"/>
              <w:rPr>
                <w:sz w:val="20"/>
                <w:szCs w:val="20"/>
                <w:color w:val="auto"/>
              </w:rPr>
            </w:pPr>
            <w:r>
              <w:rPr>
                <w:rFonts w:ascii="Arial" w:cs="Arial" w:eastAsia="Arial" w:hAnsi="Arial"/>
                <w:sz w:val="16"/>
                <w:szCs w:val="16"/>
                <w:color w:val="auto"/>
              </w:rPr>
              <w:t>Public offering price</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87.000</w:t>
            </w:r>
          </w:p>
        </w:tc>
        <w:tc>
          <w:tcPr>
            <w:tcW w:w="280" w:type="dxa"/>
            <w:vAlign w:val="bottom"/>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174,000,000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80" w:type="dxa"/>
            <w:vAlign w:val="bottom"/>
          </w:tcPr>
          <w:p>
            <w:pPr>
              <w:spacing w:after="0"/>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17"/>
                <w:szCs w:val="17"/>
                <w:color w:val="auto"/>
                <w:vertAlign w:val="superscript"/>
              </w:rPr>
              <w:t>(1)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5.655</w:t>
            </w:r>
          </w:p>
        </w:tc>
        <w:tc>
          <w:tcPr>
            <w:tcW w:w="2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11,310,000</w:t>
            </w:r>
          </w:p>
        </w:tc>
        <w:tc>
          <w:tcPr>
            <w:tcW w:w="0" w:type="dxa"/>
            <w:vAlign w:val="bottom"/>
          </w:tcPr>
          <w:p>
            <w:pPr>
              <w:spacing w:after="0"/>
              <w:rPr>
                <w:sz w:val="1"/>
                <w:szCs w:val="1"/>
                <w:color w:val="auto"/>
              </w:rPr>
            </w:pPr>
          </w:p>
        </w:tc>
      </w:tr>
      <w:tr>
        <w:trPr>
          <w:trHeight w:val="233"/>
        </w:trPr>
        <w:tc>
          <w:tcPr>
            <w:tcW w:w="4180" w:type="dxa"/>
            <w:vAlign w:val="bottom"/>
          </w:tcPr>
          <w:p>
            <w:pPr>
              <w:spacing w:after="0"/>
              <w:rPr>
                <w:sz w:val="20"/>
                <w:szCs w:val="20"/>
                <w:color w:val="auto"/>
              </w:rPr>
            </w:pPr>
            <w:r>
              <w:rPr>
                <w:rFonts w:ascii="Arial" w:cs="Arial" w:eastAsia="Arial" w:hAnsi="Arial"/>
                <w:sz w:val="16"/>
                <w:szCs w:val="16"/>
                <w:color w:val="auto"/>
              </w:rPr>
              <w:t>Proceeds, before expenses, to us</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81.345</w:t>
            </w:r>
          </w:p>
        </w:tc>
        <w:tc>
          <w:tcPr>
            <w:tcW w:w="2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162,690,000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54610</wp:posOffset>
            </wp:positionV>
            <wp:extent cx="14935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164" w:lineRule="exact"/>
        <w:rPr>
          <w:sz w:val="20"/>
          <w:szCs w:val="20"/>
          <w:color w:val="auto"/>
        </w:rPr>
      </w:pPr>
    </w:p>
    <w:p>
      <w:pPr>
        <w:ind w:left="226" w:hanging="226"/>
        <w:spacing w:after="0"/>
        <w:tabs>
          <w:tab w:leader="none" w:pos="226"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We have agreed to reimburse the underwriters for certain expenses. See “Underwriting.”</w:t>
      </w:r>
    </w:p>
    <w:p>
      <w:pPr>
        <w:spacing w:after="0" w:line="85" w:lineRule="exact"/>
        <w:rPr>
          <w:sz w:val="20"/>
          <w:szCs w:val="20"/>
          <w:color w:val="auto"/>
        </w:rPr>
      </w:pPr>
    </w:p>
    <w:p>
      <w:pPr>
        <w:ind w:left="6" w:right="120"/>
        <w:spacing w:after="0" w:line="239" w:lineRule="auto"/>
        <w:rPr>
          <w:sz w:val="20"/>
          <w:szCs w:val="20"/>
          <w:color w:val="auto"/>
        </w:rPr>
      </w:pPr>
      <w:r>
        <w:rPr>
          <w:rFonts w:ascii="Arial" w:cs="Arial" w:eastAsia="Arial" w:hAnsi="Arial"/>
          <w:sz w:val="16"/>
          <w:szCs w:val="16"/>
          <w:color w:val="auto"/>
        </w:rPr>
        <w:t>We have granted the underwriters an option for 30 days from the date of this prospectus supplement to purchase up to 300,000 additional shares of our common stock. See “Underwriting” for more information.</w:t>
      </w:r>
    </w:p>
    <w:p>
      <w:pPr>
        <w:spacing w:after="0" w:line="64"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underwriters expect to deliver the shares to the investors on or about December 23, 2019.</w:t>
      </w:r>
    </w:p>
    <w:p>
      <w:pPr>
        <w:spacing w:after="0" w:line="80" w:lineRule="exact"/>
        <w:rPr>
          <w:sz w:val="20"/>
          <w:szCs w:val="20"/>
          <w:color w:val="auto"/>
        </w:rPr>
      </w:pPr>
    </w:p>
    <w:p>
      <w:pPr>
        <w:jc w:val="center"/>
        <w:ind w:right="-5"/>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48260</wp:posOffset>
            </wp:positionV>
            <wp:extent cx="5966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18" w:lineRule="exact"/>
        <w:rPr>
          <w:sz w:val="20"/>
          <w:szCs w:val="20"/>
          <w:color w:val="auto"/>
        </w:rPr>
      </w:pPr>
    </w:p>
    <w:tbl>
      <w:tblPr>
        <w:tblLayout w:type="fixed"/>
        <w:tblInd w:w="6" w:type="dxa"/>
        <w:tblCellMar>
          <w:top w:w="0" w:type="dxa"/>
          <w:left w:w="0" w:type="dxa"/>
          <w:bottom w:w="0" w:type="dxa"/>
          <w:right w:w="0" w:type="dxa"/>
        </w:tblCellMar>
      </w:tblPr>
      <w:tr>
        <w:trPr>
          <w:trHeight w:val="373"/>
        </w:trPr>
        <w:tc>
          <w:tcPr>
            <w:tcW w:w="1900" w:type="dxa"/>
            <w:vAlign w:val="bottom"/>
          </w:tcPr>
          <w:p>
            <w:pPr>
              <w:ind w:left="120"/>
              <w:spacing w:after="0"/>
              <w:rPr>
                <w:sz w:val="20"/>
                <w:szCs w:val="20"/>
                <w:color w:val="auto"/>
              </w:rPr>
            </w:pPr>
            <w:r>
              <w:rPr>
                <w:rFonts w:ascii="Arial" w:cs="Arial" w:eastAsia="Arial" w:hAnsi="Arial"/>
                <w:sz w:val="29"/>
                <w:szCs w:val="29"/>
                <w:b w:val="1"/>
                <w:bCs w:val="1"/>
                <w:color w:val="auto"/>
              </w:rPr>
              <w:t>SVB Leerink</w:t>
            </w:r>
          </w:p>
        </w:tc>
        <w:tc>
          <w:tcPr>
            <w:tcW w:w="18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360" w:type="dxa"/>
            <w:vAlign w:val="bottom"/>
          </w:tcPr>
          <w:p>
            <w:pPr>
              <w:ind w:left="260"/>
              <w:spacing w:after="0"/>
              <w:rPr>
                <w:sz w:val="20"/>
                <w:szCs w:val="20"/>
                <w:color w:val="auto"/>
              </w:rPr>
            </w:pPr>
            <w:r>
              <w:rPr>
                <w:rFonts w:ascii="Arial" w:cs="Arial" w:eastAsia="Arial" w:hAnsi="Arial"/>
                <w:sz w:val="29"/>
                <w:szCs w:val="29"/>
                <w:b w:val="1"/>
                <w:bCs w:val="1"/>
                <w:color w:val="auto"/>
                <w:w w:val="96"/>
              </w:rPr>
              <w:t>Morgan Stanley</w:t>
            </w:r>
          </w:p>
        </w:tc>
      </w:tr>
      <w:tr>
        <w:trPr>
          <w:trHeight w:val="344"/>
        </w:trPr>
        <w:tc>
          <w:tcPr>
            <w:tcW w:w="1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60" w:type="dxa"/>
            <w:vAlign w:val="bottom"/>
          </w:tcPr>
          <w:p>
            <w:pPr>
              <w:jc w:val="center"/>
              <w:ind w:right="1336"/>
              <w:spacing w:after="0"/>
              <w:rPr>
                <w:sz w:val="20"/>
                <w:szCs w:val="20"/>
                <w:color w:val="auto"/>
              </w:rPr>
            </w:pPr>
            <w:r>
              <w:rPr>
                <w:rFonts w:ascii="Arial" w:cs="Arial" w:eastAsia="Arial" w:hAnsi="Arial"/>
                <w:sz w:val="18"/>
                <w:szCs w:val="18"/>
                <w:b w:val="1"/>
                <w:bCs w:val="1"/>
                <w:i w:val="1"/>
                <w:iCs w:val="1"/>
                <w:color w:val="auto"/>
                <w:w w:val="88"/>
              </w:rPr>
              <w:t>Co-Lead Managers</w:t>
            </w:r>
          </w:p>
        </w:tc>
        <w:tc>
          <w:tcPr>
            <w:tcW w:w="2360" w:type="dxa"/>
            <w:vAlign w:val="bottom"/>
          </w:tcPr>
          <w:p>
            <w:pPr>
              <w:spacing w:after="0"/>
              <w:rPr>
                <w:sz w:val="24"/>
                <w:szCs w:val="24"/>
                <w:color w:val="auto"/>
              </w:rPr>
            </w:pPr>
          </w:p>
        </w:tc>
      </w:tr>
      <w:tr>
        <w:trPr>
          <w:trHeight w:val="80"/>
        </w:trPr>
        <w:tc>
          <w:tcPr>
            <w:tcW w:w="190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3260" w:type="dxa"/>
            <w:vAlign w:val="bottom"/>
            <w:tcBorders>
              <w:bottom w:val="single" w:sz="8" w:color="auto"/>
            </w:tcBorders>
          </w:tcPr>
          <w:p>
            <w:pPr>
              <w:spacing w:after="0"/>
              <w:rPr>
                <w:sz w:val="6"/>
                <w:szCs w:val="6"/>
                <w:color w:val="auto"/>
              </w:rPr>
            </w:pPr>
          </w:p>
        </w:tc>
        <w:tc>
          <w:tcPr>
            <w:tcW w:w="2360" w:type="dxa"/>
            <w:vAlign w:val="bottom"/>
            <w:tcBorders>
              <w:bottom w:val="single" w:sz="8" w:color="auto"/>
            </w:tcBorders>
          </w:tcPr>
          <w:p>
            <w:pPr>
              <w:spacing w:after="0"/>
              <w:rPr>
                <w:sz w:val="6"/>
                <w:szCs w:val="6"/>
                <w:color w:val="auto"/>
              </w:rPr>
            </w:pPr>
          </w:p>
        </w:tc>
      </w:tr>
      <w:tr>
        <w:trPr>
          <w:trHeight w:val="195"/>
        </w:trPr>
        <w:tc>
          <w:tcPr>
            <w:tcW w:w="1900" w:type="dxa"/>
            <w:vAlign w:val="bottom"/>
          </w:tcPr>
          <w:p>
            <w:pPr>
              <w:ind w:left="380"/>
              <w:spacing w:after="0" w:line="195" w:lineRule="exact"/>
              <w:rPr>
                <w:sz w:val="20"/>
                <w:szCs w:val="20"/>
                <w:color w:val="auto"/>
              </w:rPr>
            </w:pPr>
            <w:r>
              <w:rPr>
                <w:rFonts w:ascii="Arial" w:cs="Arial" w:eastAsia="Arial" w:hAnsi="Arial"/>
                <w:sz w:val="22"/>
                <w:szCs w:val="22"/>
                <w:b w:val="1"/>
                <w:bCs w:val="1"/>
                <w:color w:val="auto"/>
              </w:rPr>
              <w:t>Cantor</w:t>
            </w:r>
          </w:p>
        </w:tc>
        <w:tc>
          <w:tcPr>
            <w:tcW w:w="1880" w:type="dxa"/>
            <w:vAlign w:val="bottom"/>
          </w:tcPr>
          <w:p>
            <w:pPr>
              <w:jc w:val="center"/>
              <w:ind w:left="206"/>
              <w:spacing w:after="0" w:line="195" w:lineRule="exact"/>
              <w:rPr>
                <w:sz w:val="20"/>
                <w:szCs w:val="20"/>
                <w:color w:val="auto"/>
              </w:rPr>
            </w:pPr>
            <w:r>
              <w:rPr>
                <w:rFonts w:ascii="Arial" w:cs="Arial" w:eastAsia="Arial" w:hAnsi="Arial"/>
                <w:sz w:val="22"/>
                <w:szCs w:val="22"/>
                <w:b w:val="1"/>
                <w:bCs w:val="1"/>
                <w:color w:val="auto"/>
              </w:rPr>
              <w:t>Ladenburg</w:t>
            </w:r>
          </w:p>
        </w:tc>
        <w:tc>
          <w:tcPr>
            <w:tcW w:w="3260" w:type="dxa"/>
            <w:vAlign w:val="bottom"/>
          </w:tcPr>
          <w:p>
            <w:pPr>
              <w:jc w:val="center"/>
              <w:ind w:left="556"/>
              <w:spacing w:after="0" w:line="195" w:lineRule="exact"/>
              <w:rPr>
                <w:sz w:val="20"/>
                <w:szCs w:val="20"/>
                <w:color w:val="auto"/>
              </w:rPr>
            </w:pPr>
            <w:r>
              <w:rPr>
                <w:rFonts w:ascii="Arial" w:cs="Arial" w:eastAsia="Arial" w:hAnsi="Arial"/>
                <w:sz w:val="22"/>
                <w:szCs w:val="22"/>
                <w:b w:val="1"/>
                <w:bCs w:val="1"/>
                <w:color w:val="auto"/>
              </w:rPr>
              <w:t>SunTrust Robinson</w:t>
            </w:r>
          </w:p>
        </w:tc>
        <w:tc>
          <w:tcPr>
            <w:tcW w:w="2360" w:type="dxa"/>
            <w:vAlign w:val="bottom"/>
          </w:tcPr>
          <w:p>
            <w:pPr>
              <w:ind w:left="440"/>
              <w:spacing w:after="0" w:line="195" w:lineRule="exact"/>
              <w:rPr>
                <w:sz w:val="20"/>
                <w:szCs w:val="20"/>
                <w:color w:val="auto"/>
              </w:rPr>
            </w:pPr>
            <w:r>
              <w:rPr>
                <w:rFonts w:ascii="Arial" w:cs="Arial" w:eastAsia="Arial" w:hAnsi="Arial"/>
                <w:sz w:val="22"/>
                <w:szCs w:val="22"/>
                <w:b w:val="1"/>
                <w:bCs w:val="1"/>
                <w:color w:val="auto"/>
              </w:rPr>
              <w:t>William Blair</w:t>
            </w:r>
          </w:p>
        </w:tc>
      </w:tr>
      <w:tr>
        <w:trPr>
          <w:trHeight w:val="326"/>
        </w:trPr>
        <w:tc>
          <w:tcPr>
            <w:tcW w:w="1900" w:type="dxa"/>
            <w:vAlign w:val="bottom"/>
          </w:tcPr>
          <w:p>
            <w:pPr>
              <w:spacing w:after="0"/>
              <w:rPr>
                <w:sz w:val="24"/>
                <w:szCs w:val="24"/>
                <w:color w:val="auto"/>
              </w:rPr>
            </w:pPr>
          </w:p>
        </w:tc>
        <w:tc>
          <w:tcPr>
            <w:tcW w:w="1880" w:type="dxa"/>
            <w:vAlign w:val="bottom"/>
          </w:tcPr>
          <w:p>
            <w:pPr>
              <w:jc w:val="center"/>
              <w:ind w:left="206"/>
              <w:spacing w:after="0"/>
              <w:rPr>
                <w:sz w:val="20"/>
                <w:szCs w:val="20"/>
                <w:color w:val="auto"/>
              </w:rPr>
            </w:pPr>
            <w:r>
              <w:rPr>
                <w:rFonts w:ascii="Arial" w:cs="Arial" w:eastAsia="Arial" w:hAnsi="Arial"/>
                <w:sz w:val="25"/>
                <w:szCs w:val="25"/>
                <w:b w:val="1"/>
                <w:bCs w:val="1"/>
                <w:color w:val="auto"/>
                <w:w w:val="94"/>
              </w:rPr>
              <w:t>Thalmann</w:t>
            </w:r>
          </w:p>
        </w:tc>
        <w:tc>
          <w:tcPr>
            <w:tcW w:w="3260" w:type="dxa"/>
            <w:vAlign w:val="bottom"/>
          </w:tcPr>
          <w:p>
            <w:pPr>
              <w:jc w:val="center"/>
              <w:ind w:left="556"/>
              <w:spacing w:after="0"/>
              <w:rPr>
                <w:sz w:val="20"/>
                <w:szCs w:val="20"/>
                <w:color w:val="auto"/>
              </w:rPr>
            </w:pPr>
            <w:r>
              <w:rPr>
                <w:rFonts w:ascii="Arial" w:cs="Arial" w:eastAsia="Arial" w:hAnsi="Arial"/>
                <w:sz w:val="25"/>
                <w:szCs w:val="25"/>
                <w:b w:val="1"/>
                <w:bCs w:val="1"/>
                <w:color w:val="auto"/>
                <w:w w:val="93"/>
              </w:rPr>
              <w:t>Humphrey</w:t>
            </w:r>
          </w:p>
        </w:tc>
        <w:tc>
          <w:tcPr>
            <w:tcW w:w="2360" w:type="dxa"/>
            <w:vAlign w:val="bottom"/>
          </w:tcPr>
          <w:p>
            <w:pPr>
              <w:spacing w:after="0"/>
              <w:rPr>
                <w:sz w:val="24"/>
                <w:szCs w:val="24"/>
                <w:color w:val="auto"/>
              </w:rPr>
            </w:pPr>
          </w:p>
        </w:tc>
      </w:tr>
      <w:tr>
        <w:trPr>
          <w:trHeight w:val="333"/>
        </w:trPr>
        <w:tc>
          <w:tcPr>
            <w:tcW w:w="1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60" w:type="dxa"/>
            <w:vAlign w:val="bottom"/>
          </w:tcPr>
          <w:p>
            <w:pPr>
              <w:jc w:val="center"/>
              <w:ind w:right="1336"/>
              <w:spacing w:after="0"/>
              <w:rPr>
                <w:sz w:val="20"/>
                <w:szCs w:val="20"/>
                <w:color w:val="auto"/>
              </w:rPr>
            </w:pPr>
            <w:r>
              <w:rPr>
                <w:rFonts w:ascii="Arial" w:cs="Arial" w:eastAsia="Arial" w:hAnsi="Arial"/>
                <w:sz w:val="18"/>
                <w:szCs w:val="18"/>
                <w:b w:val="1"/>
                <w:bCs w:val="1"/>
                <w:i w:val="1"/>
                <w:iCs w:val="1"/>
                <w:color w:val="auto"/>
                <w:w w:val="89"/>
              </w:rPr>
              <w:t>Co-Managers</w:t>
            </w:r>
          </w:p>
        </w:tc>
        <w:tc>
          <w:tcPr>
            <w:tcW w:w="2360" w:type="dxa"/>
            <w:vAlign w:val="bottom"/>
          </w:tcPr>
          <w:p>
            <w:pPr>
              <w:spacing w:after="0"/>
              <w:rPr>
                <w:sz w:val="24"/>
                <w:szCs w:val="24"/>
                <w:color w:val="auto"/>
              </w:rPr>
            </w:pPr>
          </w:p>
        </w:tc>
      </w:tr>
      <w:tr>
        <w:trPr>
          <w:trHeight w:val="54"/>
        </w:trPr>
        <w:tc>
          <w:tcPr>
            <w:tcW w:w="19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5620" w:type="dxa"/>
            <w:vAlign w:val="bottom"/>
            <w:tcBorders>
              <w:bottom w:val="single" w:sz="8" w:color="auto"/>
            </w:tcBorders>
            <w:gridSpan w:val="2"/>
          </w:tcPr>
          <w:p>
            <w:pPr>
              <w:spacing w:after="0"/>
              <w:rPr>
                <w:sz w:val="4"/>
                <w:szCs w:val="4"/>
                <w:color w:val="auto"/>
              </w:rPr>
            </w:pPr>
          </w:p>
        </w:tc>
      </w:tr>
      <w:tr>
        <w:trPr>
          <w:trHeight w:val="273"/>
        </w:trPr>
        <w:tc>
          <w:tcPr>
            <w:tcW w:w="1900" w:type="dxa"/>
            <w:vAlign w:val="bottom"/>
          </w:tcPr>
          <w:p>
            <w:pPr>
              <w:spacing w:after="0"/>
              <w:rPr>
                <w:sz w:val="23"/>
                <w:szCs w:val="23"/>
                <w:color w:val="auto"/>
              </w:rPr>
            </w:pPr>
          </w:p>
        </w:tc>
        <w:tc>
          <w:tcPr>
            <w:tcW w:w="1880" w:type="dxa"/>
            <w:vAlign w:val="bottom"/>
          </w:tcPr>
          <w:p>
            <w:pPr>
              <w:ind w:left="180"/>
              <w:spacing w:after="0"/>
              <w:rPr>
                <w:sz w:val="20"/>
                <w:szCs w:val="20"/>
                <w:color w:val="auto"/>
              </w:rPr>
            </w:pPr>
            <w:r>
              <w:rPr>
                <w:rFonts w:ascii="Arial" w:cs="Arial" w:eastAsia="Arial" w:hAnsi="Arial"/>
                <w:sz w:val="22"/>
                <w:szCs w:val="22"/>
                <w:b w:val="1"/>
                <w:bCs w:val="1"/>
                <w:color w:val="auto"/>
              </w:rPr>
              <w:t>BTIG</w:t>
            </w:r>
          </w:p>
        </w:tc>
        <w:tc>
          <w:tcPr>
            <w:tcW w:w="5620" w:type="dxa"/>
            <w:vAlign w:val="bottom"/>
            <w:gridSpan w:val="2"/>
          </w:tcPr>
          <w:p>
            <w:pPr>
              <w:ind w:left="2160"/>
              <w:spacing w:after="0"/>
              <w:rPr>
                <w:sz w:val="20"/>
                <w:szCs w:val="20"/>
                <w:color w:val="auto"/>
              </w:rPr>
            </w:pPr>
            <w:r>
              <w:rPr>
                <w:rFonts w:ascii="Arial" w:cs="Arial" w:eastAsia="Arial" w:hAnsi="Arial"/>
                <w:sz w:val="22"/>
                <w:szCs w:val="22"/>
                <w:b w:val="1"/>
                <w:bCs w:val="1"/>
                <w:color w:val="auto"/>
              </w:rPr>
              <w:t>H.C. Wainwright &amp; Co.</w:t>
            </w:r>
          </w:p>
        </w:tc>
      </w:tr>
    </w:tbl>
    <w:p>
      <w:pPr>
        <w:spacing w:after="0" w:line="96"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The date of this prospectus supplement is December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833755</wp:posOffset>
            </wp:positionV>
            <wp:extent cx="596646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406"/>
          </w:cols>
          <w:pgMar w:left="1254" w:top="114" w:right="123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00" w:type="dxa"/>
            <w:vAlign w:val="bottom"/>
            <w:gridSpan w:val="2"/>
          </w:tcPr>
          <w:p>
            <w:pPr>
              <w:ind w:left="90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8"/>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42"/>
        </w:trPr>
        <w:tc>
          <w:tcPr>
            <w:tcW w:w="8540" w:type="dxa"/>
            <w:vAlign w:val="bottom"/>
            <w:gridSpan w:val="21"/>
          </w:tcPr>
          <w:p>
            <w:pPr>
              <w:spacing w:after="0"/>
              <w:rPr>
                <w:sz w:val="20"/>
                <w:szCs w:val="20"/>
                <w:color w:val="auto"/>
              </w:rPr>
            </w:pPr>
            <w:r>
              <w:rPr>
                <w:rFonts w:ascii="Arial" w:cs="Arial" w:eastAsia="Arial" w:hAnsi="Arial"/>
                <w:sz w:val="18"/>
                <w:szCs w:val="18"/>
                <w:b w:val="1"/>
                <w:bCs w:val="1"/>
                <w:color w:val="auto"/>
              </w:rPr>
              <w:t>Prospectus Supplement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540" w:type="dxa"/>
            <w:vAlign w:val="bottom"/>
            <w:gridSpan w:val="21"/>
          </w:tcPr>
          <w:p>
            <w:pPr>
              <w:spacing w:after="0" w:line="189" w:lineRule="exact"/>
              <w:rPr>
                <w:rFonts w:ascii="Arial" w:cs="Arial" w:eastAsia="Arial" w:hAnsi="Arial"/>
                <w:sz w:val="18"/>
                <w:szCs w:val="18"/>
                <w:color w:val="0000EE"/>
              </w:rPr>
            </w:pPr>
            <w:hyperlink w:anchor="page4">
              <w:r>
                <w:rPr>
                  <w:rFonts w:ascii="Arial" w:cs="Arial" w:eastAsia="Arial" w:hAnsi="Arial"/>
                  <w:sz w:val="18"/>
                  <w:szCs w:val="18"/>
                  <w:color w:val="0000EE"/>
                </w:rPr>
                <w:t>About this Prospectus Supplement</w:t>
              </w:r>
            </w:hyperlink>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S-iii</w:t>
            </w:r>
          </w:p>
        </w:tc>
        <w:tc>
          <w:tcPr>
            <w:tcW w:w="0" w:type="dxa"/>
            <w:vAlign w:val="bottom"/>
          </w:tcPr>
          <w:p>
            <w:pPr>
              <w:spacing w:after="0" w:line="20" w:lineRule="exact"/>
              <w:rPr>
                <w:sz w:val="1"/>
                <w:szCs w:val="1"/>
                <w:color w:val="auto"/>
              </w:rPr>
            </w:pPr>
          </w:p>
        </w:tc>
      </w:tr>
      <w:tr>
        <w:trPr>
          <w:trHeight w:val="168"/>
        </w:trPr>
        <w:tc>
          <w:tcPr>
            <w:tcW w:w="8540" w:type="dxa"/>
            <w:vAlign w:val="bottom"/>
            <w:gridSpan w:val="21"/>
          </w:tcPr>
          <w:p>
            <w:pPr>
              <w:spacing w:after="0" w:line="169" w:lineRule="exact"/>
              <w:rPr>
                <w:rFonts w:ascii="Arial" w:cs="Arial" w:eastAsia="Arial" w:hAnsi="Arial"/>
                <w:sz w:val="18"/>
                <w:szCs w:val="18"/>
                <w:color w:val="0000EE"/>
              </w:rPr>
            </w:pPr>
            <w:hyperlink w:anchor="page5">
              <w:r>
                <w:rPr>
                  <w:rFonts w:ascii="Arial" w:cs="Arial" w:eastAsia="Arial" w:hAnsi="Arial"/>
                  <w:sz w:val="18"/>
                  <w:szCs w:val="18"/>
                  <w:color w:val="0000EE"/>
                </w:rPr>
                <w:t>Cautionary Note Regarding Forward-Looking Statements</w:t>
              </w:r>
            </w:hyperlink>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20" w:type="dxa"/>
            <w:vAlign w:val="bottom"/>
            <w:tcBorders>
              <w:top w:val="single" w:sz="8" w:color="0000EE"/>
            </w:tcBorders>
            <w:gridSpan w:val="20"/>
          </w:tcPr>
          <w:p>
            <w:pPr>
              <w:spacing w:after="0" w:line="169" w:lineRule="exact"/>
              <w:rPr>
                <w:rFonts w:ascii="Arial" w:cs="Arial" w:eastAsia="Arial" w:hAnsi="Arial"/>
                <w:sz w:val="18"/>
                <w:szCs w:val="18"/>
                <w:color w:val="0000EE"/>
              </w:rPr>
            </w:pPr>
            <w:hyperlink w:anchor="page6">
              <w:r>
                <w:rPr>
                  <w:rFonts w:ascii="Arial" w:cs="Arial" w:eastAsia="Arial" w:hAnsi="Arial"/>
                  <w:sz w:val="18"/>
                  <w:szCs w:val="18"/>
                  <w:color w:val="0000EE"/>
                </w:rPr>
                <w:t>Prospectus Supplement Summary</w:t>
              </w:r>
            </w:hyperlink>
          </w:p>
        </w:tc>
        <w:tc>
          <w:tcPr>
            <w:tcW w:w="442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68"/>
        </w:trPr>
        <w:tc>
          <w:tcPr>
            <w:tcW w:w="900" w:type="dxa"/>
            <w:vAlign w:val="bottom"/>
            <w:tcBorders>
              <w:top w:val="single" w:sz="8" w:color="0000EE"/>
              <w:bottom w:val="single" w:sz="8" w:color="0000EE"/>
            </w:tcBorders>
            <w:gridSpan w:val="3"/>
          </w:tcPr>
          <w:p>
            <w:pPr>
              <w:spacing w:after="0" w:line="169"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1560" w:type="dxa"/>
            <w:vAlign w:val="bottom"/>
            <w:tcBorders>
              <w:top w:val="single" w:sz="8" w:color="0000EE"/>
            </w:tcBorders>
            <w:gridSpan w:val="14"/>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700" w:type="dxa"/>
            <w:vAlign w:val="bottom"/>
            <w:gridSpan w:val="2"/>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68"/>
        </w:trPr>
        <w:tc>
          <w:tcPr>
            <w:tcW w:w="8540" w:type="dxa"/>
            <w:vAlign w:val="bottom"/>
            <w:gridSpan w:val="21"/>
          </w:tcPr>
          <w:p>
            <w:pPr>
              <w:spacing w:after="0" w:line="169"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860" w:type="dxa"/>
            <w:vAlign w:val="bottom"/>
          </w:tcPr>
          <w:p>
            <w:pPr>
              <w:jc w:val="right"/>
              <w:spacing w:after="0" w:line="169"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168"/>
        </w:trPr>
        <w:tc>
          <w:tcPr>
            <w:tcW w:w="600" w:type="dxa"/>
            <w:vAlign w:val="bottom"/>
            <w:tcBorders>
              <w:top w:val="single" w:sz="8" w:color="0000EE"/>
              <w:bottom w:val="single" w:sz="8" w:color="0000EE"/>
            </w:tcBorders>
            <w:gridSpan w:val="2"/>
          </w:tcPr>
          <w:p>
            <w:pPr>
              <w:spacing w:after="0" w:line="169"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Dilution</w:t>
              </w:r>
            </w:hyperlink>
          </w:p>
        </w:tc>
        <w:tc>
          <w:tcPr>
            <w:tcW w:w="560" w:type="dxa"/>
            <w:vAlign w:val="bottom"/>
            <w:tcBorders>
              <w:top w:val="single" w:sz="8" w:color="0000EE"/>
            </w:tcBorders>
            <w:gridSpan w:val="4"/>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5700" w:type="dxa"/>
            <w:vAlign w:val="bottom"/>
            <w:gridSpan w:val="2"/>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68"/>
        </w:trPr>
        <w:tc>
          <w:tcPr>
            <w:tcW w:w="8540" w:type="dxa"/>
            <w:vAlign w:val="bottom"/>
            <w:gridSpan w:val="21"/>
          </w:tcPr>
          <w:p>
            <w:pPr>
              <w:spacing w:after="0" w:line="169" w:lineRule="exact"/>
              <w:rPr>
                <w:rFonts w:ascii="Arial" w:cs="Arial" w:eastAsia="Arial" w:hAnsi="Arial"/>
                <w:sz w:val="18"/>
                <w:szCs w:val="18"/>
                <w:color w:val="0000EE"/>
              </w:rPr>
            </w:pPr>
            <w:hyperlink w:anchor="page17">
              <w:r>
                <w:rPr>
                  <w:rFonts w:ascii="Arial" w:cs="Arial" w:eastAsia="Arial" w:hAnsi="Arial"/>
                  <w:sz w:val="18"/>
                  <w:szCs w:val="18"/>
                  <w:color w:val="0000EE"/>
                </w:rPr>
                <w:t>Underwriting</w:t>
              </w:r>
            </w:hyperlink>
          </w:p>
        </w:tc>
        <w:tc>
          <w:tcPr>
            <w:tcW w:w="860" w:type="dxa"/>
            <w:vAlign w:val="bottom"/>
          </w:tcPr>
          <w:p>
            <w:pPr>
              <w:jc w:val="right"/>
              <w:spacing w:after="0" w:line="169"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168"/>
        </w:trPr>
        <w:tc>
          <w:tcPr>
            <w:tcW w:w="960" w:type="dxa"/>
            <w:vAlign w:val="bottom"/>
            <w:tcBorders>
              <w:top w:val="single" w:sz="8" w:color="0000EE"/>
              <w:bottom w:val="single" w:sz="8" w:color="0000EE"/>
            </w:tcBorders>
            <w:gridSpan w:val="4"/>
          </w:tcPr>
          <w:p>
            <w:pPr>
              <w:spacing w:after="0" w:line="169" w:lineRule="exact"/>
              <w:rPr>
                <w:rFonts w:ascii="Arial" w:cs="Arial" w:eastAsia="Arial" w:hAnsi="Arial"/>
                <w:sz w:val="18"/>
                <w:szCs w:val="18"/>
                <w:color w:val="0000EE"/>
                <w:w w:val="86"/>
              </w:rPr>
            </w:pPr>
            <w:hyperlink w:anchor="page22">
              <w:r>
                <w:rPr>
                  <w:rFonts w:ascii="Arial" w:cs="Arial" w:eastAsia="Arial" w:hAnsi="Arial"/>
                  <w:sz w:val="18"/>
                  <w:szCs w:val="18"/>
                  <w:color w:val="0000EE"/>
                  <w:w w:val="86"/>
                </w:rPr>
                <w:t>Legal Matters</w:t>
              </w:r>
            </w:hyperlink>
          </w:p>
        </w:tc>
        <w:tc>
          <w:tcPr>
            <w:tcW w:w="40" w:type="dxa"/>
            <w:vAlign w:val="bottom"/>
            <w:tcBorders>
              <w:bottom w:val="single" w:sz="8" w:color="0000EE"/>
            </w:tcBorders>
          </w:tcPr>
          <w:p>
            <w:pPr>
              <w:spacing w:after="0"/>
              <w:rPr>
                <w:sz w:val="14"/>
                <w:szCs w:val="14"/>
                <w:color w:val="auto"/>
              </w:rPr>
            </w:pPr>
          </w:p>
        </w:tc>
        <w:tc>
          <w:tcPr>
            <w:tcW w:w="18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5700" w:type="dxa"/>
            <w:vAlign w:val="bottom"/>
            <w:gridSpan w:val="2"/>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168"/>
        </w:trPr>
        <w:tc>
          <w:tcPr>
            <w:tcW w:w="1000" w:type="dxa"/>
            <w:vAlign w:val="bottom"/>
            <w:gridSpan w:val="5"/>
          </w:tcPr>
          <w:p>
            <w:pPr>
              <w:spacing w:after="0" w:line="169" w:lineRule="exact"/>
              <w:rPr>
                <w:rFonts w:ascii="Arial" w:cs="Arial" w:eastAsia="Arial" w:hAnsi="Arial"/>
                <w:sz w:val="18"/>
                <w:szCs w:val="18"/>
                <w:color w:val="0000EE"/>
              </w:rPr>
            </w:pPr>
            <w:hyperlink w:anchor="page22">
              <w:r>
                <w:rPr>
                  <w:rFonts w:ascii="Arial" w:cs="Arial" w:eastAsia="Arial" w:hAnsi="Arial"/>
                  <w:sz w:val="18"/>
                  <w:szCs w:val="18"/>
                  <w:color w:val="0000EE"/>
                </w:rPr>
                <w:t>Experts</w:t>
              </w:r>
            </w:hyperlink>
          </w:p>
        </w:tc>
        <w:tc>
          <w:tcPr>
            <w:tcW w:w="18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5700" w:type="dxa"/>
            <w:vAlign w:val="bottom"/>
            <w:gridSpan w:val="2"/>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168"/>
        </w:trPr>
        <w:tc>
          <w:tcPr>
            <w:tcW w:w="540" w:type="dxa"/>
            <w:vAlign w:val="bottom"/>
            <w:tcBorders>
              <w:top w:val="single" w:sz="8" w:color="0000EE"/>
            </w:tcBorders>
          </w:tcPr>
          <w:p>
            <w:pPr>
              <w:spacing w:after="0" w:line="169"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Where</w:t>
              </w:r>
            </w:hyperlink>
          </w:p>
        </w:tc>
        <w:tc>
          <w:tcPr>
            <w:tcW w:w="8000" w:type="dxa"/>
            <w:vAlign w:val="bottom"/>
            <w:gridSpan w:val="20"/>
          </w:tcPr>
          <w:p>
            <w:pPr>
              <w:spacing w:after="0" w:line="169" w:lineRule="exact"/>
              <w:rPr>
                <w:rFonts w:ascii="Arial" w:cs="Arial" w:eastAsia="Arial" w:hAnsi="Arial"/>
                <w:sz w:val="18"/>
                <w:szCs w:val="18"/>
                <w:color w:val="0000EE"/>
              </w:rPr>
            </w:pPr>
            <w:hyperlink w:anchor="page22">
              <w:r>
                <w:rPr>
                  <w:rFonts w:ascii="Arial" w:cs="Arial" w:eastAsia="Arial" w:hAnsi="Arial"/>
                  <w:sz w:val="18"/>
                  <w:szCs w:val="18"/>
                  <w:color w:val="0000EE"/>
                </w:rPr>
                <w:t>You Can Find More Information</w:t>
              </w:r>
            </w:hyperlink>
          </w:p>
        </w:tc>
        <w:tc>
          <w:tcPr>
            <w:tcW w:w="860" w:type="dxa"/>
            <w:vAlign w:val="bottom"/>
          </w:tcPr>
          <w:p>
            <w:pPr>
              <w:jc w:val="right"/>
              <w:spacing w:after="0" w:line="169"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168"/>
        </w:trPr>
        <w:tc>
          <w:tcPr>
            <w:tcW w:w="2840" w:type="dxa"/>
            <w:vAlign w:val="bottom"/>
            <w:tcBorders>
              <w:top w:val="single" w:sz="8" w:color="0000EE"/>
            </w:tcBorders>
            <w:gridSpan w:val="19"/>
          </w:tcPr>
          <w:p>
            <w:pPr>
              <w:spacing w:after="0" w:line="169"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Information Incorporated by Reference</w:t>
              </w:r>
            </w:hyperlink>
          </w:p>
        </w:tc>
        <w:tc>
          <w:tcPr>
            <w:tcW w:w="5700" w:type="dxa"/>
            <w:vAlign w:val="bottom"/>
            <w:gridSpan w:val="2"/>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8"/>
                <w:szCs w:val="18"/>
                <w:color w:val="auto"/>
              </w:rPr>
              <w:t>S-18</w:t>
            </w:r>
          </w:p>
        </w:tc>
        <w:tc>
          <w:tcPr>
            <w:tcW w:w="0" w:type="dxa"/>
            <w:vAlign w:val="bottom"/>
          </w:tcPr>
          <w:p>
            <w:pPr>
              <w:spacing w:after="0"/>
              <w:rPr>
                <w:sz w:val="1"/>
                <w:szCs w:val="1"/>
                <w:color w:val="auto"/>
              </w:rPr>
            </w:pPr>
          </w:p>
        </w:tc>
      </w:tr>
      <w:tr>
        <w:trPr>
          <w:trHeight w:val="382"/>
        </w:trPr>
        <w:tc>
          <w:tcPr>
            <w:tcW w:w="2800" w:type="dxa"/>
            <w:vAlign w:val="bottom"/>
            <w:tcBorders>
              <w:top w:val="single" w:sz="8" w:color="0000EE"/>
            </w:tcBorders>
            <w:gridSpan w:val="18"/>
          </w:tcPr>
          <w:p>
            <w:pPr>
              <w:spacing w:after="0"/>
              <w:rPr>
                <w:sz w:val="20"/>
                <w:szCs w:val="20"/>
                <w:color w:val="auto"/>
              </w:rPr>
            </w:pPr>
            <w:r>
              <w:rPr>
                <w:rFonts w:ascii="Arial" w:cs="Arial" w:eastAsia="Arial" w:hAnsi="Arial"/>
                <w:sz w:val="18"/>
                <w:szCs w:val="18"/>
                <w:b w:val="1"/>
                <w:bCs w:val="1"/>
                <w:color w:val="auto"/>
              </w:rPr>
              <w:t>Prospectus</w:t>
            </w:r>
          </w:p>
        </w:tc>
        <w:tc>
          <w:tcPr>
            <w:tcW w:w="5740" w:type="dxa"/>
            <w:vAlign w:val="bottom"/>
            <w:gridSpan w:val="3"/>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9"/>
        </w:trPr>
        <w:tc>
          <w:tcPr>
            <w:tcW w:w="8540" w:type="dxa"/>
            <w:vAlign w:val="bottom"/>
            <w:gridSpan w:val="21"/>
          </w:tcPr>
          <w:p>
            <w:pPr>
              <w:spacing w:after="0" w:line="189" w:lineRule="exact"/>
              <w:rPr>
                <w:rFonts w:ascii="Arial" w:cs="Arial" w:eastAsia="Arial" w:hAnsi="Arial"/>
                <w:sz w:val="18"/>
                <w:szCs w:val="18"/>
                <w:color w:val="0000EE"/>
              </w:rPr>
            </w:pPr>
            <w:hyperlink w:anchor="page26">
              <w:r>
                <w:rPr>
                  <w:rFonts w:ascii="Arial" w:cs="Arial" w:eastAsia="Arial" w:hAnsi="Arial"/>
                  <w:sz w:val="18"/>
                  <w:szCs w:val="18"/>
                  <w:color w:val="0000EE"/>
                </w:rPr>
                <w:t>About This Prospectus</w:t>
              </w:r>
            </w:hyperlink>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95"/>
        </w:trPr>
        <w:tc>
          <w:tcPr>
            <w:tcW w:w="8540" w:type="dxa"/>
            <w:vAlign w:val="bottom"/>
            <w:gridSpan w:val="21"/>
          </w:tcPr>
          <w:p>
            <w:pPr>
              <w:spacing w:after="0" w:line="195" w:lineRule="exact"/>
              <w:rPr>
                <w:rFonts w:ascii="Arial" w:cs="Arial" w:eastAsia="Arial" w:hAnsi="Arial"/>
                <w:sz w:val="18"/>
                <w:szCs w:val="18"/>
                <w:color w:val="0000EE"/>
              </w:rPr>
            </w:pPr>
            <w:hyperlink w:anchor="page27">
              <w:r>
                <w:rPr>
                  <w:rFonts w:ascii="Arial" w:cs="Arial" w:eastAsia="Arial" w:hAnsi="Arial"/>
                  <w:sz w:val="18"/>
                  <w:szCs w:val="18"/>
                  <w:color w:val="0000EE"/>
                </w:rPr>
                <w:t>Axsome Therapeutics, Inc.</w:t>
              </w:r>
            </w:hyperlink>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95"/>
        </w:trPr>
        <w:tc>
          <w:tcPr>
            <w:tcW w:w="8540" w:type="dxa"/>
            <w:vAlign w:val="bottom"/>
            <w:gridSpan w:val="21"/>
          </w:tcPr>
          <w:p>
            <w:pPr>
              <w:spacing w:after="0" w:line="195" w:lineRule="exact"/>
              <w:rPr>
                <w:rFonts w:ascii="Arial" w:cs="Arial" w:eastAsia="Arial" w:hAnsi="Arial"/>
                <w:sz w:val="18"/>
                <w:szCs w:val="18"/>
                <w:color w:val="0000EE"/>
              </w:rPr>
            </w:pPr>
            <w:hyperlink w:anchor="page29">
              <w:r>
                <w:rPr>
                  <w:rFonts w:ascii="Arial" w:cs="Arial" w:eastAsia="Arial" w:hAnsi="Arial"/>
                  <w:sz w:val="18"/>
                  <w:szCs w:val="18"/>
                  <w:color w:val="0000EE"/>
                </w:rPr>
                <w:t>Forward-Looking Statements</w:t>
              </w:r>
            </w:hyperlink>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1200" w:type="dxa"/>
            <w:vAlign w:val="bottom"/>
            <w:tcBorders>
              <w:top w:val="single" w:sz="8" w:color="0000EE"/>
            </w:tcBorders>
            <w:gridSpan w:val="12"/>
          </w:tcPr>
          <w:p>
            <w:pPr>
              <w:spacing w:after="0"/>
              <w:rPr>
                <w:sz w:val="16"/>
                <w:szCs w:val="16"/>
                <w:color w:val="auto"/>
              </w:rPr>
            </w:pPr>
          </w:p>
        </w:tc>
        <w:tc>
          <w:tcPr>
            <w:tcW w:w="6440" w:type="dxa"/>
            <w:vAlign w:val="bottom"/>
            <w:gridSpan w:val="6"/>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5"/>
        </w:trPr>
        <w:tc>
          <w:tcPr>
            <w:tcW w:w="1180" w:type="dxa"/>
            <w:vAlign w:val="bottom"/>
            <w:tcBorders>
              <w:bottom w:val="single" w:sz="8" w:color="0000EE"/>
            </w:tcBorders>
            <w:gridSpan w:val="7"/>
          </w:tcPr>
          <w:p>
            <w:pPr>
              <w:spacing w:after="0" w:line="195"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Use of Proceeds</w:t>
              </w:r>
            </w:hyperlink>
          </w:p>
        </w:tc>
        <w:tc>
          <w:tcPr>
            <w:tcW w:w="7360" w:type="dxa"/>
            <w:vAlign w:val="bottom"/>
            <w:gridSpan w:val="14"/>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5"/>
        </w:trPr>
        <w:tc>
          <w:tcPr>
            <w:tcW w:w="8540" w:type="dxa"/>
            <w:vAlign w:val="bottom"/>
            <w:gridSpan w:val="21"/>
          </w:tcPr>
          <w:p>
            <w:pPr>
              <w:spacing w:after="0" w:line="195"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Capital Stock</w:t>
              </w:r>
            </w:hyperlink>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5"/>
        </w:trPr>
        <w:tc>
          <w:tcPr>
            <w:tcW w:w="1720" w:type="dxa"/>
            <w:vAlign w:val="bottom"/>
            <w:tcBorders>
              <w:top w:val="single" w:sz="8" w:color="0000EE"/>
              <w:bottom w:val="single" w:sz="8" w:color="0000EE"/>
            </w:tcBorders>
            <w:gridSpan w:val="12"/>
          </w:tcPr>
          <w:p>
            <w:pPr>
              <w:spacing w:after="0" w:line="195"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Description of Warrants</w:t>
              </w:r>
            </w:hyperlink>
          </w:p>
        </w:tc>
        <w:tc>
          <w:tcPr>
            <w:tcW w:w="320" w:type="dxa"/>
            <w:vAlign w:val="bottom"/>
            <w:tcBorders>
              <w:top w:val="single" w:sz="8" w:color="0000EE"/>
            </w:tcBorders>
            <w:gridSpan w:val="2"/>
          </w:tcPr>
          <w:p>
            <w:pPr>
              <w:spacing w:after="0"/>
              <w:rPr>
                <w:sz w:val="16"/>
                <w:szCs w:val="16"/>
                <w:color w:val="auto"/>
              </w:rPr>
            </w:pPr>
          </w:p>
        </w:tc>
        <w:tc>
          <w:tcPr>
            <w:tcW w:w="6500" w:type="dxa"/>
            <w:vAlign w:val="bottom"/>
            <w:gridSpan w:val="7"/>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5"/>
        </w:trPr>
        <w:tc>
          <w:tcPr>
            <w:tcW w:w="8540" w:type="dxa"/>
            <w:vAlign w:val="bottom"/>
            <w:gridSpan w:val="21"/>
          </w:tcPr>
          <w:p>
            <w:pPr>
              <w:spacing w:after="0" w:line="195" w:lineRule="exact"/>
              <w:rPr>
                <w:rFonts w:ascii="Arial" w:cs="Arial" w:eastAsia="Arial" w:hAnsi="Arial"/>
                <w:sz w:val="18"/>
                <w:szCs w:val="18"/>
                <w:color w:val="0000EE"/>
              </w:rPr>
            </w:pPr>
            <w:hyperlink w:anchor="page35">
              <w:r>
                <w:rPr>
                  <w:rFonts w:ascii="Arial" w:cs="Arial" w:eastAsia="Arial" w:hAnsi="Arial"/>
                  <w:sz w:val="18"/>
                  <w:szCs w:val="18"/>
                  <w:color w:val="0000EE"/>
                </w:rPr>
                <w:t>Description of Debt Securities</w:t>
              </w:r>
            </w:hyperlink>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5"/>
        </w:trPr>
        <w:tc>
          <w:tcPr>
            <w:tcW w:w="1540" w:type="dxa"/>
            <w:vAlign w:val="bottom"/>
            <w:tcBorders>
              <w:top w:val="single" w:sz="8" w:color="0000EE"/>
              <w:bottom w:val="single" w:sz="8" w:color="0000EE"/>
            </w:tcBorders>
            <w:gridSpan w:val="10"/>
          </w:tcPr>
          <w:p>
            <w:pPr>
              <w:spacing w:after="0" w:line="195"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Description of Rights</w:t>
              </w:r>
            </w:hyperlink>
          </w:p>
        </w:tc>
        <w:tc>
          <w:tcPr>
            <w:tcW w:w="620" w:type="dxa"/>
            <w:vAlign w:val="bottom"/>
            <w:tcBorders>
              <w:top w:val="single" w:sz="8" w:color="0000EE"/>
            </w:tcBorders>
            <w:gridSpan w:val="6"/>
          </w:tcPr>
          <w:p>
            <w:pPr>
              <w:spacing w:after="0"/>
              <w:rPr>
                <w:sz w:val="16"/>
                <w:szCs w:val="16"/>
                <w:color w:val="auto"/>
              </w:rPr>
            </w:pPr>
          </w:p>
        </w:tc>
        <w:tc>
          <w:tcPr>
            <w:tcW w:w="6380" w:type="dxa"/>
            <w:vAlign w:val="bottom"/>
            <w:gridSpan w:val="5"/>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5"/>
        </w:trPr>
        <w:tc>
          <w:tcPr>
            <w:tcW w:w="1460" w:type="dxa"/>
            <w:vAlign w:val="bottom"/>
            <w:tcBorders>
              <w:bottom w:val="single" w:sz="8" w:color="0000EE"/>
            </w:tcBorders>
            <w:gridSpan w:val="9"/>
          </w:tcPr>
          <w:p>
            <w:pPr>
              <w:spacing w:after="0" w:line="195"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Description of Units</w:t>
              </w:r>
            </w:hyperlink>
          </w:p>
        </w:tc>
        <w:tc>
          <w:tcPr>
            <w:tcW w:w="7080" w:type="dxa"/>
            <w:vAlign w:val="bottom"/>
            <w:gridSpan w:val="12"/>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5"/>
        </w:trPr>
        <w:tc>
          <w:tcPr>
            <w:tcW w:w="1420" w:type="dxa"/>
            <w:vAlign w:val="bottom"/>
            <w:tcBorders>
              <w:bottom w:val="single" w:sz="8" w:color="0000EE"/>
            </w:tcBorders>
            <w:gridSpan w:val="8"/>
          </w:tcPr>
          <w:p>
            <w:pPr>
              <w:spacing w:after="0" w:line="195"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Plan of Distribution</w:t>
              </w:r>
            </w:hyperlink>
          </w:p>
        </w:tc>
        <w:tc>
          <w:tcPr>
            <w:tcW w:w="7120" w:type="dxa"/>
            <w:vAlign w:val="bottom"/>
            <w:gridSpan w:val="13"/>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5"/>
        </w:trPr>
        <w:tc>
          <w:tcPr>
            <w:tcW w:w="1000" w:type="dxa"/>
            <w:vAlign w:val="bottom"/>
            <w:tcBorders>
              <w:bottom w:val="single" w:sz="8" w:color="0000EE"/>
            </w:tcBorders>
            <w:gridSpan w:val="5"/>
          </w:tcPr>
          <w:p>
            <w:pPr>
              <w:spacing w:after="0" w:line="195"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Legal Matters</w:t>
              </w:r>
            </w:hyperlink>
          </w:p>
        </w:tc>
        <w:tc>
          <w:tcPr>
            <w:tcW w:w="7540" w:type="dxa"/>
            <w:vAlign w:val="bottom"/>
            <w:gridSpan w:val="16"/>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5"/>
        </w:trPr>
        <w:tc>
          <w:tcPr>
            <w:tcW w:w="8540" w:type="dxa"/>
            <w:vAlign w:val="bottom"/>
            <w:gridSpan w:val="21"/>
          </w:tcPr>
          <w:p>
            <w:pPr>
              <w:spacing w:after="0" w:line="195" w:lineRule="exact"/>
              <w:rPr>
                <w:rFonts w:ascii="Arial" w:cs="Arial" w:eastAsia="Arial" w:hAnsi="Arial"/>
                <w:sz w:val="18"/>
                <w:szCs w:val="18"/>
                <w:color w:val="0000EE"/>
              </w:rPr>
            </w:pPr>
            <w:hyperlink w:anchor="page47">
              <w:r>
                <w:rPr>
                  <w:rFonts w:ascii="Arial" w:cs="Arial" w:eastAsia="Arial" w:hAnsi="Arial"/>
                  <w:sz w:val="18"/>
                  <w:szCs w:val="18"/>
                  <w:color w:val="0000EE"/>
                </w:rPr>
                <w:t>Experts</w:t>
              </w:r>
            </w:hyperlink>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7"/>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line="20" w:lineRule="exact"/>
              <w:rPr>
                <w:sz w:val="1"/>
                <w:szCs w:val="1"/>
                <w:color w:val="auto"/>
              </w:rPr>
            </w:pPr>
          </w:p>
        </w:tc>
      </w:tr>
      <w:tr>
        <w:trPr>
          <w:trHeight w:val="195"/>
        </w:trPr>
        <w:tc>
          <w:tcPr>
            <w:tcW w:w="8540" w:type="dxa"/>
            <w:vAlign w:val="bottom"/>
            <w:gridSpan w:val="21"/>
          </w:tcPr>
          <w:p>
            <w:pPr>
              <w:spacing w:after="0" w:line="195" w:lineRule="exact"/>
              <w:rPr>
                <w:rFonts w:ascii="Arial" w:cs="Arial" w:eastAsia="Arial" w:hAnsi="Arial"/>
                <w:sz w:val="18"/>
                <w:szCs w:val="18"/>
                <w:color w:val="0000EE"/>
              </w:rPr>
            </w:pPr>
            <w:hyperlink w:anchor="page47">
              <w:r>
                <w:rPr>
                  <w:rFonts w:ascii="Arial" w:cs="Arial" w:eastAsia="Arial" w:hAnsi="Arial"/>
                  <w:sz w:val="18"/>
                  <w:szCs w:val="18"/>
                  <w:color w:val="0000EE"/>
                </w:rPr>
                <w:t>Where You Can Find More Information</w:t>
              </w:r>
            </w:hyperlink>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40" w:type="dxa"/>
            <w:vAlign w:val="bottom"/>
            <w:tcBorders>
              <w:top w:val="single" w:sz="8" w:color="0000EE"/>
            </w:tcBorders>
            <w:gridSpan w:val="19"/>
          </w:tcPr>
          <w:p>
            <w:pPr>
              <w:spacing w:after="0" w:line="195"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Information Incorporated by Reference</w:t>
              </w:r>
            </w:hyperlink>
          </w:p>
        </w:tc>
        <w:tc>
          <w:tcPr>
            <w:tcW w:w="5700" w:type="dxa"/>
            <w:vAlign w:val="bottom"/>
            <w:gridSpan w:val="2"/>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b w:val="1"/>
          <w:bCs w:val="1"/>
          <w:color w:val="auto"/>
        </w:rPr>
        <w:t>Neither we nor the underwriters have authorized anyone to provide any information or to make any representations other than those contained or incorporated by reference in this prospectus supplement, the accompanying prospectus or in any free writing prospectus that we have authorized for use in connection with this offering. We and the underwriters take no responsibility for, and can provide no assurance as to the reliability of, any other information that others may give you. This prospectus supplement and the accompanying prospectus together constitute an offer to sell only the securities offered hereby, but only under circumstances and in jurisdictions where it is lawful to do so. The information contained in this prospectus supplement, the accompanying prospectus and any free writing prospectus that we have authorized for use in connection with this offering is current only as of its date. Our business, financial condition, results of operations and prospects may have changed since those dates. You should read this prospectus supplement, the accompanying prospectus, the documents incorporated by reference herein, and any free writing prospectus that we have authorized for use in connection with this offering when making your investment decision. You should also read and consider the information in the documents we have referred you to in the sections of this prospectus supplement entitled “Where You Can Find More Information” and “Information Incorporated by Reference.”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400"/>
          </w:cols>
          <w:pgMar w:left="1260" w:top="114" w:right="123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187"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This prospectus supplement and the accompanying prospectus form part of an automatic “shelf” registration statement on Form S-3ASR (File No. 333-235372) that we filed with the Securities and Exchange Commission, or SEC, as a “well-known seasoned issuer” as defined in Rule 405 under the Securities Act of 1933, as amended, or the Securities Act. This document contains two parts. The first part consists of this prospectus supplement, which provides you with specific information about this offering. The second part, the accompanying prospectus, provides more general information, some of which may not apply to this offering. Generally, when we refer only to the “prospectus,” we are referring to both parts combined.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and therein. You should read this prospectus supplement and the accompanying prospectus, including the information incorporated by reference herein and therein, and any related free writing prospectus that we have authorized for use in connection with this offering. You should rely only on the information that we have included or incorporated by reference in this prospectus supplement, the accompanying prospectus and any related free writing prospectus that we have authorized for use in connection with this offering. Neither we nor the underwriters have authorized any dealer, salesman or other person to give any information or to make any representation other than those contained or incorporated by reference in this prospectus supplement, the accompanying prospectus or any related free writing prospectus that we have authorized for use in connection with this offering.</w:t>
      </w:r>
    </w:p>
    <w:p>
      <w:pPr>
        <w:spacing w:after="0" w:line="162"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64" w:lineRule="exact"/>
        <w:rPr>
          <w:sz w:val="20"/>
          <w:szCs w:val="20"/>
          <w:color w:val="auto"/>
        </w:rPr>
      </w:pPr>
    </w:p>
    <w:p>
      <w:pPr>
        <w:ind w:right="20"/>
        <w:spacing w:after="0" w:line="215" w:lineRule="auto"/>
        <w:rPr>
          <w:sz w:val="20"/>
          <w:szCs w:val="20"/>
          <w:color w:val="auto"/>
        </w:rPr>
      </w:pPr>
      <w:r>
        <w:rPr>
          <w:rFonts w:ascii="Arial" w:cs="Arial" w:eastAsia="Arial" w:hAnsi="Arial"/>
          <w:sz w:val="18"/>
          <w:szCs w:val="18"/>
          <w:color w:val="auto"/>
        </w:rPr>
        <w:t>This prospectus supplement, the accompanying prospectus and any related free writing prospectus do not constitute an offer to sell or the solicitation of an offer to buy any securities other than the registered securities to which they relate, nor do this prospectus supplement, the accompanying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62"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You should not assume that the information contained in this prospectus supplement, the accompanying prospectus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supplement, the accompanying prospectus or any related free writing prospectus is delivered, or securities are sold, on a later date. You should assume that the information appearing in this prospectus supplement, the accompanying prospectus,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67" w:lineRule="exact"/>
        <w:rPr>
          <w:sz w:val="20"/>
          <w:szCs w:val="20"/>
          <w:color w:val="auto"/>
        </w:rPr>
      </w:pPr>
    </w:p>
    <w:p>
      <w:pPr>
        <w:ind w:right="120"/>
        <w:spacing w:after="0" w:line="228" w:lineRule="auto"/>
        <w:rPr>
          <w:sz w:val="20"/>
          <w:szCs w:val="20"/>
          <w:color w:val="auto"/>
        </w:rPr>
      </w:pPr>
      <w:r>
        <w:rPr>
          <w:rFonts w:ascii="Arial" w:cs="Arial" w:eastAsia="Arial" w:hAnsi="Arial"/>
          <w:sz w:val="17"/>
          <w:szCs w:val="17"/>
          <w:color w:val="auto"/>
        </w:rPr>
        <w:t>This prospectus supplement contains or incorporates by reference summaries of certain provisions contained in some of the documents described herein, but all such summaries are qualified in their entirety by the actual documents. Copies of some of the documents referred to herein have been or will be filed or have been or will be incorporated by reference as exhibits to the registration statement of which this prospectus supplement forms a part, and you may obtain copies of those documents as described in this prospectus supplement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7" w:lineRule="exact"/>
        <w:rPr>
          <w:sz w:val="20"/>
          <w:szCs w:val="20"/>
          <w:color w:val="auto"/>
        </w:rPr>
      </w:pPr>
    </w:p>
    <w:p>
      <w:pPr>
        <w:ind w:right="1140"/>
        <w:spacing w:after="0" w:line="217" w:lineRule="auto"/>
        <w:rPr>
          <w:sz w:val="20"/>
          <w:szCs w:val="20"/>
          <w:color w:val="auto"/>
        </w:rPr>
      </w:pPr>
      <w:r>
        <w:rPr>
          <w:rFonts w:ascii="Arial" w:cs="Arial" w:eastAsia="Arial" w:hAnsi="Arial"/>
          <w:sz w:val="17"/>
          <w:szCs w:val="17"/>
          <w:color w:val="auto"/>
        </w:rPr>
        <w:t>Certain matters discussed in this prospectus supplement and the accompanying prospectus, including matters discussed under the heading "Management's Discussion and Analysis of Financial Condition and Results of Operations," incorporated by reference herein from our most recent Annual Report on Form 10-K and Quarterly Reports on Form 10-Q for the quarterly periods ended subsequent to our filing of such Annual Report on Form 10-K, may constitute forward-looking statements for purposes of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We may, in some cases, use terms such as</w:t>
      </w:r>
    </w:p>
    <w:p>
      <w:pPr>
        <w:spacing w:after="0" w:line="214" w:lineRule="auto"/>
        <w:rPr>
          <w:sz w:val="20"/>
          <w:szCs w:val="20"/>
          <w:color w:val="auto"/>
        </w:rPr>
      </w:pPr>
      <w:r>
        <w:rPr>
          <w:rFonts w:ascii="Arial" w:cs="Arial" w:eastAsia="Arial" w:hAnsi="Arial"/>
          <w:sz w:val="17"/>
          <w:szCs w:val="17"/>
          <w:color w:val="auto"/>
        </w:rPr>
        <w:t>“predicts,” “believes,” “potential,” “continue,” “estimates,” “anticipates,” “expects,” “plans,” “intends,” “may,” “could,” “might,” “will,” “should” or other words that convey uncertainty of future events or outcomes to identify these forward-looking statements. Our actual</w:t>
      </w:r>
    </w:p>
    <w:p>
      <w:pPr>
        <w:spacing w:after="0" w:line="1" w:lineRule="exact"/>
        <w:rPr>
          <w:sz w:val="20"/>
          <w:szCs w:val="20"/>
          <w:color w:val="auto"/>
        </w:rPr>
      </w:pPr>
    </w:p>
    <w:p>
      <w:pPr>
        <w:ind w:right="1160"/>
        <w:spacing w:after="0" w:line="222" w:lineRule="auto"/>
        <w:rPr>
          <w:sz w:val="20"/>
          <w:szCs w:val="20"/>
          <w:color w:val="auto"/>
        </w:rPr>
      </w:pPr>
      <w:r>
        <w:rPr>
          <w:rFonts w:ascii="Arial" w:cs="Arial" w:eastAsia="Arial" w:hAnsi="Arial"/>
          <w:sz w:val="17"/>
          <w:szCs w:val="17"/>
          <w:color w:val="auto"/>
        </w:rPr>
        <w:t>results may differ materially from the results anticipated in these forward-looking statements due to a variety of factors, including, without limitation, those discussed under the headings “Risk Factors” and "Management's Discussion and Analysis of Financial Condition and Results of Operations" and elsewhere in this prospectus supplement and the documents incorporated by reference herein, as well as other factors which may be identified from time to time in our other filings with the SEC, or in the documents in which such forward-looking statements appear. All written or oral forward-looking statements attributable to us are expressly qualified in their entirety by these cautionary statements.</w:t>
      </w:r>
    </w:p>
    <w:p>
      <w:pPr>
        <w:spacing w:after="0" w:line="163" w:lineRule="exact"/>
        <w:rPr>
          <w:sz w:val="20"/>
          <w:szCs w:val="20"/>
          <w:color w:val="auto"/>
        </w:rPr>
      </w:pPr>
    </w:p>
    <w:p>
      <w:pPr>
        <w:ind w:right="1120"/>
        <w:spacing w:after="0" w:line="233" w:lineRule="auto"/>
        <w:rPr>
          <w:sz w:val="20"/>
          <w:szCs w:val="20"/>
          <w:color w:val="auto"/>
        </w:rPr>
      </w:pPr>
      <w:r>
        <w:rPr>
          <w:rFonts w:ascii="Arial" w:cs="Arial" w:eastAsia="Arial" w:hAnsi="Arial"/>
          <w:sz w:val="16"/>
          <w:szCs w:val="16"/>
          <w:color w:val="auto"/>
        </w:rPr>
        <w:t>In particular, our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and completion of the trials, futility analyses and receipt of interim results; the timing of and our ability to obtain and maintain regulatory approval from the U.S. Food and Drug Administration, European Medicines Agency or other regulatory authority, or other anticipated regulatory action with respect to, our current or future product candidates; our ability to obtain additional capital necessary to fund our operations and our expectations relating to future capital requirements; our ability to generate revenues in the future; our ability to defend our intellectual property successfully or obtain the necessary licenses at a cost acceptable to us, if at all; the successful implementation of our research and development programs; the enforceability and success of our license agreements; the acceptance by the market of our product candidates, if approved; and other factors, including general economic conditions and regulatory developments, not within our control and discussed under the heading “Risk Factors,” including those risk factors that are incorporated by reference in this prospectus supplement and the accompanying prospectus.</w:t>
      </w:r>
    </w:p>
    <w:p>
      <w:pPr>
        <w:spacing w:after="0" w:line="169" w:lineRule="exact"/>
        <w:rPr>
          <w:sz w:val="20"/>
          <w:szCs w:val="20"/>
          <w:color w:val="auto"/>
        </w:rPr>
      </w:pPr>
    </w:p>
    <w:p>
      <w:pPr>
        <w:ind w:right="1280"/>
        <w:spacing w:after="0" w:line="223" w:lineRule="auto"/>
        <w:rPr>
          <w:sz w:val="20"/>
          <w:szCs w:val="20"/>
          <w:color w:val="auto"/>
        </w:rPr>
      </w:pPr>
      <w:r>
        <w:rPr>
          <w:rFonts w:ascii="Arial" w:cs="Arial" w:eastAsia="Arial" w:hAnsi="Arial"/>
          <w:sz w:val="18"/>
          <w:szCs w:val="18"/>
          <w:color w:val="auto"/>
        </w:rPr>
        <w:t>The forward-looking statements contained in this prospectus supplement and the accompanying prospectus reflect our views and assumptions only as of the date of this prospectus supplement. Except as required by law, we assume no responsibility for updating any forward-looking statements.</w:t>
      </w:r>
    </w:p>
    <w:p>
      <w:pPr>
        <w:spacing w:after="0" w:line="162" w:lineRule="exact"/>
        <w:rPr>
          <w:sz w:val="20"/>
          <w:szCs w:val="20"/>
          <w:color w:val="auto"/>
        </w:rPr>
      </w:pPr>
    </w:p>
    <w:p>
      <w:pPr>
        <w:jc w:val="both"/>
        <w:ind w:right="1320"/>
        <w:spacing w:after="0" w:line="223" w:lineRule="auto"/>
        <w:rPr>
          <w:sz w:val="20"/>
          <w:szCs w:val="20"/>
          <w:color w:val="auto"/>
        </w:rPr>
      </w:pPr>
      <w:r>
        <w:rPr>
          <w:rFonts w:ascii="Arial" w:cs="Arial" w:eastAsia="Arial" w:hAnsi="Arial"/>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10500"/>
          </w:cols>
          <w:pgMar w:left="1260" w:top="114" w:right="13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 SUMMARY</w:t>
      </w:r>
    </w:p>
    <w:p>
      <w:pPr>
        <w:spacing w:after="0" w:line="147" w:lineRule="exact"/>
        <w:rPr>
          <w:sz w:val="20"/>
          <w:szCs w:val="20"/>
          <w:color w:val="auto"/>
        </w:rPr>
      </w:pPr>
    </w:p>
    <w:p>
      <w:pPr>
        <w:spacing w:after="0" w:line="234" w:lineRule="auto"/>
        <w:rPr>
          <w:sz w:val="20"/>
          <w:szCs w:val="20"/>
          <w:color w:val="auto"/>
        </w:rPr>
      </w:pPr>
      <w:r>
        <w:rPr>
          <w:rFonts w:ascii="Arial" w:cs="Arial" w:eastAsia="Arial" w:hAnsi="Arial"/>
          <w:sz w:val="16"/>
          <w:szCs w:val="16"/>
          <w:i w:val="1"/>
          <w:iCs w:val="1"/>
          <w:color w:val="auto"/>
        </w:rPr>
        <w:t>This summary highlights selected information contained elsewhere in, or incorporated by reference into, this prospectus supplement and the accompanying prospectus.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supplement, the accompanying prospectus, any free writing prospectus that we have authorized for use in connection with this offering and the documents incorporated by reference in this prospectus supplement and the accompanying prospectus. You should read all such documents carefully and you should pay special attention to the information contained under the caption entitled “Risk Factors” in this prospectus, in our Annual Reports on Form 10-K, in any subsequent Quarterly Reports on Form 10-Q and in our other reports filed from time to time with the SEC, which are incorporated by reference into this prospectus, before deciding to buy shares of our common stock. Unless the context requires otherwise, references in this prospectus supplement and the accompanying prospectus to “Axsome,” “we,” “us” and “our” refer to Axsome Therapeutics, Inc. and our subsidiaries.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47" w:lineRule="exact"/>
        <w:rPr>
          <w:sz w:val="20"/>
          <w:szCs w:val="20"/>
          <w:color w:val="auto"/>
        </w:rPr>
      </w:pPr>
    </w:p>
    <w:p>
      <w:pPr>
        <w:ind w:right="60"/>
        <w:spacing w:after="0"/>
        <w:rPr>
          <w:sz w:val="20"/>
          <w:szCs w:val="20"/>
          <w:color w:val="auto"/>
        </w:rPr>
      </w:pPr>
      <w:r>
        <w:rPr>
          <w:rFonts w:ascii="Arial" w:cs="Arial" w:eastAsia="Arial" w:hAnsi="Arial"/>
          <w:sz w:val="16"/>
          <w:szCs w:val="16"/>
          <w:color w:val="auto"/>
        </w:rPr>
        <w:t>We are a clinical-stage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core CNS portfolio includes four CNS product candidates, AXS-05, AXS-07, AXS-09, and AXS-12, which are being developed for multiple indications. AXS-05 is currently in a Phase 3 trial in treatment resistant depression, or TRD, which we refer to as the STRIDE-1 study, a Phase 3 open-label safety trial in patients with TRD and major depressive disorder, or MDD; and a Phase 2/3 trial in agitation associated with Alzheimer's disease, or AD, which we refer to as the ADVANCE-1 study. We have completed a Phase 2 trial in MDD, which we refer to as the ASCEND study, a Phase 3 trial which we refer to as the GEMINI study, and a Phase 2 trial in smoking cessation. AXS -07 is currently in two Phase 3 trials for the acute treatment of migraine, which we refer to as the MOMENTUM and the INTERCEPT studies, and a Phase 3 open-label safety trial in patients with migraine. AXS-12 is being developed for the treatment of narcolepsy. We have completed a Phase 2 trial, which we refer to as the CONCERT study. The Axsome Pain and Primary Care business unit, or Axsome PPC, houses our pain and primary care assets, including AXS-02 and AXS-06, and intellectual property which covers these and related product candidates and molecules being developed by us and others. AXS-02 is being developed for the treatment of knee osteoarthritis, or OA, associated with bone marrow lesions, or BMLs. AXS-06 is being developed for the treatment of osteoarthritis and rheumatoid arthritis and for the reduction of the risk of nonsteroidal anti-inflammatory drug, or NSAID, associated gastrointestinal ulcers. Additionally, we are currently evaluating other product candidates, which we intend to develop for CNS disorders. We aim to become a fully integrated biopharmaceutical company that develops and commercializes differentiated therapies that expand the treatment options available to caregivers and improve the lives of patients living with CNS disorders.</w:t>
      </w:r>
    </w:p>
    <w:p>
      <w:pPr>
        <w:spacing w:after="0" w:line="224" w:lineRule="exact"/>
        <w:rPr>
          <w:sz w:val="20"/>
          <w:szCs w:val="20"/>
          <w:color w:val="auto"/>
        </w:rPr>
      </w:pPr>
    </w:p>
    <w:p>
      <w:pPr>
        <w:ind w:right="60"/>
        <w:spacing w:after="0" w:line="222" w:lineRule="auto"/>
        <w:rPr>
          <w:sz w:val="20"/>
          <w:szCs w:val="20"/>
          <w:color w:val="auto"/>
        </w:rPr>
      </w:pPr>
      <w:r>
        <w:rPr>
          <w:rFonts w:ascii="Arial" w:cs="Arial" w:eastAsia="Arial" w:hAnsi="Arial"/>
          <w:sz w:val="17"/>
          <w:szCs w:val="17"/>
          <w:color w:val="auto"/>
        </w:rPr>
        <w:t>AXS-05 is a novel, oral, investigational NMDA receptor antagonist with multimodal activity under development for the treatment of CNS disorders. AXS-05 consists of bupropion and dextromethorphan, or DM, and utilizes our metabolic inhibition technology. We are developing AXS-05 initially for the following four indications: TRD, agitation associated with AD, MDD, and as an aid to smoking cessation. The DM component of AXS-05 is a non-competitive N-methyl-D-aspartate, or NMDA, receptor antagonist, also known as a glutamate receptor modulator. The DM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We intend to seek U.S. Food and Drug Administration, or FDA, approval for AXS-05 utilizing the 505(b)(2) regulatory development pathway.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400"/>
          </w:cols>
          <w:pgMar w:left="1260" w:top="114" w:right="123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right="20"/>
        <w:spacing w:after="0" w:line="218" w:lineRule="auto"/>
        <w:rPr>
          <w:sz w:val="20"/>
          <w:szCs w:val="20"/>
          <w:color w:val="auto"/>
        </w:rPr>
      </w:pPr>
      <w:r>
        <w:rPr>
          <w:rFonts w:ascii="Arial" w:cs="Arial" w:eastAsia="Arial" w:hAnsi="Arial"/>
          <w:sz w:val="16"/>
          <w:szCs w:val="16"/>
          <w:color w:val="auto"/>
        </w:rPr>
        <w:t>AXS-07 is a novel, oral, investigational medicine with distinct dual mechanisms of action consisting of MoSEIC™, or Molecular Solubility Enhanced Inclusion Complex, meloxicam and rizatriptan. We are developing AXS-07 initially for the acute treatment of migraine. Meloxicam is a long-acting nonsteroidal anti-inflammatory drug, or NSAID, with COX-2, an enzyme involved in inflammation and pain pathways, preferential inhibition and potent pain-relieving effects. However, standard meloxicam has an extended time to maximum plasma concentration, or T</w:t>
      </w:r>
      <w:r>
        <w:rPr>
          <w:rFonts w:ascii="Arial" w:cs="Arial" w:eastAsia="Arial" w:hAnsi="Arial"/>
          <w:sz w:val="26"/>
          <w:szCs w:val="26"/>
          <w:color w:val="auto"/>
          <w:vertAlign w:val="subscript"/>
        </w:rPr>
        <w:t>max</w:t>
      </w:r>
      <w:r>
        <w:rPr>
          <w:rFonts w:ascii="Arial" w:cs="Arial" w:eastAsia="Arial" w:hAnsi="Arial"/>
          <w:sz w:val="16"/>
          <w:szCs w:val="16"/>
          <w:color w:val="auto"/>
        </w:rPr>
        <w:t>, which delays its onset of action. AXS-07 utilizes our proprietary</w:t>
      </w:r>
    </w:p>
    <w:p>
      <w:pPr>
        <w:spacing w:after="0" w:line="3" w:lineRule="exact"/>
        <w:rPr>
          <w:sz w:val="20"/>
          <w:szCs w:val="20"/>
          <w:color w:val="auto"/>
        </w:rPr>
      </w:pPr>
    </w:p>
    <w:p>
      <w:pPr>
        <w:ind w:right="40"/>
        <w:spacing w:after="0" w:line="208" w:lineRule="auto"/>
        <w:rPr>
          <w:sz w:val="20"/>
          <w:szCs w:val="20"/>
          <w:color w:val="auto"/>
        </w:rPr>
      </w:pPr>
      <w:r>
        <w:rPr>
          <w:rFonts w:ascii="Arial" w:cs="Arial" w:eastAsia="Arial" w:hAnsi="Arial"/>
          <w:sz w:val="16"/>
          <w:szCs w:val="16"/>
          <w:color w:val="auto"/>
        </w:rPr>
        <w:t>MoSEIC™ technology to substantially increase the solubility and speed the absorption of meloxicam while potentially maintaining durability of action. Meloxicam is a new molecular entity for migraine enabled by our MoSEIC™ technology. Rizatriptan is a 5-HT</w:t>
      </w:r>
      <w:r>
        <w:rPr>
          <w:rFonts w:ascii="Arial" w:cs="Arial" w:eastAsia="Arial" w:hAnsi="Arial"/>
          <w:sz w:val="26"/>
          <w:szCs w:val="26"/>
          <w:color w:val="auto"/>
          <w:vertAlign w:val="subscript"/>
        </w:rPr>
        <w:t>1B/D</w:t>
      </w:r>
      <w:r>
        <w:rPr>
          <w:rFonts w:ascii="Arial" w:cs="Arial" w:eastAsia="Arial" w:hAnsi="Arial"/>
          <w:sz w:val="16"/>
          <w:szCs w:val="16"/>
          <w:color w:val="auto"/>
        </w:rPr>
        <w:t xml:space="preserve"> agonist that inhibits calcitonin gene-related peptide, or CGRP-mediated vasodilation, has been shown to</w:t>
      </w:r>
    </w:p>
    <w:p>
      <w:pPr>
        <w:ind w:right="300"/>
        <w:spacing w:after="0" w:line="217" w:lineRule="auto"/>
        <w:rPr>
          <w:sz w:val="20"/>
          <w:szCs w:val="20"/>
          <w:color w:val="auto"/>
        </w:rPr>
      </w:pPr>
      <w:r>
        <w:rPr>
          <w:rFonts w:ascii="Arial" w:cs="Arial" w:eastAsia="Arial" w:hAnsi="Arial"/>
          <w:sz w:val="18"/>
          <w:szCs w:val="18"/>
          <w:color w:val="auto"/>
        </w:rPr>
        <w:t>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162"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 xml:space="preserve">AXS-09 is a novel, oral, investigational medicine consisting of esbupropion and DM, which is being developed for the treatment of CNS disorders. AXS-09 contains esbupropion, the chirally pure </w:t>
      </w:r>
      <w:r>
        <w:rPr>
          <w:rFonts w:ascii="Arial" w:cs="Arial" w:eastAsia="Arial" w:hAnsi="Arial"/>
          <w:sz w:val="17"/>
          <w:szCs w:val="17"/>
          <w:i w:val="1"/>
          <w:iCs w:val="1"/>
          <w:color w:val="auto"/>
        </w:rPr>
        <w:t>S</w:t>
      </w:r>
      <w:r>
        <w:rPr>
          <w:rFonts w:ascii="Arial" w:cs="Arial" w:eastAsia="Arial" w:hAnsi="Arial"/>
          <w:sz w:val="17"/>
          <w:szCs w:val="17"/>
          <w:color w:val="auto"/>
        </w:rPr>
        <w:t xml:space="preserve">-enantiomer of bupropion, as compared to the company’s first generation product candidate AXS-05 which contains racemic bupropion, equal amounts of the </w:t>
      </w:r>
      <w:r>
        <w:rPr>
          <w:rFonts w:ascii="Arial" w:cs="Arial" w:eastAsia="Arial" w:hAnsi="Arial"/>
          <w:sz w:val="17"/>
          <w:szCs w:val="17"/>
          <w:i w:val="1"/>
          <w:iCs w:val="1"/>
          <w:color w:val="auto"/>
        </w:rPr>
        <w:t>S</w:t>
      </w:r>
      <w:r>
        <w:rPr>
          <w:rFonts w:ascii="Arial" w:cs="Arial" w:eastAsia="Arial" w:hAnsi="Arial"/>
          <w:sz w:val="17"/>
          <w:szCs w:val="17"/>
          <w:color w:val="auto"/>
        </w:rPr>
        <w:t xml:space="preserve">- and </w:t>
      </w:r>
      <w:r>
        <w:rPr>
          <w:rFonts w:ascii="Arial" w:cs="Arial" w:eastAsia="Arial" w:hAnsi="Arial"/>
          <w:sz w:val="17"/>
          <w:szCs w:val="17"/>
          <w:i w:val="1"/>
          <w:iCs w:val="1"/>
          <w:color w:val="auto"/>
        </w:rPr>
        <w:t>R</w:t>
      </w:r>
      <w:r>
        <w:rPr>
          <w:rFonts w:ascii="Arial" w:cs="Arial" w:eastAsia="Arial" w:hAnsi="Arial"/>
          <w:sz w:val="17"/>
          <w:szCs w:val="17"/>
          <w:color w:val="auto"/>
        </w:rPr>
        <w:t xml:space="preserve">-enantiomers. We have demonstrated in a Phase 1 trial that DM plasma levels are substantially increased into a potentially therapeutic range with repeated administration of AXS-09. Results of this Phase 1 trial coupled with preclinical data also indicate the potential for enhanced absorption and therapeutic effect of the </w:t>
      </w:r>
      <w:r>
        <w:rPr>
          <w:rFonts w:ascii="Arial" w:cs="Arial" w:eastAsia="Arial" w:hAnsi="Arial"/>
          <w:sz w:val="17"/>
          <w:szCs w:val="17"/>
          <w:i w:val="1"/>
          <w:iCs w:val="1"/>
          <w:color w:val="auto"/>
        </w:rPr>
        <w:t>S</w:t>
      </w:r>
      <w:r>
        <w:rPr>
          <w:rFonts w:ascii="Arial" w:cs="Arial" w:eastAsia="Arial" w:hAnsi="Arial"/>
          <w:sz w:val="17"/>
          <w:szCs w:val="17"/>
          <w:color w:val="auto"/>
        </w:rPr>
        <w:t xml:space="preserve">-enantiomer as compared to the </w:t>
      </w:r>
      <w:r>
        <w:rPr>
          <w:rFonts w:ascii="Arial" w:cs="Arial" w:eastAsia="Arial" w:hAnsi="Arial"/>
          <w:sz w:val="17"/>
          <w:szCs w:val="17"/>
          <w:i w:val="1"/>
          <w:iCs w:val="1"/>
          <w:color w:val="auto"/>
        </w:rPr>
        <w:t>R</w:t>
      </w:r>
      <w:r>
        <w:rPr>
          <w:rFonts w:ascii="Arial" w:cs="Arial" w:eastAsia="Arial" w:hAnsi="Arial"/>
          <w:sz w:val="17"/>
          <w:szCs w:val="17"/>
          <w:color w:val="auto"/>
        </w:rPr>
        <w:t>-enantiomer.</w:t>
      </w:r>
    </w:p>
    <w:p>
      <w:pPr>
        <w:spacing w:after="0" w:line="164" w:lineRule="exact"/>
        <w:rPr>
          <w:sz w:val="20"/>
          <w:szCs w:val="20"/>
          <w:color w:val="auto"/>
        </w:rPr>
      </w:pPr>
    </w:p>
    <w:p>
      <w:pPr>
        <w:spacing w:after="0" w:line="215" w:lineRule="auto"/>
        <w:rPr>
          <w:sz w:val="20"/>
          <w:szCs w:val="20"/>
          <w:color w:val="auto"/>
        </w:rPr>
      </w:pPr>
      <w:r>
        <w:rPr>
          <w:rFonts w:ascii="Arial" w:cs="Arial" w:eastAsia="Arial" w:hAnsi="Arial"/>
          <w:sz w:val="18"/>
          <w:szCs w:val="18"/>
          <w:color w:val="auto"/>
        </w:rPr>
        <w:t>AXS-12, reboxetine, is a novel, oral, investigational medicine in development for treatment of narcolepsy. AXS-12 is a highly selective and potent norepinephrine reuptake inhibitor. The potential utility of AXS-12 in narcolepsy is supported by positive pre-clinical and clinical results in narcolepsy, and an extensive positive clinical safety record. Reboxetine, the active agent in AXS-12, significantly and dose-dependently reduced narcoleptic episodes in hypocretin, or orexin-deficient mice, a well-established genetic animal model of narcolepsy.</w:t>
      </w:r>
    </w:p>
    <w:p>
      <w:pPr>
        <w:spacing w:after="0" w:line="162" w:lineRule="exact"/>
        <w:rPr>
          <w:sz w:val="20"/>
          <w:szCs w:val="20"/>
          <w:color w:val="auto"/>
        </w:rPr>
      </w:pPr>
    </w:p>
    <w:p>
      <w:pPr>
        <w:ind w:right="220"/>
        <w:spacing w:after="0" w:line="242" w:lineRule="auto"/>
        <w:rPr>
          <w:sz w:val="20"/>
          <w:szCs w:val="20"/>
          <w:color w:val="auto"/>
        </w:rPr>
      </w:pPr>
      <w:r>
        <w:rPr>
          <w:rFonts w:ascii="Arial" w:cs="Arial" w:eastAsia="Arial" w:hAnsi="Arial"/>
          <w:sz w:val="16"/>
          <w:szCs w:val="16"/>
          <w:color w:val="auto"/>
        </w:rPr>
        <w:t>The Axsome PPC unit houses Axsome’s pain and primary care assets, including AXS-02 and AXS-06, and intellectual property which covers these and related product candidates and molecules being developed by Axsome and others. AXS-02 is being developed for the treatment of knee osteoarthritis, or OA, associated with bone marrow lesions, or BMLs, and chronic low back pain, or CLBP, associated with Modic changes, or MCs. AXS-06 is being developed for the treatment of osteoarthritis and rheumatoid arthritis and for the reduction of the risk of NSAID-associated gastrointestinal ulcers.</w:t>
      </w:r>
    </w:p>
    <w:p>
      <w:pPr>
        <w:spacing w:after="0" w:line="161" w:lineRule="exact"/>
        <w:rPr>
          <w:sz w:val="20"/>
          <w:szCs w:val="20"/>
          <w:color w:val="auto"/>
        </w:rPr>
      </w:pPr>
    </w:p>
    <w:p>
      <w:pPr>
        <w:ind w:right="40"/>
        <w:spacing w:after="0" w:line="184"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02, disodium zoledronate tetrahydrate, is a potentially first</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class, oral, targeted, non</w:t>
      </w:r>
      <w:r>
        <w:rPr>
          <w:rFonts w:ascii="MS PGothic" w:cs="MS PGothic" w:eastAsia="MS PGothic" w:hAnsi="MS PGothic"/>
          <w:sz w:val="16"/>
          <w:szCs w:val="16"/>
          <w:color w:val="auto"/>
        </w:rPr>
        <w:t>‑</w:t>
      </w:r>
      <w:r>
        <w:rPr>
          <w:rFonts w:ascii="Arial" w:cs="Arial" w:eastAsia="Arial" w:hAnsi="Arial"/>
          <w:sz w:val="16"/>
          <w:szCs w:val="16"/>
          <w:color w:val="auto"/>
        </w:rPr>
        <w:t>opioid therapeutic for chronic pain. AXS</w:t>
      </w:r>
      <w:r>
        <w:rPr>
          <w:rFonts w:ascii="MS PGothic" w:cs="MS PGothic" w:eastAsia="MS PGothic" w:hAnsi="MS PGothic"/>
          <w:sz w:val="16"/>
          <w:szCs w:val="16"/>
          <w:color w:val="auto"/>
        </w:rPr>
        <w:t>‑</w:t>
      </w:r>
      <w:r>
        <w:rPr>
          <w:rFonts w:ascii="Arial" w:cs="Arial" w:eastAsia="Arial" w:hAnsi="Arial"/>
          <w:sz w:val="16"/>
          <w:szCs w:val="16"/>
          <w:color w:val="auto"/>
        </w:rPr>
        <w:t>02 is a potent inhibitor of osteoclasts, which are bone remodeling cells that break down bone tissue. We are developing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in the following two conditions: knee OA associated with BMLs and CLBP associated with type 1 or mixed type 1 and type 2 MCs. These conditions exhibit target lesions or specific pathology that we believe may be addressed by the mechanisms of action of AXS</w:t>
      </w:r>
      <w:r>
        <w:rPr>
          <w:rFonts w:ascii="MS PGothic" w:cs="MS PGothic" w:eastAsia="MS PGothic" w:hAnsi="MS PGothic"/>
          <w:sz w:val="16"/>
          <w:szCs w:val="16"/>
          <w:color w:val="auto"/>
        </w:rPr>
        <w:t>‑</w:t>
      </w:r>
      <w:r>
        <w:rPr>
          <w:rFonts w:ascii="Arial" w:cs="Arial" w:eastAsia="Arial" w:hAnsi="Arial"/>
          <w:sz w:val="16"/>
          <w:szCs w:val="16"/>
          <w:color w:val="auto"/>
        </w:rPr>
        <w:t>02, such as inhibition of osteoclast activity. These mechanisms may result in a reduction of pain in these conditions. We intend to seek FDA approval for AXS</w:t>
      </w:r>
      <w:r>
        <w:rPr>
          <w:rFonts w:ascii="MS PGothic" w:cs="MS PGothic" w:eastAsia="MS PGothic" w:hAnsi="MS PGothic"/>
          <w:sz w:val="16"/>
          <w:szCs w:val="16"/>
          <w:color w:val="auto"/>
        </w:rPr>
        <w:t>‑</w:t>
      </w:r>
      <w:r>
        <w:rPr>
          <w:rFonts w:ascii="Arial" w:cs="Arial" w:eastAsia="Arial" w:hAnsi="Arial"/>
          <w:sz w:val="16"/>
          <w:szCs w:val="16"/>
          <w:color w:val="auto"/>
        </w:rPr>
        <w:t>02 utilizing the 505(b)(2) regulatory development pathway.</w:t>
      </w:r>
    </w:p>
    <w:p>
      <w:pPr>
        <w:spacing w:after="0" w:line="164" w:lineRule="exact"/>
        <w:rPr>
          <w:sz w:val="20"/>
          <w:szCs w:val="20"/>
          <w:color w:val="auto"/>
        </w:rPr>
      </w:pPr>
    </w:p>
    <w:p>
      <w:pPr>
        <w:ind w:right="80"/>
        <w:spacing w:after="0" w:line="221" w:lineRule="auto"/>
        <w:rPr>
          <w:sz w:val="20"/>
          <w:szCs w:val="20"/>
          <w:color w:val="auto"/>
        </w:rPr>
      </w:pPr>
      <w:r>
        <w:rPr>
          <w:rFonts w:ascii="Arial" w:cs="Arial" w:eastAsia="Arial" w:hAnsi="Arial"/>
          <w:sz w:val="16"/>
          <w:szCs w:val="16"/>
          <w:color w:val="auto"/>
        </w:rPr>
        <w:t>AXS-06 is a novel, oral, non-opioid, fixed-dose combination of MoSEIC™ meloxicam and esomeprazole. We are developing AXS-06 initially for the treatment of osteoarthritis and rheumatoid arthritis. Esomeprazole is a proton pump inhibitor which lowers stomach acidity and which has been shown to reduce the occurrence of NSAID-associated gastrointestinal ulcers. AXS-06 is designed to provide rapid, effective pain relief, and to reduce the risk of NSAID-associated gastrointestinal ulcers, with convenient once-daily dosing. We have successfully completed a Phase 1 trial of AXS-06 to characterize the pharmacokinetics of meloxicam and esomeprazole after oral administration of AXS-06. The results of our Phase 1 trial demonstrated that the median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for meloxicam, the trial's primary endpoint, was nine times faster for AXS-06 as compared to standard meloxicam. We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intend to seek FDA approval for AXS-06 utilizing the 505(b)(2) regulatory development pathway.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Our current CNS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107950</wp:posOffset>
            </wp:positionV>
            <wp:extent cx="5736590" cy="2219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6590" cy="221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Additionally, our PPC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107950</wp:posOffset>
            </wp:positionV>
            <wp:extent cx="5736590" cy="1306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6590" cy="1306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7" w:lineRule="exact"/>
        <w:rPr>
          <w:sz w:val="20"/>
          <w:szCs w:val="20"/>
          <w:color w:val="auto"/>
        </w:rPr>
      </w:pPr>
    </w:p>
    <w:p>
      <w:pPr>
        <w:ind w:right="100"/>
        <w:spacing w:after="0" w:line="202" w:lineRule="exact"/>
        <w:rPr>
          <w:sz w:val="20"/>
          <w:szCs w:val="20"/>
          <w:color w:val="auto"/>
        </w:rPr>
      </w:pPr>
      <w:r>
        <w:rPr>
          <w:rFonts w:ascii="Arial" w:cs="Arial" w:eastAsia="Arial" w:hAnsi="Arial"/>
          <w:sz w:val="18"/>
          <w:szCs w:val="18"/>
          <w:color w:val="auto"/>
        </w:rPr>
        <w:t>We were incorporated under the laws of the State of Delaware in January 2012. Our principal executive offices are located at 200 Broadway, 3rd Floor, New York, New York 10038, and our telephone number is (212) 332</w:t>
      </w:r>
      <w:r>
        <w:rPr>
          <w:rFonts w:ascii="MS PGothic" w:cs="MS PGothic" w:eastAsia="MS PGothic" w:hAnsi="MS PGothic"/>
          <w:sz w:val="18"/>
          <w:szCs w:val="18"/>
          <w:color w:val="auto"/>
        </w:rPr>
        <w:t>‑</w:t>
      </w:r>
      <w:r>
        <w:rPr>
          <w:rFonts w:ascii="Arial" w:cs="Arial" w:eastAsia="Arial" w:hAnsi="Arial"/>
          <w:sz w:val="18"/>
          <w:szCs w:val="18"/>
          <w:color w:val="auto"/>
        </w:rPr>
        <w:t>3241.</w:t>
      </w:r>
    </w:p>
    <w:p>
      <w:pPr>
        <w:spacing w:after="0" w:line="16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 xml:space="preserve">Information concerning our business and our prospects is included in the documents that we file with the SEC as a reporting company under the Exchange Act, which are accessible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and on our website at </w:t>
      </w:r>
      <w:r>
        <w:rPr>
          <w:rFonts w:ascii="Arial" w:cs="Arial" w:eastAsia="Arial" w:hAnsi="Arial"/>
          <w:sz w:val="17"/>
          <w:szCs w:val="17"/>
          <w:i w:val="1"/>
          <w:iCs w:val="1"/>
          <w:color w:val="auto"/>
        </w:rPr>
        <w:t>www.axsome.com</w:t>
      </w:r>
      <w:r>
        <w:rPr>
          <w:rFonts w:ascii="Arial" w:cs="Arial" w:eastAsia="Arial" w:hAnsi="Arial"/>
          <w:sz w:val="17"/>
          <w:szCs w:val="17"/>
          <w:color w:val="auto"/>
        </w:rPr>
        <w:t>. The information contained on, or that can be accessed through, our website is not a part of this prospectus supplement. Investors should not rely on any such information in deciding whether to purchase our common stock. We have included our website address in this prospectus supplement solely as an inactive textual reference.</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114" w:right="127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87"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 emerging growth company may take advantage of relief from certain reporting requirements and other burdens that are otherwise generally applicable to public companies. These provisions include:</w:t>
      </w:r>
    </w:p>
    <w:p>
      <w:pPr>
        <w:spacing w:after="0" w:line="162" w:lineRule="exact"/>
        <w:rPr>
          <w:sz w:val="20"/>
          <w:szCs w:val="20"/>
          <w:color w:val="auto"/>
        </w:rPr>
      </w:pPr>
    </w:p>
    <w:p>
      <w:pPr>
        <w:ind w:left="960" w:right="80"/>
        <w:spacing w:after="0" w:line="223" w:lineRule="auto"/>
        <w:rPr>
          <w:sz w:val="20"/>
          <w:szCs w:val="20"/>
          <w:color w:val="auto"/>
        </w:rPr>
      </w:pPr>
      <w:r>
        <w:rPr>
          <w:rFonts w:ascii="Arial" w:cs="Arial" w:eastAsia="Arial" w:hAnsi="Arial"/>
          <w:sz w:val="18"/>
          <w:szCs w:val="18"/>
          <w:color w:val="auto"/>
        </w:rPr>
        <w:t>requirement for only two years of audited financial statements, in addition to any required unaudited interim financial statements, with correspondingly reduced “Management’s Discussion and Analysis of Financial Condition and Results of Operations” disclosure;</w:t>
      </w:r>
    </w:p>
    <w:p>
      <w:pPr>
        <w:spacing w:after="0" w:line="162" w:lineRule="exact"/>
        <w:rPr>
          <w:sz w:val="20"/>
          <w:szCs w:val="20"/>
          <w:color w:val="auto"/>
        </w:rPr>
      </w:pPr>
    </w:p>
    <w:p>
      <w:pPr>
        <w:ind w:left="960" w:right="560"/>
        <w:spacing w:after="0" w:line="234" w:lineRule="auto"/>
        <w:rPr>
          <w:sz w:val="20"/>
          <w:szCs w:val="20"/>
          <w:color w:val="auto"/>
        </w:rPr>
      </w:pPr>
      <w:r>
        <w:rPr>
          <w:rFonts w:ascii="Arial" w:cs="Arial" w:eastAsia="Arial" w:hAnsi="Arial"/>
          <w:sz w:val="18"/>
          <w:szCs w:val="18"/>
          <w:color w:val="auto"/>
        </w:rPr>
        <w:t>exemption from the auditor attestation requirement on the effectiveness of our internal controls over financial reporting;</w:t>
      </w:r>
    </w:p>
    <w:p>
      <w:pPr>
        <w:spacing w:after="0" w:line="16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reduced disclosure about our executive compensation arrangements; and</w:t>
      </w:r>
    </w:p>
    <w:p>
      <w:pPr>
        <w:spacing w:after="0" w:line="183" w:lineRule="exact"/>
        <w:rPr>
          <w:sz w:val="20"/>
          <w:szCs w:val="20"/>
          <w:color w:val="auto"/>
        </w:rPr>
      </w:pPr>
    </w:p>
    <w:p>
      <w:pPr>
        <w:ind w:left="960"/>
        <w:spacing w:after="0" w:line="196" w:lineRule="exact"/>
        <w:rPr>
          <w:sz w:val="20"/>
          <w:szCs w:val="20"/>
          <w:color w:val="auto"/>
        </w:rPr>
      </w:pPr>
      <w:r>
        <w:rPr>
          <w:rFonts w:ascii="Arial" w:cs="Arial" w:eastAsia="Arial" w:hAnsi="Arial"/>
          <w:sz w:val="17"/>
          <w:szCs w:val="17"/>
          <w:color w:val="auto"/>
        </w:rPr>
        <w:t>no requirements for non</w:t>
      </w:r>
      <w:r>
        <w:rPr>
          <w:rFonts w:ascii="MS PGothic" w:cs="MS PGothic" w:eastAsia="MS PGothic" w:hAnsi="MS PGothic"/>
          <w:sz w:val="17"/>
          <w:szCs w:val="17"/>
          <w:color w:val="auto"/>
        </w:rPr>
        <w:t>‑</w:t>
      </w:r>
      <w:r>
        <w:rPr>
          <w:rFonts w:ascii="Arial" w:cs="Arial" w:eastAsia="Arial" w:hAnsi="Arial"/>
          <w:sz w:val="17"/>
          <w:szCs w:val="17"/>
          <w:color w:val="auto"/>
        </w:rPr>
        <w:t>binding advisory votes on executive compensation or golden parachute arrangements.</w:t>
      </w:r>
    </w:p>
    <w:p>
      <w:pPr>
        <w:spacing w:after="0" w:line="194" w:lineRule="exact"/>
        <w:rPr>
          <w:sz w:val="20"/>
          <w:szCs w:val="20"/>
          <w:color w:val="auto"/>
        </w:rPr>
      </w:pPr>
    </w:p>
    <w:p>
      <w:pPr>
        <w:spacing w:after="0" w:line="183" w:lineRule="exact"/>
        <w:rPr>
          <w:sz w:val="20"/>
          <w:szCs w:val="20"/>
          <w:color w:val="auto"/>
        </w:rPr>
      </w:pPr>
      <w:r>
        <w:rPr>
          <w:rFonts w:ascii="Arial" w:cs="Arial" w:eastAsia="Arial" w:hAnsi="Arial"/>
          <w:sz w:val="16"/>
          <w:szCs w:val="16"/>
          <w:color w:val="auto"/>
        </w:rPr>
        <w:t>We may take advantage of these provisions until December 31, 2020 or such earlier time that we no longer qualify as an emerging growth company. We would cease to be an emerging growth company if we have more than $1.07 billion in total annual gross revenue, have more than $700 million in market value of our capital stock held by non</w:t>
      </w:r>
      <w:r>
        <w:rPr>
          <w:rFonts w:ascii="MS PGothic" w:cs="MS PGothic" w:eastAsia="MS PGothic" w:hAnsi="MS PGothic"/>
          <w:sz w:val="16"/>
          <w:szCs w:val="16"/>
          <w:color w:val="auto"/>
        </w:rPr>
        <w:t>‑</w:t>
      </w:r>
      <w:r>
        <w:rPr>
          <w:rFonts w:ascii="Arial" w:cs="Arial" w:eastAsia="Arial" w:hAnsi="Arial"/>
          <w:sz w:val="16"/>
          <w:szCs w:val="16"/>
          <w:color w:val="auto"/>
        </w:rPr>
        <w:t>affiliates or issue more than $1.0 billion of non</w:t>
      </w:r>
      <w:r>
        <w:rPr>
          <w:rFonts w:ascii="MS PGothic" w:cs="MS PGothic" w:eastAsia="MS PGothic" w:hAnsi="MS PGothic"/>
          <w:sz w:val="16"/>
          <w:szCs w:val="16"/>
          <w:color w:val="auto"/>
        </w:rPr>
        <w:t>‑</w:t>
      </w:r>
      <w:r>
        <w:rPr>
          <w:rFonts w:ascii="Arial" w:cs="Arial" w:eastAsia="Arial" w:hAnsi="Arial"/>
          <w:sz w:val="16"/>
          <w:szCs w:val="16"/>
          <w:color w:val="auto"/>
        </w:rPr>
        <w:t>convertible debt over a three</w:t>
      </w:r>
      <w:r>
        <w:rPr>
          <w:rFonts w:ascii="MS PGothic" w:cs="MS PGothic" w:eastAsia="MS PGothic" w:hAnsi="MS PGothic"/>
          <w:sz w:val="16"/>
          <w:szCs w:val="16"/>
          <w:color w:val="auto"/>
        </w:rPr>
        <w:t>‑</w:t>
      </w:r>
      <w:r>
        <w:rPr>
          <w:rFonts w:ascii="Arial" w:cs="Arial" w:eastAsia="Arial" w:hAnsi="Arial"/>
          <w:sz w:val="16"/>
          <w:szCs w:val="16"/>
          <w:color w:val="auto"/>
        </w:rPr>
        <w:t>year period. We may choose to take advantage of some but not all of these reduced reporting requirements and other burdens. We have taken advantage of some reduced reporting burdens in this prospectus supplement, the accompanying prospectus and the documents incorporated by reference herein and therein. Accordingly, the information that we provide stockholders may be different than what you might obtain from other public companies in which you hold equity interests.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114" w:right="12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840" w:type="dxa"/>
            <w:vAlign w:val="bottom"/>
            <w:gridSpan w:val="2"/>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Table of Contents</w:t>
              </w:r>
            </w:hyperlink>
          </w:p>
        </w:tc>
        <w:tc>
          <w:tcPr>
            <w:tcW w:w="5520" w:type="dxa"/>
            <w:vAlign w:val="bottom"/>
          </w:tcPr>
          <w:p>
            <w:pPr>
              <w:spacing w:after="0"/>
              <w:rPr>
                <w:sz w:val="17"/>
                <w:szCs w:val="17"/>
                <w:color w:val="auto"/>
              </w:rPr>
            </w:pPr>
          </w:p>
        </w:tc>
      </w:tr>
      <w:tr>
        <w:trPr>
          <w:trHeight w:val="733"/>
        </w:trPr>
        <w:tc>
          <w:tcPr>
            <w:tcW w:w="1260" w:type="dxa"/>
            <w:vAlign w:val="bottom"/>
            <w:tcBorders>
              <w:top w:val="single" w:sz="8" w:color="0563C1"/>
            </w:tcBorders>
          </w:tcPr>
          <w:p>
            <w:pPr>
              <w:spacing w:after="0"/>
              <w:rPr>
                <w:sz w:val="24"/>
                <w:szCs w:val="24"/>
                <w:color w:val="auto"/>
              </w:rPr>
            </w:pPr>
          </w:p>
        </w:tc>
        <w:tc>
          <w:tcPr>
            <w:tcW w:w="2580" w:type="dxa"/>
            <w:vAlign w:val="bottom"/>
          </w:tcPr>
          <w:p>
            <w:pPr>
              <w:spacing w:after="0"/>
              <w:rPr>
                <w:sz w:val="24"/>
                <w:szCs w:val="24"/>
                <w:color w:val="auto"/>
              </w:rPr>
            </w:pPr>
          </w:p>
        </w:tc>
        <w:tc>
          <w:tcPr>
            <w:tcW w:w="5520" w:type="dxa"/>
            <w:vAlign w:val="bottom"/>
          </w:tcPr>
          <w:p>
            <w:pPr>
              <w:ind w:left="160"/>
              <w:spacing w:after="0"/>
              <w:rPr>
                <w:sz w:val="20"/>
                <w:szCs w:val="20"/>
                <w:color w:val="auto"/>
              </w:rPr>
            </w:pPr>
            <w:r>
              <w:rPr>
                <w:rFonts w:ascii="Arial" w:cs="Arial" w:eastAsia="Arial" w:hAnsi="Arial"/>
                <w:sz w:val="18"/>
                <w:szCs w:val="18"/>
                <w:b w:val="1"/>
                <w:bCs w:val="1"/>
                <w:color w:val="auto"/>
              </w:rPr>
              <w:t>THE OFFERING</w:t>
            </w:r>
          </w:p>
        </w:tc>
      </w:tr>
      <w:tr>
        <w:trPr>
          <w:trHeight w:val="403"/>
        </w:trPr>
        <w:tc>
          <w:tcPr>
            <w:tcW w:w="3840" w:type="dxa"/>
            <w:vAlign w:val="bottom"/>
            <w:gridSpan w:val="2"/>
          </w:tcPr>
          <w:p>
            <w:pPr>
              <w:spacing w:after="0"/>
              <w:rPr>
                <w:sz w:val="20"/>
                <w:szCs w:val="20"/>
                <w:color w:val="auto"/>
              </w:rPr>
            </w:pPr>
            <w:r>
              <w:rPr>
                <w:rFonts w:ascii="Arial" w:cs="Arial" w:eastAsia="Arial" w:hAnsi="Arial"/>
                <w:sz w:val="18"/>
                <w:szCs w:val="18"/>
                <w:color w:val="auto"/>
              </w:rPr>
              <w:t>Common stock offered by us</w:t>
            </w:r>
          </w:p>
        </w:tc>
        <w:tc>
          <w:tcPr>
            <w:tcW w:w="5520" w:type="dxa"/>
            <w:vAlign w:val="bottom"/>
          </w:tcPr>
          <w:p>
            <w:pPr>
              <w:ind w:left="440"/>
              <w:spacing w:after="0"/>
              <w:rPr>
                <w:sz w:val="20"/>
                <w:szCs w:val="20"/>
                <w:color w:val="auto"/>
              </w:rPr>
            </w:pPr>
            <w:r>
              <w:rPr>
                <w:rFonts w:ascii="Arial" w:cs="Arial" w:eastAsia="Arial" w:hAnsi="Arial"/>
                <w:sz w:val="18"/>
                <w:szCs w:val="18"/>
                <w:color w:val="auto"/>
              </w:rPr>
              <w:t>2,000,000 shares.</w:t>
            </w:r>
          </w:p>
        </w:tc>
      </w:tr>
      <w:tr>
        <w:trPr>
          <w:trHeight w:val="335"/>
        </w:trPr>
        <w:tc>
          <w:tcPr>
            <w:tcW w:w="3840" w:type="dxa"/>
            <w:vAlign w:val="bottom"/>
            <w:gridSpan w:val="2"/>
          </w:tcPr>
          <w:p>
            <w:pPr>
              <w:spacing w:after="0"/>
              <w:rPr>
                <w:sz w:val="20"/>
                <w:szCs w:val="20"/>
                <w:color w:val="auto"/>
              </w:rPr>
            </w:pPr>
            <w:r>
              <w:rPr>
                <w:rFonts w:ascii="Arial" w:cs="Arial" w:eastAsia="Arial" w:hAnsi="Arial"/>
                <w:sz w:val="18"/>
                <w:szCs w:val="18"/>
                <w:color w:val="auto"/>
              </w:rPr>
              <w:t>Option to purchase additional shares</w:t>
            </w:r>
          </w:p>
        </w:tc>
        <w:tc>
          <w:tcPr>
            <w:tcW w:w="5520" w:type="dxa"/>
            <w:vAlign w:val="bottom"/>
          </w:tcPr>
          <w:p>
            <w:pPr>
              <w:ind w:left="440"/>
              <w:spacing w:after="0"/>
              <w:rPr>
                <w:sz w:val="20"/>
                <w:szCs w:val="20"/>
                <w:color w:val="auto"/>
              </w:rPr>
            </w:pPr>
            <w:r>
              <w:rPr>
                <w:rFonts w:ascii="Arial" w:cs="Arial" w:eastAsia="Arial" w:hAnsi="Arial"/>
                <w:sz w:val="18"/>
                <w:szCs w:val="18"/>
                <w:color w:val="auto"/>
                <w:w w:val="94"/>
              </w:rPr>
              <w:t>We have granted the underwriters an option for a period of 30 days</w:t>
            </w:r>
          </w:p>
        </w:tc>
      </w:tr>
      <w:tr>
        <w:trPr>
          <w:trHeight w:val="188"/>
        </w:trPr>
        <w:tc>
          <w:tcPr>
            <w:tcW w:w="12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520" w:type="dxa"/>
            <w:vAlign w:val="bottom"/>
          </w:tcPr>
          <w:p>
            <w:pPr>
              <w:ind w:left="440"/>
              <w:spacing w:after="0" w:line="189" w:lineRule="exact"/>
              <w:rPr>
                <w:sz w:val="20"/>
                <w:szCs w:val="20"/>
                <w:color w:val="auto"/>
              </w:rPr>
            </w:pPr>
            <w:r>
              <w:rPr>
                <w:rFonts w:ascii="Arial" w:cs="Arial" w:eastAsia="Arial" w:hAnsi="Arial"/>
                <w:sz w:val="18"/>
                <w:szCs w:val="18"/>
                <w:color w:val="auto"/>
                <w:w w:val="89"/>
              </w:rPr>
              <w:t>from the date of this prospectus supplement to purchase up to 300,000</w:t>
            </w:r>
          </w:p>
        </w:tc>
      </w:tr>
      <w:tr>
        <w:trPr>
          <w:trHeight w:val="230"/>
        </w:trPr>
        <w:tc>
          <w:tcPr>
            <w:tcW w:w="12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520" w:type="dxa"/>
            <w:vAlign w:val="bottom"/>
          </w:tcPr>
          <w:p>
            <w:pPr>
              <w:ind w:left="440"/>
              <w:spacing w:after="0"/>
              <w:rPr>
                <w:sz w:val="20"/>
                <w:szCs w:val="20"/>
                <w:color w:val="auto"/>
              </w:rPr>
            </w:pPr>
            <w:r>
              <w:rPr>
                <w:rFonts w:ascii="Arial" w:cs="Arial" w:eastAsia="Arial" w:hAnsi="Arial"/>
                <w:sz w:val="18"/>
                <w:szCs w:val="18"/>
                <w:color w:val="auto"/>
              </w:rPr>
              <w:t>additional shares of our common stock.</w:t>
            </w:r>
          </w:p>
        </w:tc>
      </w:tr>
      <w:tr>
        <w:trPr>
          <w:trHeight w:val="335"/>
        </w:trPr>
        <w:tc>
          <w:tcPr>
            <w:tcW w:w="3840" w:type="dxa"/>
            <w:vAlign w:val="bottom"/>
            <w:gridSpan w:val="2"/>
          </w:tcPr>
          <w:p>
            <w:pPr>
              <w:spacing w:after="0"/>
              <w:rPr>
                <w:sz w:val="20"/>
                <w:szCs w:val="20"/>
                <w:color w:val="auto"/>
              </w:rPr>
            </w:pPr>
            <w:r>
              <w:rPr>
                <w:rFonts w:ascii="Arial" w:cs="Arial" w:eastAsia="Arial" w:hAnsi="Arial"/>
                <w:sz w:val="18"/>
                <w:szCs w:val="18"/>
                <w:color w:val="auto"/>
                <w:w w:val="94"/>
              </w:rPr>
              <w:t>Common stock to be outstanding after this offering</w:t>
            </w:r>
          </w:p>
        </w:tc>
        <w:tc>
          <w:tcPr>
            <w:tcW w:w="5520" w:type="dxa"/>
            <w:vAlign w:val="bottom"/>
          </w:tcPr>
          <w:p>
            <w:pPr>
              <w:ind w:left="440"/>
              <w:spacing w:after="0"/>
              <w:rPr>
                <w:sz w:val="20"/>
                <w:szCs w:val="20"/>
                <w:color w:val="auto"/>
              </w:rPr>
            </w:pPr>
            <w:r>
              <w:rPr>
                <w:rFonts w:ascii="Arial" w:cs="Arial" w:eastAsia="Arial" w:hAnsi="Arial"/>
                <w:sz w:val="18"/>
                <w:szCs w:val="18"/>
                <w:color w:val="auto"/>
                <w:w w:val="91"/>
              </w:rPr>
              <w:t>36,496,846 shares (or 36,796,846 shares, if the underwriters exercise</w:t>
            </w:r>
          </w:p>
        </w:tc>
      </w:tr>
      <w:tr>
        <w:trPr>
          <w:trHeight w:val="230"/>
        </w:trPr>
        <w:tc>
          <w:tcPr>
            <w:tcW w:w="12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520" w:type="dxa"/>
            <w:vAlign w:val="bottom"/>
          </w:tcPr>
          <w:p>
            <w:pPr>
              <w:ind w:left="440"/>
              <w:spacing w:after="0"/>
              <w:rPr>
                <w:sz w:val="20"/>
                <w:szCs w:val="20"/>
                <w:color w:val="auto"/>
              </w:rPr>
            </w:pPr>
            <w:r>
              <w:rPr>
                <w:rFonts w:ascii="Arial" w:cs="Arial" w:eastAsia="Arial" w:hAnsi="Arial"/>
                <w:sz w:val="18"/>
                <w:szCs w:val="18"/>
                <w:color w:val="auto"/>
              </w:rPr>
              <w:t>in full their option to purchase additional shares).</w:t>
            </w:r>
          </w:p>
        </w:tc>
      </w:tr>
      <w:tr>
        <w:trPr>
          <w:trHeight w:val="335"/>
        </w:trPr>
        <w:tc>
          <w:tcPr>
            <w:tcW w:w="3840" w:type="dxa"/>
            <w:vAlign w:val="bottom"/>
            <w:gridSpan w:val="2"/>
          </w:tcPr>
          <w:p>
            <w:pPr>
              <w:spacing w:after="0"/>
              <w:rPr>
                <w:sz w:val="20"/>
                <w:szCs w:val="20"/>
                <w:color w:val="auto"/>
              </w:rPr>
            </w:pPr>
            <w:r>
              <w:rPr>
                <w:rFonts w:ascii="Arial" w:cs="Arial" w:eastAsia="Arial" w:hAnsi="Arial"/>
                <w:sz w:val="18"/>
                <w:szCs w:val="18"/>
                <w:color w:val="auto"/>
              </w:rPr>
              <w:t>Use of proceeds</w:t>
            </w:r>
          </w:p>
        </w:tc>
        <w:tc>
          <w:tcPr>
            <w:tcW w:w="5520" w:type="dxa"/>
            <w:vAlign w:val="bottom"/>
          </w:tcPr>
          <w:p>
            <w:pPr>
              <w:ind w:left="440"/>
              <w:spacing w:after="0"/>
              <w:rPr>
                <w:sz w:val="20"/>
                <w:szCs w:val="20"/>
                <w:color w:val="auto"/>
              </w:rPr>
            </w:pPr>
            <w:r>
              <w:rPr>
                <w:rFonts w:ascii="Arial" w:cs="Arial" w:eastAsia="Arial" w:hAnsi="Arial"/>
                <w:sz w:val="18"/>
                <w:szCs w:val="18"/>
                <w:color w:val="auto"/>
                <w:w w:val="96"/>
              </w:rPr>
              <w:t>We intend to use the net proceeds from this offering to continue to</w:t>
            </w:r>
          </w:p>
        </w:tc>
      </w:tr>
      <w:tr>
        <w:trPr>
          <w:trHeight w:val="188"/>
        </w:trPr>
        <w:tc>
          <w:tcPr>
            <w:tcW w:w="12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520" w:type="dxa"/>
            <w:vAlign w:val="bottom"/>
          </w:tcPr>
          <w:p>
            <w:pPr>
              <w:ind w:left="440"/>
              <w:spacing w:after="0" w:line="189" w:lineRule="exact"/>
              <w:rPr>
                <w:sz w:val="20"/>
                <w:szCs w:val="20"/>
                <w:color w:val="auto"/>
              </w:rPr>
            </w:pPr>
            <w:r>
              <w:rPr>
                <w:rFonts w:ascii="Arial" w:cs="Arial" w:eastAsia="Arial" w:hAnsi="Arial"/>
                <w:sz w:val="18"/>
                <w:szCs w:val="18"/>
                <w:color w:val="auto"/>
              </w:rPr>
              <w:t>fund the ongoing clinical development of our late stage product</w:t>
            </w:r>
          </w:p>
        </w:tc>
      </w:tr>
      <w:tr>
        <w:trPr>
          <w:trHeight w:val="188"/>
        </w:trPr>
        <w:tc>
          <w:tcPr>
            <w:tcW w:w="12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520" w:type="dxa"/>
            <w:vAlign w:val="bottom"/>
          </w:tcPr>
          <w:p>
            <w:pPr>
              <w:ind w:left="440"/>
              <w:spacing w:after="0" w:line="189" w:lineRule="exact"/>
              <w:rPr>
                <w:sz w:val="20"/>
                <w:szCs w:val="20"/>
                <w:color w:val="auto"/>
              </w:rPr>
            </w:pPr>
            <w:r>
              <w:rPr>
                <w:rFonts w:ascii="Arial" w:cs="Arial" w:eastAsia="Arial" w:hAnsi="Arial"/>
                <w:sz w:val="18"/>
                <w:szCs w:val="18"/>
                <w:color w:val="auto"/>
                <w:w w:val="89"/>
              </w:rPr>
              <w:t>candidates and for other general corporate purposes, including funding</w:t>
            </w:r>
          </w:p>
        </w:tc>
      </w:tr>
      <w:tr>
        <w:trPr>
          <w:trHeight w:val="188"/>
        </w:trPr>
        <w:tc>
          <w:tcPr>
            <w:tcW w:w="12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520" w:type="dxa"/>
            <w:vAlign w:val="bottom"/>
          </w:tcPr>
          <w:p>
            <w:pPr>
              <w:ind w:left="440"/>
              <w:spacing w:after="0" w:line="189" w:lineRule="exact"/>
              <w:rPr>
                <w:sz w:val="20"/>
                <w:szCs w:val="20"/>
                <w:color w:val="auto"/>
              </w:rPr>
            </w:pPr>
            <w:r>
              <w:rPr>
                <w:rFonts w:ascii="Arial" w:cs="Arial" w:eastAsia="Arial" w:hAnsi="Arial"/>
                <w:sz w:val="18"/>
                <w:szCs w:val="18"/>
                <w:color w:val="auto"/>
                <w:w w:val="92"/>
              </w:rPr>
              <w:t>existing and potential new clinical programs and product candidates.</w:t>
            </w:r>
          </w:p>
        </w:tc>
      </w:tr>
      <w:tr>
        <w:trPr>
          <w:trHeight w:val="230"/>
        </w:trPr>
        <w:tc>
          <w:tcPr>
            <w:tcW w:w="12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520" w:type="dxa"/>
            <w:vAlign w:val="bottom"/>
          </w:tcPr>
          <w:p>
            <w:pPr>
              <w:ind w:left="440"/>
              <w:spacing w:after="0"/>
              <w:rPr>
                <w:sz w:val="20"/>
                <w:szCs w:val="20"/>
                <w:color w:val="auto"/>
              </w:rPr>
            </w:pPr>
            <w:r>
              <w:rPr>
                <w:rFonts w:ascii="Arial" w:cs="Arial" w:eastAsia="Arial" w:hAnsi="Arial"/>
                <w:sz w:val="18"/>
                <w:szCs w:val="18"/>
                <w:color w:val="auto"/>
              </w:rPr>
              <w:t>See “Use of Proceeds.”</w:t>
            </w:r>
          </w:p>
        </w:tc>
      </w:tr>
      <w:tr>
        <w:trPr>
          <w:trHeight w:val="335"/>
        </w:trPr>
        <w:tc>
          <w:tcPr>
            <w:tcW w:w="3840" w:type="dxa"/>
            <w:vAlign w:val="bottom"/>
            <w:gridSpan w:val="2"/>
          </w:tcPr>
          <w:p>
            <w:pPr>
              <w:spacing w:after="0"/>
              <w:rPr>
                <w:sz w:val="20"/>
                <w:szCs w:val="20"/>
                <w:color w:val="auto"/>
              </w:rPr>
            </w:pPr>
            <w:r>
              <w:rPr>
                <w:rFonts w:ascii="Arial" w:cs="Arial" w:eastAsia="Arial" w:hAnsi="Arial"/>
                <w:sz w:val="18"/>
                <w:szCs w:val="18"/>
                <w:color w:val="auto"/>
              </w:rPr>
              <w:t>Risk factors</w:t>
            </w:r>
          </w:p>
        </w:tc>
        <w:tc>
          <w:tcPr>
            <w:tcW w:w="5520" w:type="dxa"/>
            <w:vAlign w:val="bottom"/>
          </w:tcPr>
          <w:p>
            <w:pPr>
              <w:ind w:left="440"/>
              <w:spacing w:after="0"/>
              <w:rPr>
                <w:sz w:val="20"/>
                <w:szCs w:val="20"/>
                <w:color w:val="auto"/>
              </w:rPr>
            </w:pPr>
            <w:r>
              <w:rPr>
                <w:rFonts w:ascii="Arial" w:cs="Arial" w:eastAsia="Arial" w:hAnsi="Arial"/>
                <w:sz w:val="18"/>
                <w:szCs w:val="18"/>
                <w:color w:val="auto"/>
                <w:w w:val="96"/>
              </w:rPr>
              <w:t>Investing in our common stock involves a high degree of risk. You</w:t>
            </w:r>
          </w:p>
        </w:tc>
      </w:tr>
      <w:tr>
        <w:trPr>
          <w:trHeight w:val="188"/>
        </w:trPr>
        <w:tc>
          <w:tcPr>
            <w:tcW w:w="12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520" w:type="dxa"/>
            <w:vAlign w:val="bottom"/>
          </w:tcPr>
          <w:p>
            <w:pPr>
              <w:ind w:left="440"/>
              <w:spacing w:after="0" w:line="189" w:lineRule="exact"/>
              <w:rPr>
                <w:sz w:val="20"/>
                <w:szCs w:val="20"/>
                <w:color w:val="auto"/>
              </w:rPr>
            </w:pPr>
            <w:r>
              <w:rPr>
                <w:rFonts w:ascii="Arial" w:cs="Arial" w:eastAsia="Arial" w:hAnsi="Arial"/>
                <w:sz w:val="18"/>
                <w:szCs w:val="18"/>
                <w:color w:val="auto"/>
                <w:w w:val="92"/>
              </w:rPr>
              <w:t>should read the “Risk Factors” section of this prospectus supplement</w:t>
            </w:r>
          </w:p>
        </w:tc>
      </w:tr>
      <w:tr>
        <w:trPr>
          <w:trHeight w:val="188"/>
        </w:trPr>
        <w:tc>
          <w:tcPr>
            <w:tcW w:w="12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520" w:type="dxa"/>
            <w:vAlign w:val="bottom"/>
          </w:tcPr>
          <w:p>
            <w:pPr>
              <w:ind w:left="440"/>
              <w:spacing w:after="0" w:line="189" w:lineRule="exact"/>
              <w:rPr>
                <w:sz w:val="20"/>
                <w:szCs w:val="20"/>
                <w:color w:val="auto"/>
              </w:rPr>
            </w:pPr>
            <w:r>
              <w:rPr>
                <w:rFonts w:ascii="Arial" w:cs="Arial" w:eastAsia="Arial" w:hAnsi="Arial"/>
                <w:sz w:val="18"/>
                <w:szCs w:val="18"/>
                <w:color w:val="auto"/>
              </w:rPr>
              <w:t>beginning on page S-6 as well as those risk factors that are</w:t>
            </w:r>
          </w:p>
        </w:tc>
      </w:tr>
      <w:tr>
        <w:trPr>
          <w:trHeight w:val="188"/>
        </w:trPr>
        <w:tc>
          <w:tcPr>
            <w:tcW w:w="12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520" w:type="dxa"/>
            <w:vAlign w:val="bottom"/>
          </w:tcPr>
          <w:p>
            <w:pPr>
              <w:ind w:left="440"/>
              <w:spacing w:after="0" w:line="189" w:lineRule="exact"/>
              <w:rPr>
                <w:sz w:val="20"/>
                <w:szCs w:val="20"/>
                <w:color w:val="auto"/>
              </w:rPr>
            </w:pPr>
            <w:r>
              <w:rPr>
                <w:rFonts w:ascii="Arial" w:cs="Arial" w:eastAsia="Arial" w:hAnsi="Arial"/>
                <w:sz w:val="18"/>
                <w:szCs w:val="18"/>
                <w:color w:val="auto"/>
                <w:w w:val="98"/>
              </w:rPr>
              <w:t>incorporated by reference in this prospectus supplement and the</w:t>
            </w:r>
          </w:p>
        </w:tc>
      </w:tr>
      <w:tr>
        <w:trPr>
          <w:trHeight w:val="188"/>
        </w:trPr>
        <w:tc>
          <w:tcPr>
            <w:tcW w:w="12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520" w:type="dxa"/>
            <w:vAlign w:val="bottom"/>
          </w:tcPr>
          <w:p>
            <w:pPr>
              <w:ind w:left="440"/>
              <w:spacing w:after="0" w:line="189" w:lineRule="exact"/>
              <w:rPr>
                <w:sz w:val="20"/>
                <w:szCs w:val="20"/>
                <w:color w:val="auto"/>
              </w:rPr>
            </w:pPr>
            <w:r>
              <w:rPr>
                <w:rFonts w:ascii="Arial" w:cs="Arial" w:eastAsia="Arial" w:hAnsi="Arial"/>
                <w:sz w:val="18"/>
                <w:szCs w:val="18"/>
                <w:color w:val="auto"/>
                <w:w w:val="98"/>
              </w:rPr>
              <w:t>accompanying prospectus for a discussion of factors to consider</w:t>
            </w:r>
          </w:p>
        </w:tc>
      </w:tr>
      <w:tr>
        <w:trPr>
          <w:trHeight w:val="230"/>
        </w:trPr>
        <w:tc>
          <w:tcPr>
            <w:tcW w:w="12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520" w:type="dxa"/>
            <w:vAlign w:val="bottom"/>
          </w:tcPr>
          <w:p>
            <w:pPr>
              <w:ind w:left="440"/>
              <w:spacing w:after="0"/>
              <w:rPr>
                <w:sz w:val="20"/>
                <w:szCs w:val="20"/>
                <w:color w:val="auto"/>
              </w:rPr>
            </w:pPr>
            <w:r>
              <w:rPr>
                <w:rFonts w:ascii="Arial" w:cs="Arial" w:eastAsia="Arial" w:hAnsi="Arial"/>
                <w:sz w:val="18"/>
                <w:szCs w:val="18"/>
                <w:color w:val="auto"/>
                <w:w w:val="96"/>
              </w:rPr>
              <w:t>carefully before deciding to invest in shares of our common stock.</w:t>
            </w:r>
          </w:p>
        </w:tc>
      </w:tr>
      <w:tr>
        <w:trPr>
          <w:trHeight w:val="376"/>
        </w:trPr>
        <w:tc>
          <w:tcPr>
            <w:tcW w:w="3840" w:type="dxa"/>
            <w:vAlign w:val="bottom"/>
            <w:gridSpan w:val="2"/>
          </w:tcPr>
          <w:p>
            <w:pPr>
              <w:spacing w:after="0"/>
              <w:rPr>
                <w:sz w:val="20"/>
                <w:szCs w:val="20"/>
                <w:color w:val="auto"/>
              </w:rPr>
            </w:pPr>
            <w:r>
              <w:rPr>
                <w:rFonts w:ascii="Arial" w:cs="Arial" w:eastAsia="Arial" w:hAnsi="Arial"/>
                <w:sz w:val="18"/>
                <w:szCs w:val="18"/>
                <w:color w:val="auto"/>
              </w:rPr>
              <w:t>Nasdaq Global Market ticker symbol</w:t>
            </w:r>
          </w:p>
        </w:tc>
        <w:tc>
          <w:tcPr>
            <w:tcW w:w="5520" w:type="dxa"/>
            <w:vAlign w:val="bottom"/>
          </w:tcPr>
          <w:p>
            <w:pPr>
              <w:ind w:left="440"/>
              <w:spacing w:after="0"/>
              <w:rPr>
                <w:sz w:val="20"/>
                <w:szCs w:val="20"/>
                <w:color w:val="auto"/>
              </w:rPr>
            </w:pPr>
            <w:r>
              <w:rPr>
                <w:rFonts w:ascii="Arial" w:cs="Arial" w:eastAsia="Arial" w:hAnsi="Arial"/>
                <w:sz w:val="18"/>
                <w:szCs w:val="18"/>
                <w:color w:val="auto"/>
              </w:rPr>
              <w:t>“AXSM”</w:t>
            </w:r>
          </w:p>
        </w:tc>
      </w:tr>
    </w:tbl>
    <w:p>
      <w:pPr>
        <w:spacing w:after="0" w:line="348"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The number of shares of our common stock that will be outstanding immediately after this offering as shown above is based on 34,496,846 shares of our common stock outstanding as of September 30, 2019, and excludes:</w:t>
      </w:r>
    </w:p>
    <w:p>
      <w:pPr>
        <w:spacing w:after="0" w:line="53" w:lineRule="exact"/>
        <w:rPr>
          <w:sz w:val="20"/>
          <w:szCs w:val="20"/>
          <w:color w:val="auto"/>
        </w:rPr>
      </w:pPr>
    </w:p>
    <w:p>
      <w:pPr>
        <w:ind w:left="1280" w:right="380" w:hanging="318"/>
        <w:spacing w:after="0" w:line="234"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3,184,842 shares of common stock issuable upon exercise of stock options outstanding as of September 30, 2019, at a weighted average exercise price of $9.01 per share;</w:t>
      </w:r>
    </w:p>
    <w:p>
      <w:pPr>
        <w:spacing w:after="0" w:line="120" w:lineRule="exact"/>
        <w:rPr>
          <w:rFonts w:ascii="Arial" w:cs="Arial" w:eastAsia="Arial" w:hAnsi="Arial"/>
          <w:sz w:val="18"/>
          <w:szCs w:val="18"/>
          <w:color w:val="auto"/>
        </w:rPr>
      </w:pPr>
    </w:p>
    <w:p>
      <w:pPr>
        <w:ind w:left="1280" w:hanging="318"/>
        <w:spacing w:after="0" w:line="239" w:lineRule="auto"/>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110,603 shares of common stock issuable upon the exercise of outstanding warrants as of September 30, 2019, consisting of 11,780 warrants with an exercise price of $5.94 per share, 32,614 warrants with an exercise price of $7.41 per share, 7,875 warrants with an exercise price of $3.06, 58,334 warrants with an exercise price of $8.10 per share, and 11,500 warrants with an exercise price of $25.71, which are not yet outstanding, but which will become outstanding if and when the additional $4.0 million tranche available to us under our term loan with Silicon Valley Bank and WestRiver Innovation Lending Fund VIII, L.P. is funded; and</w:t>
      </w:r>
    </w:p>
    <w:p>
      <w:pPr>
        <w:spacing w:after="0" w:line="123" w:lineRule="exact"/>
        <w:rPr>
          <w:rFonts w:ascii="Arial" w:cs="Arial" w:eastAsia="Arial" w:hAnsi="Arial"/>
          <w:sz w:val="16"/>
          <w:szCs w:val="16"/>
          <w:color w:val="auto"/>
        </w:rPr>
      </w:pPr>
    </w:p>
    <w:p>
      <w:pPr>
        <w:ind w:left="1280" w:right="120" w:hanging="318"/>
        <w:spacing w:after="0" w:line="234"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3,668,590 shares of common stock available for future grant under our 2015 Omnibus Incentive Compensation Plan as of September 30, 2019.</w:t>
      </w:r>
    </w:p>
    <w:p>
      <w:pPr>
        <w:spacing w:after="0" w:line="107" w:lineRule="exact"/>
        <w:rPr>
          <w:sz w:val="20"/>
          <w:szCs w:val="20"/>
          <w:color w:val="auto"/>
        </w:rPr>
      </w:pPr>
    </w:p>
    <w:p>
      <w:pPr>
        <w:ind w:right="260"/>
        <w:spacing w:after="0" w:line="223" w:lineRule="auto"/>
        <w:rPr>
          <w:sz w:val="20"/>
          <w:szCs w:val="20"/>
          <w:color w:val="auto"/>
        </w:rPr>
      </w:pPr>
      <w:r>
        <w:rPr>
          <w:rFonts w:ascii="Arial" w:cs="Arial" w:eastAsia="Arial" w:hAnsi="Arial"/>
          <w:sz w:val="18"/>
          <w:szCs w:val="18"/>
          <w:color w:val="auto"/>
        </w:rPr>
        <w:t>Except as otherwise indicated herein, all information in this prospectus supplement, including the number of shares that will be outstanding after this offering, does not assume or give effect to the exercise of the underwriters’ option to purchase 300,000 additional shares in this offering.</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94" w:right="127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87" w:lineRule="exact"/>
        <w:rPr>
          <w:sz w:val="20"/>
          <w:szCs w:val="20"/>
          <w:color w:val="auto"/>
        </w:rPr>
      </w:pPr>
    </w:p>
    <w:p>
      <w:pPr>
        <w:ind w:right="20"/>
        <w:spacing w:after="0" w:line="222" w:lineRule="auto"/>
        <w:rPr>
          <w:sz w:val="20"/>
          <w:szCs w:val="20"/>
          <w:color w:val="auto"/>
        </w:rPr>
      </w:pPr>
      <w:r>
        <w:rPr>
          <w:rFonts w:ascii="Arial" w:cs="Arial" w:eastAsia="Arial" w:hAnsi="Arial"/>
          <w:sz w:val="17"/>
          <w:szCs w:val="17"/>
          <w:i w:val="1"/>
          <w:iCs w:val="1"/>
          <w:color w:val="auto"/>
        </w:rPr>
        <w:t>An investment in our common stock involves a high degree of risk. Before deciding whether to invest in our common stock, you should carefully consider the risks described below and those discussed under the caption entitled “Risk Factors” in our Annual Reports on Form 10-K and any subsequent Quarterly Reports on Form 10-Q, which are incorporated by reference in this prospectus supplement and the accompanying prospectus, together with other information in this prospectus supplement and the accompanying prospectus, the information and documents incorporated by reference herein, and in any free writing prospectus that we have authorized for use in connection with this offering. If any of these risks actually occurs, our business, financial condition, results of operations or cash flow could be seriously harmed. This could cause the trading price of our common stock to decline, resulting in a loss of all or part of your investment.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187" w:lineRule="exact"/>
        <w:rPr>
          <w:sz w:val="20"/>
          <w:szCs w:val="20"/>
          <w:color w:val="auto"/>
        </w:rPr>
      </w:pPr>
    </w:p>
    <w:p>
      <w:pPr>
        <w:ind w:right="160"/>
        <w:spacing w:after="0" w:line="237" w:lineRule="auto"/>
        <w:rPr>
          <w:sz w:val="20"/>
          <w:szCs w:val="20"/>
          <w:color w:val="auto"/>
        </w:rPr>
      </w:pPr>
      <w:r>
        <w:rPr>
          <w:rFonts w:ascii="Arial" w:cs="Arial" w:eastAsia="Arial" w:hAnsi="Arial"/>
          <w:sz w:val="17"/>
          <w:szCs w:val="17"/>
          <w:b w:val="1"/>
          <w:bCs w:val="1"/>
          <w:i w:val="1"/>
          <w:iCs w:val="1"/>
          <w:color w:val="auto"/>
        </w:rPr>
        <w:t>We have incurred significant losses since our inception, anticipate that we will incur substantial and increasing losses for the foreseeable future, and may never achieve or maintain profitability, which would depress the market price of our common stock, and could cause you to lose all or a part of your investment.</w:t>
      </w:r>
    </w:p>
    <w:p>
      <w:pPr>
        <w:spacing w:after="0" w:line="160"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We are a clinical stage biopharmaceutical company with a limited operating history. For the last several years, we have focused our efforts primarily on developing CNS product candidates, AXS-05, AXS-07, AXS-09 and AXS-12, as well as our Axsome PPC product candidates, AXS-02 and AXS-06, which we refer to herein as our product candidates, with the goal of achieving regulatory approval. Since inception, we have incurred significant operating losses. Our net losses were $43.5 million and $31.0 million for nine months ended September 30, 2019 and the year ended December 31, 2018, respectively. As of September 30, 2019, we had an accumulated deficit of $151.1 million. To date, we have not received regulatory approvals for any of our product candidates or generated any revenue from the sale of products, and we do not expect to generate any revenue in the foreseeable future. We expect to continue to incur substantial and increasing expenses and operating losses over the next several years, as we continue to develop our current and future product candidates. In addition, we expect to incur significant sales, marketing, and manufacturing expenses related to the commercialization of our current and future product candidates, if they are approved by the U.S. Food and Drug Administration, or FDA. As a result, we expect to continue to incur significant losses for the foreseeable future. We anticipate that our expenses will increase substantially as we:</w:t>
      </w:r>
    </w:p>
    <w:p>
      <w:pPr>
        <w:spacing w:after="0" w:line="152" w:lineRule="exact"/>
        <w:rPr>
          <w:sz w:val="20"/>
          <w:szCs w:val="20"/>
          <w:color w:val="auto"/>
        </w:rPr>
      </w:pPr>
    </w:p>
    <w:p>
      <w:pPr>
        <w:ind w:left="1280" w:hanging="318"/>
        <w:spacing w:after="0" w:line="207" w:lineRule="exact"/>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our Phase 3 clinical trial with AXS</w:t>
      </w:r>
      <w:r>
        <w:rPr>
          <w:rFonts w:ascii="MS PGothic" w:cs="MS PGothic" w:eastAsia="MS PGothic" w:hAnsi="MS PGothic"/>
          <w:sz w:val="18"/>
          <w:szCs w:val="18"/>
          <w:color w:val="auto"/>
        </w:rPr>
        <w:t>‑</w:t>
      </w:r>
      <w:r>
        <w:rPr>
          <w:rFonts w:ascii="Arial" w:cs="Arial" w:eastAsia="Arial" w:hAnsi="Arial"/>
          <w:sz w:val="18"/>
          <w:szCs w:val="18"/>
          <w:color w:val="auto"/>
        </w:rPr>
        <w:t>05 for the treatment of depression;</w:t>
      </w:r>
    </w:p>
    <w:p>
      <w:pPr>
        <w:ind w:left="1280" w:hanging="318"/>
        <w:spacing w:after="0" w:line="202"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our open-label safety extension trial for AXS-05;</w:t>
      </w:r>
    </w:p>
    <w:p>
      <w:pPr>
        <w:ind w:left="1280" w:right="360" w:hanging="318"/>
        <w:spacing w:after="0" w:line="175" w:lineRule="exact"/>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our Phase 2/3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05 for the treatment of agitation associated with Alzheimer’s disease, or AD agitation;</w:t>
      </w:r>
    </w:p>
    <w:p>
      <w:pPr>
        <w:spacing w:after="0" w:line="1" w:lineRule="exact"/>
        <w:rPr>
          <w:rFonts w:ascii="Arial" w:cs="Arial" w:eastAsia="Arial" w:hAnsi="Arial"/>
          <w:sz w:val="18"/>
          <w:szCs w:val="18"/>
          <w:color w:val="auto"/>
        </w:rPr>
      </w:pPr>
    </w:p>
    <w:p>
      <w:pPr>
        <w:ind w:left="1280" w:hanging="318"/>
        <w:spacing w:after="0" w:line="202"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our two Phase 3 clinical trials with AXS-07 for the acute treatment of migraine;</w:t>
      </w:r>
    </w:p>
    <w:p>
      <w:pPr>
        <w:ind w:left="1280" w:hanging="318"/>
        <w:spacing w:after="0" w:line="202"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our open-label safety extension trial for AXS-07;</w:t>
      </w:r>
    </w:p>
    <w:p>
      <w:pPr>
        <w:ind w:left="1280" w:hanging="318"/>
        <w:spacing w:after="0" w:line="202"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our planned Phase 3 clinical trial with AXS-12 in narcolepsy;</w:t>
      </w:r>
    </w:p>
    <w:p>
      <w:pPr>
        <w:ind w:left="1280" w:right="20" w:hanging="318"/>
        <w:spacing w:after="0" w:line="202"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evaluate, plan for, and conduct, clinical trials for AXS-05 for smoking cessation treatment and AXS-09 for the treatment of CNS disorders;</w:t>
      </w:r>
    </w:p>
    <w:p>
      <w:pPr>
        <w:spacing w:after="0" w:line="1" w:lineRule="exact"/>
        <w:rPr>
          <w:rFonts w:ascii="Arial" w:cs="Arial" w:eastAsia="Arial" w:hAnsi="Arial"/>
          <w:sz w:val="18"/>
          <w:szCs w:val="18"/>
          <w:color w:val="auto"/>
        </w:rPr>
      </w:pPr>
    </w:p>
    <w:p>
      <w:pPr>
        <w:ind w:left="1280" w:right="320" w:hanging="318"/>
        <w:spacing w:after="0" w:line="175" w:lineRule="exact"/>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continue to evaluate, plan for, and conduct, clinical trials for our Axsome PPC product candidates, including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pain associated with knee osteoarthritis, or OA, associated with bone marrow lesions, or BMLs and AXS-06 for the treatment of osteoarthritis and rheumatoid arthritis;</w:t>
      </w:r>
    </w:p>
    <w:p>
      <w:pPr>
        <w:spacing w:after="0" w:line="1" w:lineRule="exact"/>
        <w:rPr>
          <w:rFonts w:ascii="Arial" w:cs="Arial" w:eastAsia="Arial" w:hAnsi="Arial"/>
          <w:sz w:val="17"/>
          <w:szCs w:val="17"/>
          <w:color w:val="auto"/>
        </w:rPr>
      </w:pPr>
    </w:p>
    <w:p>
      <w:pPr>
        <w:ind w:left="1280" w:hanging="318"/>
        <w:spacing w:after="0" w:line="175" w:lineRule="exact"/>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in</w:t>
      </w:r>
      <w:r>
        <w:rPr>
          <w:rFonts w:ascii="MS PGothic" w:cs="MS PGothic" w:eastAsia="MS PGothic" w:hAnsi="MS PGothic"/>
          <w:sz w:val="18"/>
          <w:szCs w:val="18"/>
          <w:color w:val="auto"/>
        </w:rPr>
        <w:t>‑</w:t>
      </w:r>
      <w:r>
        <w:rPr>
          <w:rFonts w:ascii="Arial" w:cs="Arial" w:eastAsia="Arial" w:hAnsi="Arial"/>
          <w:sz w:val="18"/>
          <w:szCs w:val="18"/>
          <w:color w:val="auto"/>
        </w:rPr>
        <w:t>license, or acquire additional product candidates;</w:t>
      </w:r>
    </w:p>
    <w:p>
      <w:pPr>
        <w:ind w:left="1280" w:hanging="318"/>
        <w:spacing w:after="0" w:line="175" w:lineRule="exact"/>
        <w:tabs>
          <w:tab w:leader="none" w:pos="12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conduct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for any product candidates that successfully complete early</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ind w:left="1280" w:hanging="318"/>
        <w:spacing w:after="0" w:line="175" w:lineRule="exact"/>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seek regulatory approval for any product candidates that successfully complete late</w:t>
      </w:r>
      <w:r>
        <w:rPr>
          <w:rFonts w:ascii="MS PGothic" w:cs="MS PGothic" w:eastAsia="MS PGothic" w:hAnsi="MS PGothic"/>
          <w:sz w:val="17"/>
          <w:szCs w:val="17"/>
          <w:color w:val="auto"/>
        </w:rPr>
        <w:t>‑</w:t>
      </w:r>
      <w:r>
        <w:rPr>
          <w:rFonts w:ascii="Arial" w:cs="Arial" w:eastAsia="Arial" w:hAnsi="Arial"/>
          <w:sz w:val="17"/>
          <w:szCs w:val="17"/>
          <w:color w:val="auto"/>
        </w:rPr>
        <w:t>stage clinical trials;</w:t>
      </w:r>
    </w:p>
    <w:p>
      <w:pPr>
        <w:ind w:left="1280" w:hanging="318"/>
        <w:spacing w:after="0" w:line="175" w:lineRule="exact"/>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additional non</w:t>
      </w:r>
      <w:r>
        <w:rPr>
          <w:rFonts w:ascii="MS PGothic" w:cs="MS PGothic" w:eastAsia="MS PGothic" w:hAnsi="MS PGothic"/>
          <w:sz w:val="18"/>
          <w:szCs w:val="18"/>
          <w:color w:val="auto"/>
        </w:rPr>
        <w:t>‑</w:t>
      </w:r>
      <w:r>
        <w:rPr>
          <w:rFonts w:ascii="Arial" w:cs="Arial" w:eastAsia="Arial" w:hAnsi="Arial"/>
          <w:sz w:val="18"/>
          <w:szCs w:val="18"/>
          <w:color w:val="auto"/>
        </w:rPr>
        <w:t>clinical studies with any product candidates;</w:t>
      </w:r>
    </w:p>
    <w:p>
      <w:pPr>
        <w:ind w:left="1280" w:hanging="318"/>
        <w:spacing w:after="0" w:line="202"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clinical studies with any additional product candidates;</w:t>
      </w:r>
    </w:p>
    <w:p>
      <w:pPr>
        <w:ind w:left="1280" w:right="500" w:hanging="318"/>
        <w:spacing w:after="0" w:line="202"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manufacturing batch sizes of our product candidates to satisfy FDA requirements for a marketing application submission;</w:t>
      </w:r>
    </w:p>
    <w:p>
      <w:pPr>
        <w:spacing w:after="0" w:line="1" w:lineRule="exact"/>
        <w:rPr>
          <w:rFonts w:ascii="Arial" w:cs="Arial" w:eastAsia="Arial" w:hAnsi="Arial"/>
          <w:sz w:val="18"/>
          <w:szCs w:val="18"/>
          <w:color w:val="auto"/>
        </w:rPr>
      </w:pPr>
    </w:p>
    <w:p>
      <w:pPr>
        <w:ind w:left="1280" w:right="60" w:hanging="318"/>
        <w:spacing w:after="0" w:line="202"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 up external manufacturing capabilities to commercialize any products for which we may obtain regulatory approval and that we choose not to license to a third party;</w:t>
      </w:r>
    </w:p>
    <w:p>
      <w:pPr>
        <w:spacing w:after="0" w:line="1" w:lineRule="exact"/>
        <w:rPr>
          <w:rFonts w:ascii="Arial" w:cs="Arial" w:eastAsia="Arial" w:hAnsi="Arial"/>
          <w:sz w:val="18"/>
          <w:szCs w:val="18"/>
          <w:color w:val="auto"/>
        </w:rPr>
      </w:pPr>
    </w:p>
    <w:p>
      <w:pPr>
        <w:ind w:left="1280" w:hanging="31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larger quantities of product;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87" w:lineRule="exact"/>
        <w:rPr>
          <w:sz w:val="20"/>
          <w:szCs w:val="20"/>
          <w:color w:val="auto"/>
        </w:rPr>
      </w:pPr>
    </w:p>
    <w:p>
      <w:pPr>
        <w:ind w:left="1280" w:hanging="318"/>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ind w:left="1280" w:hanging="318"/>
        <w:spacing w:after="0" w:line="202"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ind w:left="1280" w:right="120" w:hanging="318"/>
        <w:spacing w:after="0" w:line="238"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candidate development and planned future commercialization efforts.</w:t>
      </w:r>
    </w:p>
    <w:p>
      <w:pPr>
        <w:spacing w:after="0" w:line="121" w:lineRule="exact"/>
        <w:rPr>
          <w:sz w:val="20"/>
          <w:szCs w:val="20"/>
          <w:color w:val="auto"/>
        </w:rPr>
      </w:pPr>
    </w:p>
    <w:p>
      <w:pPr>
        <w:spacing w:after="0" w:line="181" w:lineRule="exact"/>
        <w:rPr>
          <w:sz w:val="20"/>
          <w:szCs w:val="20"/>
          <w:color w:val="auto"/>
        </w:rPr>
      </w:pPr>
      <w:r>
        <w:rPr>
          <w:rFonts w:ascii="Arial" w:cs="Arial" w:eastAsia="Arial" w:hAnsi="Arial"/>
          <w:sz w:val="16"/>
          <w:szCs w:val="16"/>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w:t>
      </w:r>
      <w:r>
        <w:rPr>
          <w:rFonts w:ascii="MS PGothic" w:cs="MS PGothic" w:eastAsia="MS PGothic" w:hAnsi="MS PGothic"/>
          <w:sz w:val="16"/>
          <w:szCs w:val="16"/>
          <w:color w:val="auto"/>
        </w:rPr>
        <w:t>‑</w:t>
      </w:r>
      <w:r>
        <w:rPr>
          <w:rFonts w:ascii="Arial" w:cs="Arial" w:eastAsia="Arial" w:hAnsi="Arial"/>
          <w:sz w:val="16"/>
          <w:szCs w:val="16"/>
          <w:color w:val="auto"/>
        </w:rPr>
        <w: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67" w:lineRule="exact"/>
        <w:rPr>
          <w:sz w:val="20"/>
          <w:szCs w:val="20"/>
          <w:color w:val="auto"/>
        </w:rPr>
      </w:pPr>
    </w:p>
    <w:p>
      <w:pPr>
        <w:ind w:right="20"/>
        <w:spacing w:after="0" w:line="215"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62" w:lineRule="exact"/>
        <w:rPr>
          <w:sz w:val="20"/>
          <w:szCs w:val="20"/>
          <w:color w:val="auto"/>
        </w:rPr>
      </w:pPr>
    </w:p>
    <w:p>
      <w:pPr>
        <w:ind w:right="400"/>
        <w:spacing w:after="0" w:line="247" w:lineRule="auto"/>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57" w:lineRule="exact"/>
        <w:rPr>
          <w:sz w:val="20"/>
          <w:szCs w:val="20"/>
          <w:color w:val="auto"/>
        </w:rPr>
      </w:pPr>
    </w:p>
    <w:p>
      <w:pPr>
        <w:jc w:val="both"/>
        <w:ind w:right="240"/>
        <w:spacing w:after="0" w:line="223" w:lineRule="auto"/>
        <w:rPr>
          <w:sz w:val="20"/>
          <w:szCs w:val="20"/>
          <w:color w:val="auto"/>
        </w:rPr>
      </w:pPr>
      <w:r>
        <w:rPr>
          <w:rFonts w:ascii="Arial" w:cs="Arial" w:eastAsia="Arial" w:hAnsi="Arial"/>
          <w:sz w:val="18"/>
          <w:szCs w:val="18"/>
          <w:b w:val="1"/>
          <w:bCs w:val="1"/>
          <w:i w:val="1"/>
          <w:iCs w:val="1"/>
          <w:color w:val="auto"/>
        </w:rPr>
        <w:t>We will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62" w:lineRule="exact"/>
        <w:rPr>
          <w:sz w:val="20"/>
          <w:szCs w:val="20"/>
          <w:color w:val="auto"/>
        </w:rPr>
      </w:pPr>
    </w:p>
    <w:p>
      <w:pPr>
        <w:ind w:right="220"/>
        <w:spacing w:after="0" w:line="193" w:lineRule="exact"/>
        <w:rPr>
          <w:sz w:val="20"/>
          <w:szCs w:val="20"/>
          <w:color w:val="auto"/>
        </w:rPr>
      </w:pPr>
      <w:r>
        <w:rPr>
          <w:rFonts w:ascii="Arial" w:cs="Arial" w:eastAsia="Arial" w:hAnsi="Arial"/>
          <w:sz w:val="18"/>
          <w:szCs w:val="18"/>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8"/>
          <w:szCs w:val="18"/>
          <w:color w:val="auto"/>
        </w:rPr>
        <w:t>‑</w:t>
      </w:r>
      <w:r>
        <w:rPr>
          <w:rFonts w:ascii="Arial" w:cs="Arial" w:eastAsia="Arial" w:hAnsi="Arial"/>
          <w:sz w:val="18"/>
          <w:szCs w:val="18"/>
          <w:color w:val="auto"/>
        </w:rPr>
        <w:t>consuming, expensive, and uncertain process that takes years to complete. We will need to raise additional capital to:</w:t>
      </w:r>
    </w:p>
    <w:p>
      <w:pPr>
        <w:spacing w:after="0" w:line="162" w:lineRule="exact"/>
        <w:rPr>
          <w:sz w:val="20"/>
          <w:szCs w:val="20"/>
          <w:color w:val="auto"/>
        </w:rPr>
      </w:pPr>
    </w:p>
    <w:p>
      <w:pPr>
        <w:ind w:left="960" w:right="60"/>
        <w:spacing w:after="0" w:line="211" w:lineRule="auto"/>
        <w:rPr>
          <w:sz w:val="20"/>
          <w:szCs w:val="20"/>
          <w:color w:val="auto"/>
        </w:rPr>
      </w:pPr>
      <w:r>
        <w:rPr>
          <w:rFonts w:ascii="Arial" w:cs="Arial" w:eastAsia="Arial" w:hAnsi="Arial"/>
          <w:sz w:val="18"/>
          <w:szCs w:val="18"/>
          <w:color w:val="auto"/>
        </w:rPr>
        <w:t>fund our future clinical trials for our current product candidates, especially if we encounter any unforeseen delays or difficulties in our planned development activities;</w:t>
      </w:r>
    </w:p>
    <w:p>
      <w:pPr>
        <w:spacing w:after="0" w:line="2" w:lineRule="exact"/>
        <w:rPr>
          <w:sz w:val="20"/>
          <w:szCs w:val="20"/>
          <w:color w:val="auto"/>
        </w:rPr>
      </w:pPr>
    </w:p>
    <w:p>
      <w:pPr>
        <w:jc w:val="both"/>
        <w:ind w:left="960" w:right="300"/>
        <w:spacing w:after="0" w:line="202" w:lineRule="auto"/>
        <w:rPr>
          <w:sz w:val="20"/>
          <w:szCs w:val="20"/>
          <w:color w:val="auto"/>
        </w:rPr>
      </w:pPr>
      <w:r>
        <w:rPr>
          <w:rFonts w:ascii="Arial" w:cs="Arial" w:eastAsia="Arial" w:hAnsi="Arial"/>
          <w:sz w:val="18"/>
          <w:szCs w:val="18"/>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2" w:lineRule="exact"/>
        <w:rPr>
          <w:sz w:val="20"/>
          <w:szCs w:val="20"/>
          <w:color w:val="auto"/>
        </w:rPr>
      </w:pPr>
    </w:p>
    <w:p>
      <w:pPr>
        <w:ind w:left="960" w:right="540"/>
        <w:spacing w:after="0" w:line="202" w:lineRule="auto"/>
        <w:rPr>
          <w:sz w:val="20"/>
          <w:szCs w:val="20"/>
          <w:color w:val="auto"/>
        </w:rPr>
      </w:pPr>
      <w:r>
        <w:rPr>
          <w:rFonts w:ascii="Arial" w:cs="Arial" w:eastAsia="Arial" w:hAnsi="Arial"/>
          <w:sz w:val="18"/>
          <w:szCs w:val="18"/>
          <w:color w:val="auto"/>
        </w:rPr>
        <w:t>qualify and outsource the commercial-scale manufacturing of our products under current good manufacturing practices;</w:t>
      </w:r>
    </w:p>
    <w:p>
      <w:pPr>
        <w:ind w:left="960"/>
        <w:spacing w:after="0" w:line="203" w:lineRule="auto"/>
        <w:rPr>
          <w:sz w:val="20"/>
          <w:szCs w:val="20"/>
          <w:color w:val="auto"/>
        </w:rPr>
      </w:pPr>
      <w:r>
        <w:rPr>
          <w:rFonts w:ascii="Arial" w:cs="Arial" w:eastAsia="Arial" w:hAnsi="Arial"/>
          <w:sz w:val="18"/>
          <w:szCs w:val="18"/>
          <w:color w:val="auto"/>
        </w:rPr>
        <w:t>develop additional product candidates; and</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in-license other product candidates.</w:t>
      </w:r>
    </w:p>
    <w:p>
      <w:pPr>
        <w:spacing w:after="0" w:line="167" w:lineRule="exact"/>
        <w:rPr>
          <w:sz w:val="20"/>
          <w:szCs w:val="20"/>
          <w:color w:val="auto"/>
        </w:rPr>
      </w:pPr>
    </w:p>
    <w:p>
      <w:pPr>
        <w:ind w:left="80" w:right="140"/>
        <w:spacing w:after="0" w:line="218" w:lineRule="auto"/>
        <w:rPr>
          <w:sz w:val="20"/>
          <w:szCs w:val="20"/>
          <w:color w:val="auto"/>
        </w:rPr>
      </w:pPr>
      <w:r>
        <w:rPr>
          <w:rFonts w:ascii="Arial" w:cs="Arial" w:eastAsia="Arial" w:hAnsi="Arial"/>
          <w:sz w:val="18"/>
          <w:szCs w:val="18"/>
          <w:color w:val="auto"/>
        </w:rPr>
        <w:t>We may not have sufficient financial resources to meet all of our objectives if any of our product candidates is approved by regulatory authorities,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14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rate of progress and costs related to the development of our product candidates;</w:t>
      </w:r>
    </w:p>
    <w:p>
      <w:pPr>
        <w:ind w:left="960"/>
        <w:spacing w:after="0" w:line="202" w:lineRule="auto"/>
        <w:rPr>
          <w:sz w:val="20"/>
          <w:szCs w:val="20"/>
          <w:color w:val="auto"/>
        </w:rPr>
      </w:pPr>
      <w:r>
        <w:rPr>
          <w:rFonts w:ascii="Arial" w:cs="Arial" w:eastAsia="Arial" w:hAnsi="Arial"/>
          <w:sz w:val="18"/>
          <w:szCs w:val="18"/>
          <w:color w:val="auto"/>
        </w:rPr>
        <w:t>the costs associated with conducting additional non-clinical studies with any of our product candidates;</w:t>
      </w:r>
    </w:p>
    <w:p>
      <w:pPr>
        <w:spacing w:after="0" w:line="1" w:lineRule="exact"/>
        <w:rPr>
          <w:sz w:val="20"/>
          <w:szCs w:val="20"/>
          <w:color w:val="auto"/>
        </w:rPr>
      </w:pPr>
    </w:p>
    <w:p>
      <w:pPr>
        <w:ind w:left="960"/>
        <w:spacing w:after="0" w:line="202" w:lineRule="auto"/>
        <w:rPr>
          <w:sz w:val="20"/>
          <w:szCs w:val="20"/>
          <w:color w:val="auto"/>
        </w:rPr>
      </w:pPr>
      <w:r>
        <w:rPr>
          <w:rFonts w:ascii="Arial" w:cs="Arial" w:eastAsia="Arial" w:hAnsi="Arial"/>
          <w:sz w:val="18"/>
          <w:szCs w:val="18"/>
          <w:color w:val="auto"/>
        </w:rPr>
        <w:t>the potential for delays in our efforts to seek regulatory approval for our product candidates, and any costs associated with such delays;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costs of establishing a commercial organization to sell, market and distribute our product candidates;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114" w:right="127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jc w:val="both"/>
        <w:ind w:left="960" w:right="160"/>
        <w:spacing w:after="0" w:line="208" w:lineRule="auto"/>
        <w:rPr>
          <w:sz w:val="20"/>
          <w:szCs w:val="20"/>
          <w:color w:val="auto"/>
        </w:rPr>
      </w:pPr>
      <w:r>
        <w:rPr>
          <w:rFonts w:ascii="Arial" w:cs="Arial" w:eastAsia="Arial" w:hAnsi="Arial"/>
          <w:sz w:val="18"/>
          <w:szCs w:val="18"/>
          <w:color w:val="auto"/>
        </w:rPr>
        <w:t>the rate of progress and costs of our efforts to prepare for the submission of a new drug application for any product candidates that we may in-license or acquire in the future, and the potential that we may need to conduct additional clinical or preclinical trials to support applications for regulatory approval;</w:t>
      </w:r>
    </w:p>
    <w:p>
      <w:pPr>
        <w:spacing w:after="0" w:line="2" w:lineRule="exact"/>
        <w:rPr>
          <w:sz w:val="20"/>
          <w:szCs w:val="20"/>
          <w:color w:val="auto"/>
        </w:rPr>
      </w:pPr>
    </w:p>
    <w:p>
      <w:pPr>
        <w:ind w:left="960" w:right="440"/>
        <w:spacing w:after="0" w:line="202" w:lineRule="auto"/>
        <w:rPr>
          <w:sz w:val="20"/>
          <w:szCs w:val="20"/>
          <w:color w:val="auto"/>
        </w:rPr>
      </w:pPr>
      <w:r>
        <w:rPr>
          <w:rFonts w:ascii="Arial" w:cs="Arial" w:eastAsia="Arial" w:hAnsi="Arial"/>
          <w:sz w:val="18"/>
          <w:szCs w:val="18"/>
          <w:color w:val="auto"/>
        </w:rPr>
        <w:t>the costs of filing, prosecuting, defending and enforcing any patent claims and other intellectual property rights associated with our product candidates;</w:t>
      </w:r>
    </w:p>
    <w:p>
      <w:pPr>
        <w:spacing w:after="0" w:line="1" w:lineRule="exact"/>
        <w:rPr>
          <w:sz w:val="20"/>
          <w:szCs w:val="20"/>
          <w:color w:val="auto"/>
        </w:rPr>
      </w:pPr>
    </w:p>
    <w:p>
      <w:pPr>
        <w:ind w:left="960" w:right="1240"/>
        <w:spacing w:after="0" w:line="202" w:lineRule="auto"/>
        <w:rPr>
          <w:sz w:val="20"/>
          <w:szCs w:val="20"/>
          <w:color w:val="auto"/>
        </w:rPr>
      </w:pPr>
      <w:r>
        <w:rPr>
          <w:rFonts w:ascii="Arial" w:cs="Arial" w:eastAsia="Arial" w:hAnsi="Arial"/>
          <w:sz w:val="18"/>
          <w:szCs w:val="18"/>
          <w:color w:val="auto"/>
        </w:rPr>
        <w:t>the cost and timing of manufacturing sufficient supplies of our product candidates in preparation for commercialization;</w:t>
      </w:r>
    </w:p>
    <w:p>
      <w:pPr>
        <w:ind w:left="960"/>
        <w:spacing w:after="0" w:line="203" w:lineRule="auto"/>
        <w:rPr>
          <w:sz w:val="20"/>
          <w:szCs w:val="20"/>
          <w:color w:val="auto"/>
        </w:rPr>
      </w:pPr>
      <w:r>
        <w:rPr>
          <w:rFonts w:ascii="Arial" w:cs="Arial" w:eastAsia="Arial" w:hAnsi="Arial"/>
          <w:sz w:val="18"/>
          <w:szCs w:val="18"/>
          <w:color w:val="auto"/>
        </w:rPr>
        <w:t>the effect of competing technological and market developments;</w:t>
      </w:r>
    </w:p>
    <w:p>
      <w:pPr>
        <w:spacing w:after="0" w:line="1" w:lineRule="exact"/>
        <w:rPr>
          <w:sz w:val="20"/>
          <w:szCs w:val="20"/>
          <w:color w:val="auto"/>
        </w:rPr>
      </w:pPr>
    </w:p>
    <w:p>
      <w:pPr>
        <w:ind w:left="960" w:right="560"/>
        <w:spacing w:after="0" w:line="202" w:lineRule="auto"/>
        <w:rPr>
          <w:sz w:val="20"/>
          <w:szCs w:val="20"/>
          <w:color w:val="auto"/>
        </w:rPr>
      </w:pPr>
      <w:r>
        <w:rPr>
          <w:rFonts w:ascii="Arial" w:cs="Arial" w:eastAsia="Arial" w:hAnsi="Arial"/>
          <w:sz w:val="18"/>
          <w:szCs w:val="18"/>
          <w:color w:val="auto"/>
        </w:rPr>
        <w:t>revenue, if any, received from commercial sales of our product candidates, subject to the receipt of regulatory approval;</w:t>
      </w:r>
    </w:p>
    <w:p>
      <w:pPr>
        <w:spacing w:after="0" w:line="1" w:lineRule="exact"/>
        <w:rPr>
          <w:sz w:val="20"/>
          <w:szCs w:val="20"/>
          <w:color w:val="auto"/>
        </w:rPr>
      </w:pPr>
    </w:p>
    <w:p>
      <w:pPr>
        <w:ind w:left="960" w:right="100"/>
        <w:spacing w:after="0" w:line="225" w:lineRule="auto"/>
        <w:rPr>
          <w:sz w:val="20"/>
          <w:szCs w:val="20"/>
          <w:color w:val="auto"/>
        </w:rPr>
      </w:pPr>
      <w:r>
        <w:rPr>
          <w:rFonts w:ascii="Arial" w:cs="Arial" w:eastAsia="Arial" w:hAnsi="Arial"/>
          <w:sz w:val="18"/>
          <w:szCs w:val="18"/>
          <w:color w:val="auto"/>
        </w:rPr>
        <w:t>the terms and timing of any collaborative, licensing, co-promotion or other arrangements that we may establish; and the success of the commercialization of any of our current or future product candidates.</w:t>
      </w:r>
    </w:p>
    <w:p>
      <w:pPr>
        <w:spacing w:after="0" w:line="161"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64" w:lineRule="exact"/>
        <w:rPr>
          <w:sz w:val="20"/>
          <w:szCs w:val="20"/>
          <w:color w:val="auto"/>
        </w:rPr>
      </w:pPr>
    </w:p>
    <w:p>
      <w:pPr>
        <w:ind w:right="440"/>
        <w:spacing w:after="0" w:line="234" w:lineRule="auto"/>
        <w:rPr>
          <w:sz w:val="20"/>
          <w:szCs w:val="20"/>
          <w:color w:val="auto"/>
        </w:rPr>
      </w:pPr>
      <w:r>
        <w:rPr>
          <w:rFonts w:ascii="Arial" w:cs="Arial" w:eastAsia="Arial" w:hAnsi="Arial"/>
          <w:sz w:val="18"/>
          <w:szCs w:val="18"/>
          <w:b w:val="1"/>
          <w:bCs w:val="1"/>
          <w:i w:val="1"/>
          <w:iCs w:val="1"/>
          <w:color w:val="auto"/>
        </w:rPr>
        <w:t>Management will have broad discretion as to the use of any proceeds from this offering, and we may not use the proceeds effectively.</w:t>
      </w:r>
    </w:p>
    <w:p>
      <w:pPr>
        <w:spacing w:after="0" w:line="161"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Our management will have broad discretion with respect to the use of any proceeds of this offering, including for any of the purposes described in “Use of Proceeds.” You will be relying on the judgment of our management regarding the application of any proceeds of this offering. The results and effectiveness of the use of proceeds are uncertain, and we could spend the proceeds in ways that you do not agree with or that do not improve our results of operations or enhance the value of our common stock. Our failure to apply these funds effectively could have a material adverse effect on our business, delay the development of our product candidates and cause the price of our common stock to decline.</w:t>
      </w:r>
    </w:p>
    <w:p>
      <w:pPr>
        <w:spacing w:after="0" w:line="164"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b w:val="1"/>
          <w:bCs w:val="1"/>
          <w:i w:val="1"/>
          <w:iCs w:val="1"/>
          <w:color w:val="auto"/>
        </w:rPr>
        <w:t>If you purchase our common stock in this offering, you may incur immediate and substantial dilution in the book value of your shares.</w:t>
      </w:r>
    </w:p>
    <w:p>
      <w:pPr>
        <w:spacing w:after="0" w:line="161" w:lineRule="exact"/>
        <w:rPr>
          <w:sz w:val="20"/>
          <w:szCs w:val="20"/>
          <w:color w:val="auto"/>
        </w:rPr>
      </w:pPr>
    </w:p>
    <w:p>
      <w:pPr>
        <w:ind w:right="120"/>
        <w:spacing w:after="0" w:line="225" w:lineRule="auto"/>
        <w:rPr>
          <w:sz w:val="20"/>
          <w:szCs w:val="20"/>
          <w:color w:val="auto"/>
        </w:rPr>
      </w:pPr>
      <w:r>
        <w:rPr>
          <w:rFonts w:ascii="Arial" w:cs="Arial" w:eastAsia="Arial" w:hAnsi="Arial"/>
          <w:sz w:val="17"/>
          <w:szCs w:val="17"/>
          <w:color w:val="auto"/>
        </w:rPr>
        <w:t>Since the price per share of our common stock being offered is substantially higher than the net tangible book value per share of our common stock, you will suffer substantial dilution in the net tangible book value of the common stock you purchase in this offering. Based on the public offering price of $87.00 per share, and after deducting underwriting discounts and commissions and estimated offering expenses payable by us, and based on a net tangible book value of our common stock of $0.20 per share as of September 30, 2019, if you purchase shares of common stock in this offering, you will suffer immediate and substantial dilution of $82.35 per share in the net tangible book value of common stock.</w:t>
      </w:r>
    </w:p>
    <w:p>
      <w:pPr>
        <w:spacing w:after="0" w:line="164"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To the extent outstanding options or warrants are exercised, you will experience further dilution. See the section titled “Dilution” below for a more detailed illustration of the dilution you would incur if you participate in this offering. Because the sales of the shares offered hereby will be made directly into the market, the prices at which we sell these shares will vary and these variations may be significant. Purchasers of the shares we sell, as well as our existing shareholders, will experience significant dilution if we sell shares at prices significantly below the price at which they invested.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right="360"/>
        <w:spacing w:after="0" w:line="223"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pursuant to our equity compensation plans could result in additional dilution of the percentage ownership of our stockholders and could cause the price of our common stock to decline.</w:t>
      </w:r>
    </w:p>
    <w:p>
      <w:pPr>
        <w:spacing w:after="0" w:line="162"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or if we issue common stock pursuant to our equity compensation plans, investors may be materially diluted by subsequent sales or issuances. These sales or issuances may also result in material dilution to our existing stockholders, and new investors could gain rights superior to our existing stockholders.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400"/>
          </w:cols>
          <w:pgMar w:left="1260" w:top="114" w:right="123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We estimate that the net proceeds from our issuance and sale of 2,000,000 million shares of common stock in this offering will be approximately $162.2 million, or approximately $186.6 million if the underwriters exercise their option to purchase additional shares in full, after deducting the underwriting discounts and commissions and estimated offering expenses payable by us.</w:t>
      </w:r>
    </w:p>
    <w:p>
      <w:pPr>
        <w:spacing w:after="0" w:line="148"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We intend to use the net proceeds from this offering to continue to fund the ongoing clinical development of our late stage product candidates and for other general corporate purposes, including funding existing and potential new clinical programs and product candidates.</w:t>
      </w:r>
    </w:p>
    <w:p>
      <w:pPr>
        <w:spacing w:after="0" w:line="162" w:lineRule="exact"/>
        <w:rPr>
          <w:sz w:val="20"/>
          <w:szCs w:val="20"/>
          <w:color w:val="auto"/>
        </w:rPr>
      </w:pPr>
    </w:p>
    <w:p>
      <w:pPr>
        <w:ind w:right="20"/>
        <w:spacing w:after="0" w:line="215" w:lineRule="auto"/>
        <w:rPr>
          <w:sz w:val="20"/>
          <w:szCs w:val="20"/>
          <w:color w:val="auto"/>
        </w:rPr>
      </w:pPr>
      <w:r>
        <w:rPr>
          <w:rFonts w:ascii="Arial" w:cs="Arial" w:eastAsia="Arial" w:hAnsi="Arial"/>
          <w:sz w:val="18"/>
          <w:szCs w:val="18"/>
          <w:color w:val="auto"/>
        </w:rPr>
        <w:t>Our expected use of the net proceeds to us from this offering represents our current intentions based upon our present plans and business condition. The amounts and timing of our actual expenditures will depend on numerous factors, including the progress of our research and development efforts, the status of and results from our current or future clinical trials, the timing of regulatory submissions and any unforeseen cash needs. Accordingly, our management will have broad discretion in the application of any net proceeds from this offering.</w:t>
      </w:r>
    </w:p>
    <w:p>
      <w:pPr>
        <w:spacing w:after="0" w:line="16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Until we use the net proceeds of this offering for the purposes described above, we intend to invest any funds we receive in short-term, investment-grade, interest-bearing instruments and U.S. government securities. We cannot predict whether these investments will yield a favorable return.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114" w:right="127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79" w:lineRule="exact"/>
        <w:rPr>
          <w:sz w:val="20"/>
          <w:szCs w:val="20"/>
          <w:color w:val="auto"/>
        </w:rPr>
      </w:pPr>
    </w:p>
    <w:p>
      <w:pPr>
        <w:ind w:right="20"/>
        <w:spacing w:after="0" w:line="218" w:lineRule="auto"/>
        <w:rPr>
          <w:sz w:val="20"/>
          <w:szCs w:val="20"/>
          <w:color w:val="auto"/>
        </w:rPr>
      </w:pPr>
      <w:r>
        <w:rPr>
          <w:rFonts w:ascii="Arial" w:cs="Arial" w:eastAsia="Arial" w:hAnsi="Arial"/>
          <w:sz w:val="18"/>
          <w:szCs w:val="18"/>
          <w:color w:val="auto"/>
        </w:rPr>
        <w:t>If you invest in our common stock in this offering, your interest will be diluted immediately to the extent of the difference between the price per share you pay in this offering and the as adjusted net tangible book value per share of our common stock after giving effect to this offering. Net tangible book value per share represents our total assets, less total liabilities, divided by the number of shares of our common stock outstanding.</w:t>
      </w:r>
    </w:p>
    <w:p>
      <w:pPr>
        <w:spacing w:after="0" w:line="55" w:lineRule="exact"/>
        <w:rPr>
          <w:sz w:val="20"/>
          <w:szCs w:val="20"/>
          <w:color w:val="auto"/>
        </w:rPr>
      </w:pPr>
    </w:p>
    <w:p>
      <w:pPr>
        <w:ind w:right="20"/>
        <w:spacing w:after="0" w:line="224" w:lineRule="auto"/>
        <w:rPr>
          <w:sz w:val="20"/>
          <w:szCs w:val="20"/>
          <w:color w:val="auto"/>
        </w:rPr>
      </w:pPr>
      <w:r>
        <w:rPr>
          <w:rFonts w:ascii="Arial" w:cs="Arial" w:eastAsia="Arial" w:hAnsi="Arial"/>
          <w:sz w:val="17"/>
          <w:szCs w:val="17"/>
          <w:color w:val="auto"/>
        </w:rPr>
        <w:t>At September 30, 2019, our net tangible book value was approximately $6.8 million or $0.20 per share of common stock, based on 34,496,846 shares of common stock then outstanding. After giving effect to the sale by us of an aggregate of 2,000,000 shares of our common stock at the public offering price of $87.00 per share, and after deducting underwriting discounts and commissions, and estimated offering expenses payable by us, our net tangible book value at September 30, 2019 would have been approximately $169.0 million or $4.63 per share of common stock. This represents an immediate increase in net tangible book value to existing stockholders of $4.43 per share and an immediate dilution of $82.37 per share to new investors purchasing common stock at the public offering price of $87.00 per share in this offering.</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illustrates this per share dilution to the new investors purchasing shares of common stock in this offering: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Public offering price per share</w:t>
            </w:r>
          </w:p>
        </w:tc>
        <w:tc>
          <w:tcPr>
            <w:tcW w:w="44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87.00</w:t>
            </w:r>
          </w:p>
        </w:tc>
        <w:tc>
          <w:tcPr>
            <w:tcW w:w="0" w:type="dxa"/>
            <w:vAlign w:val="bottom"/>
          </w:tcPr>
          <w:p>
            <w:pPr>
              <w:spacing w:after="0"/>
              <w:rPr>
                <w:sz w:val="1"/>
                <w:szCs w:val="1"/>
                <w:color w:val="auto"/>
              </w:rPr>
            </w:pPr>
          </w:p>
        </w:tc>
      </w:tr>
      <w:tr>
        <w:trPr>
          <w:trHeight w:val="175"/>
        </w:trPr>
        <w:tc>
          <w:tcPr>
            <w:tcW w:w="7080" w:type="dxa"/>
            <w:vAlign w:val="bottom"/>
          </w:tcPr>
          <w:p>
            <w:pPr>
              <w:ind w:left="240"/>
              <w:spacing w:after="0" w:line="175" w:lineRule="exact"/>
              <w:rPr>
                <w:sz w:val="20"/>
                <w:szCs w:val="20"/>
                <w:color w:val="auto"/>
              </w:rPr>
            </w:pPr>
            <w:r>
              <w:rPr>
                <w:rFonts w:ascii="Arial" w:cs="Arial" w:eastAsia="Arial" w:hAnsi="Arial"/>
                <w:sz w:val="16"/>
                <w:szCs w:val="16"/>
                <w:color w:val="auto"/>
              </w:rPr>
              <w:t>Net tangible book value per share at September 30, 2019</w:t>
            </w:r>
          </w:p>
        </w:tc>
        <w:tc>
          <w:tcPr>
            <w:tcW w:w="440" w:type="dxa"/>
            <w:vAlign w:val="bottom"/>
          </w:tcPr>
          <w:p>
            <w:pPr>
              <w:jc w:val="right"/>
              <w:ind w:right="159"/>
              <w:spacing w:after="0" w:line="175"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40"/>
              <w:spacing w:after="0" w:line="175" w:lineRule="exact"/>
              <w:rPr>
                <w:sz w:val="20"/>
                <w:szCs w:val="20"/>
                <w:color w:val="auto"/>
              </w:rPr>
            </w:pPr>
            <w:r>
              <w:rPr>
                <w:rFonts w:ascii="Arial" w:cs="Arial" w:eastAsia="Arial" w:hAnsi="Arial"/>
                <w:sz w:val="16"/>
                <w:szCs w:val="16"/>
                <w:color w:val="auto"/>
              </w:rPr>
              <w:t>0.20</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7080" w:type="dxa"/>
            <w:vAlign w:val="bottom"/>
            <w:shd w:val="clear" w:color="auto" w:fill="CCEEFF"/>
          </w:tcPr>
          <w:p>
            <w:pPr>
              <w:ind w:left="240"/>
              <w:spacing w:after="0" w:line="138" w:lineRule="exact"/>
              <w:rPr>
                <w:sz w:val="20"/>
                <w:szCs w:val="20"/>
                <w:color w:val="auto"/>
              </w:rPr>
            </w:pPr>
            <w:r>
              <w:rPr>
                <w:rFonts w:ascii="Arial" w:cs="Arial" w:eastAsia="Arial" w:hAnsi="Arial"/>
                <w:sz w:val="16"/>
                <w:szCs w:val="16"/>
                <w:color w:val="auto"/>
                <w:w w:val="96"/>
              </w:rPr>
              <w:t>Increase in net tangible book value per share attributable to new investors purchasing shares in this</w:t>
            </w:r>
          </w:p>
        </w:tc>
        <w:tc>
          <w:tcPr>
            <w:tcW w:w="4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6"/>
                <w:szCs w:val="16"/>
                <w:color w:val="auto"/>
              </w:rPr>
              <w:t>4.43</w:t>
            </w: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offering</w:t>
            </w:r>
          </w:p>
        </w:tc>
        <w:tc>
          <w:tcPr>
            <w:tcW w:w="4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0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7080" w:type="dxa"/>
            <w:vAlign w:val="bottom"/>
            <w:shd w:val="clear" w:color="auto" w:fill="CCEEFF"/>
          </w:tcPr>
          <w:p>
            <w:pPr>
              <w:ind w:left="120"/>
              <w:spacing w:after="0" w:line="138" w:lineRule="exact"/>
              <w:rPr>
                <w:sz w:val="20"/>
                <w:szCs w:val="20"/>
                <w:color w:val="auto"/>
              </w:rPr>
            </w:pPr>
            <w:r>
              <w:rPr>
                <w:rFonts w:ascii="Arial" w:cs="Arial" w:eastAsia="Arial" w:hAnsi="Arial"/>
                <w:sz w:val="16"/>
                <w:szCs w:val="16"/>
                <w:color w:val="auto"/>
              </w:rPr>
              <w:t>As adjusted net tangible book value per share at September 30, 2019, after giving effect to this</w:t>
            </w: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185"/>
        </w:trPr>
        <w:tc>
          <w:tcPr>
            <w:tcW w:w="7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offering</w:t>
            </w: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70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80" w:type="dxa"/>
            <w:vAlign w:val="bottom"/>
            <w:tcBorders>
              <w:bottom w:val="single" w:sz="8" w:color="CCEEFF"/>
            </w:tcBorders>
            <w:shd w:val="clear" w:color="auto" w:fill="CCEEFF"/>
          </w:tcPr>
          <w:p>
            <w:pPr>
              <w:ind w:left="120"/>
              <w:spacing w:after="0" w:line="168" w:lineRule="exact"/>
              <w:rPr>
                <w:sz w:val="20"/>
                <w:szCs w:val="20"/>
                <w:color w:val="auto"/>
              </w:rPr>
            </w:pPr>
            <w:r>
              <w:rPr>
                <w:rFonts w:ascii="Arial" w:cs="Arial" w:eastAsia="Arial" w:hAnsi="Arial"/>
                <w:sz w:val="16"/>
                <w:szCs w:val="16"/>
                <w:color w:val="auto"/>
              </w:rPr>
              <w:t>Dilution per share to new investors in this offering</w:t>
            </w:r>
          </w:p>
        </w:tc>
        <w:tc>
          <w:tcPr>
            <w:tcW w:w="4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159"/>
              <w:spacing w:after="0" w:line="168"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82.37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00"/>
        <w:spacing w:after="0" w:line="218" w:lineRule="auto"/>
        <w:rPr>
          <w:sz w:val="20"/>
          <w:szCs w:val="20"/>
          <w:color w:val="auto"/>
        </w:rPr>
      </w:pPr>
      <w:r>
        <w:rPr>
          <w:rFonts w:ascii="Arial" w:cs="Arial" w:eastAsia="Arial" w:hAnsi="Arial"/>
          <w:sz w:val="18"/>
          <w:szCs w:val="18"/>
          <w:color w:val="auto"/>
        </w:rPr>
        <w:t>If the underwriters exercise in full their option to purchase 300,000 additional shares of common stock at the public offering price of $87.00 per share, the as adjusted net tangible book value after this offering would be $5.26 per share, representing an increase in net tangible book value of $5.06 per share to existing stockholders and immediate dilution in net tangible book value of $81.74 per share to investors in this offering at the public offering price.</w:t>
      </w:r>
    </w:p>
    <w:p>
      <w:pPr>
        <w:spacing w:after="0" w:line="162"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The foregoing table and calculations are based on 34,496,846 shares of our common stock outstanding as of September 30, 2019, and excludes:</w:t>
      </w:r>
    </w:p>
    <w:p>
      <w:pPr>
        <w:spacing w:after="0" w:line="53" w:lineRule="exact"/>
        <w:rPr>
          <w:sz w:val="20"/>
          <w:szCs w:val="20"/>
          <w:color w:val="auto"/>
        </w:rPr>
      </w:pPr>
    </w:p>
    <w:p>
      <w:pPr>
        <w:ind w:left="960" w:right="120"/>
        <w:spacing w:after="0" w:line="211" w:lineRule="auto"/>
        <w:rPr>
          <w:sz w:val="20"/>
          <w:szCs w:val="20"/>
          <w:color w:val="auto"/>
        </w:rPr>
      </w:pPr>
      <w:r>
        <w:rPr>
          <w:rFonts w:ascii="Arial" w:cs="Arial" w:eastAsia="Arial" w:hAnsi="Arial"/>
          <w:sz w:val="18"/>
          <w:szCs w:val="18"/>
          <w:color w:val="auto"/>
        </w:rPr>
        <w:t>3,184,842 shares of common stock issuable upon exercise of stock options outstanding as of September 30, 2019, at a weighted average exercise price of $9.01 per share;</w:t>
      </w:r>
    </w:p>
    <w:p>
      <w:pPr>
        <w:spacing w:after="0" w:line="2" w:lineRule="exact"/>
        <w:rPr>
          <w:sz w:val="20"/>
          <w:szCs w:val="20"/>
          <w:color w:val="auto"/>
        </w:rPr>
      </w:pPr>
    </w:p>
    <w:p>
      <w:pPr>
        <w:ind w:left="960" w:right="160"/>
        <w:spacing w:after="0" w:line="214" w:lineRule="auto"/>
        <w:rPr>
          <w:sz w:val="20"/>
          <w:szCs w:val="20"/>
          <w:color w:val="auto"/>
        </w:rPr>
      </w:pPr>
      <w:r>
        <w:rPr>
          <w:rFonts w:ascii="Arial" w:cs="Arial" w:eastAsia="Arial" w:hAnsi="Arial"/>
          <w:sz w:val="17"/>
          <w:szCs w:val="17"/>
          <w:color w:val="auto"/>
        </w:rPr>
        <w:t>110,603 shares of common stock issuable upon the exercise of outstanding warrants as of September 30, 2019, consisting of 11,780 warrants with an exercise price of $5.94 per share, 32,614 warrants with an exercise price of $7.41 per share, 7,875 warrants with an exercise price of $3.06, 58,334 warrants with an exercise price of $8.10 per share, and 11,500 warrants with an exercise price of $25.71, which are not yet outstanding, but which will become outstanding if and when the additional $4.0 million tranche available to us under our term loan with Silicon Valley Bank and WestRiver Innovation Lending Fund VIII, L.P. is funded; and</w:t>
      </w:r>
    </w:p>
    <w:p>
      <w:pPr>
        <w:spacing w:after="0" w:line="3" w:lineRule="exact"/>
        <w:rPr>
          <w:sz w:val="20"/>
          <w:szCs w:val="20"/>
          <w:color w:val="auto"/>
        </w:rPr>
      </w:pPr>
    </w:p>
    <w:p>
      <w:pPr>
        <w:ind w:left="960" w:right="120"/>
        <w:spacing w:after="0" w:line="225" w:lineRule="auto"/>
        <w:rPr>
          <w:sz w:val="20"/>
          <w:szCs w:val="20"/>
          <w:color w:val="auto"/>
        </w:rPr>
      </w:pPr>
      <w:r>
        <w:rPr>
          <w:rFonts w:ascii="Arial" w:cs="Arial" w:eastAsia="Arial" w:hAnsi="Arial"/>
          <w:sz w:val="18"/>
          <w:szCs w:val="18"/>
          <w:color w:val="auto"/>
        </w:rPr>
        <w:t>3,668,590 shares of common stock available for future grant under our 2015 Omnibus Incentive Compensation Plan as of September 30, 2019.</w:t>
      </w:r>
    </w:p>
    <w:p>
      <w:pPr>
        <w:spacing w:after="0" w:line="120" w:lineRule="exact"/>
        <w:rPr>
          <w:sz w:val="20"/>
          <w:szCs w:val="20"/>
          <w:color w:val="auto"/>
        </w:rPr>
      </w:pPr>
    </w:p>
    <w:p>
      <w:pPr>
        <w:ind w:right="40"/>
        <w:spacing w:after="0" w:line="215" w:lineRule="auto"/>
        <w:rPr>
          <w:sz w:val="20"/>
          <w:szCs w:val="20"/>
          <w:color w:val="auto"/>
        </w:rPr>
      </w:pPr>
      <w:r>
        <w:rPr>
          <w:rFonts w:ascii="Arial" w:cs="Arial" w:eastAsia="Arial" w:hAnsi="Arial"/>
          <w:sz w:val="18"/>
          <w:szCs w:val="18"/>
          <w:color w:val="auto"/>
        </w:rPr>
        <w:t>The above table does not assume or give effect to the exercise of the underwriters’ option to purchase 300,000 additional shares in this offering. Furthermore, to the extent outstanding options or warrants are exercised, you will experience further dilution. In addition, we may choose to raise additional capital due to market conditions or strategic considerations even if we believe we have sufficient funds for our current or future operating plans. If we raise additional capital through the sale of equity or convertible debt securities, you will experience further dilution.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400"/>
          </w:cols>
          <w:pgMar w:left="1260" w:top="114" w:right="12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8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SVB Leerink LLC and Morgan Stanley &amp; Co. LLC are acting as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39"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5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Underwriter</w:t>
            </w: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0" w:type="dxa"/>
            <w:vAlign w:val="bottom"/>
          </w:tcPr>
          <w:p>
            <w:pPr>
              <w:spacing w:after="0"/>
              <w:rPr>
                <w:sz w:val="1"/>
                <w:szCs w:val="1"/>
                <w:color w:val="auto"/>
              </w:rPr>
            </w:pPr>
          </w:p>
        </w:tc>
      </w:tr>
      <w:tr>
        <w:trPr>
          <w:trHeight w:val="202"/>
        </w:trPr>
        <w:tc>
          <w:tcPr>
            <w:tcW w:w="5980" w:type="dxa"/>
            <w:vAlign w:val="bottom"/>
            <w:gridSpan w:val="3"/>
            <w:vMerge w:val="continue"/>
          </w:tcPr>
          <w:p>
            <w:pPr>
              <w:spacing w:after="0"/>
              <w:rPr>
                <w:sz w:val="17"/>
                <w:szCs w:val="17"/>
                <w:color w:val="auto"/>
              </w:rPr>
            </w:pPr>
          </w:p>
        </w:tc>
        <w:tc>
          <w:tcPr>
            <w:tcW w:w="1220" w:type="dxa"/>
            <w:vAlign w:val="bottom"/>
          </w:tcPr>
          <w:p>
            <w:pPr>
              <w:jc w:val="right"/>
              <w:ind w:right="270"/>
              <w:spacing w:after="0" w:line="201" w:lineRule="exact"/>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60" w:type="dxa"/>
            <w:vAlign w:val="bottom"/>
            <w:tcBorders>
              <w:top w:val="single" w:sz="8" w:color="auto"/>
            </w:tcBorders>
          </w:tcPr>
          <w:p>
            <w:pPr>
              <w:spacing w:after="0" w:line="181" w:lineRule="exact"/>
              <w:rPr>
                <w:sz w:val="20"/>
                <w:szCs w:val="20"/>
                <w:color w:val="auto"/>
              </w:rPr>
            </w:pPr>
            <w:r>
              <w:rPr>
                <w:rFonts w:ascii="Arial" w:cs="Arial" w:eastAsia="Arial" w:hAnsi="Arial"/>
                <w:sz w:val="18"/>
                <w:szCs w:val="18"/>
                <w:color w:val="auto"/>
              </w:rPr>
              <w:t>SVB Leerink LLC</w:t>
            </w:r>
          </w:p>
        </w:tc>
        <w:tc>
          <w:tcPr>
            <w:tcW w:w="700" w:type="dxa"/>
            <w:vAlign w:val="bottom"/>
          </w:tcPr>
          <w:p>
            <w:pPr>
              <w:spacing w:after="0"/>
              <w:rPr>
                <w:sz w:val="15"/>
                <w:szCs w:val="15"/>
                <w:color w:val="auto"/>
              </w:rPr>
            </w:pPr>
          </w:p>
        </w:tc>
        <w:tc>
          <w:tcPr>
            <w:tcW w:w="1220" w:type="dxa"/>
            <w:vAlign w:val="bottom"/>
            <w:tcBorders>
              <w:top w:val="single" w:sz="8" w:color="auto"/>
            </w:tcBorders>
          </w:tcPr>
          <w:p>
            <w:pPr>
              <w:jc w:val="right"/>
              <w:ind w:right="190"/>
              <w:spacing w:after="0" w:line="181" w:lineRule="exact"/>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15"/>
        </w:trPr>
        <w:tc>
          <w:tcPr>
            <w:tcW w:w="5980" w:type="dxa"/>
            <w:vAlign w:val="bottom"/>
            <w:gridSpan w:val="3"/>
          </w:tcPr>
          <w:p>
            <w:pPr>
              <w:spacing w:after="0"/>
              <w:rPr>
                <w:sz w:val="20"/>
                <w:szCs w:val="20"/>
                <w:color w:val="auto"/>
              </w:rPr>
            </w:pPr>
            <w:r>
              <w:rPr>
                <w:rFonts w:ascii="Arial" w:cs="Arial" w:eastAsia="Arial" w:hAnsi="Arial"/>
                <w:sz w:val="18"/>
                <w:szCs w:val="18"/>
                <w:color w:val="auto"/>
              </w:rPr>
              <w:t>Morgan Stanley &amp; Co. LLC</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440,000</w:t>
            </w:r>
          </w:p>
        </w:tc>
        <w:tc>
          <w:tcPr>
            <w:tcW w:w="0" w:type="dxa"/>
            <w:vAlign w:val="bottom"/>
          </w:tcPr>
          <w:p>
            <w:pPr>
              <w:spacing w:after="0"/>
              <w:rPr>
                <w:sz w:val="1"/>
                <w:szCs w:val="1"/>
                <w:color w:val="auto"/>
              </w:rPr>
            </w:pPr>
          </w:p>
        </w:tc>
      </w:tr>
      <w:tr>
        <w:trPr>
          <w:trHeight w:val="215"/>
        </w:trPr>
        <w:tc>
          <w:tcPr>
            <w:tcW w:w="5980" w:type="dxa"/>
            <w:vAlign w:val="bottom"/>
            <w:gridSpan w:val="3"/>
          </w:tcPr>
          <w:p>
            <w:pPr>
              <w:spacing w:after="0"/>
              <w:rPr>
                <w:sz w:val="20"/>
                <w:szCs w:val="20"/>
                <w:color w:val="auto"/>
              </w:rPr>
            </w:pPr>
            <w:r>
              <w:rPr>
                <w:rFonts w:ascii="Arial" w:cs="Arial" w:eastAsia="Arial" w:hAnsi="Arial"/>
                <w:sz w:val="18"/>
                <w:szCs w:val="18"/>
                <w:color w:val="auto"/>
              </w:rPr>
              <w:t>Cantor Fitzgerald &amp; Co.</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5"/>
        </w:trPr>
        <w:tc>
          <w:tcPr>
            <w:tcW w:w="5980" w:type="dxa"/>
            <w:vAlign w:val="bottom"/>
            <w:gridSpan w:val="3"/>
          </w:tcPr>
          <w:p>
            <w:pPr>
              <w:spacing w:after="0"/>
              <w:rPr>
                <w:sz w:val="20"/>
                <w:szCs w:val="20"/>
                <w:color w:val="auto"/>
              </w:rPr>
            </w:pPr>
            <w:r>
              <w:rPr>
                <w:rFonts w:ascii="Arial" w:cs="Arial" w:eastAsia="Arial" w:hAnsi="Arial"/>
                <w:sz w:val="18"/>
                <w:szCs w:val="18"/>
                <w:color w:val="auto"/>
              </w:rPr>
              <w:t>Ladenburg Thalmann &amp; Co. Inc.</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5"/>
        </w:trPr>
        <w:tc>
          <w:tcPr>
            <w:tcW w:w="5980" w:type="dxa"/>
            <w:vAlign w:val="bottom"/>
            <w:gridSpan w:val="3"/>
          </w:tcPr>
          <w:p>
            <w:pPr>
              <w:spacing w:after="0"/>
              <w:rPr>
                <w:sz w:val="20"/>
                <w:szCs w:val="20"/>
                <w:color w:val="auto"/>
              </w:rPr>
            </w:pPr>
            <w:r>
              <w:rPr>
                <w:rFonts w:ascii="Arial" w:cs="Arial" w:eastAsia="Arial" w:hAnsi="Arial"/>
                <w:sz w:val="18"/>
                <w:szCs w:val="18"/>
                <w:color w:val="auto"/>
              </w:rPr>
              <w:t>SunTrust Robinson Humphrey, Inc.</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5"/>
        </w:trPr>
        <w:tc>
          <w:tcPr>
            <w:tcW w:w="5980" w:type="dxa"/>
            <w:vAlign w:val="bottom"/>
            <w:gridSpan w:val="3"/>
          </w:tcPr>
          <w:p>
            <w:pPr>
              <w:spacing w:after="0"/>
              <w:rPr>
                <w:sz w:val="20"/>
                <w:szCs w:val="20"/>
                <w:color w:val="auto"/>
              </w:rPr>
            </w:pPr>
            <w:r>
              <w:rPr>
                <w:rFonts w:ascii="Arial" w:cs="Arial" w:eastAsia="Arial" w:hAnsi="Arial"/>
                <w:sz w:val="18"/>
                <w:szCs w:val="18"/>
                <w:color w:val="auto"/>
              </w:rPr>
              <w:t>William Blair &amp; Company, L.L.C.</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5"/>
        </w:trPr>
        <w:tc>
          <w:tcPr>
            <w:tcW w:w="5980" w:type="dxa"/>
            <w:vAlign w:val="bottom"/>
            <w:gridSpan w:val="3"/>
          </w:tcPr>
          <w:p>
            <w:pPr>
              <w:spacing w:after="0"/>
              <w:rPr>
                <w:sz w:val="20"/>
                <w:szCs w:val="20"/>
                <w:color w:val="auto"/>
              </w:rPr>
            </w:pPr>
            <w:r>
              <w:rPr>
                <w:rFonts w:ascii="Arial" w:cs="Arial" w:eastAsia="Arial" w:hAnsi="Arial"/>
                <w:sz w:val="18"/>
                <w:szCs w:val="18"/>
                <w:color w:val="auto"/>
              </w:rPr>
              <w:t>BTIG, LLC</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5"/>
        </w:trPr>
        <w:tc>
          <w:tcPr>
            <w:tcW w:w="5980" w:type="dxa"/>
            <w:vAlign w:val="bottom"/>
            <w:gridSpan w:val="3"/>
          </w:tcPr>
          <w:p>
            <w:pPr>
              <w:spacing w:after="0"/>
              <w:rPr>
                <w:sz w:val="20"/>
                <w:szCs w:val="20"/>
                <w:color w:val="auto"/>
              </w:rPr>
            </w:pPr>
            <w:r>
              <w:rPr>
                <w:rFonts w:ascii="Arial" w:cs="Arial" w:eastAsia="Arial" w:hAnsi="Arial"/>
                <w:sz w:val="18"/>
                <w:szCs w:val="18"/>
                <w:color w:val="auto"/>
              </w:rPr>
              <w:t>H.C. Wainwright &amp; Co., LLC</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8"/>
        </w:trPr>
        <w:tc>
          <w:tcPr>
            <w:tcW w:w="598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5980" w:type="dxa"/>
            <w:vAlign w:val="bottom"/>
            <w:gridSpan w:val="3"/>
            <w:vMerge w:val="continue"/>
          </w:tcPr>
          <w:p>
            <w:pPr>
              <w:spacing w:after="0"/>
              <w:rPr>
                <w:sz w:val="18"/>
                <w:szCs w:val="18"/>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line="218"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w:t>
      </w:r>
    </w:p>
    <w:p>
      <w:pPr>
        <w:spacing w:after="0" w:line="162" w:lineRule="exact"/>
        <w:rPr>
          <w:sz w:val="20"/>
          <w:szCs w:val="20"/>
          <w:color w:val="auto"/>
        </w:rPr>
      </w:pPr>
    </w:p>
    <w:p>
      <w:pPr>
        <w:ind w:right="600"/>
        <w:spacing w:after="0" w:line="256"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48" w:lineRule="exact"/>
        <w:rPr>
          <w:sz w:val="20"/>
          <w:szCs w:val="20"/>
          <w:color w:val="auto"/>
        </w:rPr>
      </w:pPr>
    </w:p>
    <w:p>
      <w:pPr>
        <w:jc w:val="both"/>
        <w:ind w:right="60"/>
        <w:spacing w:after="0" w:line="231" w:lineRule="auto"/>
        <w:rPr>
          <w:sz w:val="20"/>
          <w:szCs w:val="20"/>
          <w:color w:val="auto"/>
        </w:rPr>
      </w:pPr>
      <w:r>
        <w:rPr>
          <w:rFonts w:ascii="Arial" w:cs="Arial" w:eastAsia="Arial" w:hAnsi="Arial"/>
          <w:sz w:val="17"/>
          <w:szCs w:val="17"/>
          <w:color w:val="auto"/>
        </w:rPr>
        <w:t>The underwriters are offering the shares, subject to prior sale, when, as and if issued to and accepted by them, subject to approval of legal matters by their counsel, including the validity of the shares,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Discounts and Commissions</w:t>
      </w:r>
    </w:p>
    <w:p>
      <w:pPr>
        <w:spacing w:after="0" w:line="187" w:lineRule="exact"/>
        <w:rPr>
          <w:sz w:val="20"/>
          <w:szCs w:val="20"/>
          <w:color w:val="auto"/>
        </w:rPr>
      </w:pPr>
    </w:p>
    <w:p>
      <w:pPr>
        <w:spacing w:after="0" w:line="218" w:lineRule="auto"/>
        <w:rPr>
          <w:sz w:val="20"/>
          <w:szCs w:val="20"/>
          <w:color w:val="auto"/>
        </w:rPr>
      </w:pPr>
      <w:r>
        <w:rPr>
          <w:rFonts w:ascii="Arial" w:cs="Arial" w:eastAsia="Arial" w:hAnsi="Arial"/>
          <w:sz w:val="18"/>
          <w:szCs w:val="18"/>
          <w:color w:val="auto"/>
        </w:rPr>
        <w:t>The representatives have advised us that the underwriters propose initially to offer the shares to the public at the public offering price set forth on the cover page of this prospectus supplement and to dealers at that price less a concession not in excess of $3.393 per share. After the offering of the shares, the public offering price, concession or any other term of this offering may be changed by the representatives.</w:t>
      </w:r>
    </w:p>
    <w:p>
      <w:pPr>
        <w:spacing w:after="0" w:line="162"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us. The information assumes either no exercise or full exercise by the underwriters of their option to purchase additional shares of our common stock.</w:t>
      </w:r>
    </w:p>
    <w:p>
      <w:pPr>
        <w:spacing w:after="0" w:line="181" w:lineRule="exact"/>
        <w:rPr>
          <w:sz w:val="20"/>
          <w:szCs w:val="20"/>
          <w:color w:val="auto"/>
        </w:rPr>
      </w:pPr>
    </w:p>
    <w:tbl>
      <w:tblPr>
        <w:tblLayout w:type="fixed"/>
        <w:tblInd w:w="940" w:type="dxa"/>
        <w:tblCellMar>
          <w:top w:w="0" w:type="dxa"/>
          <w:left w:w="0" w:type="dxa"/>
          <w:bottom w:w="0" w:type="dxa"/>
          <w:right w:w="0" w:type="dxa"/>
        </w:tblCellMar>
      </w:tblPr>
      <w:tr>
        <w:trPr>
          <w:trHeight w:val="191"/>
        </w:trPr>
        <w:tc>
          <w:tcPr>
            <w:tcW w:w="3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5"/>
              </w:rPr>
              <w:t>Total</w:t>
            </w: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48"/>
        </w:trPr>
        <w:tc>
          <w:tcPr>
            <w:tcW w:w="37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ind w:left="120"/>
              <w:spacing w:after="0" w:line="148" w:lineRule="exact"/>
              <w:rPr>
                <w:sz w:val="20"/>
                <w:szCs w:val="20"/>
                <w:color w:val="auto"/>
              </w:rPr>
            </w:pPr>
            <w:r>
              <w:rPr>
                <w:rFonts w:ascii="Arial" w:cs="Arial" w:eastAsia="Arial" w:hAnsi="Arial"/>
                <w:sz w:val="14"/>
                <w:szCs w:val="14"/>
                <w:b w:val="1"/>
                <w:bCs w:val="1"/>
                <w:color w:val="auto"/>
              </w:rPr>
              <w:t>Per Share</w:t>
            </w:r>
          </w:p>
        </w:tc>
        <w:tc>
          <w:tcPr>
            <w:tcW w:w="3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4"/>
                <w:szCs w:val="14"/>
                <w:b w:val="1"/>
                <w:bCs w:val="1"/>
                <w:color w:val="auto"/>
              </w:rPr>
              <w:t>Without Option</w:t>
            </w: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95"/>
              <w:spacing w:after="0" w:line="148" w:lineRule="exact"/>
              <w:rPr>
                <w:sz w:val="20"/>
                <w:szCs w:val="20"/>
                <w:color w:val="auto"/>
              </w:rPr>
            </w:pPr>
            <w:r>
              <w:rPr>
                <w:rFonts w:ascii="Arial" w:cs="Arial" w:eastAsia="Arial" w:hAnsi="Arial"/>
                <w:sz w:val="14"/>
                <w:szCs w:val="14"/>
                <w:b w:val="1"/>
                <w:bCs w:val="1"/>
                <w:color w:val="auto"/>
                <w:w w:val="98"/>
              </w:rPr>
              <w:t>With Option</w:t>
            </w:r>
          </w:p>
        </w:tc>
        <w:tc>
          <w:tcPr>
            <w:tcW w:w="20" w:type="dxa"/>
            <w:vAlign w:val="bottom"/>
          </w:tcPr>
          <w:p>
            <w:pPr>
              <w:spacing w:after="0"/>
              <w:rPr>
                <w:sz w:val="12"/>
                <w:szCs w:val="12"/>
                <w:color w:val="auto"/>
              </w:rPr>
            </w:pP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87.000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174,000,000</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200,100,000</w:t>
            </w:r>
          </w:p>
        </w:tc>
        <w:tc>
          <w:tcPr>
            <w:tcW w:w="20" w:type="dxa"/>
            <w:vAlign w:val="bottom"/>
          </w:tcPr>
          <w:p>
            <w:pPr>
              <w:spacing w:after="0"/>
              <w:rPr>
                <w:sz w:val="18"/>
                <w:szCs w:val="18"/>
                <w:color w:val="auto"/>
              </w:rPr>
            </w:pPr>
          </w:p>
        </w:tc>
      </w:tr>
      <w:tr>
        <w:trPr>
          <w:trHeight w:val="215"/>
        </w:trPr>
        <w:tc>
          <w:tcPr>
            <w:tcW w:w="374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5.655</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11,310,000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13,006,500</w:t>
            </w:r>
          </w:p>
        </w:tc>
        <w:tc>
          <w:tcPr>
            <w:tcW w:w="20" w:type="dxa"/>
            <w:vAlign w:val="bottom"/>
          </w:tcPr>
          <w:p>
            <w:pPr>
              <w:spacing w:after="0"/>
              <w:rPr>
                <w:sz w:val="18"/>
                <w:szCs w:val="18"/>
                <w:color w:val="auto"/>
              </w:rPr>
            </w:pPr>
          </w:p>
        </w:tc>
      </w:tr>
      <w:tr>
        <w:trPr>
          <w:trHeight w:val="215"/>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81.345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162,690,000</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187,093,500</w:t>
            </w:r>
          </w:p>
        </w:tc>
        <w:tc>
          <w:tcPr>
            <w:tcW w:w="20" w:type="dxa"/>
            <w:vAlign w:val="bottom"/>
          </w:tcPr>
          <w:p>
            <w:pPr>
              <w:spacing w:after="0"/>
              <w:rPr>
                <w:sz w:val="18"/>
                <w:szCs w:val="18"/>
                <w:color w:val="auto"/>
              </w:rPr>
            </w:pPr>
          </w:p>
        </w:tc>
      </w:tr>
    </w:tbl>
    <w:p>
      <w:pPr>
        <w:spacing w:after="0" w:line="187"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$500,000. We have also agreed to reimburse the underwriters for up to $15,000 for their FINRA counsel fee, and we have paid an aggregate total of $675,000 in fees for advisory services to certain of the underwriters named herein. In accordance with FINRA Rule 5110, this reimbursed FINRA counsel fee and the advisory fees paid to certain of the underwriters named herein are deemed underwriting compensation for this offering.</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87"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We have granted an option to the underwriters, exercisable for 30 days after the date of this prospectus supplement, to purchase up to 300,000 additional shares at the public offering price, less underwriting discounts and commissions. If the underwriters exercise this option, each underwriter will be obligated, subject to the conditions contained in the underwriting agreement, to purchase a number of additional shares proportionate to that underwriter’s initial amount reflected in the above table.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87" w:lineRule="exact"/>
        <w:rPr>
          <w:sz w:val="20"/>
          <w:szCs w:val="20"/>
          <w:color w:val="auto"/>
        </w:rPr>
      </w:pPr>
    </w:p>
    <w:p>
      <w:pPr>
        <w:ind w:right="60"/>
        <w:spacing w:after="0" w:line="218" w:lineRule="auto"/>
        <w:rPr>
          <w:sz w:val="20"/>
          <w:szCs w:val="20"/>
          <w:color w:val="auto"/>
        </w:rPr>
      </w:pPr>
      <w:r>
        <w:rPr>
          <w:rFonts w:ascii="Arial" w:cs="Arial" w:eastAsia="Arial" w:hAnsi="Arial"/>
          <w:sz w:val="18"/>
          <w:szCs w:val="18"/>
          <w:color w:val="auto"/>
        </w:rPr>
        <w:t>We and our executive officers and directors have agreed not to sell or transfer any common stock or securities convertible into or exchangeable or exercisable for common stock, for 90 days after the date of this prospectus supplement without first obtaining the written consent of SVB Leerink LLC on behalf of the underwriters. Specifically, we and these other persons have agreed, with certain limited exceptions, not to directly or indirectly:</w:t>
      </w:r>
    </w:p>
    <w:p>
      <w:pPr>
        <w:spacing w:after="0" w:line="162" w:lineRule="exact"/>
        <w:rPr>
          <w:sz w:val="20"/>
          <w:szCs w:val="20"/>
          <w:color w:val="auto"/>
        </w:rPr>
      </w:pPr>
    </w:p>
    <w:p>
      <w:pPr>
        <w:ind w:left="940" w:hanging="31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182" w:lineRule="exact"/>
        <w:rPr>
          <w:rFonts w:ascii="Arial" w:cs="Arial" w:eastAsia="Arial" w:hAnsi="Arial"/>
          <w:sz w:val="18"/>
          <w:szCs w:val="18"/>
          <w:color w:val="auto"/>
        </w:rPr>
      </w:pPr>
    </w:p>
    <w:p>
      <w:pPr>
        <w:ind w:left="940" w:hanging="31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182" w:lineRule="exact"/>
        <w:rPr>
          <w:rFonts w:ascii="Arial" w:cs="Arial" w:eastAsia="Arial" w:hAnsi="Arial"/>
          <w:sz w:val="18"/>
          <w:szCs w:val="18"/>
          <w:color w:val="auto"/>
        </w:rPr>
      </w:pPr>
    </w:p>
    <w:p>
      <w:pPr>
        <w:ind w:left="940" w:hanging="31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182" w:lineRule="exact"/>
        <w:rPr>
          <w:rFonts w:ascii="Arial" w:cs="Arial" w:eastAsia="Arial" w:hAnsi="Arial"/>
          <w:sz w:val="18"/>
          <w:szCs w:val="18"/>
          <w:color w:val="auto"/>
        </w:rPr>
      </w:pPr>
    </w:p>
    <w:p>
      <w:pPr>
        <w:ind w:left="940" w:hanging="31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182" w:lineRule="exact"/>
        <w:rPr>
          <w:rFonts w:ascii="Arial" w:cs="Arial" w:eastAsia="Arial" w:hAnsi="Arial"/>
          <w:sz w:val="18"/>
          <w:szCs w:val="18"/>
          <w:color w:val="auto"/>
        </w:rPr>
      </w:pPr>
    </w:p>
    <w:p>
      <w:pPr>
        <w:ind w:left="940" w:hanging="31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otherwise dispose of or transfer any common stock;</w:t>
      </w:r>
    </w:p>
    <w:p>
      <w:pPr>
        <w:spacing w:after="0" w:line="182" w:lineRule="exact"/>
        <w:rPr>
          <w:rFonts w:ascii="Arial" w:cs="Arial" w:eastAsia="Arial" w:hAnsi="Arial"/>
          <w:sz w:val="18"/>
          <w:szCs w:val="18"/>
          <w:color w:val="auto"/>
        </w:rPr>
      </w:pPr>
    </w:p>
    <w:p>
      <w:pPr>
        <w:ind w:left="940" w:hanging="31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182" w:lineRule="exact"/>
        <w:rPr>
          <w:rFonts w:ascii="Arial" w:cs="Arial" w:eastAsia="Arial" w:hAnsi="Arial"/>
          <w:sz w:val="18"/>
          <w:szCs w:val="18"/>
          <w:color w:val="auto"/>
        </w:rPr>
      </w:pPr>
    </w:p>
    <w:p>
      <w:pPr>
        <w:ind w:left="940" w:right="20" w:hanging="314"/>
        <w:spacing w:after="0" w:line="223"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any swap or other agreement or any transaction that transfers, in whole or in part, the economic consequence of ownership of any common stock, whether any such swap, agreement or transaction is to be settled by delivery of shares or other securities, in cash or otherwise.</w:t>
      </w:r>
    </w:p>
    <w:p>
      <w:pPr>
        <w:spacing w:after="0" w:line="162"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The lock-up provisions apply to common stock and to securities convertible into or exchangeable or exercisable for common stock. They also apply to common stock owned now or acquired later by the person executing the lock-up agreement or for which the person executing the lock-up agreement later acquires the power of disposition.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“AXSM.”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8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62"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w:t>
      </w:r>
    </w:p>
    <w:p>
      <w:pPr>
        <w:spacing w:after="0" w:line="2" w:lineRule="exact"/>
        <w:rPr>
          <w:sz w:val="20"/>
          <w:szCs w:val="20"/>
          <w:color w:val="auto"/>
        </w:rPr>
      </w:pPr>
    </w:p>
    <w:p>
      <w:pPr>
        <w:ind w:right="140"/>
        <w:spacing w:after="0" w:line="235" w:lineRule="auto"/>
        <w:rPr>
          <w:sz w:val="20"/>
          <w:szCs w:val="20"/>
          <w:color w:val="auto"/>
        </w:rPr>
      </w:pPr>
      <w:r>
        <w:rPr>
          <w:rFonts w:ascii="Arial" w:cs="Arial" w:eastAsia="Arial" w:hAnsi="Arial"/>
          <w:sz w:val="16"/>
          <w:szCs w:val="16"/>
          <w:color w:val="auto"/>
        </w:rPr>
        <w:t>“Covered”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granted to them under the underwriting agreement described above. “Naked” short sales are sales in excess of such option. The underwriters must close out any naked short position by purchasing shares in the open market. A naked short position is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color w:val="auto"/>
        </w:rPr>
        <w:t>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common stock made by the underwriters in the open market prior to the closing of this offering.</w:t>
      </w:r>
    </w:p>
    <w:p>
      <w:pPr>
        <w:spacing w:after="0" w:line="162"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2"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57" w:lineRule="exact"/>
        <w:rPr>
          <w:sz w:val="20"/>
          <w:szCs w:val="20"/>
          <w:color w:val="auto"/>
        </w:rPr>
      </w:pPr>
    </w:p>
    <w:p>
      <w:pPr>
        <w:spacing w:after="0" w:line="218"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87"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In connection with this offering, certain of the underwriters or securities dealers may distribute prospectuses by electronic means, such as e-mail.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87"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 For example, Silicon Valley Bank, one of the lenders under our growth capital term loan facility is an affiliate of SVB Leerink LLC.</w:t>
      </w:r>
    </w:p>
    <w:p>
      <w:pPr>
        <w:spacing w:after="0" w:line="164"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83" w:lineRule="exact"/>
        <w:rPr>
          <w:sz w:val="20"/>
          <w:szCs w:val="20"/>
          <w:color w:val="auto"/>
        </w:rPr>
      </w:pPr>
    </w:p>
    <w:p>
      <w:pPr>
        <w:jc w:val="both"/>
        <w:ind w:right="460"/>
        <w:spacing w:after="0" w:line="257"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no offer of shares may be made to the public in that Relevant Member State other than:</w:t>
      </w:r>
    </w:p>
    <w:p>
      <w:pPr>
        <w:spacing w:after="0" w:line="148" w:lineRule="exact"/>
        <w:rPr>
          <w:sz w:val="20"/>
          <w:szCs w:val="20"/>
          <w:color w:val="auto"/>
        </w:rPr>
      </w:pPr>
    </w:p>
    <w:p>
      <w:pPr>
        <w:ind w:left="1020" w:hanging="38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82" w:lineRule="exact"/>
        <w:rPr>
          <w:rFonts w:ascii="Arial" w:cs="Arial" w:eastAsia="Arial" w:hAnsi="Arial"/>
          <w:sz w:val="18"/>
          <w:szCs w:val="18"/>
          <w:color w:val="auto"/>
        </w:rPr>
      </w:pPr>
    </w:p>
    <w:p>
      <w:pPr>
        <w:ind w:left="960" w:right="140" w:hanging="320"/>
        <w:spacing w:after="0" w:line="287" w:lineRule="auto"/>
        <w:tabs>
          <w:tab w:leader="none" w:pos="1017"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in the Prospectus Directive), as permitted under the Prospectus Directive, subject to obtaining the prior consent of the representatives; or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400"/>
          </w:cols>
          <w:pgMar w:left="1260" w:top="114" w:right="12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left="1020" w:hanging="38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8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provided that no such offer of shares shall require the Company or the representatives to publish a prospectus pursuant to Article 3 of the Prospectus Directive or supplement a prospectus pursuant to Article 16 of the Prospectus Directive.</w:t>
      </w:r>
    </w:p>
    <w:p>
      <w:pPr>
        <w:spacing w:after="0" w:line="148" w:lineRule="exact"/>
        <w:rPr>
          <w:sz w:val="20"/>
          <w:szCs w:val="20"/>
          <w:color w:val="auto"/>
        </w:rPr>
      </w:pPr>
    </w:p>
    <w:p>
      <w:pPr>
        <w:ind w:right="100"/>
        <w:spacing w:after="0" w:line="209" w:lineRule="auto"/>
        <w:rPr>
          <w:sz w:val="20"/>
          <w:szCs w:val="20"/>
          <w:color w:val="auto"/>
        </w:rPr>
      </w:pPr>
      <w:r>
        <w:rPr>
          <w:rFonts w:ascii="Arial" w:cs="Arial" w:eastAsia="Arial" w:hAnsi="Arial"/>
          <w:sz w:val="18"/>
          <w:szCs w:val="18"/>
          <w:color w:val="auto"/>
        </w:rPr>
        <w:t>Each person in a Relevant Member State who initially acquires any shares or to whom any offer is made will be deemed to have represented, acknowledged and agreed that it is a “qualified investor” within the meaning of the law in that Relevant Member State implementing Article 2(1)(e) of the Prospectus Directive. 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166"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We, the representatives and each of our and the representatives’ affiliates will rely upon the truth and accuracy of the foregoing representations, acknowledgements and agreements.</w:t>
      </w:r>
    </w:p>
    <w:p>
      <w:pPr>
        <w:spacing w:after="0" w:line="161"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color w:val="auto"/>
        </w:rPr>
        <w:t>This prospectus supplement has been prepared on the basis that any offer of shares in any Relevant Member State will be made pursuant to an exemption under the Prospectus Directive from the requirement to publish a prospectus for offers of shares. Accordingly, any person making or intending to make an offer in that Relevant Member State of shares which are the subject of the offering contemplated in this prospectus supplement may only do so in circumstances in which no obligation arises for the company or any of the underwriters to publish a prospectus pursuant to Article 3 of the Prospectus Directive in relation to such offer. Neither we nor the underwriters have authorized, nor do they authorize, the making of any offer of shares in circumstances in which an obligation arises for the company or the underwriters to publish a prospectus for such offer.</w:t>
      </w:r>
    </w:p>
    <w:p>
      <w:pPr>
        <w:spacing w:after="0" w:line="161" w:lineRule="exact"/>
        <w:rPr>
          <w:sz w:val="20"/>
          <w:szCs w:val="20"/>
          <w:color w:val="auto"/>
        </w:rPr>
      </w:pPr>
    </w:p>
    <w:p>
      <w:pPr>
        <w:ind w:right="40"/>
        <w:spacing w:after="0" w:line="224" w:lineRule="auto"/>
        <w:rPr>
          <w:sz w:val="20"/>
          <w:szCs w:val="20"/>
          <w:color w:val="auto"/>
        </w:rPr>
      </w:pPr>
      <w:r>
        <w:rPr>
          <w:rFonts w:ascii="Arial" w:cs="Arial" w:eastAsia="Arial" w:hAnsi="Arial"/>
          <w:sz w:val="17"/>
          <w:szCs w:val="17"/>
          <w:color w:val="auto"/>
        </w:rPr>
        <w:t>For the purpose of the above provisions,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MiFID II Product Governance</w:t>
      </w:r>
    </w:p>
    <w:p>
      <w:pPr>
        <w:spacing w:after="0" w:line="183" w:lineRule="exact"/>
        <w:rPr>
          <w:sz w:val="20"/>
          <w:szCs w:val="20"/>
          <w:color w:val="auto"/>
        </w:rPr>
      </w:pPr>
    </w:p>
    <w:p>
      <w:pPr>
        <w:ind w:right="40"/>
        <w:spacing w:after="0" w:line="218" w:lineRule="auto"/>
        <w:rPr>
          <w:sz w:val="20"/>
          <w:szCs w:val="20"/>
          <w:color w:val="auto"/>
        </w:rPr>
      </w:pPr>
      <w:r>
        <w:rPr>
          <w:rFonts w:ascii="Arial" w:cs="Arial" w:eastAsia="Arial" w:hAnsi="Arial"/>
          <w:sz w:val="18"/>
          <w:szCs w:val="18"/>
          <w:color w:val="auto"/>
        </w:rPr>
        <w:t>Any person offering, selling or recommending the shares (a “distributor”) should take into consideration the manufacturers’ target market assessment; however, a distributor subject to MiFID II is responsible for undertaking its own target market assessment in respect of the shares (by either adopting or refining the manufacturers’ target market assessment) and determining appropriate distribution channels.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83"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6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114" w:right="127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83"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60"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280"/>
          </w:cols>
          <w:pgMar w:left="1260" w:top="114" w:right="135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87" w:lineRule="exact"/>
        <w:rPr>
          <w:sz w:val="20"/>
          <w:szCs w:val="20"/>
          <w:color w:val="auto"/>
        </w:rPr>
      </w:pPr>
    </w:p>
    <w:p>
      <w:pPr>
        <w:ind w:right="300"/>
        <w:spacing w:after="0" w:line="223" w:lineRule="auto"/>
        <w:rPr>
          <w:sz w:val="20"/>
          <w:szCs w:val="20"/>
          <w:color w:val="auto"/>
        </w:rPr>
      </w:pPr>
      <w:r>
        <w:rPr>
          <w:rFonts w:ascii="Arial" w:cs="Arial" w:eastAsia="Arial" w:hAnsi="Arial"/>
          <w:sz w:val="18"/>
          <w:szCs w:val="18"/>
          <w:color w:val="auto"/>
        </w:rPr>
        <w:t>The validity of the common stock being offered by this prospectus supplement has been passed upon for us by DLA Piper LLP (US), Short Hills, New Jersey. Covington &amp; Burling LLP, New York, New York, is acting as counsel to the underwriters in connection with this offering.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87" w:lineRule="exact"/>
        <w:rPr>
          <w:sz w:val="20"/>
          <w:szCs w:val="20"/>
          <w:color w:val="auto"/>
        </w:rPr>
      </w:pPr>
    </w:p>
    <w:p>
      <w:pPr>
        <w:ind w:right="140"/>
        <w:spacing w:after="0" w:line="239" w:lineRule="auto"/>
        <w:rPr>
          <w:rFonts w:ascii="Arial" w:cs="Arial" w:eastAsia="Arial" w:hAnsi="Arial"/>
          <w:sz w:val="16"/>
          <w:szCs w:val="16"/>
          <w:color w:val="auto"/>
        </w:rPr>
      </w:pPr>
      <w:r>
        <w:rPr>
          <w:rFonts w:ascii="Arial" w:cs="Arial" w:eastAsia="Arial" w:hAnsi="Arial"/>
          <w:sz w:val="16"/>
          <w:szCs w:val="16"/>
          <w:color w:val="auto"/>
        </w:rPr>
        <w:t xml:space="preserve">Ernst &amp; Young LLP, independent registered public accounting firm, has audited our consolidated financial statements included in our </w:t>
      </w:r>
      <w:hyperlink r:id="rId35">
        <w:r>
          <w:rPr>
            <w:rFonts w:ascii="Arial" w:cs="Arial" w:eastAsia="Arial" w:hAnsi="Arial"/>
            <w:sz w:val="16"/>
            <w:szCs w:val="16"/>
            <w:u w:val="single" w:color="auto"/>
            <w:color w:val="0000EE"/>
          </w:rPr>
          <w:t>Annual Report on Form 10-K for the year ended December 31, 2018</w:t>
        </w:r>
      </w:hyperlink>
      <w:r>
        <w:rPr>
          <w:rFonts w:ascii="Arial" w:cs="Arial" w:eastAsia="Arial" w:hAnsi="Arial"/>
          <w:sz w:val="16"/>
          <w:szCs w:val="16"/>
          <w:color w:val="auto"/>
        </w:rPr>
        <w:t>, as set forth in their report, which is incorporated by reference in this prospectus supplement and elsewhere in the registration statement of which this prospectus forms a part. Our financial statements are, and audited financial statements to be included in subsequently filed documents will be, incorporated by reference in reliance on Ernst &amp; Young LLP's reports pertaining to such financial statements (to the extent covered by consents filed with the Securities and Exchange Commission), given on the authority as experts in accounting and auditing.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7"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This prospectus supplement and the accompanying prospectus form part of the automatic “shelf” registration statement on Form S-3ASR (File No. 333-235372) that we filed with the SEC as a “well-known seasoned issuer” as defined in Rule 405 under the Securities Act. This prospectus supplement and the accompanying prospectus does not contain all of the information set forth in the registration statement and the exhibits to the registration statement or the documents incorporated by reference herein and therein. For further information with respect to us and the securities that we are offering under this prospectus, we refer you to the registration statement and the exhibits and schedules filed as a part of the registration statement and the documents incorporated by reference herein and therein. You should rely only on the information contained in this prospectus supplement or the accompanying prospectus or incorporated by reference herein. We have not authorized anyone else to provide you with different information. We are not making an offer of these securities in any state where the offer is not permitted. You should not assume that the information in this prospectus supplement is accurate as of any date other than the date on the front page of this prospectus supplement, regardless of the time of delivery of this prospectus supplement or any sale of the securities offered hereby.</w:t>
      </w:r>
    </w:p>
    <w:p>
      <w:pPr>
        <w:spacing w:after="0" w:line="164"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 xml:space="preserve">We file annual, quarterly and other reports, proxy and information statements and other information with the Securities and Exchange Commission. The SEC maintains a website that contains reports, proxy statements and other information regarding us. The address of the SEC website is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We maintain a website at </w:t>
      </w:r>
      <w:r>
        <w:rPr>
          <w:rFonts w:ascii="Arial" w:cs="Arial" w:eastAsia="Arial" w:hAnsi="Arial"/>
          <w:sz w:val="17"/>
          <w:szCs w:val="17"/>
          <w:i w:val="1"/>
          <w:iCs w:val="1"/>
          <w:color w:val="auto"/>
        </w:rPr>
        <w:t>www.axsome.com</w:t>
      </w:r>
      <w:r>
        <w:rPr>
          <w:rFonts w:ascii="Arial" w:cs="Arial" w:eastAsia="Arial" w:hAnsi="Arial"/>
          <w:sz w:val="17"/>
          <w:szCs w:val="17"/>
          <w:color w:val="auto"/>
        </w:rPr>
        <w:t>. The information contained on, or that can be accessed through, our website is not a part of this prospectus supplement. Investors should not rely on any such information in deciding whether to purchase our common stock. We have included our website address in this prospectus supplement solely as an inactive textual reference.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400"/>
          </w:cols>
          <w:pgMar w:left="1260" w:top="114" w:right="12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87" w:lineRule="exact"/>
        <w:rPr>
          <w:sz w:val="20"/>
          <w:szCs w:val="20"/>
          <w:color w:val="auto"/>
        </w:rPr>
      </w:pPr>
    </w:p>
    <w:p>
      <w:pPr>
        <w:ind w:right="160"/>
        <w:spacing w:after="0" w:line="215" w:lineRule="auto"/>
        <w:rPr>
          <w:sz w:val="20"/>
          <w:szCs w:val="20"/>
          <w:color w:val="auto"/>
        </w:rPr>
      </w:pPr>
      <w:r>
        <w:rPr>
          <w:rFonts w:ascii="Arial" w:cs="Arial" w:eastAsia="Arial" w:hAnsi="Arial"/>
          <w:sz w:val="18"/>
          <w:szCs w:val="18"/>
          <w:color w:val="auto"/>
        </w:rPr>
        <w:t>The SEC allows us to incorporate by reference into this prospectus supplement and the accompanying prospectus certain information we file with it, which means that we can disclose important information by referring you to those documents. The information incorporated by reference is considered to be a part of this prospectus supplement and the accompanying prospectus and information that we file later with the SEC will automatically update and supersede information contained in this prospectus supplement and the accompanying prospectus.</w:t>
      </w:r>
    </w:p>
    <w:p>
      <w:pPr>
        <w:spacing w:after="0" w:line="162"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The following documents are incorporated by reference into this document (other than the portions of these documents deemed to be “furnished” or not deemed to be “filed,” including the portions of these documents that are furnished under Item 2.02 or Item 7.01 of a Current Report on Form 8-K, including any exhibits included with such Items):</w:t>
      </w:r>
    </w:p>
    <w:p>
      <w:pPr>
        <w:spacing w:after="0" w:line="160" w:lineRule="exact"/>
        <w:rPr>
          <w:sz w:val="20"/>
          <w:szCs w:val="20"/>
          <w:color w:val="auto"/>
        </w:rPr>
      </w:pPr>
    </w:p>
    <w:p>
      <w:pPr>
        <w:ind w:left="960" w:hanging="320"/>
        <w:spacing w:after="0" w:line="184" w:lineRule="exact"/>
        <w:tabs>
          <w:tab w:leader="none" w:pos="960" w:val="left"/>
        </w:tabs>
        <w:numPr>
          <w:ilvl w:val="0"/>
          <w:numId w:val="9"/>
        </w:numPr>
        <w:rPr>
          <w:rFonts w:ascii="Arial" w:cs="Arial" w:eastAsia="Arial" w:hAnsi="Arial"/>
          <w:sz w:val="16"/>
          <w:szCs w:val="16"/>
          <w:color w:val="0000EE"/>
        </w:rPr>
      </w:pPr>
      <w:hyperlink r:id="rId35">
        <w:r>
          <w:rPr>
            <w:rFonts w:ascii="Arial" w:cs="Arial" w:eastAsia="Arial" w:hAnsi="Arial"/>
            <w:sz w:val="16"/>
            <w:szCs w:val="16"/>
            <w:u w:val="single" w:color="auto"/>
            <w:color w:val="0000EE"/>
          </w:rPr>
          <w:t>our annual report on Form 10</w:t>
        </w:r>
        <w:r>
          <w:rPr>
            <w:rFonts w:ascii="MS PGothic" w:cs="MS PGothic" w:eastAsia="MS PGothic" w:hAnsi="MS PGothic"/>
            <w:sz w:val="16"/>
            <w:szCs w:val="16"/>
            <w:u w:val="single" w:color="auto"/>
            <w:color w:val="0000EE"/>
          </w:rPr>
          <w:t>‑</w:t>
        </w:r>
        <w:r>
          <w:rPr>
            <w:rFonts w:ascii="Arial" w:cs="Arial" w:eastAsia="Arial" w:hAnsi="Arial"/>
            <w:sz w:val="16"/>
            <w:szCs w:val="16"/>
            <w:u w:val="single" w:color="auto"/>
            <w:color w:val="0000EE"/>
          </w:rPr>
          <w:t>K for the fiscal year ended December 31, 2018 filed with the SEC on March 15, 2019</w:t>
        </w:r>
      </w:hyperlink>
      <w:r>
        <w:rPr>
          <w:rFonts w:ascii="Arial" w:cs="Arial" w:eastAsia="Arial" w:hAnsi="Arial"/>
          <w:sz w:val="16"/>
          <w:szCs w:val="16"/>
          <w:color w:val="000000"/>
        </w:rPr>
        <w:t>;</w:t>
      </w:r>
    </w:p>
    <w:p>
      <w:pPr>
        <w:spacing w:after="0" w:line="6" w:lineRule="exact"/>
        <w:rPr>
          <w:rFonts w:ascii="Arial" w:cs="Arial" w:eastAsia="Arial" w:hAnsi="Arial"/>
          <w:sz w:val="16"/>
          <w:szCs w:val="16"/>
          <w:color w:val="0000EE"/>
        </w:rPr>
      </w:pPr>
    </w:p>
    <w:p>
      <w:pPr>
        <w:ind w:left="960" w:hanging="320"/>
        <w:spacing w:after="0" w:line="202" w:lineRule="auto"/>
        <w:tabs>
          <w:tab w:leader="none" w:pos="960" w:val="left"/>
        </w:tabs>
        <w:numPr>
          <w:ilvl w:val="0"/>
          <w:numId w:val="9"/>
        </w:numPr>
        <w:rPr>
          <w:rFonts w:ascii="Arial" w:cs="Arial" w:eastAsia="Arial" w:hAnsi="Arial"/>
          <w:sz w:val="18"/>
          <w:szCs w:val="18"/>
          <w:color w:val="0000EE"/>
        </w:rPr>
      </w:pPr>
      <w:hyperlink r:id="rId37">
        <w:r>
          <w:rPr>
            <w:rFonts w:ascii="Arial" w:cs="Arial" w:eastAsia="Arial" w:hAnsi="Arial"/>
            <w:sz w:val="18"/>
            <w:szCs w:val="18"/>
            <w:u w:val="single" w:color="auto"/>
            <w:color w:val="0000EE"/>
          </w:rPr>
          <w:t>the information contained in our definitive proxy statement on Schedule 14A for our 2019 Annual Meeting of</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Stockholders, filed with the SEC on April 26, 2019, to the extent incorporated by reference in Part III of the Form 10</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K for the fiscal year ended December 31, 2018</w:t>
        </w:r>
        <w:r>
          <w:rPr>
            <w:rFonts w:ascii="Arial" w:cs="Arial" w:eastAsia="Arial" w:hAnsi="Arial"/>
            <w:sz w:val="18"/>
            <w:szCs w:val="18"/>
            <w:color w:val="000000"/>
          </w:rPr>
          <w:t>;</w:t>
        </w:r>
      </w:hyperlink>
    </w:p>
    <w:p>
      <w:pPr>
        <w:spacing w:after="0" w:line="1" w:lineRule="exact"/>
        <w:rPr>
          <w:rFonts w:ascii="Arial" w:cs="Arial" w:eastAsia="Arial" w:hAnsi="Arial"/>
          <w:sz w:val="18"/>
          <w:szCs w:val="18"/>
          <w:color w:val="0000EE"/>
        </w:rPr>
      </w:pPr>
    </w:p>
    <w:p>
      <w:pPr>
        <w:ind w:left="960" w:hanging="320"/>
        <w:spacing w:after="0" w:line="227" w:lineRule="auto"/>
        <w:tabs>
          <w:tab w:leader="none" w:pos="960" w:val="left"/>
        </w:tabs>
        <w:numPr>
          <w:ilvl w:val="0"/>
          <w:numId w:val="9"/>
        </w:numPr>
        <w:rPr>
          <w:rFonts w:ascii="Arial" w:cs="Arial" w:eastAsia="Arial" w:hAnsi="Arial"/>
          <w:sz w:val="16"/>
          <w:szCs w:val="16"/>
          <w:color w:val="0000EE"/>
        </w:rPr>
      </w:pPr>
      <w:hyperlink r:id="rId38">
        <w:r>
          <w:rPr>
            <w:rFonts w:ascii="Arial" w:cs="Arial" w:eastAsia="Arial" w:hAnsi="Arial"/>
            <w:sz w:val="16"/>
            <w:szCs w:val="16"/>
            <w:u w:val="single" w:color="auto"/>
            <w:color w:val="0000EE"/>
          </w:rPr>
          <w:t>our quarterly report on Form 10-Q for the three months ended March 31, 2019 filed with the SEC on May 9, 2019</w:t>
        </w:r>
      </w:hyperlink>
      <w:r>
        <w:rPr>
          <w:rFonts w:ascii="Arial" w:cs="Arial" w:eastAsia="Arial" w:hAnsi="Arial"/>
          <w:sz w:val="16"/>
          <w:szCs w:val="16"/>
          <w:color w:val="000000"/>
        </w:rPr>
        <w:t>;</w:t>
      </w:r>
    </w:p>
    <w:p>
      <w:pPr>
        <w:ind w:left="960" w:hanging="320"/>
        <w:spacing w:after="0" w:line="227" w:lineRule="auto"/>
        <w:tabs>
          <w:tab w:leader="none" w:pos="960" w:val="left"/>
        </w:tabs>
        <w:numPr>
          <w:ilvl w:val="0"/>
          <w:numId w:val="9"/>
        </w:numPr>
        <w:rPr>
          <w:rFonts w:ascii="Arial" w:cs="Arial" w:eastAsia="Arial" w:hAnsi="Arial"/>
          <w:sz w:val="16"/>
          <w:szCs w:val="16"/>
          <w:color w:val="0000EE"/>
        </w:rPr>
      </w:pPr>
      <w:hyperlink r:id="rId39">
        <w:r>
          <w:rPr>
            <w:rFonts w:ascii="Arial" w:cs="Arial" w:eastAsia="Arial" w:hAnsi="Arial"/>
            <w:sz w:val="16"/>
            <w:szCs w:val="16"/>
            <w:u w:val="single" w:color="auto"/>
            <w:color w:val="0000EE"/>
          </w:rPr>
          <w:t>our quarterly report on Form 10-Q for the three months ended June 30, 2019 filed with the SEC on August 8, 2019</w:t>
        </w:r>
      </w:hyperlink>
      <w:r>
        <w:rPr>
          <w:rFonts w:ascii="Arial" w:cs="Arial" w:eastAsia="Arial" w:hAnsi="Arial"/>
          <w:sz w:val="16"/>
          <w:szCs w:val="16"/>
          <w:color w:val="000000"/>
        </w:rPr>
        <w:t>;</w:t>
      </w:r>
    </w:p>
    <w:p>
      <w:pPr>
        <w:ind w:left="960" w:right="80" w:hanging="320"/>
        <w:spacing w:after="0" w:line="202" w:lineRule="auto"/>
        <w:tabs>
          <w:tab w:leader="none" w:pos="960" w:val="left"/>
        </w:tabs>
        <w:numPr>
          <w:ilvl w:val="0"/>
          <w:numId w:val="9"/>
        </w:numPr>
        <w:rPr>
          <w:rFonts w:ascii="Arial" w:cs="Arial" w:eastAsia="Arial" w:hAnsi="Arial"/>
          <w:sz w:val="18"/>
          <w:szCs w:val="18"/>
          <w:color w:val="0000EE"/>
        </w:rPr>
      </w:pPr>
      <w:hyperlink r:id="rId40">
        <w:r>
          <w:rPr>
            <w:rFonts w:ascii="Arial" w:cs="Arial" w:eastAsia="Arial" w:hAnsi="Arial"/>
            <w:sz w:val="18"/>
            <w:szCs w:val="18"/>
            <w:u w:val="single" w:color="auto"/>
            <w:color w:val="0000EE"/>
          </w:rPr>
          <w:t>our quarterly report on Form 10-Q for the three months ended September 30, 2019 filed with the SEC on November</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7, 2019</w:t>
        </w:r>
        <w:r>
          <w:rPr>
            <w:rFonts w:ascii="Arial" w:cs="Arial" w:eastAsia="Arial" w:hAnsi="Arial"/>
            <w:sz w:val="18"/>
            <w:szCs w:val="18"/>
            <w:color w:val="000000"/>
          </w:rPr>
          <w:t>;</w:t>
        </w:r>
      </w:hyperlink>
    </w:p>
    <w:p>
      <w:pPr>
        <w:spacing w:after="0" w:line="1" w:lineRule="exact"/>
        <w:rPr>
          <w:rFonts w:ascii="Arial" w:cs="Arial" w:eastAsia="Arial" w:hAnsi="Arial"/>
          <w:sz w:val="18"/>
          <w:szCs w:val="18"/>
          <w:color w:val="0000EE"/>
        </w:rPr>
      </w:pPr>
    </w:p>
    <w:p>
      <w:pPr>
        <w:ind w:left="960" w:right="80" w:hanging="320"/>
        <w:spacing w:after="0" w:line="227" w:lineRule="auto"/>
        <w:tabs>
          <w:tab w:leader="none" w:pos="960" w:val="left"/>
        </w:tabs>
        <w:numPr>
          <w:ilvl w:val="0"/>
          <w:numId w:val="9"/>
        </w:numPr>
        <w:rPr>
          <w:rFonts w:ascii="Arial" w:cs="Arial" w:eastAsia="Arial" w:hAnsi="Arial"/>
          <w:sz w:val="16"/>
          <w:szCs w:val="16"/>
          <w:color w:val="0000EE"/>
        </w:rPr>
      </w:pPr>
      <w:hyperlink r:id="rId41">
        <w:r>
          <w:rPr>
            <w:rFonts w:ascii="Arial" w:cs="Arial" w:eastAsia="Arial" w:hAnsi="Arial"/>
            <w:sz w:val="16"/>
            <w:szCs w:val="16"/>
            <w:color w:val="auto"/>
          </w:rPr>
          <w:t xml:space="preserve">our current reports on Form 8-K filed with the SEC on </w:t>
        </w:r>
        <w:r>
          <w:rPr>
            <w:rFonts w:ascii="Arial" w:cs="Arial" w:eastAsia="Arial" w:hAnsi="Arial"/>
            <w:sz w:val="16"/>
            <w:szCs w:val="16"/>
            <w:u w:val="single" w:color="auto"/>
            <w:color w:val="0000EE"/>
          </w:rPr>
          <w:t>January 7, 2019 (two filings)</w:t>
        </w:r>
        <w:r>
          <w:rPr>
            <w:rFonts w:ascii="Arial" w:cs="Arial" w:eastAsia="Arial" w:hAnsi="Arial"/>
            <w:sz w:val="16"/>
            <w:szCs w:val="16"/>
            <w:color w:val="auto"/>
          </w:rPr>
          <w:t xml:space="preserve">; </w:t>
        </w:r>
        <w:r>
          <w:rPr>
            <w:rFonts w:ascii="Arial" w:cs="Arial" w:eastAsia="Arial" w:hAnsi="Arial"/>
            <w:sz w:val="16"/>
            <w:szCs w:val="16"/>
            <w:u w:val="single" w:color="auto"/>
            <w:color w:val="0000EE"/>
          </w:rPr>
          <w:t>January 8, 2019</w:t>
        </w:r>
        <w:r>
          <w:rPr>
            <w:rFonts w:ascii="Arial" w:cs="Arial" w:eastAsia="Arial" w:hAnsi="Arial"/>
            <w:sz w:val="16"/>
            <w:szCs w:val="16"/>
            <w:color w:val="auto"/>
          </w:rPr>
          <w:t xml:space="preserve">; </w:t>
        </w:r>
        <w:r>
          <w:rPr>
            <w:rFonts w:ascii="Arial" w:cs="Arial" w:eastAsia="Arial" w:hAnsi="Arial"/>
            <w:sz w:val="16"/>
            <w:szCs w:val="16"/>
            <w:u w:val="single" w:color="auto"/>
            <w:color w:val="0000EE"/>
          </w:rPr>
          <w:t>January 30,</w:t>
        </w:r>
      </w:hyperlink>
      <w:r>
        <w:rPr>
          <w:rFonts w:ascii="Arial" w:cs="Arial" w:eastAsia="Arial" w:hAnsi="Arial"/>
          <w:sz w:val="16"/>
          <w:szCs w:val="16"/>
          <w:color w:val="auto"/>
        </w:rPr>
        <w:t xml:space="preserve"> </w:t>
      </w:r>
      <w:hyperlink r:id="rId42">
        <w:r>
          <w:rPr>
            <w:rFonts w:ascii="Arial" w:cs="Arial" w:eastAsia="Arial" w:hAnsi="Arial"/>
            <w:sz w:val="16"/>
            <w:szCs w:val="16"/>
            <w:u w:val="single" w:color="auto"/>
            <w:color w:val="0000EE"/>
          </w:rPr>
          <w:t>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February 6,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March 4,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March 6,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March 14,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March 27,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April 15,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May</w:t>
        </w:r>
      </w:hyperlink>
      <w:r>
        <w:rPr>
          <w:rFonts w:ascii="Arial" w:cs="Arial" w:eastAsia="Arial" w:hAnsi="Arial"/>
          <w:sz w:val="16"/>
          <w:szCs w:val="16"/>
          <w:color w:val="0000EE"/>
        </w:rPr>
        <w:t xml:space="preserve"> </w:t>
      </w:r>
      <w:hyperlink r:id="rId42">
        <w:r>
          <w:rPr>
            <w:rFonts w:ascii="Arial" w:cs="Arial" w:eastAsia="Arial" w:hAnsi="Arial"/>
            <w:sz w:val="16"/>
            <w:szCs w:val="16"/>
            <w:u w:val="single" w:color="auto"/>
            <w:color w:val="0000EE"/>
          </w:rPr>
          <w:t>6, 2019</w:t>
        </w:r>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43">
        <w:r>
          <w:rPr>
            <w:rFonts w:ascii="Arial" w:cs="Arial" w:eastAsia="Arial" w:hAnsi="Arial"/>
            <w:sz w:val="16"/>
            <w:szCs w:val="16"/>
            <w:u w:val="single" w:color="auto"/>
            <w:color w:val="0000EE"/>
          </w:rPr>
          <w:t xml:space="preserve">May 9, 2019 </w:t>
        </w:r>
      </w:hyperlink>
      <w:hyperlink r:id="rId44">
        <w:r>
          <w:rPr>
            <w:rFonts w:ascii="Arial" w:cs="Arial" w:eastAsia="Arial" w:hAnsi="Arial"/>
            <w:sz w:val="16"/>
            <w:szCs w:val="16"/>
            <w:u w:val="single" w:color="auto"/>
            <w:color w:val="0000EE"/>
          </w:rPr>
          <w:t>(two filings)</w:t>
        </w:r>
      </w:hyperlink>
      <w:hyperlink r:id="rId42">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45">
        <w:r>
          <w:rPr>
            <w:rFonts w:ascii="Arial" w:cs="Arial" w:eastAsia="Arial" w:hAnsi="Arial"/>
            <w:sz w:val="16"/>
            <w:szCs w:val="16"/>
            <w:u w:val="single" w:color="auto"/>
            <w:color w:val="0000EE"/>
          </w:rPr>
          <w:t>June 7, 2019</w:t>
        </w:r>
      </w:hyperlink>
      <w:hyperlink r:id="rId42">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46">
        <w:r>
          <w:rPr>
            <w:rFonts w:ascii="Arial" w:cs="Arial" w:eastAsia="Arial" w:hAnsi="Arial"/>
            <w:sz w:val="16"/>
            <w:szCs w:val="16"/>
            <w:u w:val="single" w:color="auto"/>
            <w:color w:val="0000EE"/>
          </w:rPr>
          <w:t>June 24, 2019</w:t>
        </w:r>
      </w:hyperlink>
      <w:hyperlink r:id="rId42">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47">
        <w:r>
          <w:rPr>
            <w:rFonts w:ascii="Arial" w:cs="Arial" w:eastAsia="Arial" w:hAnsi="Arial"/>
            <w:sz w:val="16"/>
            <w:szCs w:val="16"/>
            <w:u w:val="single" w:color="auto"/>
            <w:color w:val="0000EE"/>
          </w:rPr>
          <w:t>July 11, 2019</w:t>
        </w:r>
      </w:hyperlink>
      <w:hyperlink r:id="rId42">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48">
        <w:r>
          <w:rPr>
            <w:rFonts w:ascii="Arial" w:cs="Arial" w:eastAsia="Arial" w:hAnsi="Arial"/>
            <w:sz w:val="16"/>
            <w:szCs w:val="16"/>
            <w:u w:val="single" w:color="auto"/>
            <w:color w:val="0000EE"/>
          </w:rPr>
          <w:t>July 29, 2019</w:t>
        </w:r>
      </w:hyperlink>
      <w:hyperlink r:id="rId42">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49">
        <w:r>
          <w:rPr>
            <w:rFonts w:ascii="Arial" w:cs="Arial" w:eastAsia="Arial" w:hAnsi="Arial"/>
            <w:sz w:val="16"/>
            <w:szCs w:val="16"/>
            <w:u w:val="single" w:color="auto"/>
            <w:color w:val="0000EE"/>
          </w:rPr>
          <w:t>August 8, 2019</w:t>
        </w:r>
      </w:hyperlink>
      <w:hyperlink r:id="rId42">
        <w:r>
          <w:rPr>
            <w:rFonts w:ascii="Arial" w:cs="Arial" w:eastAsia="Arial" w:hAnsi="Arial"/>
            <w:sz w:val="16"/>
            <w:szCs w:val="16"/>
            <w:color w:val="000000"/>
          </w:rPr>
          <w:t>;</w:t>
        </w:r>
      </w:hyperlink>
      <w:r>
        <w:rPr>
          <w:rFonts w:ascii="Arial" w:cs="Arial" w:eastAsia="Arial" w:hAnsi="Arial"/>
          <w:sz w:val="16"/>
          <w:szCs w:val="16"/>
          <w:color w:val="0000EE"/>
        </w:rPr>
        <w:t xml:space="preserve"> </w:t>
      </w:r>
      <w:hyperlink r:id="rId50">
        <w:r>
          <w:rPr>
            <w:rFonts w:ascii="Arial" w:cs="Arial" w:eastAsia="Arial" w:hAnsi="Arial"/>
            <w:sz w:val="16"/>
            <w:szCs w:val="16"/>
            <w:u w:val="single" w:color="auto"/>
            <w:color w:val="0000EE"/>
          </w:rPr>
          <w:t>August 20,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September 5,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October 2,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October 16,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October 21,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October 28,</w:t>
        </w:r>
      </w:hyperlink>
    </w:p>
    <w:p>
      <w:pPr>
        <w:spacing w:after="0" w:line="2" w:lineRule="exact"/>
        <w:rPr>
          <w:rFonts w:ascii="Arial" w:cs="Arial" w:eastAsia="Arial" w:hAnsi="Arial"/>
          <w:sz w:val="16"/>
          <w:szCs w:val="16"/>
          <w:color w:val="0000EE"/>
        </w:rPr>
      </w:pPr>
    </w:p>
    <w:p>
      <w:pPr>
        <w:ind w:left="960" w:right="60"/>
        <w:spacing w:after="0" w:line="202" w:lineRule="auto"/>
        <w:rPr>
          <w:rFonts w:ascii="Arial" w:cs="Arial" w:eastAsia="Arial" w:hAnsi="Arial"/>
          <w:sz w:val="18"/>
          <w:szCs w:val="18"/>
          <w:color w:val="0000EE"/>
        </w:rPr>
      </w:pPr>
      <w:hyperlink r:id="rId50">
        <w:r>
          <w:rPr>
            <w:rFonts w:ascii="Arial" w:cs="Arial" w:eastAsia="Arial" w:hAnsi="Arial"/>
            <w:sz w:val="18"/>
            <w:szCs w:val="18"/>
            <w:u w:val="single" w:color="auto"/>
            <w:color w:val="0000EE"/>
          </w:rPr>
          <w:t xml:space="preserve">2019 </w:t>
        </w:r>
      </w:hyperlink>
      <w:hyperlink r:id="rId51">
        <w:r>
          <w:rPr>
            <w:rFonts w:ascii="Arial" w:cs="Arial" w:eastAsia="Arial" w:hAnsi="Arial"/>
            <w:sz w:val="18"/>
            <w:szCs w:val="18"/>
            <w:u w:val="single" w:color="auto"/>
            <w:color w:val="0000EE"/>
          </w:rPr>
          <w:t>(two filings)</w:t>
        </w:r>
      </w:hyperlink>
      <w:hyperlink r:id="rId5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52">
        <w:r>
          <w:rPr>
            <w:rFonts w:ascii="Arial" w:cs="Arial" w:eastAsia="Arial" w:hAnsi="Arial"/>
            <w:sz w:val="18"/>
            <w:szCs w:val="18"/>
            <w:u w:val="single" w:color="auto"/>
            <w:color w:val="0000EE"/>
          </w:rPr>
          <w:t xml:space="preserve">November 7, 2019 </w:t>
        </w:r>
      </w:hyperlink>
      <w:hyperlink r:id="rId53">
        <w:r>
          <w:rPr>
            <w:rFonts w:ascii="Arial" w:cs="Arial" w:eastAsia="Arial" w:hAnsi="Arial"/>
            <w:sz w:val="18"/>
            <w:szCs w:val="18"/>
            <w:u w:val="single" w:color="auto"/>
            <w:color w:val="0000EE"/>
          </w:rPr>
          <w:t>(two filings)</w:t>
        </w:r>
      </w:hyperlink>
      <w:hyperlink r:id="rId5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54">
        <w:r>
          <w:rPr>
            <w:rFonts w:ascii="Arial" w:cs="Arial" w:eastAsia="Arial" w:hAnsi="Arial"/>
            <w:sz w:val="18"/>
            <w:szCs w:val="18"/>
            <w:u w:val="single" w:color="auto"/>
            <w:color w:val="0000EE"/>
          </w:rPr>
          <w:t>December 3, 2019</w:t>
        </w:r>
      </w:hyperlink>
      <w:hyperlink r:id="rId5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55">
        <w:r>
          <w:rPr>
            <w:rFonts w:ascii="Arial" w:cs="Arial" w:eastAsia="Arial" w:hAnsi="Arial"/>
            <w:sz w:val="18"/>
            <w:szCs w:val="18"/>
            <w:u w:val="single" w:color="auto"/>
            <w:color w:val="0000EE"/>
          </w:rPr>
          <w:t xml:space="preserve">December 5, 2019 </w:t>
        </w:r>
      </w:hyperlink>
      <w:hyperlink r:id="rId50">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56">
        <w:r>
          <w:rPr>
            <w:rFonts w:ascii="Arial" w:cs="Arial" w:eastAsia="Arial" w:hAnsi="Arial"/>
            <w:sz w:val="18"/>
            <w:szCs w:val="18"/>
            <w:u w:val="single" w:color="auto"/>
            <w:color w:val="0000EE"/>
          </w:rPr>
          <w:t>December 16,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1" w:lineRule="exact"/>
        <w:rPr>
          <w:rFonts w:ascii="Arial" w:cs="Arial" w:eastAsia="Arial" w:hAnsi="Arial"/>
          <w:sz w:val="18"/>
          <w:szCs w:val="18"/>
          <w:color w:val="0000EE"/>
        </w:rPr>
      </w:pPr>
    </w:p>
    <w:p>
      <w:pPr>
        <w:ind w:left="960" w:right="40" w:hanging="320"/>
        <w:spacing w:after="0" w:line="188" w:lineRule="exact"/>
        <w:tabs>
          <w:tab w:leader="none" w:pos="960" w:val="left"/>
        </w:tabs>
        <w:numPr>
          <w:ilvl w:val="0"/>
          <w:numId w:val="9"/>
        </w:numPr>
        <w:rPr>
          <w:rFonts w:ascii="Arial" w:cs="Arial" w:eastAsia="Arial" w:hAnsi="Arial"/>
          <w:sz w:val="18"/>
          <w:szCs w:val="18"/>
          <w:color w:val="0000EE"/>
        </w:rPr>
      </w:pPr>
      <w:hyperlink r:id="rId57">
        <w:r>
          <w:rPr>
            <w:rFonts w:ascii="Arial" w:cs="Arial" w:eastAsia="Arial" w:hAnsi="Arial"/>
            <w:sz w:val="18"/>
            <w:szCs w:val="18"/>
            <w:color w:val="auto"/>
          </w:rPr>
          <w:t xml:space="preserve">the description of our common stock contained in our registration statement on </w:t>
        </w:r>
        <w:r>
          <w:rPr>
            <w:rFonts w:ascii="Arial" w:cs="Arial" w:eastAsia="Arial" w:hAnsi="Arial"/>
            <w:sz w:val="18"/>
            <w:szCs w:val="18"/>
            <w:u w:val="single" w:color="auto"/>
            <w:color w:val="0000EE"/>
          </w:rPr>
          <w:t>Form 8</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A12B, filed with the SEC on</w:t>
        </w:r>
      </w:hyperlink>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0000EE"/>
          </w:rPr>
          <w:t>November 16, 2015 (File No. 001-37635)</w:t>
        </w:r>
        <w:r>
          <w:rPr>
            <w:rFonts w:ascii="Arial" w:cs="Arial" w:eastAsia="Arial" w:hAnsi="Arial"/>
            <w:sz w:val="18"/>
            <w:szCs w:val="18"/>
            <w:color w:val="000000"/>
          </w:rPr>
          <w:t>, and all amendments or reports filed for the purpose of updating such</w:t>
        </w:r>
      </w:hyperlink>
      <w:r>
        <w:rPr>
          <w:rFonts w:ascii="Arial" w:cs="Arial" w:eastAsia="Arial" w:hAnsi="Arial"/>
          <w:sz w:val="18"/>
          <w:szCs w:val="18"/>
          <w:color w:val="0000EE"/>
        </w:rPr>
        <w:t xml:space="preserve"> </w:t>
      </w:r>
      <w:r>
        <w:rPr>
          <w:rFonts w:ascii="Arial" w:cs="Arial" w:eastAsia="Arial" w:hAnsi="Arial"/>
          <w:sz w:val="18"/>
          <w:szCs w:val="18"/>
          <w:color w:val="000000"/>
        </w:rPr>
        <w:t>description.</w:t>
      </w:r>
    </w:p>
    <w:p>
      <w:pPr>
        <w:spacing w:after="0" w:line="122" w:lineRule="exact"/>
        <w:rPr>
          <w:rFonts w:ascii="Arial" w:cs="Arial" w:eastAsia="Arial" w:hAnsi="Arial"/>
          <w:sz w:val="18"/>
          <w:szCs w:val="18"/>
          <w:color w:val="auto"/>
        </w:rPr>
      </w:pPr>
    </w:p>
    <w:p>
      <w:pPr>
        <w:spacing w:after="0" w:line="242" w:lineRule="auto"/>
        <w:rPr>
          <w:sz w:val="20"/>
          <w:szCs w:val="20"/>
          <w:color w:val="auto"/>
        </w:rPr>
      </w:pPr>
      <w:r>
        <w:rPr>
          <w:rFonts w:ascii="Arial" w:cs="Arial" w:eastAsia="Arial" w:hAnsi="Arial"/>
          <w:sz w:val="16"/>
          <w:szCs w:val="16"/>
          <w:color w:val="auto"/>
        </w:rPr>
        <w:t>We also incorporate by reference into this prospectus supplement and the accompanying prospectus all documents (other than Current Reports furnished under Item 2.02 or Item 7.01 of Form 8-K and exhibits filed on such form that are related to such items) that are filed by us with the SEC pursuant to Sections 13(a), 13(c), 14 or 15(d) of the Exchange Act after the date of this prospectus supplement and until the completion or termination of the offering contemplated hereby. These documents include periodic reports, such as Annual Reports on Form 10-K, Quarterly Reports on Form 10-Q and Current Reports on Form 8-K.</w:t>
      </w:r>
    </w:p>
    <w:p>
      <w:pPr>
        <w:spacing w:after="0" w:line="54" w:lineRule="exact"/>
        <w:rPr>
          <w:rFonts w:ascii="Arial" w:cs="Arial" w:eastAsia="Arial" w:hAnsi="Arial"/>
          <w:sz w:val="18"/>
          <w:szCs w:val="18"/>
          <w:color w:val="auto"/>
        </w:rPr>
      </w:pPr>
    </w:p>
    <w:p>
      <w:pPr>
        <w:ind w:right="60"/>
        <w:spacing w:after="0" w:line="218"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55" w:lineRule="exact"/>
        <w:rPr>
          <w:rFonts w:ascii="Arial" w:cs="Arial" w:eastAsia="Arial" w:hAnsi="Arial"/>
          <w:sz w:val="18"/>
          <w:szCs w:val="18"/>
          <w:color w:val="auto"/>
        </w:rPr>
      </w:pPr>
    </w:p>
    <w:p>
      <w:pPr>
        <w:ind w:right="120"/>
        <w:spacing w:after="0" w:line="239" w:lineRule="auto"/>
        <w:rPr>
          <w:sz w:val="20"/>
          <w:szCs w:val="20"/>
          <w:color w:val="auto"/>
        </w:rPr>
      </w:pPr>
      <w:r>
        <w:rPr>
          <w:rFonts w:ascii="Arial" w:cs="Arial" w:eastAsia="Arial" w:hAnsi="Arial"/>
          <w:sz w:val="16"/>
          <w:szCs w:val="16"/>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You may also obtain, free of charge, a copy of any of these documents (other than exhibits to these documents, unless the exhibits are specifically incorporated by reference into these documents or referred to in this prospectus supplement or the accompanying prospectus) by writing or calling us at the following address and telephone number:</w:t>
      </w:r>
    </w:p>
    <w:p>
      <w:pPr>
        <w:spacing w:after="0" w:line="41"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Axsome Therapeutics, Inc.</w:t>
      </w:r>
    </w:p>
    <w:p>
      <w:pPr>
        <w:ind w:left="4360" w:right="4140" w:hanging="191"/>
        <w:spacing w:after="0" w:line="266" w:lineRule="auto"/>
        <w:tabs>
          <w:tab w:leader="none" w:pos="4484" w:val="left"/>
        </w:tabs>
        <w:numPr>
          <w:ilvl w:val="0"/>
          <w:numId w:val="10"/>
        </w:numPr>
        <w:rPr>
          <w:rFonts w:ascii="Arial" w:cs="Arial" w:eastAsia="Arial" w:hAnsi="Arial"/>
          <w:sz w:val="16"/>
          <w:szCs w:val="16"/>
          <w:color w:val="auto"/>
        </w:rPr>
      </w:pPr>
      <w:r>
        <w:rPr>
          <w:rFonts w:ascii="Arial" w:cs="Arial" w:eastAsia="Arial" w:hAnsi="Arial"/>
          <w:sz w:val="16"/>
          <w:szCs w:val="16"/>
          <w:color w:val="auto"/>
        </w:rPr>
        <w:t>Broadway 3rd Floor</w:t>
      </w:r>
    </w:p>
    <w:p>
      <w:pPr>
        <w:spacing w:after="0" w:line="100" w:lineRule="exact"/>
        <w:rPr>
          <w:rFonts w:ascii="Arial" w:cs="Arial" w:eastAsia="Arial" w:hAnsi="Arial"/>
          <w:sz w:val="18"/>
          <w:szCs w:val="18"/>
          <w:color w:val="auto"/>
        </w:rPr>
      </w:pPr>
    </w:p>
    <w:p>
      <w:pPr>
        <w:ind w:left="4520" w:right="4100" w:hanging="386"/>
        <w:spacing w:after="0" w:line="1076" w:lineRule="auto"/>
        <w:tabs>
          <w:tab w:leader="none" w:pos="4562" w:val="left"/>
        </w:tabs>
        <w:numPr>
          <w:ilvl w:val="0"/>
          <w:numId w:val="11"/>
        </w:numPr>
        <w:rPr>
          <w:rFonts w:ascii="Arial" w:cs="Arial" w:eastAsia="Arial" w:hAnsi="Arial"/>
          <w:sz w:val="16"/>
          <w:szCs w:val="16"/>
          <w:color w:val="auto"/>
        </w:rPr>
      </w:pPr>
      <w:r>
        <w:rPr>
          <w:rFonts w:ascii="Arial" w:cs="Arial" w:eastAsia="Arial" w:hAnsi="Arial"/>
          <w:sz w:val="16"/>
          <w:szCs w:val="16"/>
          <w:color w:val="auto"/>
        </w:rPr>
        <w:t>332-3241 S-18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596646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114" w:right="127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1764030</wp:posOffset>
            </wp:positionH>
            <wp:positionV relativeFrom="paragraph">
              <wp:posOffset>136525</wp:posOffset>
            </wp:positionV>
            <wp:extent cx="2432685" cy="7512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extLst>
                    </a:blip>
                    <a:srcRect/>
                    <a:stretch>
                      <a:fillRect/>
                    </a:stretch>
                  </pic:blipFill>
                  <pic:spPr bwMode="auto">
                    <a:xfrm>
                      <a:off x="0" y="0"/>
                      <a:ext cx="2432685" cy="75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line="202" w:lineRule="auto"/>
        <w:rPr>
          <w:sz w:val="20"/>
          <w:szCs w:val="20"/>
          <w:color w:val="auto"/>
        </w:rPr>
      </w:pPr>
      <w:r>
        <w:rPr>
          <w:rFonts w:ascii="Arial" w:cs="Arial" w:eastAsia="Arial" w:hAnsi="Arial"/>
          <w:sz w:val="18"/>
          <w:szCs w:val="18"/>
          <w:b w:val="1"/>
          <w:bCs w:val="1"/>
          <w:color w:val="auto"/>
        </w:rPr>
        <w:t>Common Stock</w:t>
      </w:r>
    </w:p>
    <w:p>
      <w:pPr>
        <w:jc w:val="center"/>
        <w:spacing w:after="0" w:line="203" w:lineRule="auto"/>
        <w:rPr>
          <w:sz w:val="20"/>
          <w:szCs w:val="20"/>
          <w:color w:val="auto"/>
        </w:rPr>
      </w:pPr>
      <w:r>
        <w:rPr>
          <w:rFonts w:ascii="Arial" w:cs="Arial" w:eastAsia="Arial" w:hAnsi="Arial"/>
          <w:sz w:val="18"/>
          <w:szCs w:val="18"/>
          <w:b w:val="1"/>
          <w:bCs w:val="1"/>
          <w:color w:val="auto"/>
        </w:rPr>
        <w:t>Preferred Stock</w:t>
      </w:r>
    </w:p>
    <w:p>
      <w:pPr>
        <w:jc w:val="center"/>
        <w:spacing w:after="0" w:line="202" w:lineRule="auto"/>
        <w:rPr>
          <w:sz w:val="20"/>
          <w:szCs w:val="20"/>
          <w:color w:val="auto"/>
        </w:rPr>
      </w:pPr>
      <w:r>
        <w:rPr>
          <w:rFonts w:ascii="Arial" w:cs="Arial" w:eastAsia="Arial" w:hAnsi="Arial"/>
          <w:sz w:val="18"/>
          <w:szCs w:val="18"/>
          <w:b w:val="1"/>
          <w:bCs w:val="1"/>
          <w:color w:val="auto"/>
        </w:rPr>
        <w:t>Warrants</w:t>
      </w:r>
    </w:p>
    <w:p>
      <w:pPr>
        <w:jc w:val="center"/>
        <w:spacing w:after="0" w:line="203" w:lineRule="auto"/>
        <w:rPr>
          <w:sz w:val="20"/>
          <w:szCs w:val="20"/>
          <w:color w:val="auto"/>
        </w:rPr>
      </w:pPr>
      <w:r>
        <w:rPr>
          <w:rFonts w:ascii="Arial" w:cs="Arial" w:eastAsia="Arial" w:hAnsi="Arial"/>
          <w:sz w:val="18"/>
          <w:szCs w:val="18"/>
          <w:b w:val="1"/>
          <w:bCs w:val="1"/>
          <w:color w:val="auto"/>
        </w:rPr>
        <w:t>Debt Securities</w:t>
      </w:r>
    </w:p>
    <w:p>
      <w:pPr>
        <w:jc w:val="center"/>
        <w:spacing w:after="0" w:line="203" w:lineRule="auto"/>
        <w:rPr>
          <w:sz w:val="20"/>
          <w:szCs w:val="20"/>
          <w:color w:val="auto"/>
        </w:rPr>
      </w:pPr>
      <w:r>
        <w:rPr>
          <w:rFonts w:ascii="Arial" w:cs="Arial" w:eastAsia="Arial" w:hAnsi="Arial"/>
          <w:sz w:val="18"/>
          <w:szCs w:val="18"/>
          <w:b w:val="1"/>
          <w:bCs w:val="1"/>
          <w:color w:val="auto"/>
        </w:rPr>
        <w:t>Rights to Purchase Common Stock, Preferred Stock,</w:t>
      </w:r>
    </w:p>
    <w:p>
      <w:pPr>
        <w:jc w:val="center"/>
        <w:spacing w:after="0" w:line="202" w:lineRule="auto"/>
        <w:rPr>
          <w:sz w:val="20"/>
          <w:szCs w:val="20"/>
          <w:color w:val="auto"/>
        </w:rPr>
      </w:pPr>
      <w:r>
        <w:rPr>
          <w:rFonts w:ascii="Arial" w:cs="Arial" w:eastAsia="Arial" w:hAnsi="Arial"/>
          <w:sz w:val="18"/>
          <w:szCs w:val="18"/>
          <w:b w:val="1"/>
          <w:bCs w:val="1"/>
          <w:color w:val="auto"/>
        </w:rPr>
        <w:t>Debt Securities or Units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55245</wp:posOffset>
            </wp:positionV>
            <wp:extent cx="14935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16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may offer and sell from time to time our shares of common stock, shares of preferred stock, warrants, debt securities and rights to purchase common stock, preferred stock, debt securities or units, as well as units that include any of these securities.</w:t>
      </w:r>
    </w:p>
    <w:p>
      <w:pPr>
        <w:spacing w:after="0" w:line="125"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offer securities pursuant to this prospectus, we will provide a prospectus supplement containing specific terms of the particular offering together with this prospectus. You should read this prospectus and the applicable prospectus supplement carefully before you invest in any securities. The prospectus supplement also may add, update or change information contained in this prospectus. This prospectus may not be used to offer and sell securities unless accompanied by the applicable prospectus supplement.</w:t>
      </w:r>
    </w:p>
    <w:p>
      <w:pPr>
        <w:spacing w:after="0" w:line="16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Our common stock is listed on the Nasdaq Global Market under the symbol “AXSM.” On December 3, 2019, the last reported sale price of our common stock on the Nasdaq Global Market was $45.61.</w:t>
      </w:r>
    </w:p>
    <w:p>
      <w:pPr>
        <w:spacing w:after="0" w:line="157"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b w:val="1"/>
          <w:bCs w:val="1"/>
          <w:color w:val="auto"/>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“Risk Factors” on page 3 of this prospectus.</w:t>
      </w:r>
    </w:p>
    <w:p>
      <w:pPr>
        <w:spacing w:after="0" w:line="163" w:lineRule="exact"/>
        <w:rPr>
          <w:sz w:val="20"/>
          <w:szCs w:val="20"/>
          <w:color w:val="auto"/>
        </w:rPr>
      </w:pPr>
    </w:p>
    <w:p>
      <w:pPr>
        <w:ind w:right="20"/>
        <w:spacing w:after="0" w:line="218" w:lineRule="auto"/>
        <w:rPr>
          <w:sz w:val="20"/>
          <w:szCs w:val="20"/>
          <w:color w:val="auto"/>
        </w:rPr>
      </w:pPr>
      <w:r>
        <w:rPr>
          <w:rFonts w:ascii="Arial" w:cs="Arial" w:eastAsia="Arial" w:hAnsi="Arial"/>
          <w:sz w:val="18"/>
          <w:szCs w:val="18"/>
          <w:color w:val="auto"/>
        </w:rPr>
        <w:t>We may sell the securities directly to investors, or to or through underwriters or dealers, and also to other purchasers or through agents. The names of any underwriters or agents that are included in a sale of securities to you, and any applicable commissions or discounts, will be stated in an accompanying prospectus supplement. In addition, the underwriters, if any, may over-allot a portion of the securities.</w:t>
      </w:r>
    </w:p>
    <w:p>
      <w:pPr>
        <w:spacing w:after="0" w:line="158" w:lineRule="exact"/>
        <w:rPr>
          <w:sz w:val="20"/>
          <w:szCs w:val="20"/>
          <w:color w:val="auto"/>
        </w:rPr>
      </w:pPr>
    </w:p>
    <w:p>
      <w:pPr>
        <w:ind w:right="400"/>
        <w:spacing w:after="0" w:line="22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December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722630</wp:posOffset>
            </wp:positionV>
            <wp:extent cx="596646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1">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7440" w:type="dxa"/>
            <w:vAlign w:val="bottom"/>
            <w:gridSpan w:val="17"/>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Table of Contents</w:t>
              </w:r>
            </w:hyperlink>
          </w:p>
        </w:tc>
        <w:tc>
          <w:tcPr>
            <w:tcW w:w="1960" w:type="dxa"/>
            <w:vAlign w:val="bottom"/>
          </w:tcPr>
          <w:p>
            <w:pPr>
              <w:spacing w:after="0"/>
              <w:rPr>
                <w:sz w:val="17"/>
                <w:szCs w:val="17"/>
                <w:color w:val="auto"/>
              </w:rPr>
            </w:pPr>
          </w:p>
        </w:tc>
      </w:tr>
      <w:tr>
        <w:trPr>
          <w:trHeight w:val="733"/>
        </w:trPr>
        <w:tc>
          <w:tcPr>
            <w:tcW w:w="760" w:type="dxa"/>
            <w:vAlign w:val="bottom"/>
            <w:tcBorders>
              <w:top w:val="single" w:sz="8" w:color="0563C1"/>
            </w:tcBorders>
          </w:tcPr>
          <w:p>
            <w:pPr>
              <w:spacing w:after="0"/>
              <w:rPr>
                <w:sz w:val="24"/>
                <w:szCs w:val="24"/>
                <w:color w:val="auto"/>
              </w:rPr>
            </w:pPr>
          </w:p>
        </w:tc>
        <w:tc>
          <w:tcPr>
            <w:tcW w:w="48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40" w:type="dxa"/>
            <w:vAlign w:val="bottom"/>
            <w:gridSpan w:val="3"/>
          </w:tcPr>
          <w:p>
            <w:pPr>
              <w:ind w:left="740"/>
              <w:spacing w:after="0"/>
              <w:rPr>
                <w:sz w:val="20"/>
                <w:szCs w:val="20"/>
                <w:color w:val="auto"/>
              </w:rPr>
            </w:pPr>
            <w:r>
              <w:rPr>
                <w:rFonts w:ascii="Arial" w:cs="Arial" w:eastAsia="Arial" w:hAnsi="Arial"/>
                <w:sz w:val="18"/>
                <w:szCs w:val="18"/>
                <w:b w:val="1"/>
                <w:bCs w:val="1"/>
                <w:color w:val="auto"/>
              </w:rPr>
              <w:t>TABLE OF CONTENTS</w:t>
            </w:r>
          </w:p>
        </w:tc>
        <w:tc>
          <w:tcPr>
            <w:tcW w:w="1960" w:type="dxa"/>
            <w:vAlign w:val="bottom"/>
          </w:tcPr>
          <w:p>
            <w:pPr>
              <w:spacing w:after="0"/>
              <w:rPr>
                <w:sz w:val="24"/>
                <w:szCs w:val="24"/>
                <w:color w:val="auto"/>
              </w:rPr>
            </w:pPr>
          </w:p>
        </w:tc>
      </w:tr>
      <w:tr>
        <w:trPr>
          <w:trHeight w:val="363"/>
        </w:trPr>
        <w:tc>
          <w:tcPr>
            <w:tcW w:w="222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ABOUT THIS PROSPECTUS</w:t>
              </w:r>
            </w:hyperlink>
          </w:p>
        </w:tc>
        <w:tc>
          <w:tcPr>
            <w:tcW w:w="5220" w:type="dxa"/>
            <w:vAlign w:val="bottom"/>
            <w:gridSpan w:val="8"/>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70"/>
        </w:trPr>
        <w:tc>
          <w:tcPr>
            <w:tcW w:w="252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27">
              <w:r>
                <w:rPr>
                  <w:rFonts w:ascii="Arial" w:cs="Arial" w:eastAsia="Arial" w:hAnsi="Arial"/>
                  <w:sz w:val="18"/>
                  <w:szCs w:val="18"/>
                  <w:color w:val="0000EE"/>
                  <w:w w:val="95"/>
                </w:rPr>
                <w:t>AXSOME THERAPEUTICS, INC</w:t>
              </w:r>
            </w:hyperlink>
          </w:p>
        </w:tc>
        <w:tc>
          <w:tcPr>
            <w:tcW w:w="4920" w:type="dxa"/>
            <w:vAlign w:val="bottom"/>
            <w:gridSpan w:val="6"/>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70"/>
        </w:trPr>
        <w:tc>
          <w:tcPr>
            <w:tcW w:w="124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RISK FACTORS</w:t>
              </w:r>
            </w:hyperlink>
          </w:p>
        </w:tc>
        <w:tc>
          <w:tcPr>
            <w:tcW w:w="6200" w:type="dxa"/>
            <w:vAlign w:val="bottom"/>
            <w:gridSpan w:val="15"/>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70"/>
        </w:trPr>
        <w:tc>
          <w:tcPr>
            <w:tcW w:w="292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FORWARD-LOOKING STATEMENTS</w:t>
              </w:r>
            </w:hyperlink>
          </w:p>
        </w:tc>
        <w:tc>
          <w:tcPr>
            <w:tcW w:w="4520" w:type="dxa"/>
            <w:vAlign w:val="bottom"/>
            <w:gridSpan w:val="4"/>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70"/>
        </w:trPr>
        <w:tc>
          <w:tcPr>
            <w:tcW w:w="744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USE OF PROCEEDS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70"/>
        </w:trPr>
        <w:tc>
          <w:tcPr>
            <w:tcW w:w="744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DESCRIPTION OF CAPITAL STOCK</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70"/>
        </w:trPr>
        <w:tc>
          <w:tcPr>
            <w:tcW w:w="2840" w:type="dxa"/>
            <w:vAlign w:val="bottom"/>
            <w:tcBorders>
              <w:top w:val="single" w:sz="8" w:color="0000EE"/>
            </w:tcBorders>
            <w:gridSpan w:val="1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DESCRIPTION OF WARRANTS</w:t>
              </w:r>
            </w:hyperlink>
          </w:p>
        </w:tc>
        <w:tc>
          <w:tcPr>
            <w:tcW w:w="4600" w:type="dxa"/>
            <w:vAlign w:val="bottom"/>
            <w:gridSpan w:val="5"/>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70"/>
        </w:trPr>
        <w:tc>
          <w:tcPr>
            <w:tcW w:w="744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DESCRIPTION OF DEBT SECURITIES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70"/>
        </w:trPr>
        <w:tc>
          <w:tcPr>
            <w:tcW w:w="3000" w:type="dxa"/>
            <w:vAlign w:val="bottom"/>
            <w:tcBorders>
              <w:top w:val="single" w:sz="8" w:color="0000EE"/>
            </w:tcBorders>
            <w:gridSpan w:val="1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DESCRIPTION OF RIGHTS</w:t>
              </w:r>
            </w:hyperlink>
          </w:p>
        </w:tc>
        <w:tc>
          <w:tcPr>
            <w:tcW w:w="4440" w:type="dxa"/>
            <w:vAlign w:val="bottom"/>
            <w:gridSpan w:val="3"/>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70"/>
        </w:trPr>
        <w:tc>
          <w:tcPr>
            <w:tcW w:w="2120" w:type="dxa"/>
            <w:vAlign w:val="bottom"/>
            <w:tcBorders>
              <w:top w:val="single" w:sz="8" w:color="0000EE"/>
            </w:tcBorders>
            <w:gridSpan w:val="8"/>
          </w:tcPr>
          <w:p>
            <w:pPr>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DESCRIPTION OF UNITS</w:t>
              </w:r>
            </w:hyperlink>
          </w:p>
        </w:tc>
        <w:tc>
          <w:tcPr>
            <w:tcW w:w="5320" w:type="dxa"/>
            <w:vAlign w:val="bottom"/>
            <w:gridSpan w:val="9"/>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70"/>
        </w:trPr>
        <w:tc>
          <w:tcPr>
            <w:tcW w:w="204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45">
              <w:r>
                <w:rPr>
                  <w:rFonts w:ascii="Arial" w:cs="Arial" w:eastAsia="Arial" w:hAnsi="Arial"/>
                  <w:sz w:val="18"/>
                  <w:szCs w:val="18"/>
                  <w:color w:val="0000EE"/>
                  <w:w w:val="96"/>
                </w:rPr>
                <w:t>PLAN OF DISTRIBUTION</w:t>
              </w:r>
            </w:hyperlink>
          </w:p>
        </w:tc>
        <w:tc>
          <w:tcPr>
            <w:tcW w:w="5400" w:type="dxa"/>
            <w:vAlign w:val="bottom"/>
            <w:gridSpan w:val="10"/>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70"/>
        </w:trPr>
        <w:tc>
          <w:tcPr>
            <w:tcW w:w="744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LEGAL MATTERS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70"/>
        </w:trPr>
        <w:tc>
          <w:tcPr>
            <w:tcW w:w="1440" w:type="dxa"/>
            <w:vAlign w:val="bottom"/>
            <w:tcBorders>
              <w:top w:val="single" w:sz="8" w:color="0000EE"/>
            </w:tcBorders>
            <w:gridSpan w:val="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EXPERTS</w:t>
              </w:r>
            </w:hyperlink>
          </w:p>
        </w:tc>
        <w:tc>
          <w:tcPr>
            <w:tcW w:w="6000" w:type="dxa"/>
            <w:vAlign w:val="bottom"/>
            <w:gridSpan w:val="13"/>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70"/>
        </w:trPr>
        <w:tc>
          <w:tcPr>
            <w:tcW w:w="380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47">
              <w:r>
                <w:rPr>
                  <w:rFonts w:ascii="Arial" w:cs="Arial" w:eastAsia="Arial" w:hAnsi="Arial"/>
                  <w:sz w:val="18"/>
                  <w:szCs w:val="18"/>
                  <w:color w:val="0000EE"/>
                  <w:w w:val="96"/>
                </w:rPr>
                <w:t>WHERE YOU CAN FIND MORE INFORMATION</w:t>
              </w:r>
            </w:hyperlink>
          </w:p>
        </w:tc>
        <w:tc>
          <w:tcPr>
            <w:tcW w:w="3640" w:type="dxa"/>
            <w:vAlign w:val="bottom"/>
            <w:gridSpan w:val="2"/>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70"/>
        </w:trPr>
        <w:tc>
          <w:tcPr>
            <w:tcW w:w="744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INFORMATION INCORPORATED BY REFERENCE</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1896"/>
        </w:trPr>
        <w:tc>
          <w:tcPr>
            <w:tcW w:w="76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bl>
    <w:p>
      <w:pPr>
        <w:sectPr>
          <w:pgSz w:w="11900" w:h="16838" w:orient="portrait"/>
          <w:cols w:equalWidth="0" w:num="1">
            <w:col w:w="9400"/>
          </w:cols>
          <w:pgMar w:left="1260" w:top="94" w:right="123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87" w:lineRule="exact"/>
        <w:rPr>
          <w:sz w:val="20"/>
          <w:szCs w:val="20"/>
          <w:color w:val="auto"/>
        </w:rPr>
      </w:pPr>
    </w:p>
    <w:p>
      <w:pPr>
        <w:spacing w:after="0" w:line="181" w:lineRule="exact"/>
        <w:rPr>
          <w:sz w:val="20"/>
          <w:szCs w:val="20"/>
          <w:color w:val="auto"/>
        </w:rPr>
      </w:pPr>
      <w:r>
        <w:rPr>
          <w:rFonts w:ascii="Arial" w:cs="Arial" w:eastAsia="Arial" w:hAnsi="Arial"/>
          <w:sz w:val="16"/>
          <w:szCs w:val="16"/>
          <w:color w:val="auto"/>
        </w:rPr>
        <w:t>This prospectus is part of an automatic “shelf”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3ASR that we filed with the Securities and Exchange Commission, or the SEC, as a “well-known seasoned issuer” as defined in Rule 405 under the Securities Act of 1933, as amended, or the Securities Act. Under this shelf registration process, we may offer and sell from time to time any combination of the securities described in this prospectus in one or more offerings in amounts, at prices and on terms that we determine at the time of the offering. This prospectus provides you with a general description of the securities we may offer. Each time we offer securities under this registration statement we will provide a prospectus supplement that describes the terms of the relevant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“Information Incorporated by Reference.”</w:t>
      </w:r>
    </w:p>
    <w:p>
      <w:pPr>
        <w:spacing w:after="0" w:line="167"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The registration statement that contains this prospectus, including the exhibits to the registration statement and the information incorporated by reference, provides additional information about us and our securities. That registration statement can be read at the SEC website (www.sec.gov), as discussed below under the heading “Where You Can Find More Information.”</w:t>
      </w:r>
    </w:p>
    <w:p>
      <w:pPr>
        <w:spacing w:after="0" w:line="148" w:lineRule="exact"/>
        <w:rPr>
          <w:sz w:val="20"/>
          <w:szCs w:val="20"/>
          <w:color w:val="auto"/>
        </w:rPr>
      </w:pPr>
    </w:p>
    <w:p>
      <w:pPr>
        <w:ind w:right="100"/>
        <w:spacing w:after="0" w:line="213" w:lineRule="auto"/>
        <w:rPr>
          <w:sz w:val="20"/>
          <w:szCs w:val="20"/>
          <w:color w:val="auto"/>
        </w:rPr>
      </w:pPr>
      <w:r>
        <w:rPr>
          <w:rFonts w:ascii="Arial" w:cs="Arial" w:eastAsia="Arial" w:hAnsi="Arial"/>
          <w:sz w:val="18"/>
          <w:szCs w:val="18"/>
          <w:color w:val="auto"/>
        </w:rPr>
        <w:t>You should rely only on the information provided in the registration statement, this prospectus and in any prospectus supplement, including the information incorporated by reference. We have not authorized anyone to provide you with different information. You should not assume that the information in this prospectus or any supplement to this prospectus is accurate at any date other than the date indicated on the cover page of these documents or the filing date of any document incorporated by reference, regardless of its time of delivery. We are not making an offer to sell the securities in any jurisdiction where the offer or sale is not permitted.</w:t>
      </w:r>
    </w:p>
    <w:p>
      <w:pPr>
        <w:spacing w:after="0" w:line="161"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We may sell our securities to or through underwriters, initial purchasers, dealers or agents, directly to purchasers or through a combination of any of these methods of sale, as designated from time to time. We and our agents reserve the sole right to accept or reject in whole or in part any proposed purchase of our securities. An applicable prospectus supplement, which we will provide each time we offer the securities, will set forth the names of any underwriters, initial purchasers, dealers or agents involved in the sale of our securities, and any related fee, commission or discount arrangements. See “Plan of Distribution.”</w:t>
      </w:r>
    </w:p>
    <w:p>
      <w:pPr>
        <w:spacing w:after="0" w:line="16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terms “Axsome,” the “Company,” “our,” “us” and “we,” as used in this prospectus, refer to Axsome Therapeutics, Inc., unless we state otherwise or the context indicates otherwise.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187"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We are a clinical-stage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core CNS portfolio includes four CNS product candidates, AXS</w:t>
      </w:r>
      <w:r>
        <w:rPr>
          <w:rFonts w:ascii="MS PGothic" w:cs="MS PGothic" w:eastAsia="MS PGothic" w:hAnsi="MS PGothic"/>
          <w:sz w:val="16"/>
          <w:szCs w:val="16"/>
          <w:color w:val="auto"/>
        </w:rPr>
        <w:t>‑</w:t>
      </w:r>
      <w:r>
        <w:rPr>
          <w:rFonts w:ascii="Arial" w:cs="Arial" w:eastAsia="Arial" w:hAnsi="Arial"/>
          <w:sz w:val="16"/>
          <w:szCs w:val="16"/>
          <w:color w:val="auto"/>
        </w:rPr>
        <w:t>05, AXS</w:t>
      </w:r>
      <w:r>
        <w:rPr>
          <w:rFonts w:ascii="MS PGothic" w:cs="MS PGothic" w:eastAsia="MS PGothic" w:hAnsi="MS PGothic"/>
          <w:sz w:val="16"/>
          <w:szCs w:val="16"/>
          <w:color w:val="auto"/>
        </w:rPr>
        <w:t>‑</w:t>
      </w:r>
      <w:r>
        <w:rPr>
          <w:rFonts w:ascii="Arial" w:cs="Arial" w:eastAsia="Arial" w:hAnsi="Arial"/>
          <w:sz w:val="16"/>
          <w:szCs w:val="16"/>
          <w:color w:val="auto"/>
        </w:rPr>
        <w:t>07, AXS</w:t>
      </w:r>
      <w:r>
        <w:rPr>
          <w:rFonts w:ascii="MS PGothic" w:cs="MS PGothic" w:eastAsia="MS PGothic" w:hAnsi="MS PGothic"/>
          <w:sz w:val="16"/>
          <w:szCs w:val="16"/>
          <w:color w:val="auto"/>
        </w:rPr>
        <w:t>‑</w:t>
      </w:r>
      <w:r>
        <w:rPr>
          <w:rFonts w:ascii="Arial" w:cs="Arial" w:eastAsia="Arial" w:hAnsi="Arial"/>
          <w:sz w:val="16"/>
          <w:szCs w:val="16"/>
          <w:color w:val="auto"/>
        </w:rPr>
        <w:t>09, and AXS</w:t>
      </w:r>
      <w:r>
        <w:rPr>
          <w:rFonts w:ascii="MS PGothic" w:cs="MS PGothic" w:eastAsia="MS PGothic" w:hAnsi="MS PGothic"/>
          <w:sz w:val="16"/>
          <w:szCs w:val="16"/>
          <w:color w:val="auto"/>
        </w:rPr>
        <w:t>‑</w:t>
      </w:r>
      <w:r>
        <w:rPr>
          <w:rFonts w:ascii="Arial" w:cs="Arial" w:eastAsia="Arial" w:hAnsi="Arial"/>
          <w:sz w:val="16"/>
          <w:szCs w:val="16"/>
          <w:color w:val="auto"/>
        </w:rPr>
        <w:t>12, which are being developed for multiple indications. AXS</w:t>
      </w:r>
      <w:r>
        <w:rPr>
          <w:rFonts w:ascii="MS PGothic" w:cs="MS PGothic" w:eastAsia="MS PGothic" w:hAnsi="MS PGothic"/>
          <w:sz w:val="16"/>
          <w:szCs w:val="16"/>
          <w:color w:val="auto"/>
        </w:rPr>
        <w:t>‑</w:t>
      </w:r>
      <w:r>
        <w:rPr>
          <w:rFonts w:ascii="Arial" w:cs="Arial" w:eastAsia="Arial" w:hAnsi="Arial"/>
          <w:sz w:val="16"/>
          <w:szCs w:val="16"/>
          <w:color w:val="auto"/>
        </w:rPr>
        <w:t>05 is currently in a Phase 3 trial in treatment resistant depression, or TRD, which we refer to as the STRIDE</w:t>
      </w:r>
      <w:r>
        <w:rPr>
          <w:rFonts w:ascii="MS PGothic" w:cs="MS PGothic" w:eastAsia="MS PGothic" w:hAnsi="MS PGothic"/>
          <w:sz w:val="16"/>
          <w:szCs w:val="16"/>
          <w:color w:val="auto"/>
        </w:rPr>
        <w:t>‑</w:t>
      </w:r>
      <w:r>
        <w:rPr>
          <w:rFonts w:ascii="Arial" w:cs="Arial" w:eastAsia="Arial" w:hAnsi="Arial"/>
          <w:sz w:val="16"/>
          <w:szCs w:val="16"/>
          <w:color w:val="auto"/>
        </w:rPr>
        <w:t>1 study, a Phase 3 trial in major depressive disorder, or MDD, which we refer to as the GEMINI study, a Phase 3 open-label safety trial in patients with TRD and MDD; and a Phase 2/3 trial in agitation associated with Alzheimer’s disease, or AD, which we refer to as the ADVANCE</w:t>
      </w:r>
      <w:r>
        <w:rPr>
          <w:rFonts w:ascii="MS PGothic" w:cs="MS PGothic" w:eastAsia="MS PGothic" w:hAnsi="MS PGothic"/>
          <w:sz w:val="16"/>
          <w:szCs w:val="16"/>
          <w:color w:val="auto"/>
        </w:rPr>
        <w:t>‑</w:t>
      </w:r>
      <w:r>
        <w:rPr>
          <w:rFonts w:ascii="Arial" w:cs="Arial" w:eastAsia="Arial" w:hAnsi="Arial"/>
          <w:sz w:val="16"/>
          <w:szCs w:val="16"/>
          <w:color w:val="auto"/>
        </w:rPr>
        <w:t>1 study. We have completed a Phase 2 trial in MDD, which we refer to as the ASCEND study and a Phase 2 trial in smoking cessation. AXS</w:t>
      </w:r>
      <w:r>
        <w:rPr>
          <w:rFonts w:ascii="MS PGothic" w:cs="MS PGothic" w:eastAsia="MS PGothic" w:hAnsi="MS PGothic"/>
          <w:sz w:val="16"/>
          <w:szCs w:val="16"/>
          <w:color w:val="auto"/>
        </w:rPr>
        <w:t>‑</w:t>
      </w:r>
      <w:r>
        <w:rPr>
          <w:rFonts w:ascii="Arial" w:cs="Arial" w:eastAsia="Arial" w:hAnsi="Arial"/>
          <w:sz w:val="16"/>
          <w:szCs w:val="16"/>
          <w:color w:val="auto"/>
        </w:rPr>
        <w:t xml:space="preserve">07 is currently in two Phase 3 trials for the acute treatment of migraine, which we refer to as the MOMENTUM and the INTERCEPT studies, and a Phase 3 open-label safety trial in patients with migraine. AXS </w:t>
      </w:r>
      <w:r>
        <w:rPr>
          <w:rFonts w:ascii="MS PGothic" w:cs="MS PGothic" w:eastAsia="MS PGothic" w:hAnsi="MS PGothic"/>
          <w:sz w:val="16"/>
          <w:szCs w:val="16"/>
          <w:color w:val="auto"/>
        </w:rPr>
        <w:t>‑</w:t>
      </w:r>
      <w:r>
        <w:rPr>
          <w:rFonts w:ascii="Arial" w:cs="Arial" w:eastAsia="Arial" w:hAnsi="Arial"/>
          <w:sz w:val="16"/>
          <w:szCs w:val="16"/>
          <w:color w:val="auto"/>
        </w:rPr>
        <w:t>12 is being developed for the treatment of narcolepsy. We have completed a Phase 2 trial, which we refer to as the CONCERT study. The Axsome Pain and Primary Care business unit, or Axsome PPC, houses our pain and primary care assets, including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06, and intellectual property which covers these and related product candidates and molecules being developed by us and others. AXS</w:t>
      </w:r>
      <w:r>
        <w:rPr>
          <w:rFonts w:ascii="MS PGothic" w:cs="MS PGothic" w:eastAsia="MS PGothic" w:hAnsi="MS PGothic"/>
          <w:sz w:val="16"/>
          <w:szCs w:val="16"/>
          <w:color w:val="auto"/>
        </w:rPr>
        <w:t>‑</w:t>
      </w:r>
      <w:r>
        <w:rPr>
          <w:rFonts w:ascii="Arial" w:cs="Arial" w:eastAsia="Arial" w:hAnsi="Arial"/>
          <w:sz w:val="16"/>
          <w:szCs w:val="16"/>
          <w:color w:val="auto"/>
        </w:rPr>
        <w:t>02 is being developed for the treatment of knee osteoarthritis, or OA, associated with bone marrow lesions, or BMLs. AXS</w:t>
      </w:r>
      <w:r>
        <w:rPr>
          <w:rFonts w:ascii="MS PGothic" w:cs="MS PGothic" w:eastAsia="MS PGothic" w:hAnsi="MS PGothic"/>
          <w:sz w:val="16"/>
          <w:szCs w:val="16"/>
          <w:color w:val="auto"/>
        </w:rPr>
        <w:t>‑</w:t>
      </w:r>
      <w:r>
        <w:rPr>
          <w:rFonts w:ascii="Arial" w:cs="Arial" w:eastAsia="Arial" w:hAnsi="Arial"/>
          <w:sz w:val="16"/>
          <w:szCs w:val="16"/>
          <w:color w:val="auto"/>
        </w:rPr>
        <w:t>06 is being developed for the treatment of osteoarthritis and rheumatoid arthritis and for the reduction of the risk of nonsteroidal anti-inflammatory drug, or NSAID, associated gastrointestinal ulcers. Additionally, we are currently evaluating other product candidates, which we intend to develop for CNS disorders. We aim to become a fully integrated biopharmaceutical company that develops and commercializes differentiated therapies that expand the treatment options available to caregivers and improve the lives of patients living with CNS disorders.</w:t>
      </w:r>
    </w:p>
    <w:p>
      <w:pPr>
        <w:spacing w:after="0" w:line="224" w:lineRule="exact"/>
        <w:rPr>
          <w:sz w:val="20"/>
          <w:szCs w:val="20"/>
          <w:color w:val="auto"/>
        </w:rPr>
      </w:pPr>
    </w:p>
    <w:p>
      <w:pPr>
        <w:ind w:right="40"/>
        <w:spacing w:after="0" w:line="181" w:lineRule="exact"/>
        <w:rPr>
          <w:sz w:val="20"/>
          <w:szCs w:val="20"/>
          <w:color w:val="auto"/>
        </w:rPr>
      </w:pPr>
      <w:r>
        <w:rPr>
          <w:rFonts w:ascii="Arial" w:cs="Arial" w:eastAsia="Arial" w:hAnsi="Arial"/>
          <w:sz w:val="17"/>
          <w:szCs w:val="17"/>
          <w:color w:val="auto"/>
        </w:rPr>
        <w:t>AXS</w:t>
      </w:r>
      <w:r>
        <w:rPr>
          <w:rFonts w:ascii="MS PGothic" w:cs="MS PGothic" w:eastAsia="MS PGothic" w:hAnsi="MS PGothic"/>
          <w:sz w:val="17"/>
          <w:szCs w:val="17"/>
          <w:color w:val="auto"/>
        </w:rPr>
        <w:t>‑</w:t>
      </w:r>
      <w:r>
        <w:rPr>
          <w:rFonts w:ascii="Arial" w:cs="Arial" w:eastAsia="Arial" w:hAnsi="Arial"/>
          <w:sz w:val="17"/>
          <w:szCs w:val="17"/>
          <w:color w:val="auto"/>
        </w:rPr>
        <w:t>05 is a novel, oral, investigational NMDA receptor antagonist with multimodal activity under development for the treatment of CNS disorders. AXS</w:t>
      </w:r>
      <w:r>
        <w:rPr>
          <w:rFonts w:ascii="MS PGothic" w:cs="MS PGothic" w:eastAsia="MS PGothic" w:hAnsi="MS PGothic"/>
          <w:sz w:val="17"/>
          <w:szCs w:val="17"/>
          <w:color w:val="auto"/>
        </w:rPr>
        <w:t>‑</w:t>
      </w:r>
      <w:r>
        <w:rPr>
          <w:rFonts w:ascii="Arial" w:cs="Arial" w:eastAsia="Arial" w:hAnsi="Arial"/>
          <w:sz w:val="17"/>
          <w:szCs w:val="17"/>
          <w:color w:val="auto"/>
        </w:rPr>
        <w:t>05 consists of bupropion and dextromethorphan, or DM, and utilizes our metabolic inhibition technology. We are developing AXS</w:t>
      </w:r>
      <w:r>
        <w:rPr>
          <w:rFonts w:ascii="MS PGothic" w:cs="MS PGothic" w:eastAsia="MS PGothic" w:hAnsi="MS PGothic"/>
          <w:sz w:val="17"/>
          <w:szCs w:val="17"/>
          <w:color w:val="auto"/>
        </w:rPr>
        <w:t>‑</w:t>
      </w:r>
      <w:r>
        <w:rPr>
          <w:rFonts w:ascii="Arial" w:cs="Arial" w:eastAsia="Arial" w:hAnsi="Arial"/>
          <w:sz w:val="17"/>
          <w:szCs w:val="17"/>
          <w:color w:val="auto"/>
        </w:rPr>
        <w:t>05 initially for the following four indications: TRD, agitation associated with AD, MDD, and as an aid to smoking cessation. The DM component of AXS</w:t>
      </w:r>
      <w:r>
        <w:rPr>
          <w:rFonts w:ascii="MS PGothic" w:cs="MS PGothic" w:eastAsia="MS PGothic" w:hAnsi="MS PGothic"/>
          <w:sz w:val="17"/>
          <w:szCs w:val="17"/>
          <w:color w:val="auto"/>
        </w:rPr>
        <w:t>‑</w:t>
      </w:r>
      <w:r>
        <w:rPr>
          <w:rFonts w:ascii="Arial" w:cs="Arial" w:eastAsia="Arial" w:hAnsi="Arial"/>
          <w:sz w:val="17"/>
          <w:szCs w:val="17"/>
          <w:color w:val="auto"/>
        </w:rPr>
        <w:t>05 is a non-competitive N-methyl-D-aspartate, or NMDA, receptor antagonist, also known as a glutamate receptor modulator. The DM component of AXS</w:t>
      </w:r>
      <w:r>
        <w:rPr>
          <w:rFonts w:ascii="MS PGothic" w:cs="MS PGothic" w:eastAsia="MS PGothic" w:hAnsi="MS PGothic"/>
          <w:sz w:val="17"/>
          <w:szCs w:val="17"/>
          <w:color w:val="auto"/>
        </w:rPr>
        <w:t>‑</w:t>
      </w:r>
      <w:r>
        <w:rPr>
          <w:rFonts w:ascii="Arial" w:cs="Arial" w:eastAsia="Arial" w:hAnsi="Arial"/>
          <w:sz w:val="17"/>
          <w:szCs w:val="17"/>
          <w:color w:val="auto"/>
        </w:rPr>
        <w:t>05 is also a sigma</w:t>
      </w:r>
      <w:r>
        <w:rPr>
          <w:rFonts w:ascii="MS PGothic" w:cs="MS PGothic" w:eastAsia="MS PGothic" w:hAnsi="MS PGothic"/>
          <w:sz w:val="17"/>
          <w:szCs w:val="17"/>
          <w:color w:val="auto"/>
        </w:rPr>
        <w:t>‑</w:t>
      </w:r>
      <w:r>
        <w:rPr>
          <w:rFonts w:ascii="Arial" w:cs="Arial" w:eastAsia="Arial" w:hAnsi="Arial"/>
          <w:sz w:val="17"/>
          <w:szCs w:val="17"/>
          <w:color w:val="auto"/>
        </w:rPr>
        <w:t>1 receptor agonist, nicotinic acetylcholine receptor antagonist, and inhibitor of the serotonin and norepinephrine transporters. The bupropion component of AXS</w:t>
      </w:r>
      <w:r>
        <w:rPr>
          <w:rFonts w:ascii="MS PGothic" w:cs="MS PGothic" w:eastAsia="MS PGothic" w:hAnsi="MS PGothic"/>
          <w:sz w:val="17"/>
          <w:szCs w:val="17"/>
          <w:color w:val="auto"/>
        </w:rPr>
        <w:t>‑</w:t>
      </w:r>
      <w:r>
        <w:rPr>
          <w:rFonts w:ascii="Arial" w:cs="Arial" w:eastAsia="Arial" w:hAnsi="Arial"/>
          <w:sz w:val="17"/>
          <w:szCs w:val="17"/>
          <w:color w:val="auto"/>
        </w:rPr>
        <w:t>05 serves to increase the bioavailability of dextromethorphan, and is a norepinephrine and dopamine reuptake inhibitor, and a nicotinic acetylcholine receptor antagonist. We intend to seek U.S. Food and Drug Administration, or FDA, approval for AXS</w:t>
      </w:r>
      <w:r>
        <w:rPr>
          <w:rFonts w:ascii="MS PGothic" w:cs="MS PGothic" w:eastAsia="MS PGothic" w:hAnsi="MS PGothic"/>
          <w:sz w:val="17"/>
          <w:szCs w:val="17"/>
          <w:color w:val="auto"/>
        </w:rPr>
        <w:t>‑</w:t>
      </w:r>
      <w:r>
        <w:rPr>
          <w:rFonts w:ascii="Arial" w:cs="Arial" w:eastAsia="Arial" w:hAnsi="Arial"/>
          <w:sz w:val="17"/>
          <w:szCs w:val="17"/>
          <w:color w:val="auto"/>
        </w:rPr>
        <w:t>05 utilizing the 505(b)(2) regulatory development pathway.</w:t>
      </w:r>
    </w:p>
    <w:p>
      <w:pPr>
        <w:spacing w:after="0" w:line="161" w:lineRule="exact"/>
        <w:rPr>
          <w:sz w:val="20"/>
          <w:szCs w:val="20"/>
          <w:color w:val="auto"/>
        </w:rPr>
      </w:pPr>
    </w:p>
    <w:p>
      <w:pPr>
        <w:ind w:right="20"/>
        <w:spacing w:after="0" w:line="189"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07 is a novel, oral, investigational medicine with distinct dual mechanisms of action consisting of MoSEIC™, or Molecular Solubility Enhanced Inclusion Complex, meloxicam and rizatriptan. We are developing AXS</w:t>
      </w:r>
      <w:r>
        <w:rPr>
          <w:rFonts w:ascii="MS PGothic" w:cs="MS PGothic" w:eastAsia="MS PGothic" w:hAnsi="MS PGothic"/>
          <w:sz w:val="16"/>
          <w:szCs w:val="16"/>
          <w:color w:val="auto"/>
        </w:rPr>
        <w:t>‑</w:t>
      </w:r>
      <w:r>
        <w:rPr>
          <w:rFonts w:ascii="Arial" w:cs="Arial" w:eastAsia="Arial" w:hAnsi="Arial"/>
          <w:sz w:val="16"/>
          <w:szCs w:val="16"/>
          <w:color w:val="auto"/>
        </w:rPr>
        <w:t>07 initially for the acute treatment of migraine. Meloxicam is a long-acting nonsteroidal anti-inflammatory drug, or NSAID, with COX</w:t>
      </w:r>
      <w:r>
        <w:rPr>
          <w:rFonts w:ascii="MS PGothic" w:cs="MS PGothic" w:eastAsia="MS PGothic" w:hAnsi="MS PGothic"/>
          <w:sz w:val="16"/>
          <w:szCs w:val="16"/>
          <w:color w:val="auto"/>
        </w:rPr>
        <w:t>‑</w:t>
      </w:r>
      <w:r>
        <w:rPr>
          <w:rFonts w:ascii="Arial" w:cs="Arial" w:eastAsia="Arial" w:hAnsi="Arial"/>
          <w:sz w:val="16"/>
          <w:szCs w:val="16"/>
          <w:color w:val="auto"/>
        </w:rPr>
        <w:t>2, an enzyme involved in inflammation and pain pathways, preferential inhibition and potent pain-relieving effects. However, standard meloxicam has an extended time to maximum plasma concentration, or T</w:t>
      </w:r>
      <w:r>
        <w:rPr>
          <w:rFonts w:ascii="Arial" w:cs="Arial" w:eastAsia="Arial" w:hAnsi="Arial"/>
          <w:sz w:val="26"/>
          <w:szCs w:val="26"/>
          <w:color w:val="auto"/>
          <w:vertAlign w:val="subscript"/>
        </w:rPr>
        <w:t>max</w:t>
      </w:r>
      <w:r>
        <w:rPr>
          <w:rFonts w:ascii="Arial" w:cs="Arial" w:eastAsia="Arial" w:hAnsi="Arial"/>
          <w:sz w:val="16"/>
          <w:szCs w:val="16"/>
          <w:color w:val="auto"/>
        </w:rPr>
        <w:t>, which delays its onset of action. AXS</w:t>
      </w:r>
      <w:r>
        <w:rPr>
          <w:rFonts w:ascii="MS PGothic" w:cs="MS PGothic" w:eastAsia="MS PGothic" w:hAnsi="MS PGothic"/>
          <w:sz w:val="16"/>
          <w:szCs w:val="16"/>
          <w:color w:val="auto"/>
        </w:rPr>
        <w:t>‑</w:t>
      </w:r>
      <w:r>
        <w:rPr>
          <w:rFonts w:ascii="Arial" w:cs="Arial" w:eastAsia="Arial" w:hAnsi="Arial"/>
          <w:sz w:val="16"/>
          <w:szCs w:val="16"/>
          <w:color w:val="auto"/>
        </w:rPr>
        <w:t>07 utilizes our proprietary</w:t>
      </w:r>
    </w:p>
    <w:p>
      <w:pPr>
        <w:spacing w:after="0" w:line="3" w:lineRule="exact"/>
        <w:rPr>
          <w:sz w:val="20"/>
          <w:szCs w:val="20"/>
          <w:color w:val="auto"/>
        </w:rPr>
      </w:pPr>
    </w:p>
    <w:p>
      <w:pPr>
        <w:ind w:right="40"/>
        <w:spacing w:after="0" w:line="193" w:lineRule="exact"/>
        <w:rPr>
          <w:sz w:val="20"/>
          <w:szCs w:val="20"/>
          <w:color w:val="auto"/>
        </w:rPr>
      </w:pPr>
      <w:r>
        <w:rPr>
          <w:rFonts w:ascii="Arial" w:cs="Arial" w:eastAsia="Arial" w:hAnsi="Arial"/>
          <w:sz w:val="16"/>
          <w:szCs w:val="16"/>
          <w:color w:val="auto"/>
        </w:rPr>
        <w:t>MoSEIC™ technology to substantially increase the solubility and speed the absorption of meloxicam while potentially maintaining durability of action. Meloxicam is a new molecular entity for migraine enabled by our MoSEIC™ technology. Rizatriptan is a 5</w:t>
      </w:r>
      <w:r>
        <w:rPr>
          <w:rFonts w:ascii="MS PGothic" w:cs="MS PGothic" w:eastAsia="MS PGothic" w:hAnsi="MS PGothic"/>
          <w:sz w:val="16"/>
          <w:szCs w:val="16"/>
          <w:color w:val="auto"/>
        </w:rPr>
        <w:t>‑</w:t>
      </w:r>
      <w:r>
        <w:rPr>
          <w:rFonts w:ascii="Arial" w:cs="Arial" w:eastAsia="Arial" w:hAnsi="Arial"/>
          <w:sz w:val="16"/>
          <w:szCs w:val="16"/>
          <w:color w:val="auto"/>
        </w:rPr>
        <w:t>HT</w:t>
      </w:r>
      <w:r>
        <w:rPr>
          <w:rFonts w:ascii="Arial" w:cs="Arial" w:eastAsia="Arial" w:hAnsi="Arial"/>
          <w:sz w:val="26"/>
          <w:szCs w:val="26"/>
          <w:color w:val="auto"/>
          <w:vertAlign w:val="subscript"/>
        </w:rPr>
        <w:t>1B/D</w:t>
      </w:r>
      <w:r>
        <w:rPr>
          <w:rFonts w:ascii="Arial" w:cs="Arial" w:eastAsia="Arial" w:hAnsi="Arial"/>
          <w:sz w:val="16"/>
          <w:szCs w:val="16"/>
          <w:color w:val="auto"/>
        </w:rPr>
        <w:t xml:space="preserve"> agonist that inhibits calcitonin gene-related peptide, or CGRP-mediated vasodilation, has been shown to</w:t>
      </w:r>
    </w:p>
    <w:p>
      <w:pPr>
        <w:ind w:right="300"/>
        <w:spacing w:after="0" w:line="188" w:lineRule="exact"/>
        <w:rPr>
          <w:sz w:val="20"/>
          <w:szCs w:val="20"/>
          <w:color w:val="auto"/>
        </w:rPr>
      </w:pPr>
      <w:r>
        <w:rPr>
          <w:rFonts w:ascii="Arial" w:cs="Arial" w:eastAsia="Arial" w:hAnsi="Arial"/>
          <w:sz w:val="18"/>
          <w:szCs w:val="18"/>
          <w:color w:val="auto"/>
        </w:rPr>
        <w:t>have central trigeminal antinociceptive activity, and may reduce the release of inflammatory mediators from trigeminal nerves. Rizatriptan is approved as a single agent for the acute treatment of migraine. We intend to seek FDA approval for AXS</w:t>
      </w:r>
      <w:r>
        <w:rPr>
          <w:rFonts w:ascii="MS PGothic" w:cs="MS PGothic" w:eastAsia="MS PGothic" w:hAnsi="MS PGothic"/>
          <w:sz w:val="18"/>
          <w:szCs w:val="18"/>
          <w:color w:val="auto"/>
        </w:rPr>
        <w:t>‑</w:t>
      </w:r>
      <w:r>
        <w:rPr>
          <w:rFonts w:ascii="Arial" w:cs="Arial" w:eastAsia="Arial" w:hAnsi="Arial"/>
          <w:sz w:val="18"/>
          <w:szCs w:val="18"/>
          <w:color w:val="auto"/>
        </w:rPr>
        <w:t>07 utilizing the 505(b)(2) regulatory development pathway.</w:t>
      </w:r>
    </w:p>
    <w:p>
      <w:pPr>
        <w:spacing w:after="0" w:line="162" w:lineRule="exact"/>
        <w:rPr>
          <w:sz w:val="20"/>
          <w:szCs w:val="20"/>
          <w:color w:val="auto"/>
        </w:rPr>
      </w:pPr>
    </w:p>
    <w:p>
      <w:pPr>
        <w:spacing w:after="0" w:line="184" w:lineRule="exact"/>
        <w:rPr>
          <w:sz w:val="20"/>
          <w:szCs w:val="20"/>
          <w:color w:val="auto"/>
        </w:rPr>
      </w:pPr>
      <w:r>
        <w:rPr>
          <w:rFonts w:ascii="Arial" w:cs="Arial" w:eastAsia="Arial" w:hAnsi="Arial"/>
          <w:sz w:val="17"/>
          <w:szCs w:val="17"/>
          <w:color w:val="auto"/>
        </w:rPr>
        <w:t>AXS</w:t>
      </w:r>
      <w:r>
        <w:rPr>
          <w:rFonts w:ascii="MS PGothic" w:cs="MS PGothic" w:eastAsia="MS PGothic" w:hAnsi="MS PGothic"/>
          <w:sz w:val="17"/>
          <w:szCs w:val="17"/>
          <w:color w:val="auto"/>
        </w:rPr>
        <w:t>‑</w:t>
      </w:r>
      <w:r>
        <w:rPr>
          <w:rFonts w:ascii="Arial" w:cs="Arial" w:eastAsia="Arial" w:hAnsi="Arial"/>
          <w:sz w:val="17"/>
          <w:szCs w:val="17"/>
          <w:color w:val="auto"/>
        </w:rPr>
        <w:t>09 is a novel, oral, investigational medicine consisting of esbupropion and DM, which is being developed for the treatment of CNS disorders. AXS</w:t>
      </w:r>
      <w:r>
        <w:rPr>
          <w:rFonts w:ascii="MS PGothic" w:cs="MS PGothic" w:eastAsia="MS PGothic" w:hAnsi="MS PGothic"/>
          <w:sz w:val="17"/>
          <w:szCs w:val="17"/>
          <w:color w:val="auto"/>
        </w:rPr>
        <w:t>‑</w:t>
      </w:r>
      <w:r>
        <w:rPr>
          <w:rFonts w:ascii="Arial" w:cs="Arial" w:eastAsia="Arial" w:hAnsi="Arial"/>
          <w:sz w:val="17"/>
          <w:szCs w:val="17"/>
          <w:color w:val="auto"/>
        </w:rPr>
        <w:t xml:space="preserve">09 contains esbupropion, the chirally pure </w:t>
      </w:r>
      <w:r>
        <w:rPr>
          <w:rFonts w:ascii="Arial" w:cs="Arial" w:eastAsia="Arial" w:hAnsi="Arial"/>
          <w:sz w:val="17"/>
          <w:szCs w:val="17"/>
          <w:i w:val="1"/>
          <w:iCs w:val="1"/>
          <w:color w:val="auto"/>
        </w:rPr>
        <w:t>S</w:t>
      </w:r>
      <w:r>
        <w:rPr>
          <w:rFonts w:ascii="Arial" w:cs="Arial" w:eastAsia="Arial" w:hAnsi="Arial"/>
          <w:sz w:val="17"/>
          <w:szCs w:val="17"/>
          <w:color w:val="auto"/>
        </w:rPr>
        <w:t>-enantiomer of bupropion, as compared to the company’s first generation product candidate AXS</w:t>
      </w:r>
      <w:r>
        <w:rPr>
          <w:rFonts w:ascii="MS PGothic" w:cs="MS PGothic" w:eastAsia="MS PGothic" w:hAnsi="MS PGothic"/>
          <w:sz w:val="17"/>
          <w:szCs w:val="17"/>
          <w:color w:val="auto"/>
        </w:rPr>
        <w:t>‑</w:t>
      </w:r>
      <w:r>
        <w:rPr>
          <w:rFonts w:ascii="Arial" w:cs="Arial" w:eastAsia="Arial" w:hAnsi="Arial"/>
          <w:sz w:val="17"/>
          <w:szCs w:val="17"/>
          <w:color w:val="auto"/>
        </w:rPr>
        <w:t xml:space="preserve">05 which contains racemic bupropion, equal amounts of the </w:t>
      </w:r>
      <w:r>
        <w:rPr>
          <w:rFonts w:ascii="Arial" w:cs="Arial" w:eastAsia="Arial" w:hAnsi="Arial"/>
          <w:sz w:val="17"/>
          <w:szCs w:val="17"/>
          <w:i w:val="1"/>
          <w:iCs w:val="1"/>
          <w:color w:val="auto"/>
        </w:rPr>
        <w:t>S</w:t>
      </w:r>
      <w:r>
        <w:rPr>
          <w:rFonts w:ascii="Arial" w:cs="Arial" w:eastAsia="Arial" w:hAnsi="Arial"/>
          <w:sz w:val="17"/>
          <w:szCs w:val="17"/>
          <w:color w:val="auto"/>
        </w:rPr>
        <w:t xml:space="preserve">- and </w:t>
      </w:r>
      <w:r>
        <w:rPr>
          <w:rFonts w:ascii="Arial" w:cs="Arial" w:eastAsia="Arial" w:hAnsi="Arial"/>
          <w:sz w:val="17"/>
          <w:szCs w:val="17"/>
          <w:i w:val="1"/>
          <w:iCs w:val="1"/>
          <w:color w:val="auto"/>
        </w:rPr>
        <w:t>R</w:t>
      </w:r>
      <w:r>
        <w:rPr>
          <w:rFonts w:ascii="Arial" w:cs="Arial" w:eastAsia="Arial" w:hAnsi="Arial"/>
          <w:sz w:val="17"/>
          <w:szCs w:val="17"/>
          <w:color w:val="auto"/>
        </w:rPr>
        <w:t>-enantiomers. We have demonstrated in a Phase 1 trial that DM plasma levels are substantially increased into a potentially therapeutic range with repeated administration of AXS</w:t>
      </w:r>
      <w:r>
        <w:rPr>
          <w:rFonts w:ascii="MS PGothic" w:cs="MS PGothic" w:eastAsia="MS PGothic" w:hAnsi="MS PGothic"/>
          <w:sz w:val="17"/>
          <w:szCs w:val="17"/>
          <w:color w:val="auto"/>
        </w:rPr>
        <w:t>‑</w:t>
      </w:r>
      <w:r>
        <w:rPr>
          <w:rFonts w:ascii="Arial" w:cs="Arial" w:eastAsia="Arial" w:hAnsi="Arial"/>
          <w:sz w:val="17"/>
          <w:szCs w:val="17"/>
          <w:color w:val="auto"/>
        </w:rPr>
        <w:t xml:space="preserve">09. Results of this Phase 1 trial coupled with preclinical data also indicate the potential for enhanced absorption and therapeutic effect of the </w:t>
      </w:r>
      <w:r>
        <w:rPr>
          <w:rFonts w:ascii="Arial" w:cs="Arial" w:eastAsia="Arial" w:hAnsi="Arial"/>
          <w:sz w:val="17"/>
          <w:szCs w:val="17"/>
          <w:i w:val="1"/>
          <w:iCs w:val="1"/>
          <w:color w:val="auto"/>
        </w:rPr>
        <w:t>S</w:t>
      </w:r>
      <w:r>
        <w:rPr>
          <w:rFonts w:ascii="Arial" w:cs="Arial" w:eastAsia="Arial" w:hAnsi="Arial"/>
          <w:sz w:val="17"/>
          <w:szCs w:val="17"/>
          <w:color w:val="auto"/>
        </w:rPr>
        <w:t xml:space="preserve">-enantiomer as compared to the </w:t>
      </w:r>
      <w:r>
        <w:rPr>
          <w:rFonts w:ascii="Arial" w:cs="Arial" w:eastAsia="Arial" w:hAnsi="Arial"/>
          <w:sz w:val="17"/>
          <w:szCs w:val="17"/>
          <w:i w:val="1"/>
          <w:iCs w:val="1"/>
          <w:color w:val="auto"/>
        </w:rPr>
        <w:t>R</w:t>
      </w:r>
      <w:r>
        <w:rPr>
          <w:rFonts w:ascii="Arial" w:cs="Arial" w:eastAsia="Arial" w:hAnsi="Arial"/>
          <w:sz w:val="17"/>
          <w:szCs w:val="17"/>
          <w:color w:val="auto"/>
        </w:rPr>
        <w:t>-enantiomer.</w:t>
      </w:r>
    </w:p>
    <w:p>
      <w:pPr>
        <w:spacing w:after="0" w:line="164" w:lineRule="exact"/>
        <w:rPr>
          <w:sz w:val="20"/>
          <w:szCs w:val="20"/>
          <w:color w:val="auto"/>
        </w:rPr>
      </w:pPr>
    </w:p>
    <w:p>
      <w:pPr>
        <w:spacing w:after="0" w:line="186" w:lineRule="exact"/>
        <w:rPr>
          <w:sz w:val="20"/>
          <w:szCs w:val="20"/>
          <w:color w:val="auto"/>
        </w:rPr>
      </w:pPr>
      <w:r>
        <w:rPr>
          <w:rFonts w:ascii="Arial" w:cs="Arial" w:eastAsia="Arial" w:hAnsi="Arial"/>
          <w:sz w:val="18"/>
          <w:szCs w:val="18"/>
          <w:color w:val="auto"/>
        </w:rPr>
        <w:t>AXS</w:t>
      </w:r>
      <w:r>
        <w:rPr>
          <w:rFonts w:ascii="MS PGothic" w:cs="MS PGothic" w:eastAsia="MS PGothic" w:hAnsi="MS PGothic"/>
          <w:sz w:val="18"/>
          <w:szCs w:val="18"/>
          <w:color w:val="auto"/>
        </w:rPr>
        <w:t>‑</w:t>
      </w:r>
      <w:r>
        <w:rPr>
          <w:rFonts w:ascii="Arial" w:cs="Arial" w:eastAsia="Arial" w:hAnsi="Arial"/>
          <w:sz w:val="18"/>
          <w:szCs w:val="18"/>
          <w:color w:val="auto"/>
        </w:rPr>
        <w:t>12, reboxetine, is a novel, oral, investigational medicine in development for treatment of narcolepsy. AXS</w:t>
      </w:r>
      <w:r>
        <w:rPr>
          <w:rFonts w:ascii="MS PGothic" w:cs="MS PGothic" w:eastAsia="MS PGothic" w:hAnsi="MS PGothic"/>
          <w:sz w:val="18"/>
          <w:szCs w:val="18"/>
          <w:color w:val="auto"/>
        </w:rPr>
        <w:t>‑</w:t>
      </w:r>
      <w:r>
        <w:rPr>
          <w:rFonts w:ascii="Arial" w:cs="Arial" w:eastAsia="Arial" w:hAnsi="Arial"/>
          <w:sz w:val="18"/>
          <w:szCs w:val="18"/>
          <w:color w:val="auto"/>
        </w:rPr>
        <w:t>12 is a highly selective and potent norepinephrine reuptake inhibitor. The potential utility of AXS</w:t>
      </w:r>
      <w:r>
        <w:rPr>
          <w:rFonts w:ascii="MS PGothic" w:cs="MS PGothic" w:eastAsia="MS PGothic" w:hAnsi="MS PGothic"/>
          <w:sz w:val="18"/>
          <w:szCs w:val="18"/>
          <w:color w:val="auto"/>
        </w:rPr>
        <w:t>‑</w:t>
      </w:r>
      <w:r>
        <w:rPr>
          <w:rFonts w:ascii="Arial" w:cs="Arial" w:eastAsia="Arial" w:hAnsi="Arial"/>
          <w:sz w:val="18"/>
          <w:szCs w:val="18"/>
          <w:color w:val="auto"/>
        </w:rPr>
        <w:t>12 in narcolepsy is supported by positive pre-clinical and clinical results in narcolepsy, and an extensive positive clinical safety record. Reboxetine, the active agent in AXS</w:t>
      </w:r>
      <w:r>
        <w:rPr>
          <w:rFonts w:ascii="MS PGothic" w:cs="MS PGothic" w:eastAsia="MS PGothic" w:hAnsi="MS PGothic"/>
          <w:sz w:val="18"/>
          <w:szCs w:val="18"/>
          <w:color w:val="auto"/>
        </w:rPr>
        <w:t>‑</w:t>
      </w:r>
      <w:r>
        <w:rPr>
          <w:rFonts w:ascii="Arial" w:cs="Arial" w:eastAsia="Arial" w:hAnsi="Arial"/>
          <w:sz w:val="18"/>
          <w:szCs w:val="18"/>
          <w:color w:val="auto"/>
        </w:rPr>
        <w:t>12, significantly and dose-dependently reduced narcoleptic episodes in hypocretin, or orexin-deficient mice, a well-established genetic animal model of narcolepsy.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3">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right="180"/>
        <w:spacing w:after="0" w:line="186" w:lineRule="exact"/>
        <w:rPr>
          <w:sz w:val="20"/>
          <w:szCs w:val="20"/>
          <w:color w:val="auto"/>
        </w:rPr>
      </w:pPr>
      <w:r>
        <w:rPr>
          <w:rFonts w:ascii="Arial" w:cs="Arial" w:eastAsia="Arial" w:hAnsi="Arial"/>
          <w:sz w:val="16"/>
          <w:szCs w:val="16"/>
          <w:color w:val="auto"/>
        </w:rPr>
        <w:t>The Axsome PPC unit houses Axsome’s pain and primary care assets, including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06, and intellectual property which covers these and related product candidates and molecules being developed by Axsome and others. AXS</w:t>
      </w:r>
      <w:r>
        <w:rPr>
          <w:rFonts w:ascii="MS PGothic" w:cs="MS PGothic" w:eastAsia="MS PGothic" w:hAnsi="MS PGothic"/>
          <w:sz w:val="16"/>
          <w:szCs w:val="16"/>
          <w:color w:val="auto"/>
        </w:rPr>
        <w:t>‑</w:t>
      </w:r>
      <w:r>
        <w:rPr>
          <w:rFonts w:ascii="Arial" w:cs="Arial" w:eastAsia="Arial" w:hAnsi="Arial"/>
          <w:sz w:val="16"/>
          <w:szCs w:val="16"/>
          <w:color w:val="auto"/>
        </w:rPr>
        <w:t>02 is being developed for the treatment of knee osteoarthritis, or OA, associated with bone marrow lesions, or BMLs, and chronic low back pain, or CLBP, associated with Modic changes, or MCs. AXS</w:t>
      </w:r>
      <w:r>
        <w:rPr>
          <w:rFonts w:ascii="MS PGothic" w:cs="MS PGothic" w:eastAsia="MS PGothic" w:hAnsi="MS PGothic"/>
          <w:sz w:val="16"/>
          <w:szCs w:val="16"/>
          <w:color w:val="auto"/>
        </w:rPr>
        <w:t>‑</w:t>
      </w:r>
      <w:r>
        <w:rPr>
          <w:rFonts w:ascii="Arial" w:cs="Arial" w:eastAsia="Arial" w:hAnsi="Arial"/>
          <w:sz w:val="16"/>
          <w:szCs w:val="16"/>
          <w:color w:val="auto"/>
        </w:rPr>
        <w:t>06 is being developed for the treatment of osteoarthritis and rheumatoid arthritis and for the reduction of the risk of NSAID-associated gastrointestinal ulcers.</w:t>
      </w:r>
    </w:p>
    <w:p>
      <w:pPr>
        <w:spacing w:after="0" w:line="16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02, disodium zoledronate tetrahydrate, is a potentially first</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class, oral, targeted, non</w:t>
      </w:r>
      <w:r>
        <w:rPr>
          <w:rFonts w:ascii="MS PGothic" w:cs="MS PGothic" w:eastAsia="MS PGothic" w:hAnsi="MS PGothic"/>
          <w:sz w:val="16"/>
          <w:szCs w:val="16"/>
          <w:color w:val="auto"/>
        </w:rPr>
        <w:t>‑</w:t>
      </w:r>
      <w:r>
        <w:rPr>
          <w:rFonts w:ascii="Arial" w:cs="Arial" w:eastAsia="Arial" w:hAnsi="Arial"/>
          <w:sz w:val="16"/>
          <w:szCs w:val="16"/>
          <w:color w:val="auto"/>
        </w:rPr>
        <w:t>opioid therapeutic for chronic pain. AXS</w:t>
      </w:r>
      <w:r>
        <w:rPr>
          <w:rFonts w:ascii="MS PGothic" w:cs="MS PGothic" w:eastAsia="MS PGothic" w:hAnsi="MS PGothic"/>
          <w:sz w:val="16"/>
          <w:szCs w:val="16"/>
          <w:color w:val="auto"/>
        </w:rPr>
        <w:t>‑</w:t>
      </w:r>
      <w:r>
        <w:rPr>
          <w:rFonts w:ascii="Arial" w:cs="Arial" w:eastAsia="Arial" w:hAnsi="Arial"/>
          <w:sz w:val="16"/>
          <w:szCs w:val="16"/>
          <w:color w:val="auto"/>
        </w:rPr>
        <w:t>02 is a potent inhibitor of osteoclasts, which are bone remodeling cells that break down bone tissue. We are developing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in the following two conditions: knee OA associated with BMLs and CLBP associated with type 1 or mixed type 1 and type 2 MCs. These conditions exhibit target lesions or specific pathology that we believe may be addressed by the mechanisms of action of AXS</w:t>
      </w:r>
      <w:r>
        <w:rPr>
          <w:rFonts w:ascii="MS PGothic" w:cs="MS PGothic" w:eastAsia="MS PGothic" w:hAnsi="MS PGothic"/>
          <w:sz w:val="16"/>
          <w:szCs w:val="16"/>
          <w:color w:val="auto"/>
        </w:rPr>
        <w:t>‑</w:t>
      </w:r>
      <w:r>
        <w:rPr>
          <w:rFonts w:ascii="Arial" w:cs="Arial" w:eastAsia="Arial" w:hAnsi="Arial"/>
          <w:sz w:val="16"/>
          <w:szCs w:val="16"/>
          <w:color w:val="auto"/>
        </w:rPr>
        <w:t>02, such as inhibition of osteoclast activity. These mechanisms may result in a reduction of pain in these conditions. We intend to seek FDA approval for AXS</w:t>
      </w:r>
      <w:r>
        <w:rPr>
          <w:rFonts w:ascii="MS PGothic" w:cs="MS PGothic" w:eastAsia="MS PGothic" w:hAnsi="MS PGothic"/>
          <w:sz w:val="16"/>
          <w:szCs w:val="16"/>
          <w:color w:val="auto"/>
        </w:rPr>
        <w:t>‑</w:t>
      </w:r>
      <w:r>
        <w:rPr>
          <w:rFonts w:ascii="Arial" w:cs="Arial" w:eastAsia="Arial" w:hAnsi="Arial"/>
          <w:sz w:val="16"/>
          <w:szCs w:val="16"/>
          <w:color w:val="auto"/>
        </w:rPr>
        <w:t>02 utilizing the 505(b)(2) regulatory development pathway.</w:t>
      </w:r>
    </w:p>
    <w:p>
      <w:pPr>
        <w:spacing w:after="0" w:line="164" w:lineRule="exact"/>
        <w:rPr>
          <w:sz w:val="20"/>
          <w:szCs w:val="20"/>
          <w:color w:val="auto"/>
        </w:rPr>
      </w:pPr>
    </w:p>
    <w:p>
      <w:pPr>
        <w:ind w:right="40"/>
        <w:spacing w:after="0" w:line="185"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06 is a novel, oral, non-opioid, fixed-dose combination of MoSEIC™ meloxicam and esomeprazole. We are developing AXS</w:t>
      </w:r>
      <w:r>
        <w:rPr>
          <w:rFonts w:ascii="MS PGothic" w:cs="MS PGothic" w:eastAsia="MS PGothic" w:hAnsi="MS PGothic"/>
          <w:sz w:val="16"/>
          <w:szCs w:val="16"/>
          <w:color w:val="auto"/>
        </w:rPr>
        <w:t>‑</w:t>
      </w:r>
      <w:r>
        <w:rPr>
          <w:rFonts w:ascii="Arial" w:cs="Arial" w:eastAsia="Arial" w:hAnsi="Arial"/>
          <w:sz w:val="16"/>
          <w:szCs w:val="16"/>
          <w:color w:val="auto"/>
        </w:rPr>
        <w:t>06 initially for the treatment of osteoarthritis and rheumatoid arthritis. Esomeprazole is a proton pump inhibitor which lowers stomach acidity and which has been shown to reduce the occurrence of NSAID-associated gastrointestinal ulcers. AXS</w:t>
      </w:r>
      <w:r>
        <w:rPr>
          <w:rFonts w:ascii="MS PGothic" w:cs="MS PGothic" w:eastAsia="MS PGothic" w:hAnsi="MS PGothic"/>
          <w:sz w:val="16"/>
          <w:szCs w:val="16"/>
          <w:color w:val="auto"/>
        </w:rPr>
        <w:t>‑</w:t>
      </w:r>
      <w:r>
        <w:rPr>
          <w:rFonts w:ascii="Arial" w:cs="Arial" w:eastAsia="Arial" w:hAnsi="Arial"/>
          <w:sz w:val="16"/>
          <w:szCs w:val="16"/>
          <w:color w:val="auto"/>
        </w:rPr>
        <w:t>06 is designed to provide rapid, effective pain relief, and to reduce the risk of NSAID-associated gastrointestinal ulcers, with convenient once-daily dosing. We have successfully completed a Phase 1 trial of AXS</w:t>
      </w:r>
      <w:r>
        <w:rPr>
          <w:rFonts w:ascii="MS PGothic" w:cs="MS PGothic" w:eastAsia="MS PGothic" w:hAnsi="MS PGothic"/>
          <w:sz w:val="16"/>
          <w:szCs w:val="16"/>
          <w:color w:val="auto"/>
        </w:rPr>
        <w:t>‑</w:t>
      </w:r>
      <w:r>
        <w:rPr>
          <w:rFonts w:ascii="Arial" w:cs="Arial" w:eastAsia="Arial" w:hAnsi="Arial"/>
          <w:sz w:val="16"/>
          <w:szCs w:val="16"/>
          <w:color w:val="auto"/>
        </w:rPr>
        <w:t>06 to characterize the pharmacokinetics of meloxicam and esomeprazole after oral administration of AXS</w:t>
      </w:r>
      <w:r>
        <w:rPr>
          <w:rFonts w:ascii="MS PGothic" w:cs="MS PGothic" w:eastAsia="MS PGothic" w:hAnsi="MS PGothic"/>
          <w:sz w:val="16"/>
          <w:szCs w:val="16"/>
          <w:color w:val="auto"/>
        </w:rPr>
        <w:t>‑</w:t>
      </w:r>
      <w:r>
        <w:rPr>
          <w:rFonts w:ascii="Arial" w:cs="Arial" w:eastAsia="Arial" w:hAnsi="Arial"/>
          <w:sz w:val="16"/>
          <w:szCs w:val="16"/>
          <w:color w:val="auto"/>
        </w:rPr>
        <w:t>06. The results of our Phase 1 trial demonstrated that the median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for meloxicam, the trial’s primary endpoint, was nine times faster for AXS</w:t>
      </w:r>
      <w:r>
        <w:rPr>
          <w:rFonts w:ascii="MS PGothic" w:cs="MS PGothic" w:eastAsia="MS PGothic" w:hAnsi="MS PGothic"/>
          <w:sz w:val="16"/>
          <w:szCs w:val="16"/>
          <w:color w:val="auto"/>
        </w:rPr>
        <w:t>‑</w:t>
      </w:r>
      <w:r>
        <w:rPr>
          <w:rFonts w:ascii="Arial" w:cs="Arial" w:eastAsia="Arial" w:hAnsi="Arial"/>
          <w:sz w:val="16"/>
          <w:szCs w:val="16"/>
          <w:color w:val="auto"/>
        </w:rPr>
        <w:t>06 as compared to standard meloxicam. We</w:t>
      </w:r>
    </w:p>
    <w:p>
      <w:pPr>
        <w:spacing w:after="0" w:line="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intend to seek FDA approval for AXS</w:t>
      </w:r>
      <w:r>
        <w:rPr>
          <w:rFonts w:ascii="MS PGothic" w:cs="MS PGothic" w:eastAsia="MS PGothic" w:hAnsi="MS PGothic"/>
          <w:sz w:val="18"/>
          <w:szCs w:val="18"/>
          <w:color w:val="auto"/>
        </w:rPr>
        <w:t>‑</w:t>
      </w:r>
      <w:r>
        <w:rPr>
          <w:rFonts w:ascii="Arial" w:cs="Arial" w:eastAsia="Arial" w:hAnsi="Arial"/>
          <w:sz w:val="18"/>
          <w:szCs w:val="18"/>
          <w:color w:val="auto"/>
        </w:rPr>
        <w:t>06 utilizing the 505(b)(2) regulatory development pathway.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current CNS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133985</wp:posOffset>
            </wp:positionV>
            <wp:extent cx="5736590" cy="22110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extLst>
                    </a:blip>
                    <a:srcRect/>
                    <a:stretch>
                      <a:fillRect/>
                    </a:stretch>
                  </pic:blipFill>
                  <pic:spPr bwMode="auto">
                    <a:xfrm>
                      <a:off x="0" y="0"/>
                      <a:ext cx="5736590" cy="2211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Additionally, our PPC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133985</wp:posOffset>
            </wp:positionV>
            <wp:extent cx="5736590" cy="1306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extLst>
                    </a:blip>
                    <a:srcRect/>
                    <a:stretch>
                      <a:fillRect/>
                    </a:stretch>
                  </pic:blipFill>
                  <pic:spPr bwMode="auto">
                    <a:xfrm>
                      <a:off x="0" y="0"/>
                      <a:ext cx="5736590" cy="1306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40"/>
          </w:cols>
          <w:pgMar w:left="1260" w:top="114" w:right="1299" w:bottom="1440" w:gutter="0" w:footer="0" w:header="0"/>
        </w:sectPr>
      </w:pPr>
    </w:p>
    <w:bookmarkStart w:id="28" w:name="page29"/>
    <w:bookmarkEnd w:id="28"/>
    <w:p>
      <w:pPr>
        <w:ind w:left="6"/>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left="6"/>
        <w:spacing w:after="0"/>
        <w:rPr>
          <w:sz w:val="20"/>
          <w:szCs w:val="20"/>
          <w:color w:val="auto"/>
        </w:rPr>
      </w:pPr>
      <w:r>
        <w:rPr>
          <w:rFonts w:ascii="Arial" w:cs="Arial" w:eastAsia="Arial" w:hAnsi="Arial"/>
          <w:sz w:val="16"/>
          <w:szCs w:val="16"/>
          <w:color w:val="auto"/>
        </w:rPr>
        <w:t>Our principal executive offices are located at 200 Broadway, 3rd Floor, New York, New York 10038, and our telephone number is</w:t>
      </w:r>
    </w:p>
    <w:p>
      <w:pPr>
        <w:spacing w:after="0" w:line="7" w:lineRule="exact"/>
        <w:rPr>
          <w:sz w:val="20"/>
          <w:szCs w:val="20"/>
          <w:color w:val="auto"/>
        </w:rPr>
      </w:pPr>
    </w:p>
    <w:p>
      <w:pPr>
        <w:ind w:left="6" w:right="340" w:hanging="6"/>
        <w:spacing w:after="0" w:line="188" w:lineRule="exact"/>
        <w:tabs>
          <w:tab w:leader="none" w:pos="439" w:val="left"/>
        </w:tabs>
        <w:numPr>
          <w:ilvl w:val="0"/>
          <w:numId w:val="12"/>
        </w:numPr>
        <w:rPr>
          <w:rFonts w:ascii="Arial" w:cs="Arial" w:eastAsia="Arial" w:hAnsi="Arial"/>
          <w:sz w:val="17"/>
          <w:szCs w:val="17"/>
          <w:color w:val="auto"/>
        </w:rPr>
      </w:pPr>
      <w:r>
        <w:rPr>
          <w:rFonts w:ascii="Arial" w:cs="Arial" w:eastAsia="Arial" w:hAnsi="Arial"/>
          <w:sz w:val="17"/>
          <w:szCs w:val="17"/>
          <w:color w:val="auto"/>
        </w:rPr>
        <w:t>332</w:t>
      </w:r>
      <w:r>
        <w:rPr>
          <w:rFonts w:ascii="MS PGothic" w:cs="MS PGothic" w:eastAsia="MS PGothic" w:hAnsi="MS PGothic"/>
          <w:sz w:val="17"/>
          <w:szCs w:val="17"/>
          <w:color w:val="auto"/>
        </w:rPr>
        <w:t>‑</w:t>
      </w:r>
      <w:r>
        <w:rPr>
          <w:rFonts w:ascii="Arial" w:cs="Arial" w:eastAsia="Arial" w:hAnsi="Arial"/>
          <w:sz w:val="17"/>
          <w:szCs w:val="17"/>
          <w:color w:val="auto"/>
        </w:rPr>
        <w:t>3241. Our website address is www.axsome.com. 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spacing w:after="0" w:line="161" w:lineRule="exact"/>
        <w:rPr>
          <w:sz w:val="20"/>
          <w:szCs w:val="20"/>
          <w:color w:val="auto"/>
        </w:rPr>
      </w:pPr>
    </w:p>
    <w:p>
      <w:pPr>
        <w:ind w:left="6" w:right="80"/>
        <w:spacing w:after="0" w:line="234" w:lineRule="auto"/>
        <w:rPr>
          <w:sz w:val="20"/>
          <w:szCs w:val="20"/>
          <w:color w:val="auto"/>
        </w:rPr>
      </w:pPr>
      <w:r>
        <w:rPr>
          <w:rFonts w:ascii="Arial" w:cs="Arial" w:eastAsia="Arial" w:hAnsi="Arial"/>
          <w:sz w:val="18"/>
          <w:szCs w:val="18"/>
          <w:color w:val="auto"/>
        </w:rPr>
        <w:t>Our filings with the SEC are posted on our website at www.axsome.com. The information found on our website is not part of this or any other report we file with or furnish to the SEC.</w:t>
      </w:r>
    </w:p>
    <w:p>
      <w:pPr>
        <w:spacing w:after="0" w:line="157" w:lineRule="exact"/>
        <w:rPr>
          <w:sz w:val="20"/>
          <w:szCs w:val="20"/>
          <w:color w:val="auto"/>
        </w:rPr>
      </w:pPr>
    </w:p>
    <w:p>
      <w:pPr>
        <w:jc w:val="center"/>
        <w:ind w:right="-45"/>
        <w:spacing w:after="0"/>
        <w:rPr>
          <w:sz w:val="20"/>
          <w:szCs w:val="20"/>
          <w:color w:val="auto"/>
        </w:rPr>
      </w:pPr>
      <w:r>
        <w:rPr>
          <w:rFonts w:ascii="Arial" w:cs="Arial" w:eastAsia="Arial" w:hAnsi="Arial"/>
          <w:sz w:val="18"/>
          <w:szCs w:val="18"/>
          <w:b w:val="1"/>
          <w:bCs w:val="1"/>
          <w:color w:val="auto"/>
        </w:rPr>
        <w:t>RISK FACTORS</w:t>
      </w:r>
    </w:p>
    <w:p>
      <w:pPr>
        <w:spacing w:after="0" w:line="187" w:lineRule="exact"/>
        <w:rPr>
          <w:sz w:val="20"/>
          <w:szCs w:val="20"/>
          <w:color w:val="auto"/>
        </w:rPr>
      </w:pPr>
    </w:p>
    <w:p>
      <w:pPr>
        <w:ind w:left="6"/>
        <w:spacing w:after="0" w:line="234" w:lineRule="auto"/>
        <w:rPr>
          <w:rFonts w:ascii="Arial" w:cs="Arial" w:eastAsia="Arial" w:hAnsi="Arial"/>
          <w:sz w:val="16"/>
          <w:szCs w:val="16"/>
          <w:color w:val="0000EE"/>
        </w:rPr>
      </w:pPr>
      <w:r>
        <w:rPr>
          <w:rFonts w:ascii="Arial" w:cs="Arial" w:eastAsia="Arial" w:hAnsi="Arial"/>
          <w:sz w:val="16"/>
          <w:szCs w:val="16"/>
          <w:color w:val="auto"/>
        </w:rPr>
        <w:t xml:space="preserve">Investing in our securities involves risk. You should carefully consider the specific risks discussed or incorporated by reference into the applicable prospectus supplement, together with all the other information contained in the prospectus supplement or incorporated by reference into this prospectus and the applicable prospectus supplement. You should also consider the risks, </w:t>
      </w:r>
      <w:hyperlink r:id="rId35">
        <w:r>
          <w:rPr>
            <w:rFonts w:ascii="Arial" w:cs="Arial" w:eastAsia="Arial" w:hAnsi="Arial"/>
            <w:sz w:val="16"/>
            <w:szCs w:val="16"/>
            <w:color w:val="auto"/>
          </w:rPr>
          <w:t xml:space="preserve">uncertainties and assumptions discussed under the caption “Risk Factors” included in our </w:t>
        </w:r>
        <w:r>
          <w:rPr>
            <w:rFonts w:ascii="Arial" w:cs="Arial" w:eastAsia="Arial" w:hAnsi="Arial"/>
            <w:sz w:val="16"/>
            <w:szCs w:val="16"/>
            <w:u w:val="single" w:color="auto"/>
            <w:color w:val="0000EE"/>
          </w:rPr>
          <w:t>Annual Report on Form 10-K for the</w:t>
        </w:r>
      </w:hyperlink>
      <w:r>
        <w:rPr>
          <w:rFonts w:ascii="Arial" w:cs="Arial" w:eastAsia="Arial" w:hAnsi="Arial"/>
          <w:sz w:val="16"/>
          <w:szCs w:val="16"/>
          <w:color w:val="auto"/>
        </w:rPr>
        <w:t xml:space="preserve"> </w:t>
      </w:r>
      <w:hyperlink r:id="rId35">
        <w:r>
          <w:rPr>
            <w:rFonts w:ascii="Arial" w:cs="Arial" w:eastAsia="Arial" w:hAnsi="Arial"/>
            <w:sz w:val="16"/>
            <w:szCs w:val="16"/>
            <w:u w:val="single" w:color="auto"/>
            <w:color w:val="0000EE"/>
          </w:rPr>
          <w:t>year ended December 31, 2018</w:t>
        </w:r>
        <w:r>
          <w:rPr>
            <w:rFonts w:ascii="Arial" w:cs="Arial" w:eastAsia="Arial" w:hAnsi="Arial"/>
            <w:sz w:val="16"/>
            <w:szCs w:val="16"/>
            <w:color w:val="0000EE"/>
          </w:rPr>
          <w:t xml:space="preserve"> </w:t>
        </w:r>
        <w:r>
          <w:rPr>
            <w:rFonts w:ascii="Arial" w:cs="Arial" w:eastAsia="Arial" w:hAnsi="Arial"/>
            <w:sz w:val="16"/>
            <w:szCs w:val="16"/>
            <w:color w:val="000000"/>
          </w:rPr>
          <w:t>and in subsequent filings, which are incorporated by reference into this prospectus. These risk</w:t>
        </w:r>
      </w:hyperlink>
      <w:r>
        <w:rPr>
          <w:rFonts w:ascii="Arial" w:cs="Arial" w:eastAsia="Arial" w:hAnsi="Arial"/>
          <w:sz w:val="16"/>
          <w:szCs w:val="16"/>
          <w:color w:val="0000EE"/>
        </w:rPr>
        <w:t xml:space="preserve"> </w:t>
      </w:r>
      <w:r>
        <w:rPr>
          <w:rFonts w:ascii="Arial" w:cs="Arial" w:eastAsia="Arial" w:hAnsi="Arial"/>
          <w:sz w:val="16"/>
          <w:szCs w:val="16"/>
          <w:color w:val="000000"/>
        </w:rPr>
        <w:t>factors may be amended, supplemented or superseded from time to time by other reports we file with the SEC in the future or by a prospectus supplement relating to a particular offering of our securities.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prospectus supplement or any additional risks and uncertainties actually occur, our business, financial condition and results of operations could be materially and adversely affected. In that case, the trading price of our securities could decline and you might lose all or part of your investment.</w:t>
      </w:r>
    </w:p>
    <w:p>
      <w:pPr>
        <w:spacing w:after="0" w:line="160" w:lineRule="exact"/>
        <w:rPr>
          <w:sz w:val="20"/>
          <w:szCs w:val="20"/>
          <w:color w:val="auto"/>
        </w:rPr>
      </w:pPr>
    </w:p>
    <w:p>
      <w:pPr>
        <w:jc w:val="center"/>
        <w:ind w:right="-45"/>
        <w:spacing w:after="0"/>
        <w:rPr>
          <w:sz w:val="20"/>
          <w:szCs w:val="20"/>
          <w:color w:val="auto"/>
        </w:rPr>
      </w:pPr>
      <w:r>
        <w:rPr>
          <w:rFonts w:ascii="Arial" w:cs="Arial" w:eastAsia="Arial" w:hAnsi="Arial"/>
          <w:sz w:val="18"/>
          <w:szCs w:val="18"/>
          <w:b w:val="1"/>
          <w:bCs w:val="1"/>
          <w:color w:val="auto"/>
        </w:rPr>
        <w:t>FORWARD-LOOKING STATEMENTS</w:t>
      </w:r>
    </w:p>
    <w:p>
      <w:pPr>
        <w:spacing w:after="0" w:line="187" w:lineRule="exact"/>
        <w:rPr>
          <w:sz w:val="20"/>
          <w:szCs w:val="20"/>
          <w:color w:val="auto"/>
        </w:rPr>
      </w:pPr>
    </w:p>
    <w:p>
      <w:pPr>
        <w:ind w:left="6" w:right="40"/>
        <w:spacing w:after="0" w:line="218" w:lineRule="auto"/>
        <w:rPr>
          <w:rFonts w:ascii="Arial" w:cs="Arial" w:eastAsia="Arial" w:hAnsi="Arial"/>
          <w:sz w:val="17"/>
          <w:szCs w:val="17"/>
          <w:color w:val="0000EE"/>
        </w:rPr>
      </w:pPr>
      <w:r>
        <w:rPr>
          <w:rFonts w:ascii="Arial" w:cs="Arial" w:eastAsia="Arial" w:hAnsi="Arial"/>
          <w:sz w:val="17"/>
          <w:szCs w:val="17"/>
          <w:color w:val="auto"/>
        </w:rPr>
        <w:t xml:space="preserve">From time to time, in reports filed with the Securities and Exchange Commission (including this registration statement), in press releases and in other communications to stockholders or the investment community, we may provide forward-looking statements concerning possible or anticipated future results of operations or business developments. These statements are based on our management’s current expectations or predictions of future conditions, events or results based on various assumptions and our management’s estimates of trends and economic factors in the markets in which we are active, as well as our business plans. Words such as “expects,” “anticipates,” “intends,” “plans,” “believes,” “seeks,” “estimates,” “projects,” “forecasts,” “may,” “should,” and variations of such words and similar expressions are intended to identify such forward-looking statements. The forward-looking statements may include, without limitation, statements regarding product candidate development, product candidate potential, regulatory environment, sales and marketing strategies, capital resources or operating performance. The forward-looking statements are subject to risks and uncertainties, which may cause results to differ materially from those set forth in the statements. Forward-looking statements in this registration statement should be evaluated together with the many </w:t>
      </w:r>
      <w:hyperlink r:id="rId35">
        <w:r>
          <w:rPr>
            <w:rFonts w:ascii="Arial" w:cs="Arial" w:eastAsia="Arial" w:hAnsi="Arial"/>
            <w:sz w:val="17"/>
            <w:szCs w:val="17"/>
            <w:color w:val="auto"/>
          </w:rPr>
          <w:t xml:space="preserve">uncertainties that affect our business and our market, particularly those discussed in the “Risk Factors” section of our </w:t>
        </w:r>
        <w:r>
          <w:rPr>
            <w:rFonts w:ascii="Arial" w:cs="Arial" w:eastAsia="Arial" w:hAnsi="Arial"/>
            <w:sz w:val="17"/>
            <w:szCs w:val="17"/>
            <w:u w:val="single" w:color="auto"/>
            <w:color w:val="0000EE"/>
          </w:rPr>
          <w:t>Annual</w:t>
        </w:r>
      </w:hyperlink>
      <w:r>
        <w:rPr>
          <w:rFonts w:ascii="Arial" w:cs="Arial" w:eastAsia="Arial" w:hAnsi="Arial"/>
          <w:sz w:val="17"/>
          <w:szCs w:val="17"/>
          <w:color w:val="auto"/>
        </w:rPr>
        <w:t xml:space="preserve"> </w:t>
      </w:r>
      <w:hyperlink r:id="rId35">
        <w:r>
          <w:rPr>
            <w:rFonts w:ascii="Arial" w:cs="Arial" w:eastAsia="Arial" w:hAnsi="Arial"/>
            <w:sz w:val="17"/>
            <w:szCs w:val="17"/>
            <w:u w:val="single" w:color="auto"/>
            <w:color w:val="0000EE"/>
          </w:rPr>
          <w:t>Report on Form 10-K for the year ended December 31, 2018</w:t>
        </w:r>
        <w:r>
          <w:rPr>
            <w:rFonts w:ascii="Arial" w:cs="Arial" w:eastAsia="Arial" w:hAnsi="Arial"/>
            <w:sz w:val="17"/>
            <w:szCs w:val="17"/>
            <w:color w:val="0000EE"/>
          </w:rPr>
          <w:t xml:space="preserve"> </w:t>
        </w:r>
        <w:r>
          <w:rPr>
            <w:rFonts w:ascii="Arial" w:cs="Arial" w:eastAsia="Arial" w:hAnsi="Arial"/>
            <w:sz w:val="17"/>
            <w:szCs w:val="17"/>
            <w:color w:val="000000"/>
          </w:rPr>
          <w:t xml:space="preserve">and our subsequent filings, which are incorporated by reference </w:t>
        </w:r>
      </w:hyperlink>
      <w:r>
        <w:rPr>
          <w:rFonts w:ascii="Arial" w:cs="Arial" w:eastAsia="Arial" w:hAnsi="Arial"/>
          <w:sz w:val="17"/>
          <w:szCs w:val="17"/>
          <w:color w:val="0000EE"/>
        </w:rPr>
        <w:t xml:space="preserve">into </w:t>
      </w:r>
      <w:r>
        <w:rPr>
          <w:rFonts w:ascii="Arial" w:cs="Arial" w:eastAsia="Arial" w:hAnsi="Arial"/>
          <w:sz w:val="17"/>
          <w:szCs w:val="17"/>
          <w:color w:val="000000"/>
        </w:rPr>
        <w:t>this prospectus, to better understand the risks and uncertainties inherent in our business and underlying any forward-looking statements. Forward-looking statements are not guarantees of future performance, and actual results may differ materially from those projected. The forward-looking statements are representative only as of the date of this prospectus and except as required by law, we assume no responsibility to update any forward-looking statements, whether as a result of new information, future events or otherwise.</w:t>
      </w:r>
    </w:p>
    <w:p>
      <w:pPr>
        <w:spacing w:after="0" w:line="165" w:lineRule="exact"/>
        <w:rPr>
          <w:sz w:val="20"/>
          <w:szCs w:val="20"/>
          <w:color w:val="auto"/>
        </w:rPr>
      </w:pPr>
    </w:p>
    <w:p>
      <w:pPr>
        <w:ind w:left="6" w:right="100"/>
        <w:spacing w:after="0" w:line="228" w:lineRule="auto"/>
        <w:rPr>
          <w:sz w:val="20"/>
          <w:szCs w:val="20"/>
          <w:color w:val="auto"/>
        </w:rPr>
      </w:pPr>
      <w:r>
        <w:rPr>
          <w:rFonts w:ascii="Arial" w:cs="Arial" w:eastAsia="Arial" w:hAnsi="Arial"/>
          <w:sz w:val="17"/>
          <w:szCs w:val="17"/>
          <w:color w:val="auto"/>
        </w:rPr>
        <w:t>You should read this prospectus and the documents that we reference in this prospectus and have been filed as exhibits to the registration statement of which this prospectus is a part completely and with the understanding that our actual future results may be materially different from what we expect. The information contained in this prospectus is accurate only as of the date of this prospectus, regardless of the time of delivery of this prospectus or any issuance or sale of our common shares. Except as required by law, we do not assume any obligation to update any forward-looking statements.</w:t>
      </w:r>
    </w:p>
    <w:p>
      <w:pPr>
        <w:spacing w:after="0" w:line="156" w:lineRule="exact"/>
        <w:rPr>
          <w:sz w:val="20"/>
          <w:szCs w:val="20"/>
          <w:color w:val="auto"/>
        </w:rPr>
      </w:pPr>
    </w:p>
    <w:p>
      <w:pPr>
        <w:jc w:val="center"/>
        <w:ind w:right="-45"/>
        <w:spacing w:after="0"/>
        <w:rPr>
          <w:sz w:val="20"/>
          <w:szCs w:val="20"/>
          <w:color w:val="auto"/>
        </w:rPr>
      </w:pPr>
      <w:r>
        <w:rPr>
          <w:rFonts w:ascii="Arial" w:cs="Arial" w:eastAsia="Arial" w:hAnsi="Arial"/>
          <w:sz w:val="18"/>
          <w:szCs w:val="18"/>
          <w:b w:val="1"/>
          <w:bCs w:val="1"/>
          <w:color w:val="auto"/>
        </w:rPr>
        <w:t>USE OF PROCEEDS</w:t>
      </w:r>
    </w:p>
    <w:p>
      <w:pPr>
        <w:spacing w:after="0" w:line="187" w:lineRule="exact"/>
        <w:rPr>
          <w:sz w:val="20"/>
          <w:szCs w:val="20"/>
          <w:color w:val="auto"/>
        </w:rPr>
      </w:pPr>
    </w:p>
    <w:p>
      <w:pPr>
        <w:ind w:left="6" w:right="260"/>
        <w:spacing w:after="0" w:line="215" w:lineRule="auto"/>
        <w:rPr>
          <w:sz w:val="20"/>
          <w:szCs w:val="20"/>
          <w:color w:val="auto"/>
        </w:rPr>
      </w:pPr>
      <w:r>
        <w:rPr>
          <w:rFonts w:ascii="Arial" w:cs="Arial" w:eastAsia="Arial" w:hAnsi="Arial"/>
          <w:sz w:val="18"/>
          <w:szCs w:val="18"/>
          <w:color w:val="auto"/>
        </w:rPr>
        <w:t>Unless otherwise indicated in the applicable prospectus supplement, we will use the net proceeds from the sale of the securities offered hereby for general corporate purposes, which may include, but are not limited to working capital, capital expenditures, funding the ongoing clinical development of our product candidates, general and administrative expenses or other corporate obligations. We may use a portion of the net proceeds to pay off outstanding indebtedness, if any, or acquire or invest in businesses, products and technologies.</w:t>
      </w:r>
    </w:p>
    <w:p>
      <w:pPr>
        <w:spacing w:after="0" w:line="377" w:lineRule="exact"/>
        <w:rPr>
          <w:sz w:val="20"/>
          <w:szCs w:val="20"/>
          <w:color w:val="auto"/>
        </w:rPr>
      </w:pPr>
    </w:p>
    <w:p>
      <w:pPr>
        <w:jc w:val="center"/>
        <w:ind w:right="-45"/>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338455</wp:posOffset>
            </wp:positionV>
            <wp:extent cx="596646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6"/>
          </w:cols>
          <w:pgMar w:left="1254" w:top="114" w:right="127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87" w:lineRule="exact"/>
        <w:rPr>
          <w:sz w:val="20"/>
          <w:szCs w:val="20"/>
          <w:color w:val="auto"/>
        </w:rPr>
      </w:pPr>
    </w:p>
    <w:p>
      <w:pPr>
        <w:ind w:right="20"/>
        <w:spacing w:after="0" w:line="213" w:lineRule="auto"/>
        <w:rPr>
          <w:sz w:val="20"/>
          <w:szCs w:val="20"/>
          <w:color w:val="auto"/>
        </w:rPr>
      </w:pPr>
      <w:r>
        <w:rPr>
          <w:rFonts w:ascii="Arial" w:cs="Arial" w:eastAsia="Arial" w:hAnsi="Arial"/>
          <w:sz w:val="18"/>
          <w:szCs w:val="18"/>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Amended and Restated Certificate of Incorporation and Amended and Restated Bylaws, copies of which have been filed previously with the SEC. For more information on how you can obtain copies of our Amended and Restated Certificate of Incorporation and Amended and Restated Bylaws, see “Where You Can Find More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7"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Our Amended and Restated Certificate of Incorporation provides the authority to issue 150,000,000 shares of common stock, par value $0.0001 per share. As of November 1, 2019, there were 34,508,626 shares of common stock outstanding. Each share of our common stock has the same relative rights and is identical in all respects to each other share of our common stock. The rights, preferences and privileges of holders of our common stock are subject to the rights, preferences and privileges of the holders of shares of any series of preferred stock that we have issued or may issue in the future.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holders of our common stock are entitled to one vote per share on any matter to be voted upon by our stockholders. Our Amended and Restated Certificate of Incorporation does not permit cumulative voting in connection with the election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The holders of our common stock are entitled to dividends, if any, as our board of directors may declare from time to time from funds legally available for that purpose, subject to the holders of other classes of stock, if any, at the time outstanding having prior rights as to dividends, if 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8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Upon any voluntary or involuntary liquidation, dissolution, or winding up of our affairs, the holders of our common stock are entitled to share ratably in all assets remaining after the payment of creditors, subject to any prior liquidation distribution rights of holders of other classes of stock, if any, at the time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87" w:lineRule="exact"/>
        <w:rPr>
          <w:sz w:val="20"/>
          <w:szCs w:val="20"/>
          <w:color w:val="auto"/>
        </w:rPr>
      </w:pPr>
    </w:p>
    <w:p>
      <w:pPr>
        <w:jc w:val="both"/>
        <w:ind w:right="140"/>
        <w:spacing w:after="0" w:line="223" w:lineRule="auto"/>
        <w:rPr>
          <w:sz w:val="20"/>
          <w:szCs w:val="20"/>
          <w:color w:val="auto"/>
        </w:rPr>
      </w:pPr>
      <w:r>
        <w:rPr>
          <w:rFonts w:ascii="Arial" w:cs="Arial" w:eastAsia="Arial" w:hAnsi="Arial"/>
          <w:sz w:val="18"/>
          <w:szCs w:val="18"/>
          <w:color w:val="auto"/>
        </w:rPr>
        <w:t>Holders of our common stock have no preemptive, conversion, redemption or sinking fund rights. The outstanding shares of our common stock are, and the shares of common stock to be offered hereby when issued will be, validly issued, fully paid and non-assessable.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“AXSM.”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40"/>
          </w:cols>
          <w:pgMar w:left="1260" w:top="114" w:right="129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7"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Our Amended and Restated Certificate of Incorporation authorizes the issuance of up to 10,000,000 shares of preferred stock, par value $0.0001 per share, none of which are issued and outstanding as of the date of this prospectus. We may issue, from time to time in one or more series, the terms of which may be determined at the time of issuance by our board of directors, without further action by our stockholders, shares of preferred stock and such shares may include voting rights, preferences as to dividends and liquidation, conversion rights, redemption rights and sinking fund provisions. The shares of each series of preferred stock shall have preferences, limitations and relative rights, including voting rights, identical with those of other shares of the same series and, except to the extent provided in the description of such series, of those of other series of preferred stock.</w:t>
      </w:r>
    </w:p>
    <w:p>
      <w:pPr>
        <w:spacing w:after="0" w:line="161" w:lineRule="exact"/>
        <w:rPr>
          <w:sz w:val="20"/>
          <w:szCs w:val="20"/>
          <w:color w:val="auto"/>
        </w:rPr>
      </w:pPr>
    </w:p>
    <w:p>
      <w:pPr>
        <w:ind w:right="300"/>
        <w:spacing w:after="0" w:line="223" w:lineRule="auto"/>
        <w:rPr>
          <w:sz w:val="20"/>
          <w:szCs w:val="20"/>
          <w:color w:val="auto"/>
        </w:rPr>
      </w:pPr>
      <w:r>
        <w:rPr>
          <w:rFonts w:ascii="Arial" w:cs="Arial" w:eastAsia="Arial" w:hAnsi="Arial"/>
          <w:sz w:val="18"/>
          <w:szCs w:val="18"/>
          <w:color w:val="auto"/>
        </w:rPr>
        <w:t>The issuance of any preferred stock could adversely affect the rights of the holders of common stock and, therefore, reduce the value of the common stock. The ability of our board of directors to issue preferred stock could discourage, delay or prevent a takeover or change in control.</w:t>
      </w:r>
    </w:p>
    <w:p>
      <w:pPr>
        <w:spacing w:after="0" w:line="162" w:lineRule="exact"/>
        <w:rPr>
          <w:sz w:val="20"/>
          <w:szCs w:val="20"/>
          <w:color w:val="auto"/>
        </w:rPr>
      </w:pPr>
    </w:p>
    <w:p>
      <w:pPr>
        <w:ind w:right="80"/>
        <w:spacing w:after="0" w:line="218" w:lineRule="auto"/>
        <w:rPr>
          <w:sz w:val="20"/>
          <w:szCs w:val="20"/>
          <w:color w:val="auto"/>
        </w:rPr>
      </w:pPr>
      <w:r>
        <w:rPr>
          <w:rFonts w:ascii="Arial" w:cs="Arial" w:eastAsia="Arial" w:hAnsi="Arial"/>
          <w:sz w:val="18"/>
          <w:szCs w:val="18"/>
          <w:color w:val="auto"/>
        </w:rPr>
        <w:t>The description of the terms of a particular series of preferred stock in the applicable prospectus supplement will not be complete. You should refer to the applicable certificate of designation for complete information regarding a series of preferred stock. The prospectus supplement will also contain a description of U.S. federal income tax consequences relating to the preferred stock, if material.</w:t>
      </w:r>
    </w:p>
    <w:p>
      <w:pPr>
        <w:spacing w:after="0" w:line="16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terms of any particular series of preferred stock will be described in the prospectus supplement relating to that particular series of preferred stock, including, where applicable:</w:t>
      </w:r>
    </w:p>
    <w:p>
      <w:pPr>
        <w:spacing w:after="0" w:line="161" w:lineRule="exact"/>
        <w:rPr>
          <w:sz w:val="20"/>
          <w:szCs w:val="20"/>
          <w:color w:val="auto"/>
        </w:rPr>
      </w:pPr>
    </w:p>
    <w:p>
      <w:pPr>
        <w:ind w:left="960" w:right="480" w:hanging="320"/>
        <w:spacing w:after="0" w:line="244"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series designation, stated value and liquidation preference of such preferred stock and the number of shares offered;</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196" w:lineRule="exact"/>
        <w:rPr>
          <w:rFonts w:ascii="Arial" w:cs="Arial" w:eastAsia="Arial" w:hAnsi="Arial"/>
          <w:sz w:val="18"/>
          <w:szCs w:val="18"/>
          <w:color w:val="auto"/>
        </w:rPr>
      </w:pPr>
    </w:p>
    <w:p>
      <w:pPr>
        <w:ind w:left="960" w:right="300" w:hanging="320"/>
        <w:spacing w:after="0" w:line="234"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dividend rate or rates (or method of calculation), the date or dates from which dividends shall accrue, and whether such dividends shall be cumulative or noncumulative and, if cumulative, the dates from which dividends shall commence to cumulate;</w:t>
      </w:r>
    </w:p>
    <w:p>
      <w:pPr>
        <w:spacing w:after="0" w:line="174" w:lineRule="exact"/>
        <w:rPr>
          <w:rFonts w:ascii="Arial" w:cs="Arial" w:eastAsia="Arial" w:hAnsi="Arial"/>
          <w:sz w:val="18"/>
          <w:szCs w:val="18"/>
          <w:color w:val="auto"/>
        </w:rPr>
      </w:pPr>
    </w:p>
    <w:p>
      <w:pPr>
        <w:ind w:left="960" w:hanging="32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196" w:lineRule="exact"/>
        <w:rPr>
          <w:rFonts w:ascii="Arial" w:cs="Arial" w:eastAsia="Arial" w:hAnsi="Arial"/>
          <w:sz w:val="18"/>
          <w:szCs w:val="18"/>
          <w:color w:val="auto"/>
        </w:rPr>
      </w:pPr>
    </w:p>
    <w:p>
      <w:pPr>
        <w:ind w:left="960" w:right="620" w:hanging="320"/>
        <w:spacing w:after="0" w:line="244"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that shares of such series shall be entitled to receive in the event of our liquidation, dissolution or winding-up;</w:t>
      </w:r>
    </w:p>
    <w:p>
      <w:pPr>
        <w:spacing w:after="0" w:line="170" w:lineRule="exact"/>
        <w:rPr>
          <w:rFonts w:ascii="Arial" w:cs="Arial" w:eastAsia="Arial" w:hAnsi="Arial"/>
          <w:sz w:val="18"/>
          <w:szCs w:val="18"/>
          <w:color w:val="auto"/>
        </w:rPr>
      </w:pPr>
    </w:p>
    <w:p>
      <w:pPr>
        <w:ind w:left="960" w:right="20" w:hanging="320"/>
        <w:spacing w:after="0" w:line="244"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and conditions, if any, on which shares of such series shall be convertible or exchangeable for shares of our stock of any other class or classes, or other series of the same class;</w:t>
      </w:r>
    </w:p>
    <w:p>
      <w:pPr>
        <w:spacing w:after="0" w:line="170" w:lineRule="exact"/>
        <w:rPr>
          <w:rFonts w:ascii="Arial" w:cs="Arial" w:eastAsia="Arial" w:hAnsi="Arial"/>
          <w:sz w:val="18"/>
          <w:szCs w:val="18"/>
          <w:color w:val="auto"/>
        </w:rPr>
      </w:pPr>
    </w:p>
    <w:p>
      <w:pPr>
        <w:ind w:left="960" w:right="420" w:hanging="320"/>
        <w:spacing w:after="0" w:line="244"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voting rights, if any, of shares of such series in addition to those set forth under the caption entitled, “Voting Rights” below;</w:t>
      </w:r>
    </w:p>
    <w:p>
      <w:pPr>
        <w:spacing w:after="0" w:line="170" w:lineRule="exact"/>
        <w:rPr>
          <w:rFonts w:ascii="Arial" w:cs="Arial" w:eastAsia="Arial" w:hAnsi="Arial"/>
          <w:sz w:val="18"/>
          <w:szCs w:val="18"/>
          <w:color w:val="auto"/>
        </w:rPr>
      </w:pPr>
    </w:p>
    <w:p>
      <w:pPr>
        <w:ind w:left="960" w:right="820" w:hanging="320"/>
        <w:spacing w:after="0" w:line="244"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status as to reissuance or sale of shares of such series redeemed, purchased or otherwise reacquired, or surrendered to us on conversion or exchange;</w:t>
      </w:r>
    </w:p>
    <w:p>
      <w:pPr>
        <w:spacing w:after="0" w:line="170" w:lineRule="exact"/>
        <w:rPr>
          <w:rFonts w:ascii="Arial" w:cs="Arial" w:eastAsia="Arial" w:hAnsi="Arial"/>
          <w:sz w:val="18"/>
          <w:szCs w:val="18"/>
          <w:color w:val="auto"/>
        </w:rPr>
      </w:pPr>
    </w:p>
    <w:p>
      <w:pPr>
        <w:ind w:left="960" w:right="100" w:hanging="320"/>
        <w:spacing w:after="0" w:line="245" w:lineRule="auto"/>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conditions and restrictions, if any, on the payment of dividends or on the making of other distributions on, or the purchase, redemption or other acquisition by us, of our common stock or of any other class of our stock ranking junior to the shares of such series as to dividends or upon liquidation (including, but not limited to, at such times as there are arrearages in the payment of dividends or sinking fund installments);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left="960" w:right="300" w:hanging="320"/>
        <w:spacing w:after="0" w:line="305"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conditions and restrictions, if any, on the creation of Company indebtedness, or on the issue of any additional stock ranking on a parity with or prior to the shares of such series as to dividends or upon liquidation; and</w:t>
      </w:r>
    </w:p>
    <w:p>
      <w:pPr>
        <w:spacing w:after="0" w:line="123" w:lineRule="exact"/>
        <w:rPr>
          <w:rFonts w:ascii="Arial" w:cs="Arial" w:eastAsia="Arial" w:hAnsi="Arial"/>
          <w:sz w:val="16"/>
          <w:szCs w:val="16"/>
          <w:color w:val="auto"/>
        </w:rPr>
      </w:pPr>
    </w:p>
    <w:p>
      <w:pPr>
        <w:ind w:left="960" w:right="40" w:hanging="320"/>
        <w:spacing w:after="0" w:line="244"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additional dividend, liquidation, redemption, sinking or retirement fund and other rights, preferences, privileges, limitations and restrictions of such preferred stock.</w:t>
      </w:r>
    </w:p>
    <w:p>
      <w:pPr>
        <w:spacing w:after="0" w:line="17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If we issue shares of preferred stock under this prospectus and any related prospectus supplement, the shares will be fully paid and non-assessable and will not have, or be subject to, any preemptive or similar rights.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8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General Corporation Law of Delaware, or the DGCL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and registrar for any series of preferred stock will be set forth in the applicable prospectus supplement.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87" w:lineRule="exact"/>
        <w:rPr>
          <w:sz w:val="20"/>
          <w:szCs w:val="20"/>
          <w:color w:val="auto"/>
        </w:rPr>
      </w:pPr>
    </w:p>
    <w:p>
      <w:pPr>
        <w:jc w:val="both"/>
        <w:ind w:right="460"/>
        <w:spacing w:after="0" w:line="257" w:lineRule="auto"/>
        <w:rPr>
          <w:sz w:val="20"/>
          <w:szCs w:val="20"/>
          <w:color w:val="auto"/>
        </w:rPr>
      </w:pPr>
      <w:r>
        <w:rPr>
          <w:rFonts w:ascii="Arial" w:cs="Arial" w:eastAsia="Arial" w:hAnsi="Arial"/>
          <w:sz w:val="16"/>
          <w:szCs w:val="16"/>
          <w:color w:val="auto"/>
        </w:rPr>
        <w:t>Our issuance of preferred stock could decrease the amount of earnings and assets available for distribution to the holders of common stock or could adversely affect the rights and powers, including voting rights, of the holders of common stock. The issuance of preferred stock could have the effect of decreasing the market price of our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Delaware Law and Certain Amended and Restated Certificate of Incorporation and Amended and Restated Bylaws Provisions</w:t>
      </w:r>
    </w:p>
    <w:p>
      <w:pPr>
        <w:spacing w:after="0" w:line="21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w:t>
      </w:r>
    </w:p>
    <w:p>
      <w:pPr>
        <w:spacing w:after="0" w:line="162" w:lineRule="exact"/>
        <w:rPr>
          <w:sz w:val="20"/>
          <w:szCs w:val="20"/>
          <w:color w:val="auto"/>
        </w:rPr>
      </w:pPr>
    </w:p>
    <w:p>
      <w:pPr>
        <w:ind w:left="960" w:right="300" w:hanging="320"/>
        <w:spacing w:after="0" w:line="244"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Authorize the issuance of preferred stock which can be created and issued by the board of directors without prior stockholder approval, with rights senior to those of our common stock;</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for a classified board of directors, with each director serving a staggered three-year term;</w:t>
      </w:r>
    </w:p>
    <w:p>
      <w:pPr>
        <w:spacing w:after="0" w:line="88" w:lineRule="exact"/>
        <w:rPr>
          <w:rFonts w:ascii="Arial" w:cs="Arial" w:eastAsia="Arial" w:hAnsi="Arial"/>
          <w:sz w:val="18"/>
          <w:szCs w:val="18"/>
          <w:color w:val="auto"/>
        </w:rPr>
      </w:pPr>
    </w:p>
    <w:p>
      <w:pPr>
        <w:ind w:left="960" w:right="440" w:hanging="320"/>
        <w:spacing w:after="0" w:line="244"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 calling special stockholder meetings or taking action by written consent;</w:t>
      </w:r>
    </w:p>
    <w:p>
      <w:pPr>
        <w:spacing w:after="0" w:line="63" w:lineRule="exact"/>
        <w:rPr>
          <w:rFonts w:ascii="Arial" w:cs="Arial" w:eastAsia="Arial" w:hAnsi="Arial"/>
          <w:sz w:val="18"/>
          <w:szCs w:val="18"/>
          <w:color w:val="auto"/>
        </w:rPr>
      </w:pPr>
    </w:p>
    <w:p>
      <w:pPr>
        <w:ind w:left="960" w:right="100" w:hanging="320"/>
        <w:spacing w:after="0" w:line="244"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for the removal of a director only with cause and by the affirmative vote of the holders of 66 2/3 % or more of the shares then entitled to vote at an election of our directors;</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 and</w:t>
      </w:r>
    </w:p>
    <w:p>
      <w:pPr>
        <w:spacing w:after="0" w:line="88" w:lineRule="exact"/>
        <w:rPr>
          <w:rFonts w:ascii="Arial" w:cs="Arial" w:eastAsia="Arial" w:hAnsi="Arial"/>
          <w:sz w:val="18"/>
          <w:szCs w:val="18"/>
          <w:color w:val="auto"/>
        </w:rPr>
      </w:pPr>
    </w:p>
    <w:p>
      <w:pPr>
        <w:ind w:left="960" w:right="160" w:hanging="320"/>
        <w:spacing w:after="0" w:line="244"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any action instituted against our officers or directors in connection with their service to us to be brought in the state of Delaware.</w:t>
      </w:r>
    </w:p>
    <w:p>
      <w:pPr>
        <w:spacing w:after="0" w:line="171" w:lineRule="exact"/>
        <w:rPr>
          <w:sz w:val="20"/>
          <w:szCs w:val="20"/>
          <w:color w:val="auto"/>
        </w:rPr>
      </w:pPr>
    </w:p>
    <w:p>
      <w:pPr>
        <w:ind w:right="100"/>
        <w:spacing w:after="0" w:line="210" w:lineRule="auto"/>
        <w:rPr>
          <w:sz w:val="20"/>
          <w:szCs w:val="20"/>
          <w:color w:val="auto"/>
        </w:rPr>
      </w:pPr>
      <w:r>
        <w:rPr>
          <w:rFonts w:ascii="Arial" w:cs="Arial" w:eastAsia="Arial" w:hAnsi="Arial"/>
          <w:sz w:val="18"/>
          <w:szCs w:val="18"/>
          <w:color w:val="auto"/>
        </w:rPr>
        <w:t>In addition, we are subject to the provisions of Section 203 of the DGCL, which may prohibit certain business combinations with stockholders owning 15% or more of our outstanding voting stock. These and other provisions in our Amended and Restated Certificate of Incorporation, Amended and Restated Bylaws and the DGCL could make it more difficult for stockholders or potential acquirors to obtain control of our board of directors or initiate actions that are opposed by our then-current board of directors, including a merger, tender offer or proxy contest involving our company. This provision could have the effect of delaying or preventing a change of control, whether or not it is desired by or beneficial to our stockholders. Any delay or prevention of a change of control transaction or changes in our board of directors could cause the market price of our common stock to decline.</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114" w:right="127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Further, our Amended and Restated Certificate of Incorporation provides that, unless we consent in writing to the selection of an alternative forum, the Court of Chancery of the State of Delaware shall be the sole and exclusive forum for (1) any derivative action or proceeding brought on behalf of our company, (2) any action asserting a claim of breach of a fiduciary duty owed by any of our directors, officers, employees or agents to our company or our stockholders, (3) any action asserting a claim arising pursuant to any provision of the DGCL, or (4) any action asserting a claim governed by the internal affairs doctrine, in each such case subject to such Court of Chancery having personal jurisdiction over the indispensable parties named as defendants therein.</w:t>
      </w:r>
    </w:p>
    <w:p>
      <w:pPr>
        <w:spacing w:after="0" w:line="164"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87" w:lineRule="exact"/>
        <w:rPr>
          <w:sz w:val="20"/>
          <w:szCs w:val="20"/>
          <w:color w:val="auto"/>
        </w:rPr>
      </w:pPr>
    </w:p>
    <w:p>
      <w:pPr>
        <w:ind w:right="140"/>
        <w:spacing w:after="0" w:line="222" w:lineRule="auto"/>
        <w:rPr>
          <w:sz w:val="20"/>
          <w:szCs w:val="20"/>
          <w:color w:val="auto"/>
        </w:rPr>
      </w:pPr>
      <w:r>
        <w:rPr>
          <w:rFonts w:ascii="Arial" w:cs="Arial" w:eastAsia="Arial" w:hAnsi="Arial"/>
          <w:sz w:val="17"/>
          <w:szCs w:val="17"/>
          <w:color w:val="auto"/>
        </w:rPr>
        <w:t>Our Amended and Restated Certificate of Incorporation contains provisions permitted under the DGCL relating to the liability of directors. The provisions eliminate, to the extent legally permissible, a director’s liability for monetary damages for a breach of fiduciary duty, except in circumstances involving wrongful acts, such as the breach of a director’s duty of loyalty or acts or omissions that involve intentional misconduct or a knowing violation of law. The limitation of liability described above does not alter the liability of our directors and officers under federal securities laws. Furthermore, our certificate of incorporation contains provisions to indemnify our directors and officers to the fullest extent permitted by the DGCL. These provisions do not limit or eliminate our right or the right of any stockholder of ours to seek non-monetary relief, such as an injunction or rescission in the event of a breach by a director or an officer of his duty of care to us. We believe that these provisions assist us in attracting and retaining qualified individuals to serve as directors.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187" w:lineRule="exact"/>
        <w:rPr>
          <w:sz w:val="20"/>
          <w:szCs w:val="20"/>
          <w:color w:val="auto"/>
        </w:rPr>
      </w:pPr>
    </w:p>
    <w:p>
      <w:pPr>
        <w:ind w:right="60"/>
        <w:spacing w:after="0" w:line="218" w:lineRule="auto"/>
        <w:rPr>
          <w:sz w:val="20"/>
          <w:szCs w:val="20"/>
          <w:color w:val="auto"/>
        </w:rPr>
      </w:pPr>
      <w:r>
        <w:rPr>
          <w:rFonts w:ascii="Arial" w:cs="Arial" w:eastAsia="Arial" w:hAnsi="Arial"/>
          <w:sz w:val="18"/>
          <w:szCs w:val="18"/>
          <w:color w:val="auto"/>
        </w:rPr>
        <w:t>We may issue warrants for the purchase of shares of our common stock, shares of our preferred stock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162" w:lineRule="exact"/>
        <w:rPr>
          <w:sz w:val="20"/>
          <w:szCs w:val="20"/>
          <w:color w:val="auto"/>
        </w:rPr>
      </w:pPr>
    </w:p>
    <w:p>
      <w:pPr>
        <w:ind w:right="180"/>
        <w:spacing w:after="0" w:line="247" w:lineRule="auto"/>
        <w:rPr>
          <w:sz w:val="20"/>
          <w:szCs w:val="20"/>
          <w:color w:val="auto"/>
        </w:rPr>
      </w:pPr>
      <w:r>
        <w:rPr>
          <w:rFonts w:ascii="Arial" w:cs="Arial" w:eastAsia="Arial" w:hAnsi="Arial"/>
          <w:sz w:val="16"/>
          <w:szCs w:val="16"/>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157" w:lineRule="exact"/>
        <w:rPr>
          <w:sz w:val="20"/>
          <w:szCs w:val="20"/>
          <w:color w:val="auto"/>
        </w:rPr>
      </w:pPr>
    </w:p>
    <w:p>
      <w:pPr>
        <w:ind w:right="100"/>
        <w:spacing w:after="0" w:line="218" w:lineRule="auto"/>
        <w:rPr>
          <w:sz w:val="20"/>
          <w:szCs w:val="20"/>
          <w:color w:val="auto"/>
        </w:rPr>
      </w:pPr>
      <w:r>
        <w:rPr>
          <w:rFonts w:ascii="Arial" w:cs="Arial" w:eastAsia="Arial" w:hAnsi="Arial"/>
          <w:sz w:val="18"/>
          <w:szCs w:val="18"/>
          <w:color w:val="auto"/>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“Where You Can Find More Information.”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Warrants</w:t>
      </w:r>
    </w:p>
    <w:p>
      <w:pPr>
        <w:spacing w:after="0" w:line="187"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prospectus supplement relating to a particular issue of warrants to issue shares of our common stock or shares of our preferred stock will describe the terms of the common share warrants and preferred share warrants, including the following:</w:t>
      </w:r>
    </w:p>
    <w:p>
      <w:pPr>
        <w:spacing w:after="0" w:line="148" w:lineRule="exact"/>
        <w:rPr>
          <w:sz w:val="20"/>
          <w:szCs w:val="20"/>
          <w:color w:val="auto"/>
        </w:rPr>
      </w:pPr>
    </w:p>
    <w:p>
      <w:pPr>
        <w:ind w:left="960" w:hanging="32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96" w:lineRule="exact"/>
        <w:rPr>
          <w:rFonts w:ascii="Arial" w:cs="Arial" w:eastAsia="Arial" w:hAnsi="Arial"/>
          <w:sz w:val="18"/>
          <w:szCs w:val="18"/>
          <w:color w:val="auto"/>
        </w:rPr>
      </w:pPr>
    </w:p>
    <w:p>
      <w:pPr>
        <w:ind w:left="960" w:right="260" w:hanging="320"/>
        <w:spacing w:after="0" w:line="244"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designation and terms of the shares of common stock or shares of preferred stock that may be purchased upon exercise of the warrants;</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196" w:lineRule="exact"/>
        <w:rPr>
          <w:rFonts w:ascii="Arial" w:cs="Arial" w:eastAsia="Arial" w:hAnsi="Arial"/>
          <w:sz w:val="18"/>
          <w:szCs w:val="18"/>
          <w:color w:val="auto"/>
        </w:rPr>
      </w:pPr>
    </w:p>
    <w:p>
      <w:pPr>
        <w:ind w:left="960" w:right="20" w:hanging="320"/>
        <w:spacing w:after="0" w:line="244"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that the warrants are issued with and the number of warrants issued with each security;</w:t>
      </w:r>
    </w:p>
    <w:p>
      <w:pPr>
        <w:spacing w:after="0" w:line="170" w:lineRule="exact"/>
        <w:rPr>
          <w:rFonts w:ascii="Arial" w:cs="Arial" w:eastAsia="Arial" w:hAnsi="Arial"/>
          <w:sz w:val="18"/>
          <w:szCs w:val="18"/>
          <w:color w:val="auto"/>
        </w:rPr>
      </w:pPr>
    </w:p>
    <w:p>
      <w:pPr>
        <w:ind w:left="960" w:right="740" w:hanging="320"/>
        <w:spacing w:after="0" w:line="244"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 warrants will be separately transferable;</w:t>
      </w:r>
    </w:p>
    <w:p>
      <w:pPr>
        <w:spacing w:after="0" w:line="170" w:lineRule="exact"/>
        <w:rPr>
          <w:rFonts w:ascii="Arial" w:cs="Arial" w:eastAsia="Arial" w:hAnsi="Arial"/>
          <w:sz w:val="18"/>
          <w:szCs w:val="18"/>
          <w:color w:val="auto"/>
        </w:rPr>
      </w:pPr>
    </w:p>
    <w:p>
      <w:pPr>
        <w:ind w:left="960" w:hanging="320"/>
        <w:spacing w:after="0" w:line="244"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shares of common stock or shares of preferred stock that may be purchased upon exercise of a warrant and the price at which the shares may be purchased upon exercise;</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commence and expire;</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96" w:lineRule="exact"/>
        <w:rPr>
          <w:rFonts w:ascii="Arial" w:cs="Arial" w:eastAsia="Arial" w:hAnsi="Arial"/>
          <w:sz w:val="18"/>
          <w:szCs w:val="18"/>
          <w:color w:val="auto"/>
        </w:rPr>
      </w:pPr>
    </w:p>
    <w:p>
      <w:pPr>
        <w:ind w:left="960" w:right="560" w:hanging="320"/>
        <w:spacing w:after="0" w:line="244"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and exercise of the warrants; and</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187" w:lineRule="exact"/>
        <w:rPr>
          <w:sz w:val="20"/>
          <w:szCs w:val="20"/>
          <w:color w:val="auto"/>
        </w:rPr>
      </w:pPr>
    </w:p>
    <w:p>
      <w:pPr>
        <w:ind w:right="560"/>
        <w:spacing w:after="0" w:line="234" w:lineRule="auto"/>
        <w:rPr>
          <w:sz w:val="20"/>
          <w:szCs w:val="20"/>
          <w:color w:val="auto"/>
        </w:rPr>
      </w:pPr>
      <w:r>
        <w:rPr>
          <w:rFonts w:ascii="Arial" w:cs="Arial" w:eastAsia="Arial" w:hAnsi="Arial"/>
          <w:sz w:val="18"/>
          <w:szCs w:val="18"/>
          <w:color w:val="auto"/>
        </w:rPr>
        <w:t>The prospectus supplement relating to a particular issue of warrants to issue debt securities will describe the terms of those warrants, including the following:</w:t>
      </w:r>
    </w:p>
    <w:p>
      <w:pPr>
        <w:spacing w:after="0" w:line="161" w:lineRule="exact"/>
        <w:rPr>
          <w:sz w:val="20"/>
          <w:szCs w:val="20"/>
          <w:color w:val="auto"/>
        </w:rPr>
      </w:pPr>
    </w:p>
    <w:p>
      <w:pPr>
        <w:ind w:left="960" w:hanging="32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114" w:right="127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left="960" w:hanging="32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designation and terms of the debt securities purchasable upon exercise of the warrants;</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196" w:lineRule="exact"/>
        <w:rPr>
          <w:rFonts w:ascii="Arial" w:cs="Arial" w:eastAsia="Arial" w:hAnsi="Arial"/>
          <w:sz w:val="18"/>
          <w:szCs w:val="18"/>
          <w:color w:val="auto"/>
        </w:rPr>
      </w:pPr>
    </w:p>
    <w:p>
      <w:pPr>
        <w:ind w:left="960" w:right="360" w:hanging="320"/>
        <w:spacing w:after="0" w:line="244"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that the warrants are issued with and the number of warrants issued with each debt security;</w:t>
      </w:r>
    </w:p>
    <w:p>
      <w:pPr>
        <w:spacing w:after="0" w:line="170" w:lineRule="exact"/>
        <w:rPr>
          <w:rFonts w:ascii="Arial" w:cs="Arial" w:eastAsia="Arial" w:hAnsi="Arial"/>
          <w:sz w:val="18"/>
          <w:szCs w:val="18"/>
          <w:color w:val="auto"/>
        </w:rPr>
      </w:pPr>
    </w:p>
    <w:p>
      <w:pPr>
        <w:ind w:left="960" w:right="140" w:hanging="320"/>
        <w:spacing w:after="0" w:line="244"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debt securities issued with them will be separately transferable;</w:t>
      </w:r>
    </w:p>
    <w:p>
      <w:pPr>
        <w:spacing w:after="0" w:line="170" w:lineRule="exact"/>
        <w:rPr>
          <w:rFonts w:ascii="Arial" w:cs="Arial" w:eastAsia="Arial" w:hAnsi="Arial"/>
          <w:sz w:val="18"/>
          <w:szCs w:val="18"/>
          <w:color w:val="auto"/>
        </w:rPr>
      </w:pPr>
    </w:p>
    <w:p>
      <w:pPr>
        <w:ind w:left="960" w:right="180" w:hanging="320"/>
        <w:spacing w:after="0" w:line="244"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warrant and the price at which the debt securities may be purchased upon exercise;</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96" w:lineRule="exact"/>
        <w:rPr>
          <w:rFonts w:ascii="Arial" w:cs="Arial" w:eastAsia="Arial" w:hAnsi="Arial"/>
          <w:sz w:val="18"/>
          <w:szCs w:val="18"/>
          <w:color w:val="auto"/>
        </w:rPr>
      </w:pPr>
    </w:p>
    <w:p>
      <w:pPr>
        <w:ind w:left="960" w:hanging="320"/>
        <w:spacing w:after="0" w:line="244"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warrants represented by the warrant certificates or debt securities that may be issued upon exercise of the warrants will be issued in registered or bearer form;</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information relating to book-entry procedures, if any;</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96" w:lineRule="exact"/>
        <w:rPr>
          <w:rFonts w:ascii="Arial" w:cs="Arial" w:eastAsia="Arial" w:hAnsi="Arial"/>
          <w:sz w:val="18"/>
          <w:szCs w:val="18"/>
          <w:color w:val="auto"/>
        </w:rPr>
      </w:pPr>
    </w:p>
    <w:p>
      <w:pPr>
        <w:ind w:left="960" w:right="580" w:hanging="320"/>
        <w:spacing w:after="0" w:line="244"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and exercise of the warrants; and</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187" w:lineRule="exact"/>
        <w:rPr>
          <w:sz w:val="20"/>
          <w:szCs w:val="20"/>
          <w:color w:val="auto"/>
        </w:rPr>
      </w:pPr>
    </w:p>
    <w:p>
      <w:pPr>
        <w:ind w:right="280"/>
        <w:spacing w:after="0" w:line="228" w:lineRule="auto"/>
        <w:rPr>
          <w:sz w:val="20"/>
          <w:szCs w:val="20"/>
          <w:color w:val="auto"/>
        </w:rPr>
      </w:pPr>
      <w:r>
        <w:rPr>
          <w:rFonts w:ascii="Arial" w:cs="Arial" w:eastAsia="Arial" w:hAnsi="Arial"/>
          <w:sz w:val="17"/>
          <w:szCs w:val="17"/>
          <w:color w:val="auto"/>
        </w:rPr>
        <w:t>Each warrant will entitle the holder of the warrant to purchase at the exercise price set forth in the applicable prospectus supplement the number of shares of common stock, shares of preferred stock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60"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Until a holder exercises the warrants to purchase our shares of common stock, shares of preferred stock or debt securities, the holder will not have any rights as a holder of our shares of common stock, shares of preferred stock or debt securities, as the case may be, by virtue of ownership of warrants.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87"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The following is a general description of the terms of debt securities we may issue from time to time unless we provide otherwise in the applicable prospectus supplement. Particular terms of any debt securities we offer will be described in the prospectus supplement relating to such debt securities.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As required by Federal law for all bonds and notes of companies that are publicly offered, any debt securities we issue will be governed by a document called an “indenture,” the form of which is filed as an exhibit to the registration statement of which this prospectus forms a part. We have summarized the general features of the debt securities to be governed by the indenture. The summary is not complete. An indenture is a contract between us and a financial institution acting as trustee on behalf of the holders of the debt securities, and is subject to and governed by the Trust Indenture Act of 1939, as amended. The trustee has two main roles. First, the trustee can enforce holders’ rights against us if we default. There are some limitations on the extent to which the trustee acts on holders’ behalf, described in the second paragraph under “Description of Debt Securities—Events of Default.” Second, the trustee performs certain administrative duties, such as sending interest and principal payments to holders.</w:t>
      </w:r>
    </w:p>
    <w:p>
      <w:pPr>
        <w:spacing w:after="0" w:line="166"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Because this section is a summary, it does not describe every aspect of any debt securities we may issue or the indenture governing any such debt securities. Particular terms of any debt securities we offer will be described in the prospectus supplement relating to such debt securities, and we urge you to read the applicable executed indenture, which will be filed with the SEC at the time of any offering of debt securities, because it, and not this description, will define the rights of holders of such debt securities.</w:t>
      </w:r>
    </w:p>
    <w:p>
      <w:pPr>
        <w:spacing w:after="0" w:line="157"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A prospectus supplement will describe the particular terms of any series of debt securities we may issue, including some or all of the following:</w:t>
      </w:r>
    </w:p>
    <w:p>
      <w:pPr>
        <w:spacing w:after="0" w:line="161" w:lineRule="exact"/>
        <w:rPr>
          <w:sz w:val="20"/>
          <w:szCs w:val="20"/>
          <w:color w:val="auto"/>
        </w:rPr>
      </w:pPr>
    </w:p>
    <w:p>
      <w:pPr>
        <w:ind w:left="960" w:hanging="32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96" w:lineRule="exact"/>
        <w:rPr>
          <w:rFonts w:ascii="Arial" w:cs="Arial" w:eastAsia="Arial" w:hAnsi="Arial"/>
          <w:sz w:val="18"/>
          <w:szCs w:val="18"/>
          <w:color w:val="auto"/>
        </w:rPr>
      </w:pPr>
    </w:p>
    <w:p>
      <w:pPr>
        <w:ind w:left="960" w:right="100" w:hanging="320"/>
        <w:spacing w:after="0" w:line="305" w:lineRule="auto"/>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total principal amount of the series of debt securities, the denominations in which the offered debt securities will be issued and whether the offering may be reopened for additional securities of that series and on what terms;</w:t>
      </w:r>
    </w:p>
    <w:p>
      <w:pPr>
        <w:spacing w:after="0" w:line="123" w:lineRule="exact"/>
        <w:rPr>
          <w:rFonts w:ascii="Arial" w:cs="Arial" w:eastAsia="Arial" w:hAnsi="Arial"/>
          <w:sz w:val="16"/>
          <w:szCs w:val="16"/>
          <w:color w:val="auto"/>
        </w:rPr>
      </w:pPr>
    </w:p>
    <w:p>
      <w:pPr>
        <w:ind w:left="960" w:hanging="32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96" w:lineRule="exact"/>
        <w:rPr>
          <w:rFonts w:ascii="Arial" w:cs="Arial" w:eastAsia="Arial" w:hAnsi="Arial"/>
          <w:sz w:val="18"/>
          <w:szCs w:val="18"/>
          <w:color w:val="auto"/>
        </w:rPr>
      </w:pPr>
    </w:p>
    <w:p>
      <w:pPr>
        <w:ind w:left="960" w:right="540" w:hanging="320"/>
        <w:spacing w:after="0" w:line="244"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70" w:lineRule="exact"/>
        <w:rPr>
          <w:rFonts w:ascii="Arial" w:cs="Arial" w:eastAsia="Arial" w:hAnsi="Arial"/>
          <w:sz w:val="18"/>
          <w:szCs w:val="18"/>
          <w:color w:val="auto"/>
        </w:rPr>
      </w:pPr>
    </w:p>
    <w:p>
      <w:pPr>
        <w:ind w:left="960" w:hanging="320"/>
        <w:spacing w:after="0" w:line="244"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96" w:lineRule="exact"/>
        <w:rPr>
          <w:rFonts w:ascii="Arial" w:cs="Arial" w:eastAsia="Arial" w:hAnsi="Arial"/>
          <w:sz w:val="18"/>
          <w:szCs w:val="18"/>
          <w:color w:val="auto"/>
        </w:rPr>
      </w:pPr>
    </w:p>
    <w:p>
      <w:pPr>
        <w:ind w:left="960" w:right="540" w:hanging="320"/>
        <w:spacing w:after="0" w:line="305" w:lineRule="auto"/>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whether the amount of payments of principal, interest or premium, if any, on a series of debt securities will be determined with reference to an index, formula or other method and how these amounts will be determined;</w:t>
      </w:r>
    </w:p>
    <w:p>
      <w:pPr>
        <w:spacing w:after="0" w:line="123" w:lineRule="exact"/>
        <w:rPr>
          <w:rFonts w:ascii="Arial" w:cs="Arial" w:eastAsia="Arial" w:hAnsi="Arial"/>
          <w:sz w:val="16"/>
          <w:szCs w:val="16"/>
          <w:color w:val="auto"/>
        </w:rPr>
      </w:pPr>
    </w:p>
    <w:p>
      <w:pPr>
        <w:ind w:left="960" w:hanging="32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place or places of payment, transfer, conversion and/or exchange of the debt securities;</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events of default;</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provisions for legal defeasance or covenant defeasance;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left="960" w:right="340" w:hanging="320"/>
        <w:spacing w:after="0" w:line="234"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174" w:lineRule="exact"/>
        <w:rPr>
          <w:rFonts w:ascii="Arial" w:cs="Arial" w:eastAsia="Arial" w:hAnsi="Arial"/>
          <w:sz w:val="18"/>
          <w:szCs w:val="18"/>
          <w:color w:val="auto"/>
        </w:rPr>
      </w:pPr>
    </w:p>
    <w:p>
      <w:pPr>
        <w:ind w:left="960" w:hanging="320"/>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listing of the debt securities on any securities exchange;</w:t>
      </w:r>
    </w:p>
    <w:p>
      <w:pPr>
        <w:spacing w:after="0" w:line="196" w:lineRule="exact"/>
        <w:rPr>
          <w:rFonts w:ascii="Arial" w:cs="Arial" w:eastAsia="Arial" w:hAnsi="Arial"/>
          <w:sz w:val="18"/>
          <w:szCs w:val="18"/>
          <w:color w:val="auto"/>
        </w:rPr>
      </w:pPr>
    </w:p>
    <w:p>
      <w:pPr>
        <w:ind w:left="960" w:right="60" w:hanging="320"/>
        <w:spacing w:after="0" w:line="244"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including those related to original issue discount, if applicable; and</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material terms.</w:t>
      </w:r>
    </w:p>
    <w:p>
      <w:pPr>
        <w:spacing w:after="0" w:line="196"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interest and premium, if any, will be paid by us in immediately available funds.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7" w:lineRule="exact"/>
        <w:rPr>
          <w:sz w:val="20"/>
          <w:szCs w:val="20"/>
          <w:color w:val="auto"/>
        </w:rPr>
      </w:pPr>
    </w:p>
    <w:p>
      <w:pPr>
        <w:ind w:right="560"/>
        <w:spacing w:after="0" w:line="257" w:lineRule="auto"/>
        <w:rPr>
          <w:sz w:val="20"/>
          <w:szCs w:val="20"/>
          <w:color w:val="auto"/>
        </w:rPr>
      </w:pPr>
      <w:r>
        <w:rPr>
          <w:rFonts w:ascii="Arial" w:cs="Arial" w:eastAsia="Arial" w:hAnsi="Arial"/>
          <w:sz w:val="16"/>
          <w:szCs w:val="16"/>
          <w:color w:val="auto"/>
        </w:rPr>
        <w:t>The indenture may provide that any debt securities proposed to be sold under this prospectus and the applicable prospectus supplement relating to such debt securities (“offered debt securities”) and any debt securities issuable upon conversion or exchange of other offered securities (“underlying debt securities”) may be issued under the indenture in one or more series.</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For purposes of this prospectus, any reference to the payment of principal of, or interest or premium, if any, on, debt securities will include additional amounts if required by the terms of the debt securities.</w:t>
      </w:r>
    </w:p>
    <w:p>
      <w:pPr>
        <w:spacing w:after="0" w:line="161"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Debt securities issued under an indenture, when a single trustee is acting for all debt securities issued under the indenture, are called the “indenture securities.” The indenture may also provide that there may be more than one trustee thereunder, each with respect to one or more different series of securities issued thereunder. See “Description of Debt Securities—Resignation of Trustee” below. At a time when two or more trustees are acting under an indenture, each with respect to only certain series, the term “indenture securities” means the one or more series of debt securities with respect to which each respective trustee is acting. In the event that there is more than one trustee under an indenture, the powers and trust obligations of each trustee described in this prospectus will extend only to the one or more series of indenture securities for which it is trustee. If two or more trustees are acting under an indenture, then the indenture securities for which each trustee is acting would be treated as if issued under separate indentures.</w:t>
      </w:r>
    </w:p>
    <w:p>
      <w:pPr>
        <w:spacing w:after="0" w:line="161" w:lineRule="exact"/>
        <w:rPr>
          <w:sz w:val="20"/>
          <w:szCs w:val="20"/>
          <w:color w:val="auto"/>
        </w:rPr>
      </w:pPr>
    </w:p>
    <w:p>
      <w:pPr>
        <w:ind w:right="300"/>
        <w:spacing w:after="0" w:line="218" w:lineRule="auto"/>
        <w:rPr>
          <w:sz w:val="20"/>
          <w:szCs w:val="20"/>
          <w:color w:val="auto"/>
        </w:rPr>
      </w:pPr>
      <w:r>
        <w:rPr>
          <w:rFonts w:ascii="Arial" w:cs="Arial" w:eastAsia="Arial" w:hAnsi="Arial"/>
          <w:sz w:val="18"/>
          <w:szCs w:val="18"/>
          <w:color w:val="auto"/>
        </w:rPr>
        <w:t>We refer you to the applicable prospectus supplement relating to any debt securities we may issue from time to time for information with respect to any deletions from, modifications of or additions to the Events of Default or covenants that are described below, including any addition of a covenant or other provision providing event risk or similar protection, that will be applicable with respect to such debt securities.</w:t>
      </w:r>
    </w:p>
    <w:p>
      <w:pPr>
        <w:spacing w:after="0" w:line="162" w:lineRule="exact"/>
        <w:rPr>
          <w:sz w:val="20"/>
          <w:szCs w:val="20"/>
          <w:color w:val="auto"/>
        </w:rPr>
      </w:pPr>
    </w:p>
    <w:p>
      <w:pPr>
        <w:ind w:right="420"/>
        <w:spacing w:after="0" w:line="257" w:lineRule="auto"/>
        <w:rPr>
          <w:sz w:val="20"/>
          <w:szCs w:val="20"/>
          <w:color w:val="auto"/>
        </w:rPr>
      </w:pPr>
      <w:r>
        <w:rPr>
          <w:rFonts w:ascii="Arial" w:cs="Arial" w:eastAsia="Arial" w:hAnsi="Arial"/>
          <w:sz w:val="16"/>
          <w:szCs w:val="16"/>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87"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If any debt securities are convertible into or exchangeable for other securities, the related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5">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87" w:lineRule="exact"/>
        <w:rPr>
          <w:sz w:val="20"/>
          <w:szCs w:val="20"/>
          <w:color w:val="auto"/>
        </w:rPr>
      </w:pPr>
    </w:p>
    <w:p>
      <w:pPr>
        <w:ind w:right="20"/>
        <w:spacing w:after="0" w:line="224"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approximately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8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Holders of debt securities of any series will have rights if an Event of Default occurs in respect of the debt securities of such series and is not cured, as described later in this subsection. The term “Event of Default” in respect of the debt securities of any series means any of the following:</w:t>
      </w:r>
    </w:p>
    <w:p>
      <w:pPr>
        <w:spacing w:after="0" w:line="162" w:lineRule="exact"/>
        <w:rPr>
          <w:sz w:val="20"/>
          <w:szCs w:val="20"/>
          <w:color w:val="auto"/>
        </w:rPr>
      </w:pPr>
    </w:p>
    <w:p>
      <w:pPr>
        <w:ind w:left="960" w:hanging="32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96" w:lineRule="exact"/>
        <w:rPr>
          <w:rFonts w:ascii="Arial" w:cs="Arial" w:eastAsia="Arial" w:hAnsi="Arial"/>
          <w:sz w:val="18"/>
          <w:szCs w:val="18"/>
          <w:color w:val="auto"/>
        </w:rPr>
      </w:pPr>
    </w:p>
    <w:p>
      <w:pPr>
        <w:ind w:left="960" w:right="180" w:hanging="320"/>
        <w:spacing w:after="0" w:line="244"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we do not cure this default within five days;</w:t>
      </w:r>
    </w:p>
    <w:p>
      <w:pPr>
        <w:spacing w:after="0" w:line="170" w:lineRule="exact"/>
        <w:rPr>
          <w:rFonts w:ascii="Arial" w:cs="Arial" w:eastAsia="Arial" w:hAnsi="Arial"/>
          <w:sz w:val="18"/>
          <w:szCs w:val="18"/>
          <w:color w:val="auto"/>
        </w:rPr>
      </w:pPr>
    </w:p>
    <w:p>
      <w:pPr>
        <w:ind w:left="960" w:right="160" w:hanging="320"/>
        <w:spacing w:after="0" w:line="234"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90 days after we receive a written notice of default stating we are in breach. The notice must be sent by either the trustee or holders of at least 25% of the principal amount of debt securities of the series;</w:t>
      </w:r>
    </w:p>
    <w:p>
      <w:pPr>
        <w:spacing w:after="0" w:line="174" w:lineRule="exact"/>
        <w:rPr>
          <w:rFonts w:ascii="Arial" w:cs="Arial" w:eastAsia="Arial" w:hAnsi="Arial"/>
          <w:sz w:val="18"/>
          <w:szCs w:val="18"/>
          <w:color w:val="auto"/>
        </w:rPr>
      </w:pPr>
    </w:p>
    <w:p>
      <w:pPr>
        <w:ind w:left="960" w:hanging="32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other Event of Default occurs in respect of debt securities of the series described in the prospectus supplement.</w:t>
      </w:r>
    </w:p>
    <w:p>
      <w:pPr>
        <w:spacing w:after="0" w:line="219" w:lineRule="exact"/>
        <w:rPr>
          <w:sz w:val="20"/>
          <w:szCs w:val="20"/>
          <w:color w:val="auto"/>
        </w:rPr>
      </w:pPr>
    </w:p>
    <w:p>
      <w:pPr>
        <w:spacing w:after="0" w:line="218"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183" w:lineRule="exact"/>
        <w:rPr>
          <w:sz w:val="20"/>
          <w:szCs w:val="20"/>
          <w:color w:val="auto"/>
        </w:rPr>
      </w:pPr>
    </w:p>
    <w:p>
      <w:pPr>
        <w:spacing w:after="0" w:line="215" w:lineRule="auto"/>
        <w:rPr>
          <w:sz w:val="20"/>
          <w:szCs w:val="20"/>
          <w:color w:val="auto"/>
        </w:rPr>
      </w:pPr>
      <w:r>
        <w:rPr>
          <w:rFonts w:ascii="Arial" w:cs="Arial" w:eastAsia="Arial" w:hAnsi="Arial"/>
          <w:sz w:val="18"/>
          <w:szCs w:val="18"/>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62"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Except in cases of default, where the trustee has some special duties, the trustee typically is not required to take any action under an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w:t>
      </w:r>
    </w:p>
    <w:p>
      <w:pPr>
        <w:spacing w:after="0" w:line="16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Before a holder is allowed to bypass the trustee and bring its own lawsuit or other formal legal action or take other steps to enforce its rights or protect its interests relating to any debt securities, the following must occur:</w:t>
      </w:r>
    </w:p>
    <w:p>
      <w:pPr>
        <w:spacing w:after="0" w:line="161" w:lineRule="exact"/>
        <w:rPr>
          <w:sz w:val="20"/>
          <w:szCs w:val="20"/>
          <w:color w:val="auto"/>
        </w:rPr>
      </w:pPr>
    </w:p>
    <w:p>
      <w:pPr>
        <w:ind w:left="960" w:hanging="320"/>
        <w:spacing w:after="0"/>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holder must give the trustee written notice that an Event of Default has occurred and remains uncured;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7" w:lineRule="exact"/>
        <w:rPr>
          <w:rFonts w:ascii="Arial" w:cs="Arial" w:eastAsia="Arial" w:hAnsi="Arial"/>
          <w:sz w:val="17"/>
          <w:szCs w:val="17"/>
          <w:color w:val="auto"/>
        </w:rPr>
      </w:pPr>
    </w:p>
    <w:p>
      <w:pPr>
        <w:ind w:left="4600"/>
        <w:spacing w:after="0"/>
        <w:rPr>
          <w:rFonts w:ascii="Arial" w:cs="Arial" w:eastAsia="Arial" w:hAnsi="Arial"/>
          <w:sz w:val="17"/>
          <w:szCs w:val="17"/>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6">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jc w:val="both"/>
        <w:ind w:left="960" w:right="100" w:hanging="320"/>
        <w:spacing w:after="0" w:line="234"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74" w:lineRule="exact"/>
        <w:rPr>
          <w:rFonts w:ascii="Arial" w:cs="Arial" w:eastAsia="Arial" w:hAnsi="Arial"/>
          <w:sz w:val="18"/>
          <w:szCs w:val="18"/>
          <w:color w:val="auto"/>
        </w:rPr>
      </w:pPr>
    </w:p>
    <w:p>
      <w:pPr>
        <w:ind w:left="960" w:hanging="320"/>
        <w:spacing w:after="0"/>
        <w:tabs>
          <w:tab w:leader="none" w:pos="9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trustee must not have taken action for 60 days after receipt of the above notice and offer of indemnity; and</w:t>
      </w:r>
    </w:p>
    <w:p>
      <w:pPr>
        <w:spacing w:after="0" w:line="207" w:lineRule="exact"/>
        <w:rPr>
          <w:rFonts w:ascii="Arial" w:cs="Arial" w:eastAsia="Arial" w:hAnsi="Arial"/>
          <w:sz w:val="17"/>
          <w:szCs w:val="17"/>
          <w:color w:val="auto"/>
        </w:rPr>
      </w:pPr>
    </w:p>
    <w:p>
      <w:pPr>
        <w:ind w:left="960" w:right="520" w:hanging="320"/>
        <w:spacing w:after="0" w:line="209" w:lineRule="exact"/>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w:t>
      </w:r>
      <w:r>
        <w:rPr>
          <w:rFonts w:ascii="MS PGothic" w:cs="MS PGothic" w:eastAsia="MS PGothic" w:hAnsi="MS PGothic"/>
          <w:sz w:val="18"/>
          <w:szCs w:val="18"/>
          <w:color w:val="auto"/>
        </w:rPr>
        <w:t>‑</w:t>
      </w:r>
      <w:r>
        <w:rPr>
          <w:rFonts w:ascii="Arial" w:cs="Arial" w:eastAsia="Arial" w:hAnsi="Arial"/>
          <w:sz w:val="18"/>
          <w:szCs w:val="18"/>
          <w:color w:val="auto"/>
        </w:rPr>
        <w:t>day period.</w:t>
      </w:r>
    </w:p>
    <w:p>
      <w:pPr>
        <w:spacing w:after="0" w:line="174"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However, a holder is entitled at any time to bring a lawsuit for the payment of money due on its debt securities on or after the due date. Each year, we will furnish to each trustee a written statement of certain of our officers certifying that to their knowledge we are in compliance with the indenture and the debt securities, or else specifying any default.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Waiver of Default</w:t>
      </w:r>
    </w:p>
    <w:p>
      <w:pPr>
        <w:spacing w:after="0" w:line="183" w:lineRule="exact"/>
        <w:rPr>
          <w:sz w:val="20"/>
          <w:szCs w:val="20"/>
          <w:color w:val="auto"/>
        </w:rPr>
      </w:pPr>
    </w:p>
    <w:p>
      <w:pPr>
        <w:ind w:right="240"/>
        <w:spacing w:after="0" w:line="223"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such series of debt securities. If this happens, the default will be treated as if it had not occurred. No one can waive a payment default on a holder’s debt security, however, without the holder’s approval.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87" w:lineRule="exact"/>
        <w:rPr>
          <w:sz w:val="20"/>
          <w:szCs w:val="20"/>
          <w:color w:val="auto"/>
        </w:rPr>
      </w:pPr>
    </w:p>
    <w:p>
      <w:pPr>
        <w:jc w:val="both"/>
        <w:ind w:right="180"/>
        <w:spacing w:after="0" w:line="223" w:lineRule="auto"/>
        <w:rPr>
          <w:sz w:val="20"/>
          <w:szCs w:val="20"/>
          <w:color w:val="auto"/>
        </w:rPr>
      </w:pPr>
      <w:r>
        <w:rPr>
          <w:rFonts w:ascii="Arial" w:cs="Arial" w:eastAsia="Arial" w:hAnsi="Arial"/>
          <w:sz w:val="18"/>
          <w:szCs w:val="18"/>
          <w:color w:val="auto"/>
        </w:rPr>
        <w:t>Under the terms of an indenture, we may be permitted to consolidate or merge with another entity. We may also be permitted to sell all or substantially all of our assets to another entity. However, typically we may not take any of these actions unless all the following conditions are met:</w:t>
      </w:r>
    </w:p>
    <w:p>
      <w:pPr>
        <w:spacing w:after="0" w:line="162" w:lineRule="exact"/>
        <w:rPr>
          <w:sz w:val="20"/>
          <w:szCs w:val="20"/>
          <w:color w:val="auto"/>
        </w:rPr>
      </w:pPr>
    </w:p>
    <w:p>
      <w:pPr>
        <w:ind w:left="960" w:hanging="320"/>
        <w:spacing w:after="0" w:line="257" w:lineRule="auto"/>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162" w:lineRule="exact"/>
        <w:rPr>
          <w:rFonts w:ascii="Arial" w:cs="Arial" w:eastAsia="Arial" w:hAnsi="Arial"/>
          <w:sz w:val="16"/>
          <w:szCs w:val="16"/>
          <w:color w:val="auto"/>
        </w:rPr>
      </w:pPr>
    </w:p>
    <w:p>
      <w:pPr>
        <w:ind w:left="960" w:hanging="32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96" w:lineRule="exact"/>
        <w:rPr>
          <w:rFonts w:ascii="Arial" w:cs="Arial" w:eastAsia="Arial" w:hAnsi="Arial"/>
          <w:sz w:val="18"/>
          <w:szCs w:val="18"/>
          <w:color w:val="auto"/>
        </w:rPr>
      </w:pPr>
    </w:p>
    <w:p>
      <w:pPr>
        <w:ind w:left="960" w:right="80" w:hanging="320"/>
        <w:spacing w:after="0" w:line="244"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are three types of changes we may make to an indenture and the debt securities issued thereunder.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Approval</w:t>
      </w:r>
    </w:p>
    <w:p>
      <w:pPr>
        <w:spacing w:after="0" w:line="183"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First, there are changes that we cannot make to debt securities without specific approval of all of the holders. The following is a list of the types of changes that may require specific approval:</w:t>
      </w:r>
    </w:p>
    <w:p>
      <w:pPr>
        <w:spacing w:after="0" w:line="161" w:lineRule="exact"/>
        <w:rPr>
          <w:sz w:val="20"/>
          <w:szCs w:val="20"/>
          <w:color w:val="auto"/>
        </w:rPr>
      </w:pPr>
    </w:p>
    <w:p>
      <w:pPr>
        <w:ind w:left="960" w:hanging="32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rate of interest on a debt security;</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7">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00"/>
          </w:cols>
          <w:pgMar w:left="1260" w:top="114" w:right="133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left="960" w:hanging="320"/>
        <w:spacing w:after="0"/>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at any time after a change of control has occurred, reduce any premium payable upon a change of control;</w:t>
      </w:r>
    </w:p>
    <w:p>
      <w:pPr>
        <w:spacing w:after="0" w:line="207" w:lineRule="exact"/>
        <w:rPr>
          <w:rFonts w:ascii="Arial" w:cs="Arial" w:eastAsia="Arial" w:hAnsi="Arial"/>
          <w:sz w:val="17"/>
          <w:szCs w:val="17"/>
          <w:color w:val="auto"/>
        </w:rPr>
      </w:pPr>
    </w:p>
    <w:p>
      <w:pPr>
        <w:ind w:left="960" w:right="480" w:hanging="320"/>
        <w:spacing w:after="0" w:line="244"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the place or currency of payment on a debt security (except as otherwise described in the prospectus or prospectus supplement);</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 the right of holders to sue for payment;</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reduce the percentage of holders of debt securities whose consent is needed to modify or amend the indenture;</w:t>
      </w:r>
    </w:p>
    <w:p>
      <w:pPr>
        <w:spacing w:after="0" w:line="207" w:lineRule="exact"/>
        <w:rPr>
          <w:rFonts w:ascii="Arial" w:cs="Arial" w:eastAsia="Arial" w:hAnsi="Arial"/>
          <w:sz w:val="17"/>
          <w:szCs w:val="17"/>
          <w:color w:val="auto"/>
        </w:rPr>
      </w:pPr>
    </w:p>
    <w:p>
      <w:pPr>
        <w:ind w:left="960" w:right="560" w:hanging="320"/>
        <w:spacing w:after="0" w:line="244"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170" w:lineRule="exact"/>
        <w:rPr>
          <w:rFonts w:ascii="Arial" w:cs="Arial" w:eastAsia="Arial" w:hAnsi="Arial"/>
          <w:sz w:val="18"/>
          <w:szCs w:val="18"/>
          <w:color w:val="auto"/>
        </w:rPr>
      </w:pPr>
    </w:p>
    <w:p>
      <w:pPr>
        <w:ind w:left="960" w:right="200" w:hanging="320"/>
        <w:spacing w:after="0" w:line="305" w:lineRule="auto"/>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123" w:lineRule="exact"/>
        <w:rPr>
          <w:rFonts w:ascii="Arial" w:cs="Arial" w:eastAsia="Arial" w:hAnsi="Arial"/>
          <w:sz w:val="16"/>
          <w:szCs w:val="16"/>
          <w:color w:val="auto"/>
        </w:rPr>
      </w:pPr>
    </w:p>
    <w:p>
      <w:pPr>
        <w:ind w:left="960" w:hanging="32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83" w:lineRule="exact"/>
        <w:rPr>
          <w:sz w:val="20"/>
          <w:szCs w:val="20"/>
          <w:color w:val="auto"/>
        </w:rPr>
      </w:pPr>
    </w:p>
    <w:p>
      <w:pPr>
        <w:spacing w:after="0" w:line="218"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including the addition of covenants and guarantees. We also do not need any approval to make any change that affects only debt securities to be issued under the indenture after the change takes effect.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Any other change to the indenture and the debt securities may require the following approval:</w:t>
      </w:r>
    </w:p>
    <w:p>
      <w:pPr>
        <w:spacing w:after="0" w:line="183" w:lineRule="exact"/>
        <w:rPr>
          <w:sz w:val="20"/>
          <w:szCs w:val="20"/>
          <w:color w:val="auto"/>
        </w:rPr>
      </w:pPr>
    </w:p>
    <w:p>
      <w:pPr>
        <w:ind w:left="960" w:right="160" w:hanging="320"/>
        <w:spacing w:after="0" w:line="244"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change affects only one series of debt securities, it must be approved by the holders of a majority in principal amount of that series; and</w:t>
      </w:r>
    </w:p>
    <w:p>
      <w:pPr>
        <w:spacing w:after="0" w:line="170" w:lineRule="exact"/>
        <w:rPr>
          <w:rFonts w:ascii="Arial" w:cs="Arial" w:eastAsia="Arial" w:hAnsi="Arial"/>
          <w:sz w:val="18"/>
          <w:szCs w:val="18"/>
          <w:color w:val="auto"/>
        </w:rPr>
      </w:pPr>
    </w:p>
    <w:p>
      <w:pPr>
        <w:ind w:left="960" w:hanging="320"/>
        <w:spacing w:after="0" w:line="234"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74" w:lineRule="exact"/>
        <w:rPr>
          <w:sz w:val="20"/>
          <w:szCs w:val="20"/>
          <w:color w:val="auto"/>
        </w:rPr>
      </w:pPr>
    </w:p>
    <w:p>
      <w:pPr>
        <w:ind w:right="240"/>
        <w:spacing w:after="0" w:line="231" w:lineRule="auto"/>
        <w:rPr>
          <w:sz w:val="20"/>
          <w:szCs w:val="20"/>
          <w:color w:val="auto"/>
        </w:rPr>
      </w:pPr>
      <w:r>
        <w:rPr>
          <w:rFonts w:ascii="Arial" w:cs="Arial" w:eastAsia="Arial" w:hAnsi="Arial"/>
          <w:sz w:val="17"/>
          <w:szCs w:val="17"/>
          <w:color w:val="auto"/>
        </w:rPr>
        <w:t>The holders of a majority in principal amount of all of the series of debt securities issued under an indenture, voting together as one class for this purpose, may waive our compliance obligations with respect to some of our covenants in that indenture. However, we cannot obtain a waiver of a payment default or of any of the matters covered by the bullet points included above under “Description of Debt Securities—Modification or Waiver—Changes Requiring Approval.”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Details Concerning Voting</w:t>
      </w:r>
    </w:p>
    <w:p>
      <w:pPr>
        <w:spacing w:after="0" w:line="183"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When taking a vote on proposed changes to the indenture and the debt securities, we expect to use the following rules to decide how much principal to attribute to a debt security:</w:t>
      </w:r>
    </w:p>
    <w:p>
      <w:pPr>
        <w:spacing w:after="0" w:line="161" w:lineRule="exact"/>
        <w:rPr>
          <w:sz w:val="20"/>
          <w:szCs w:val="20"/>
          <w:color w:val="auto"/>
        </w:rPr>
      </w:pPr>
    </w:p>
    <w:p>
      <w:pPr>
        <w:ind w:left="960" w:right="160" w:hanging="320"/>
        <w:spacing w:after="0" w:line="273" w:lineRule="auto"/>
        <w:tabs>
          <w:tab w:leader="none" w:pos="9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 original issue discount securities, we will use the principal amount that would be due and payable on the voting date if the maturity of these debt securities were accelerated to that date because of a default;</w:t>
      </w:r>
    </w:p>
    <w:p>
      <w:pPr>
        <w:spacing w:after="0" w:line="39" w:lineRule="exact"/>
        <w:rPr>
          <w:rFonts w:ascii="Arial" w:cs="Arial" w:eastAsia="Arial" w:hAnsi="Arial"/>
          <w:sz w:val="17"/>
          <w:szCs w:val="17"/>
          <w:color w:val="auto"/>
        </w:rPr>
      </w:pPr>
    </w:p>
    <w:p>
      <w:pPr>
        <w:ind w:left="960" w:right="20" w:hanging="320"/>
        <w:spacing w:after="0" w:line="244"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related prospectus supplement; and</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8">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114" w:right="127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right="360"/>
        <w:spacing w:after="0" w:line="223"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Debt Securities—Defeasance—Legal Defeasance.”</w:t>
      </w:r>
    </w:p>
    <w:p>
      <w:pPr>
        <w:spacing w:after="0" w:line="162"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We generally will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11 months following the record date.</w:t>
      </w:r>
    </w:p>
    <w:p>
      <w:pPr>
        <w:spacing w:after="0" w:line="157"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Book-entry and other indirect holders will need to consult their banks or brokers for information on how approval may be granted or denied if we seek to change the indenture or the debt securities or request a waiver.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87" w:lineRule="exact"/>
        <w:rPr>
          <w:sz w:val="20"/>
          <w:szCs w:val="20"/>
          <w:color w:val="auto"/>
        </w:rPr>
      </w:pPr>
    </w:p>
    <w:p>
      <w:pPr>
        <w:ind w:right="780"/>
        <w:spacing w:after="0" w:line="287" w:lineRule="auto"/>
        <w:rPr>
          <w:sz w:val="20"/>
          <w:szCs w:val="20"/>
          <w:color w:val="auto"/>
        </w:rPr>
      </w:pPr>
      <w:r>
        <w:rPr>
          <w:rFonts w:ascii="Arial" w:cs="Arial" w:eastAsia="Arial" w:hAnsi="Arial"/>
          <w:sz w:val="16"/>
          <w:szCs w:val="16"/>
          <w:color w:val="auto"/>
        </w:rPr>
        <w:t>The following provisions will be applicable to each series of debt securities unless we state in the applicable prospectus supplement that the provisions of covenant defeasance and legal defeasance will not be applicable to that series.</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83" w:lineRule="exact"/>
        <w:rPr>
          <w:sz w:val="20"/>
          <w:szCs w:val="20"/>
          <w:color w:val="auto"/>
        </w:rPr>
      </w:pPr>
    </w:p>
    <w:p>
      <w:pPr>
        <w:ind w:left="640" w:right="140"/>
        <w:spacing w:after="0" w:line="225" w:lineRule="auto"/>
        <w:rPr>
          <w:sz w:val="20"/>
          <w:szCs w:val="20"/>
          <w:color w:val="auto"/>
        </w:rPr>
      </w:pPr>
      <w:r>
        <w:rPr>
          <w:rFonts w:ascii="Arial" w:cs="Arial" w:eastAsia="Arial" w:hAnsi="Arial"/>
          <w:sz w:val="17"/>
          <w:szCs w:val="17"/>
          <w:color w:val="auto"/>
        </w:rPr>
        <w:t>We can make the deposit described below and be released from some of the restrictive covenants in the indenture under which the particular series was issued. This is called “covenant defeasance.” In that event, the holders would lose the protection of those restrictive covenants but would gain the protection of having money and government securities set aside in trust to repay holders’ debt securities. If applicable, a holder also would be released from the subordination provisions described under “Description of Debt Securities—Indenture Provisions—Subordination” below. In order to achieve covenant defeasance, we must do the following:</w:t>
      </w:r>
    </w:p>
    <w:p>
      <w:pPr>
        <w:spacing w:after="0" w:line="164" w:lineRule="exact"/>
        <w:rPr>
          <w:sz w:val="20"/>
          <w:szCs w:val="20"/>
          <w:color w:val="auto"/>
        </w:rPr>
      </w:pPr>
    </w:p>
    <w:p>
      <w:pPr>
        <w:ind w:left="960" w:hanging="320"/>
        <w:spacing w:after="0" w:line="230"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66" w:lineRule="exact"/>
        <w:rPr>
          <w:rFonts w:ascii="Arial" w:cs="Arial" w:eastAsia="Arial" w:hAnsi="Arial"/>
          <w:sz w:val="18"/>
          <w:szCs w:val="18"/>
          <w:color w:val="auto"/>
        </w:rPr>
      </w:pPr>
    </w:p>
    <w:p>
      <w:pPr>
        <w:ind w:left="960" w:hanging="320"/>
        <w:spacing w:after="0" w:line="230"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the holders to be taxed on the debt securities any differently than if we did not make the deposit and just repaid the debt securities ourselves at maturity; and</w:t>
      </w:r>
    </w:p>
    <w:p>
      <w:pPr>
        <w:spacing w:after="0" w:line="66" w:lineRule="exact"/>
        <w:rPr>
          <w:rFonts w:ascii="Arial" w:cs="Arial" w:eastAsia="Arial" w:hAnsi="Arial"/>
          <w:sz w:val="18"/>
          <w:szCs w:val="18"/>
          <w:color w:val="auto"/>
        </w:rPr>
      </w:pPr>
    </w:p>
    <w:p>
      <w:pPr>
        <w:ind w:left="960" w:right="300" w:hanging="320"/>
        <w:spacing w:after="0" w:line="244"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must deliver to the trustee certain documentation stating that all conditions precedent to covenant defeasance have been complied with.</w:t>
      </w:r>
    </w:p>
    <w:p>
      <w:pPr>
        <w:spacing w:after="0" w:line="171" w:lineRule="exact"/>
        <w:rPr>
          <w:sz w:val="20"/>
          <w:szCs w:val="20"/>
          <w:color w:val="auto"/>
        </w:rPr>
      </w:pPr>
    </w:p>
    <w:p>
      <w:pPr>
        <w:ind w:left="640" w:right="40"/>
        <w:spacing w:after="0" w:line="247" w:lineRule="auto"/>
        <w:rPr>
          <w:sz w:val="20"/>
          <w:szCs w:val="20"/>
          <w:color w:val="auto"/>
        </w:rPr>
      </w:pPr>
      <w:r>
        <w:rPr>
          <w:rFonts w:ascii="Arial" w:cs="Arial" w:eastAsia="Arial" w:hAnsi="Arial"/>
          <w:sz w:val="16"/>
          <w:szCs w:val="16"/>
          <w:color w:val="auto"/>
        </w:rPr>
        <w:t>If we accomplish covenant defeasance, holders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holders may not be able to obtain payment of the shortfall.</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Defeasance</w:t>
      </w:r>
    </w:p>
    <w:p>
      <w:pPr>
        <w:spacing w:after="0" w:line="183" w:lineRule="exact"/>
        <w:rPr>
          <w:sz w:val="20"/>
          <w:szCs w:val="20"/>
          <w:color w:val="auto"/>
        </w:rPr>
      </w:pPr>
    </w:p>
    <w:p>
      <w:pPr>
        <w:jc w:val="both"/>
        <w:ind w:left="640" w:right="200"/>
        <w:spacing w:after="0" w:line="231" w:lineRule="auto"/>
        <w:rPr>
          <w:sz w:val="20"/>
          <w:szCs w:val="20"/>
          <w:color w:val="auto"/>
        </w:rPr>
      </w:pPr>
      <w:r>
        <w:rPr>
          <w:rFonts w:ascii="Arial" w:cs="Arial" w:eastAsia="Arial" w:hAnsi="Arial"/>
          <w:sz w:val="17"/>
          <w:szCs w:val="17"/>
          <w:color w:val="auto"/>
        </w:rPr>
        <w:t>As described below, we can legally release ourselves from all payment and other obligations on the debt securities of a particular series (called “legal defeasance”), (1) if there is a change in U.S. Federal tax law that allows us to effect the release without causing the holders to be taxed any differently than if the release had not occurred, and (2) if we put in place the following other arrangements for holders to be repaid:</w:t>
      </w:r>
    </w:p>
    <w:p>
      <w:pPr>
        <w:spacing w:after="0" w:line="162" w:lineRule="exact"/>
        <w:rPr>
          <w:sz w:val="20"/>
          <w:szCs w:val="20"/>
          <w:color w:val="auto"/>
        </w:rPr>
      </w:pPr>
    </w:p>
    <w:p>
      <w:pPr>
        <w:ind w:left="960" w:hanging="320"/>
        <w:spacing w:after="0" w:line="230"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9">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40"/>
          </w:cols>
          <w:pgMar w:left="1260" w:top="114" w:right="129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left="960" w:hanging="320"/>
        <w:spacing w:after="0" w:line="238" w:lineRule="auto"/>
        <w:tabs>
          <w:tab w:leader="none" w:pos="9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be required to deliver to the trustee a legal opinion confirming that there has been a change in current U.S. Federal tax law or an Internal Revenue Service ruling that allows us to make the above deposit without causing the holders to be taxed on the debt securities any differently than if we did not make the deposit and just repaid the debt securities ourselves at maturity. Under current U.S. Federal tax law, the deposit and our legal release from the debt securities would be treated as though we paid each holder its share of the cash and notes or bonds at the time the cash and notes or bonds were deposited in trust in exchange for its debt securities and holders would recognize gain or loss on the debt securities at the time of the deposit; and</w:t>
      </w:r>
    </w:p>
    <w:p>
      <w:pPr>
        <w:spacing w:after="0" w:line="108" w:lineRule="exact"/>
        <w:rPr>
          <w:rFonts w:ascii="Arial" w:cs="Arial" w:eastAsia="Arial" w:hAnsi="Arial"/>
          <w:sz w:val="17"/>
          <w:szCs w:val="17"/>
          <w:color w:val="auto"/>
        </w:rPr>
      </w:pPr>
    </w:p>
    <w:p>
      <w:pPr>
        <w:ind w:left="960" w:right="280" w:hanging="320"/>
        <w:spacing w:after="0" w:line="244"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legal defeasance have been complied with.</w:t>
      </w:r>
    </w:p>
    <w:p>
      <w:pPr>
        <w:spacing w:after="0" w:line="171" w:lineRule="exact"/>
        <w:rPr>
          <w:sz w:val="20"/>
          <w:szCs w:val="20"/>
          <w:color w:val="auto"/>
        </w:rPr>
      </w:pPr>
    </w:p>
    <w:p>
      <w:pPr>
        <w:ind w:left="640" w:right="80"/>
        <w:spacing w:after="0" w:line="228" w:lineRule="auto"/>
        <w:rPr>
          <w:sz w:val="20"/>
          <w:szCs w:val="20"/>
          <w:color w:val="auto"/>
        </w:rPr>
      </w:pPr>
      <w:r>
        <w:rPr>
          <w:rFonts w:ascii="Arial" w:cs="Arial" w:eastAsia="Arial" w:hAnsi="Arial"/>
          <w:sz w:val="17"/>
          <w:szCs w:val="17"/>
          <w:color w:val="auto"/>
        </w:rPr>
        <w:t>If we ever did accomplish legal defeasance, as described above, holders would have to rely solely on the trust deposit for repayment of the debt securities. Holders could not look to us for repayment in the unlikely event of any shortfall. Conversely, the trust deposit would most likely be protected from claims of our lenders and other creditors if we ever became bankrupt or insolvent. If applicable, holders would also be released from the subordination provisions described later under “Description of Debt Securities—Indenture Provisions—Subordination.”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87" w:lineRule="exact"/>
        <w:rPr>
          <w:sz w:val="20"/>
          <w:szCs w:val="20"/>
          <w:color w:val="auto"/>
        </w:rPr>
      </w:pPr>
    </w:p>
    <w:p>
      <w:pPr>
        <w:ind w:right="120"/>
        <w:spacing w:after="0" w:line="218" w:lineRule="auto"/>
        <w:rPr>
          <w:sz w:val="20"/>
          <w:szCs w:val="20"/>
          <w:color w:val="auto"/>
        </w:rPr>
      </w:pPr>
      <w:r>
        <w:rPr>
          <w:rFonts w:ascii="Arial" w:cs="Arial" w:eastAsia="Arial" w:hAnsi="Arial"/>
          <w:sz w:val="18"/>
          <w:szCs w:val="18"/>
          <w:color w:val="auto"/>
        </w:rPr>
        <w:t>Each trustee may resign or be removed with respect to one or more series of indenture securities provided that a successor trustee is appointed to act with respect to such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87" w:lineRule="exact"/>
        <w:rPr>
          <w:sz w:val="20"/>
          <w:szCs w:val="20"/>
          <w:color w:val="auto"/>
        </w:rPr>
      </w:pPr>
    </w:p>
    <w:p>
      <w:pPr>
        <w:ind w:right="20"/>
        <w:spacing w:after="0" w:line="222" w:lineRule="auto"/>
        <w:rPr>
          <w:sz w:val="20"/>
          <w:szCs w:val="20"/>
          <w:color w:val="auto"/>
        </w:rPr>
      </w:pPr>
      <w:r>
        <w:rPr>
          <w:rFonts w:ascii="Arial" w:cs="Arial" w:eastAsia="Arial" w:hAnsi="Arial"/>
          <w:sz w:val="17"/>
          <w:szCs w:val="17"/>
          <w:color w:val="auto"/>
        </w:rPr>
        <w:t>Upon any distribution of our assets upon our dissolution, winding up, liquidation or reorganization, the payment of the principal of (and premium, if any) and interest on any indenture securities denominated as subordinated debt securities is to be subordinated to the extent provided in the indenture in right of payment to the prior payment in full of all Senior Indebtedness (defined below), but our obligation to holders to make payment of the principal of (and premium, if any) and interest on such subordinated debt securities will not otherwise be affected. In addition, no payment on account of principal (or premium, if any), interest or sinking fund, if any, may be made on such subordinated debt securities at any time unless full payment of all amounts due in respect of the principal (and premium, if any), interest and sinking fund, if any, on Senior Indebtedness has been made or duly provided for in money or money’s worth.</w:t>
      </w:r>
    </w:p>
    <w:p>
      <w:pPr>
        <w:spacing w:after="0" w:line="167" w:lineRule="exact"/>
        <w:rPr>
          <w:sz w:val="20"/>
          <w:szCs w:val="20"/>
          <w:color w:val="auto"/>
        </w:rPr>
      </w:pPr>
    </w:p>
    <w:p>
      <w:pPr>
        <w:ind w:right="160"/>
        <w:spacing w:after="0" w:line="210" w:lineRule="auto"/>
        <w:rPr>
          <w:sz w:val="20"/>
          <w:szCs w:val="20"/>
          <w:color w:val="auto"/>
        </w:rPr>
      </w:pPr>
      <w:r>
        <w:rPr>
          <w:rFonts w:ascii="Arial" w:cs="Arial" w:eastAsia="Arial" w:hAnsi="Arial"/>
          <w:sz w:val="18"/>
          <w:szCs w:val="18"/>
          <w:color w:val="auto"/>
        </w:rPr>
        <w:t>In the event that, notwithstanding the foregoing, any payment from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64"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By reason of this subordination, in the event of a distribution of our assets upon our insolvency, certain of our senior creditors may recover more, ratably, than holders of any subordinated debt securities. The related indenture will provide that these subordination provisions will not apply to money and securities held in trust under the defeasance provisions of the indenture.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“Senior Indebtedness” will be defined in an applicable indenture as the principal of (and premium, if any) and unpaid interest on:</w:t>
      </w:r>
    </w:p>
    <w:p>
      <w:pPr>
        <w:spacing w:after="0" w:line="206" w:lineRule="exact"/>
        <w:rPr>
          <w:sz w:val="20"/>
          <w:szCs w:val="20"/>
          <w:color w:val="auto"/>
        </w:rPr>
      </w:pPr>
    </w:p>
    <w:p>
      <w:pPr>
        <w:ind w:left="960" w:right="240" w:hanging="320"/>
        <w:spacing w:after="0" w:line="227"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177" w:lineRule="exact"/>
        <w:rPr>
          <w:rFonts w:ascii="Arial" w:cs="Arial" w:eastAsia="Arial" w:hAnsi="Arial"/>
          <w:sz w:val="18"/>
          <w:szCs w:val="18"/>
          <w:color w:val="auto"/>
        </w:rPr>
      </w:pPr>
    </w:p>
    <w:p>
      <w:pPr>
        <w:ind w:left="960" w:hanging="32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such indebtedness.</w:t>
      </w:r>
    </w:p>
    <w:p>
      <w:pPr>
        <w:spacing w:after="0" w:line="196"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The prospectus supplement accompanying any series of indenture securities denominated as subordinated debt securities will set forth the approximate amount of our Senior Indebtedness outstanding as of a recent date.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intend to name the indenture trustee for each series of indenture securities in the related prospectus supplement.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87" w:lineRule="exact"/>
        <w:rPr>
          <w:sz w:val="20"/>
          <w:szCs w:val="20"/>
          <w:color w:val="auto"/>
        </w:rPr>
      </w:pPr>
    </w:p>
    <w:p>
      <w:pPr>
        <w:ind w:right="80"/>
        <w:spacing w:after="0" w:line="218"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RIGHTS</w:t>
      </w:r>
    </w:p>
    <w:p>
      <w:pPr>
        <w:spacing w:after="0" w:line="18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following is a general description of the terms of the rights we may issue from time to time unless we provide otherwise in the applicable prospectus supplement. Particular terms of any rights we offer will be described in the prospectus supplement relating to such rights.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7" w:lineRule="exact"/>
        <w:rPr>
          <w:sz w:val="20"/>
          <w:szCs w:val="20"/>
          <w:color w:val="auto"/>
        </w:rPr>
      </w:pPr>
    </w:p>
    <w:p>
      <w:pPr>
        <w:ind w:right="20"/>
        <w:spacing w:after="0" w:line="224" w:lineRule="auto"/>
        <w:rPr>
          <w:sz w:val="20"/>
          <w:szCs w:val="20"/>
          <w:color w:val="auto"/>
        </w:rPr>
      </w:pPr>
      <w:r>
        <w:rPr>
          <w:rFonts w:ascii="Arial" w:cs="Arial" w:eastAsia="Arial" w:hAnsi="Arial"/>
          <w:sz w:val="17"/>
          <w:szCs w:val="17"/>
          <w:color w:val="auto"/>
        </w:rPr>
        <w:t>We may issue rights to purchase common stock, preferred stock, debt securities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spacing w:after="0" w:line="161"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The applicable prospectus supplement will describe the following terms of any rights we may issue, including some or all of the following:</w:t>
      </w:r>
    </w:p>
    <w:p>
      <w:pPr>
        <w:spacing w:after="0" w:line="161" w:lineRule="exact"/>
        <w:rPr>
          <w:sz w:val="20"/>
          <w:szCs w:val="20"/>
          <w:color w:val="auto"/>
        </w:rPr>
      </w:pPr>
    </w:p>
    <w:p>
      <w:pPr>
        <w:ind w:left="960" w:hanging="32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title and aggregate number of the rights;</w:t>
      </w:r>
    </w:p>
    <w:p>
      <w:pPr>
        <w:spacing w:after="0" w:line="88" w:lineRule="exact"/>
        <w:rPr>
          <w:rFonts w:ascii="Arial" w:cs="Arial" w:eastAsia="Arial" w:hAnsi="Arial"/>
          <w:sz w:val="18"/>
          <w:szCs w:val="18"/>
          <w:color w:val="auto"/>
        </w:rPr>
      </w:pPr>
    </w:p>
    <w:p>
      <w:pPr>
        <w:ind w:left="960" w:right="180" w:hanging="320"/>
        <w:spacing w:after="0" w:line="244"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subscription price or a formula for the determination of the subscription price for the rights and the currency or currencies in which the subscription price may be payable;</w:t>
      </w:r>
    </w:p>
    <w:p>
      <w:pPr>
        <w:spacing w:after="0" w:line="63" w:lineRule="exact"/>
        <w:rPr>
          <w:rFonts w:ascii="Arial" w:cs="Arial" w:eastAsia="Arial" w:hAnsi="Arial"/>
          <w:sz w:val="18"/>
          <w:szCs w:val="18"/>
          <w:color w:val="auto"/>
        </w:rPr>
      </w:pPr>
    </w:p>
    <w:p>
      <w:pPr>
        <w:ind w:left="960" w:right="280" w:hanging="320"/>
        <w:spacing w:after="0" w:line="244"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rights are issued and the number of rights issued with each such security or each principal amount of such security;</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the rights issued to each stockholder;</w:t>
      </w:r>
    </w:p>
    <w:p>
      <w:pPr>
        <w:spacing w:after="0" w:line="88" w:lineRule="exact"/>
        <w:rPr>
          <w:rFonts w:ascii="Arial" w:cs="Arial" w:eastAsia="Arial" w:hAnsi="Arial"/>
          <w:sz w:val="18"/>
          <w:szCs w:val="18"/>
          <w:color w:val="auto"/>
        </w:rPr>
      </w:pPr>
    </w:p>
    <w:p>
      <w:pPr>
        <w:ind w:left="960" w:hanging="32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88" w:lineRule="exact"/>
        <w:rPr>
          <w:rFonts w:ascii="Arial" w:cs="Arial" w:eastAsia="Arial" w:hAnsi="Arial"/>
          <w:sz w:val="18"/>
          <w:szCs w:val="18"/>
          <w:color w:val="auto"/>
        </w:rPr>
      </w:pPr>
    </w:p>
    <w:p>
      <w:pPr>
        <w:ind w:left="960" w:right="80" w:hanging="320"/>
        <w:spacing w:after="0" w:line="244"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rights to purchase debt securities, the principal amount of debt securities purchasable upon exercise of one right;</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114" w:right="127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left="960" w:right="240" w:hanging="320"/>
        <w:spacing w:after="0" w:line="244"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rights to purchase common stock or preferred stock, the type of stock and number of shares of stock purchasable upon exercise of one right;</w:t>
      </w:r>
    </w:p>
    <w:p>
      <w:pPr>
        <w:spacing w:after="0" w:line="63" w:lineRule="exact"/>
        <w:rPr>
          <w:rFonts w:ascii="Arial" w:cs="Arial" w:eastAsia="Arial" w:hAnsi="Arial"/>
          <w:sz w:val="18"/>
          <w:szCs w:val="18"/>
          <w:color w:val="auto"/>
        </w:rPr>
      </w:pPr>
    </w:p>
    <w:p>
      <w:pPr>
        <w:ind w:left="960" w:hanging="320"/>
        <w:spacing w:after="0" w:line="244"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rights will expire (subject to any extension);</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rights that may be exercised at any one time;</w:t>
      </w:r>
    </w:p>
    <w:p>
      <w:pPr>
        <w:spacing w:after="0" w:line="88" w:lineRule="exact"/>
        <w:rPr>
          <w:rFonts w:ascii="Arial" w:cs="Arial" w:eastAsia="Arial" w:hAnsi="Arial"/>
          <w:sz w:val="18"/>
          <w:szCs w:val="18"/>
          <w:color w:val="auto"/>
        </w:rPr>
      </w:pPr>
    </w:p>
    <w:p>
      <w:pPr>
        <w:ind w:left="960" w:hanging="320"/>
        <w:spacing w:after="0"/>
        <w:tabs>
          <w:tab w:leader="none" w:pos="9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extent to which such rights include an over-subscription privilege with respect to unsubscribed securities;</w:t>
      </w:r>
    </w:p>
    <w:p>
      <w:pPr>
        <w:spacing w:after="0" w:line="100" w:lineRule="exact"/>
        <w:rPr>
          <w:rFonts w:ascii="Arial" w:cs="Arial" w:eastAsia="Arial" w:hAnsi="Arial"/>
          <w:sz w:val="17"/>
          <w:szCs w:val="17"/>
          <w:color w:val="auto"/>
        </w:rPr>
      </w:pPr>
    </w:p>
    <w:p>
      <w:pPr>
        <w:ind w:left="960" w:right="60" w:hanging="320"/>
        <w:spacing w:after="0" w:line="275" w:lineRule="auto"/>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p>
      <w:pPr>
        <w:spacing w:after="0" w:line="39" w:lineRule="exact"/>
        <w:rPr>
          <w:rFonts w:ascii="Arial" w:cs="Arial" w:eastAsia="Arial" w:hAnsi="Arial"/>
          <w:sz w:val="16"/>
          <w:szCs w:val="16"/>
          <w:color w:val="auto"/>
        </w:rPr>
      </w:pPr>
    </w:p>
    <w:p>
      <w:pPr>
        <w:ind w:left="960" w:hanging="32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 on the rights of any merger, consolidation, sale or other disposition of our business;</w:t>
      </w:r>
    </w:p>
    <w:p>
      <w:pPr>
        <w:spacing w:after="0" w:line="88" w:lineRule="exact"/>
        <w:rPr>
          <w:rFonts w:ascii="Arial" w:cs="Arial" w:eastAsia="Arial" w:hAnsi="Arial"/>
          <w:sz w:val="18"/>
          <w:szCs w:val="18"/>
          <w:color w:val="auto"/>
        </w:rPr>
      </w:pPr>
    </w:p>
    <w:p>
      <w:pPr>
        <w:ind w:left="960" w:hanging="32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of any rights to redeem or call the rights;</w:t>
      </w:r>
    </w:p>
    <w:p>
      <w:pPr>
        <w:spacing w:after="0" w:line="88" w:lineRule="exact"/>
        <w:rPr>
          <w:rFonts w:ascii="Arial" w:cs="Arial" w:eastAsia="Arial" w:hAnsi="Arial"/>
          <w:sz w:val="18"/>
          <w:szCs w:val="18"/>
          <w:color w:val="auto"/>
        </w:rPr>
      </w:pPr>
    </w:p>
    <w:p>
      <w:pPr>
        <w:ind w:left="960" w:hanging="32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88" w:lineRule="exact"/>
        <w:rPr>
          <w:rFonts w:ascii="Arial" w:cs="Arial" w:eastAsia="Arial" w:hAnsi="Arial"/>
          <w:sz w:val="18"/>
          <w:szCs w:val="18"/>
          <w:color w:val="auto"/>
        </w:rPr>
      </w:pPr>
    </w:p>
    <w:p>
      <w:pPr>
        <w:ind w:left="960" w:hanging="32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rights;</w:t>
      </w:r>
    </w:p>
    <w:p>
      <w:pPr>
        <w:spacing w:after="0" w:line="88" w:lineRule="exact"/>
        <w:rPr>
          <w:rFonts w:ascii="Arial" w:cs="Arial" w:eastAsia="Arial" w:hAnsi="Arial"/>
          <w:sz w:val="18"/>
          <w:szCs w:val="18"/>
          <w:color w:val="auto"/>
        </w:rPr>
      </w:pPr>
    </w:p>
    <w:p>
      <w:pPr>
        <w:ind w:left="960" w:right="180" w:hanging="320"/>
        <w:spacing w:after="0" w:line="244"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backstop or other purchase arrangement that we may enter into in connection with the rights offering;</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88" w:lineRule="exact"/>
        <w:rPr>
          <w:rFonts w:ascii="Arial" w:cs="Arial" w:eastAsia="Arial" w:hAnsi="Arial"/>
          <w:sz w:val="18"/>
          <w:szCs w:val="18"/>
          <w:color w:val="auto"/>
        </w:rPr>
      </w:pPr>
    </w:p>
    <w:p>
      <w:pPr>
        <w:ind w:left="960" w:right="20" w:hanging="320"/>
        <w:spacing w:after="0" w:line="244"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exchange and exercise of the rights.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Rights</w:t>
      </w:r>
    </w:p>
    <w:p>
      <w:pPr>
        <w:spacing w:after="0" w:line="187"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spacing w:after="0" w:line="161"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spacing w:after="0" w:line="160" w:lineRule="exact"/>
        <w:rPr>
          <w:sz w:val="20"/>
          <w:szCs w:val="20"/>
          <w:color w:val="auto"/>
        </w:rPr>
      </w:pPr>
    </w:p>
    <w:p>
      <w:pPr>
        <w:ind w:right="260"/>
        <w:spacing w:after="0" w:line="237" w:lineRule="auto"/>
        <w:rPr>
          <w:sz w:val="20"/>
          <w:szCs w:val="20"/>
          <w:color w:val="auto"/>
        </w:rPr>
      </w:pPr>
      <w:r>
        <w:rPr>
          <w:rFonts w:ascii="Arial" w:cs="Arial" w:eastAsia="Arial" w:hAnsi="Arial"/>
          <w:sz w:val="17"/>
          <w:szCs w:val="17"/>
          <w:color w:val="auto"/>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spacing w:after="0" w:line="160" w:lineRule="exact"/>
        <w:rPr>
          <w:sz w:val="20"/>
          <w:szCs w:val="20"/>
          <w:color w:val="auto"/>
        </w:rPr>
      </w:pPr>
    </w:p>
    <w:p>
      <w:pPr>
        <w:ind w:right="40"/>
        <w:spacing w:after="0" w:line="215" w:lineRule="auto"/>
        <w:rPr>
          <w:sz w:val="20"/>
          <w:szCs w:val="20"/>
          <w:color w:val="auto"/>
        </w:rPr>
      </w:pPr>
      <w:r>
        <w:rPr>
          <w:rFonts w:ascii="Arial" w:cs="Arial" w:eastAsia="Arial" w:hAnsi="Arial"/>
          <w:sz w:val="18"/>
          <w:szCs w:val="18"/>
          <w:color w:val="auto"/>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 or, in the case of rights to purchase debt securities, the right to receive principal, premium, if any, or interest payments, on the debt securities purchasable upon exercise or to enforce covenants in the applicable indenture.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60"/>
          </w:cols>
          <w:pgMar w:left="1260" w:top="114" w:right="127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187" w:lineRule="exact"/>
        <w:rPr>
          <w:sz w:val="20"/>
          <w:szCs w:val="20"/>
          <w:color w:val="auto"/>
        </w:rPr>
      </w:pPr>
    </w:p>
    <w:p>
      <w:pPr>
        <w:ind w:right="40"/>
        <w:spacing w:after="0" w:line="218" w:lineRule="auto"/>
        <w:rPr>
          <w:sz w:val="20"/>
          <w:szCs w:val="20"/>
          <w:color w:val="auto"/>
        </w:rPr>
      </w:pPr>
      <w:r>
        <w:rPr>
          <w:rFonts w:ascii="Arial" w:cs="Arial" w:eastAsia="Arial" w:hAnsi="Arial"/>
          <w:sz w:val="18"/>
          <w:szCs w:val="18"/>
          <w:color w:val="auto"/>
        </w:rPr>
        <w:t>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62" w:lineRule="exact"/>
        <w:rPr>
          <w:sz w:val="20"/>
          <w:szCs w:val="20"/>
          <w:color w:val="auto"/>
        </w:rPr>
      </w:pPr>
    </w:p>
    <w:p>
      <w:pPr>
        <w:spacing w:after="0" w:line="224" w:lineRule="auto"/>
        <w:rPr>
          <w:sz w:val="20"/>
          <w:szCs w:val="20"/>
          <w:color w:val="auto"/>
        </w:rPr>
      </w:pPr>
      <w:r>
        <w:rPr>
          <w:rFonts w:ascii="Arial" w:cs="Arial" w:eastAsia="Arial" w:hAnsi="Arial"/>
          <w:sz w:val="17"/>
          <w:szCs w:val="17"/>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spacing w:after="0" w:line="161" w:lineRule="exact"/>
        <w:rPr>
          <w:sz w:val="20"/>
          <w:szCs w:val="20"/>
          <w:color w:val="auto"/>
        </w:rPr>
      </w:pPr>
    </w:p>
    <w:p>
      <w:pPr>
        <w:ind w:right="440"/>
        <w:spacing w:after="0" w:line="234"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161" w:lineRule="exact"/>
        <w:rPr>
          <w:sz w:val="20"/>
          <w:szCs w:val="20"/>
          <w:color w:val="auto"/>
        </w:rPr>
      </w:pPr>
    </w:p>
    <w:p>
      <w:pPr>
        <w:ind w:left="960" w:right="400" w:hanging="320"/>
        <w:spacing w:after="0" w:line="244"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960" w:right="100" w:hanging="320"/>
        <w:spacing w:after="0" w:line="244"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provision for the issuance, payment, settlement, transfer or exchange of the units or of the securities comprising the units; and</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92"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PLAN OF DISTRIBUTION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may sell the securities offered by this prospectus in any one or more of the following ways from time to time:</w:t>
      </w:r>
    </w:p>
    <w:p>
      <w:pPr>
        <w:spacing w:after="0" w:line="183" w:lineRule="exact"/>
        <w:rPr>
          <w:sz w:val="20"/>
          <w:szCs w:val="20"/>
          <w:color w:val="auto"/>
        </w:rPr>
      </w:pPr>
    </w:p>
    <w:p>
      <w:pPr>
        <w:ind w:left="960" w:hanging="32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or through one or more underwriters, initial purchasers, brokers or dealers;</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through agents to investors or the public;</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short or long transactions;</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through put or call option transactions relating to our common stock;</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directly to agents or other purchasers;</w:t>
      </w:r>
    </w:p>
    <w:p>
      <w:pPr>
        <w:spacing w:after="0" w:line="196" w:lineRule="exact"/>
        <w:rPr>
          <w:rFonts w:ascii="Arial" w:cs="Arial" w:eastAsia="Arial" w:hAnsi="Arial"/>
          <w:sz w:val="18"/>
          <w:szCs w:val="18"/>
          <w:color w:val="auto"/>
        </w:rPr>
      </w:pPr>
    </w:p>
    <w:p>
      <w:pPr>
        <w:ind w:left="960" w:right="20" w:hanging="320"/>
        <w:spacing w:after="0" w:line="244"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170" w:lineRule="exact"/>
        <w:rPr>
          <w:rFonts w:ascii="Arial" w:cs="Arial" w:eastAsia="Arial" w:hAnsi="Arial"/>
          <w:sz w:val="18"/>
          <w:szCs w:val="18"/>
          <w:color w:val="auto"/>
        </w:rPr>
      </w:pPr>
    </w:p>
    <w:p>
      <w:pPr>
        <w:ind w:left="960" w:hanging="32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though a combination of any such methods of sale; or</w:t>
      </w:r>
    </w:p>
    <w:p>
      <w:pPr>
        <w:spacing w:after="0" w:line="196" w:lineRule="exact"/>
        <w:rPr>
          <w:rFonts w:ascii="Arial" w:cs="Arial" w:eastAsia="Arial" w:hAnsi="Arial"/>
          <w:sz w:val="18"/>
          <w:szCs w:val="18"/>
          <w:color w:val="auto"/>
        </w:rPr>
      </w:pPr>
    </w:p>
    <w:p>
      <w:pPr>
        <w:ind w:left="960" w:hanging="32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through any other method described in the applicable prospectus supplement.</w:t>
      </w:r>
    </w:p>
    <w:p>
      <w:pPr>
        <w:spacing w:after="0" w:line="196"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The applicable prospectus supplement will set forth the terms of the offering and the method of distribution and will identify any firms acting as underwriters, initial purchasers, dealers or agents in connection with the offering, including:</w:t>
      </w:r>
    </w:p>
    <w:p>
      <w:pPr>
        <w:spacing w:after="0" w:line="148" w:lineRule="exact"/>
        <w:rPr>
          <w:sz w:val="20"/>
          <w:szCs w:val="20"/>
          <w:color w:val="auto"/>
        </w:rPr>
      </w:pPr>
    </w:p>
    <w:p>
      <w:pPr>
        <w:ind w:left="960" w:hanging="32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88" w:lineRule="exact"/>
        <w:rPr>
          <w:rFonts w:ascii="Arial" w:cs="Arial" w:eastAsia="Arial" w:hAnsi="Arial"/>
          <w:sz w:val="18"/>
          <w:szCs w:val="18"/>
          <w:color w:val="auto"/>
        </w:rPr>
      </w:pPr>
    </w:p>
    <w:p>
      <w:pPr>
        <w:ind w:left="960" w:hanging="32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names of any underwriters, dealers or agents;</w:t>
      </w:r>
    </w:p>
    <w:p>
      <w:pPr>
        <w:spacing w:after="0" w:line="88" w:lineRule="exact"/>
        <w:rPr>
          <w:rFonts w:ascii="Arial" w:cs="Arial" w:eastAsia="Arial" w:hAnsi="Arial"/>
          <w:sz w:val="18"/>
          <w:szCs w:val="18"/>
          <w:color w:val="auto"/>
        </w:rPr>
      </w:pPr>
    </w:p>
    <w:p>
      <w:pPr>
        <w:ind w:left="960" w:hanging="32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left="960" w:hanging="32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from the sale;</w:t>
      </w:r>
    </w:p>
    <w:p>
      <w:pPr>
        <w:spacing w:after="0" w:line="88" w:lineRule="exact"/>
        <w:rPr>
          <w:rFonts w:ascii="Arial" w:cs="Arial" w:eastAsia="Arial" w:hAnsi="Arial"/>
          <w:sz w:val="18"/>
          <w:szCs w:val="18"/>
          <w:color w:val="auto"/>
        </w:rPr>
      </w:pPr>
    </w:p>
    <w:p>
      <w:pPr>
        <w:ind w:left="960" w:hanging="320"/>
        <w:spacing w:after="0"/>
        <w:tabs>
          <w:tab w:leader="none" w:pos="9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over-allotment options under which the underwriters may purchase additional shares of common stock from us;</w:t>
      </w:r>
    </w:p>
    <w:p>
      <w:pPr>
        <w:spacing w:after="0" w:line="111" w:lineRule="exact"/>
        <w:rPr>
          <w:rFonts w:ascii="Arial" w:cs="Arial" w:eastAsia="Arial" w:hAnsi="Arial"/>
          <w:sz w:val="16"/>
          <w:szCs w:val="16"/>
          <w:color w:val="auto"/>
        </w:rPr>
      </w:pPr>
    </w:p>
    <w:p>
      <w:pPr>
        <w:ind w:left="960" w:right="160" w:hanging="320"/>
        <w:spacing w:after="0" w:line="244"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underwriting discounts, concessions, commissions or agency fees and other items constituting compensation to underwriters, dealers or agents;</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88" w:lineRule="exact"/>
        <w:rPr>
          <w:rFonts w:ascii="Arial" w:cs="Arial" w:eastAsia="Arial" w:hAnsi="Arial"/>
          <w:sz w:val="18"/>
          <w:szCs w:val="18"/>
          <w:color w:val="auto"/>
        </w:rPr>
      </w:pPr>
    </w:p>
    <w:p>
      <w:pPr>
        <w:ind w:left="960" w:hanging="32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88" w:lineRule="exact"/>
        <w:rPr>
          <w:rFonts w:ascii="Arial" w:cs="Arial" w:eastAsia="Arial" w:hAnsi="Arial"/>
          <w:sz w:val="18"/>
          <w:szCs w:val="18"/>
          <w:color w:val="auto"/>
        </w:rPr>
      </w:pPr>
    </w:p>
    <w:p>
      <w:pPr>
        <w:ind w:left="960" w:hanging="32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by underwriters or dealers to other dealers; or</w:t>
      </w:r>
    </w:p>
    <w:p>
      <w:pPr>
        <w:spacing w:after="0" w:line="88" w:lineRule="exact"/>
        <w:rPr>
          <w:rFonts w:ascii="Arial" w:cs="Arial" w:eastAsia="Arial" w:hAnsi="Arial"/>
          <w:sz w:val="18"/>
          <w:szCs w:val="18"/>
          <w:color w:val="auto"/>
        </w:rPr>
      </w:pPr>
    </w:p>
    <w:p>
      <w:pPr>
        <w:ind w:left="960" w:hanging="320"/>
        <w:spacing w:after="0"/>
        <w:tabs>
          <w:tab w:leader="none" w:pos="9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securities exchange or market on which the common stock offered in the prospectus supplement may be listed.</w:t>
      </w:r>
    </w:p>
    <w:p>
      <w:pPr>
        <w:spacing w:after="0" w:line="219"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If we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at the time an agreement for sale is reached. Unless we inform you otherwise in the applicable prospectus supplement, the obligations of the underwriters to purchase the securities will be subject to certain conditions. We may change from time to time any public offering price and any discounts or concessions the underwriters allow or pay to dealers.</w:t>
      </w:r>
    </w:p>
    <w:p>
      <w:pPr>
        <w:spacing w:after="0" w:line="161"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61" w:lineRule="exact"/>
        <w:rPr>
          <w:sz w:val="20"/>
          <w:szCs w:val="20"/>
          <w:color w:val="auto"/>
        </w:rPr>
      </w:pPr>
    </w:p>
    <w:p>
      <w:pPr>
        <w:ind w:right="220"/>
        <w:spacing w:after="0" w:line="231" w:lineRule="auto"/>
        <w:rPr>
          <w:sz w:val="20"/>
          <w:szCs w:val="20"/>
          <w:color w:val="auto"/>
        </w:rPr>
      </w:pPr>
      <w:r>
        <w:rPr>
          <w:rFonts w:ascii="Arial" w:cs="Arial" w:eastAsia="Arial" w:hAnsi="Arial"/>
          <w:sz w:val="17"/>
          <w:szCs w:val="17"/>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62" w:lineRule="exact"/>
        <w:rPr>
          <w:sz w:val="20"/>
          <w:szCs w:val="20"/>
          <w:color w:val="auto"/>
        </w:rPr>
      </w:pPr>
    </w:p>
    <w:p>
      <w:pPr>
        <w:jc w:val="both"/>
        <w:ind w:right="240"/>
        <w:spacing w:after="0" w:line="237" w:lineRule="auto"/>
        <w:rPr>
          <w:sz w:val="20"/>
          <w:szCs w:val="20"/>
          <w:color w:val="auto"/>
        </w:rPr>
      </w:pPr>
      <w:r>
        <w:rPr>
          <w:rFonts w:ascii="Arial" w:cs="Arial" w:eastAsia="Arial" w:hAnsi="Arial"/>
          <w:sz w:val="17"/>
          <w:szCs w:val="17"/>
          <w:color w:val="auto"/>
        </w:rPr>
        <w:t>If dealers are used for the sale of securities, we,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w:t>
      </w:r>
    </w:p>
    <w:p>
      <w:pPr>
        <w:spacing w:after="0" w:line="160" w:lineRule="exact"/>
        <w:rPr>
          <w:sz w:val="20"/>
          <w:szCs w:val="20"/>
          <w:color w:val="auto"/>
        </w:rPr>
      </w:pPr>
    </w:p>
    <w:p>
      <w:pPr>
        <w:ind w:right="80"/>
        <w:spacing w:after="0" w:line="218" w:lineRule="auto"/>
        <w:rPr>
          <w:sz w:val="20"/>
          <w:szCs w:val="20"/>
          <w:color w:val="auto"/>
        </w:rPr>
      </w:pPr>
      <w:r>
        <w:rPr>
          <w:rFonts w:ascii="Arial" w:cs="Arial" w:eastAsia="Arial" w:hAnsi="Arial"/>
          <w:sz w:val="18"/>
          <w:szCs w:val="18"/>
          <w:color w:val="auto"/>
        </w:rPr>
        <w:t>We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We may sell the securities directly in transactions not involving underwriters, dealers or agents.</w:t>
      </w:r>
    </w:p>
    <w:p>
      <w:pPr>
        <w:spacing w:after="0" w:line="183"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4" w:lineRule="exact"/>
        <w:rPr>
          <w:sz w:val="20"/>
          <w:szCs w:val="20"/>
          <w:color w:val="auto"/>
        </w:rPr>
      </w:pPr>
    </w:p>
    <w:p>
      <w:pPr>
        <w:ind w:right="100"/>
        <w:spacing w:after="0" w:line="213" w:lineRule="auto"/>
        <w:rPr>
          <w:sz w:val="20"/>
          <w:szCs w:val="20"/>
          <w:color w:val="auto"/>
        </w:rPr>
      </w:pPr>
      <w:r>
        <w:rPr>
          <w:rFonts w:ascii="Arial" w:cs="Arial" w:eastAsia="Arial" w:hAnsi="Arial"/>
          <w:sz w:val="18"/>
          <w:szCs w:val="18"/>
          <w:color w:val="auto"/>
        </w:rPr>
        <w:t>Underwriters, dealers and agents that participate in the distribution of the securities may be underwriters as defined in the applicable securities laws and any discounts or commissions they receive from us and any profit on their resale of the securities may be treated as underwriting discounts and commissions under the applicable securities laws.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applicable securities laws.</w:t>
      </w:r>
    </w:p>
    <w:p>
      <w:pPr>
        <w:spacing w:after="0" w:line="161" w:lineRule="exact"/>
        <w:rPr>
          <w:sz w:val="20"/>
          <w:szCs w:val="20"/>
          <w:color w:val="auto"/>
        </w:rPr>
      </w:pPr>
    </w:p>
    <w:p>
      <w:pPr>
        <w:ind w:right="600"/>
        <w:spacing w:after="0" w:line="234" w:lineRule="auto"/>
        <w:rPr>
          <w:sz w:val="20"/>
          <w:szCs w:val="20"/>
          <w:color w:val="auto"/>
        </w:rPr>
      </w:pPr>
      <w:r>
        <w:rPr>
          <w:rFonts w:ascii="Arial" w:cs="Arial" w:eastAsia="Arial" w:hAnsi="Arial"/>
          <w:sz w:val="18"/>
          <w:szCs w:val="18"/>
          <w:color w:val="auto"/>
        </w:rPr>
        <w:t>Underwriters, dealers and agents may engage in transactions with or perform services for us in the ordinary course of their businesses for which they may receive customary fees and reimbursement of expenses.</w:t>
      </w:r>
    </w:p>
    <w:p>
      <w:pPr>
        <w:spacing w:after="0" w:line="161" w:lineRule="exact"/>
        <w:rPr>
          <w:sz w:val="20"/>
          <w:szCs w:val="20"/>
          <w:color w:val="auto"/>
        </w:rPr>
      </w:pPr>
    </w:p>
    <w:p>
      <w:pPr>
        <w:ind w:right="480"/>
        <w:spacing w:after="0" w:line="234" w:lineRule="auto"/>
        <w:rPr>
          <w:sz w:val="20"/>
          <w:szCs w:val="20"/>
          <w:color w:val="auto"/>
        </w:rPr>
      </w:pPr>
      <w:r>
        <w:rPr>
          <w:rFonts w:ascii="Arial" w:cs="Arial" w:eastAsia="Arial" w:hAnsi="Arial"/>
          <w:sz w:val="18"/>
          <w:szCs w:val="18"/>
          <w:color w:val="auto"/>
        </w:rPr>
        <w:t>We may use underwriters with whom we have a material relationship. We will describe the nature of such relationship in the applicable prospectus supplement.</w:t>
      </w:r>
    </w:p>
    <w:p>
      <w:pPr>
        <w:spacing w:after="0" w:line="161" w:lineRule="exact"/>
        <w:rPr>
          <w:sz w:val="20"/>
          <w:szCs w:val="20"/>
          <w:color w:val="auto"/>
        </w:rPr>
      </w:pPr>
    </w:p>
    <w:p>
      <w:pPr>
        <w:ind w:right="660"/>
        <w:spacing w:after="0" w:line="234"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61"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We may enter into hedging transactions with broker-dealers and the broker-dealers may engage in short sales of the securities in the course of hedging the positions they assume with us, including, without limitation, in connection with distributions of the securities by those broker-dealers. We may enter into option or other transactions with broker-dealers that involve the delivery of the securities offered hereby to the broker-dealers, who may then resell or otherwise transfer those securities. We may also loan or pledge the securities offered hereby to a broker-dealer and the broker-dealer may sell the securities offered hereby so loaned or upon a default may sell or otherwise transfer the pledged securities offered hereby.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87"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The validity of the securities being offered hereby will be passed upon for us by DLA Piper LLP (US), Short Hills, New Jersey.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87" w:lineRule="exact"/>
        <w:rPr>
          <w:sz w:val="20"/>
          <w:szCs w:val="20"/>
          <w:color w:val="auto"/>
        </w:rPr>
      </w:pPr>
    </w:p>
    <w:p>
      <w:pPr>
        <w:ind w:right="120"/>
        <w:spacing w:after="0" w:line="247" w:lineRule="auto"/>
        <w:rPr>
          <w:rFonts w:ascii="Arial" w:cs="Arial" w:eastAsia="Arial" w:hAnsi="Arial"/>
          <w:sz w:val="16"/>
          <w:szCs w:val="16"/>
          <w:color w:val="auto"/>
        </w:rPr>
      </w:pPr>
      <w:r>
        <w:rPr>
          <w:rFonts w:ascii="Arial" w:cs="Arial" w:eastAsia="Arial" w:hAnsi="Arial"/>
          <w:sz w:val="16"/>
          <w:szCs w:val="16"/>
          <w:color w:val="auto"/>
        </w:rPr>
        <w:t xml:space="preserve">Ernst &amp; Young LLP, independent registered public accounting firm, has audited our consolidated financial statements included in our </w:t>
      </w:r>
      <w:hyperlink r:id="rId35">
        <w:r>
          <w:rPr>
            <w:rFonts w:ascii="Arial" w:cs="Arial" w:eastAsia="Arial" w:hAnsi="Arial"/>
            <w:sz w:val="16"/>
            <w:szCs w:val="16"/>
            <w:u w:val="single" w:color="auto"/>
            <w:color w:val="0000EE"/>
          </w:rPr>
          <w:t>Annual Report on Form 10-K for the year ended December 31, 2018,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7" w:lineRule="exact"/>
        <w:rPr>
          <w:sz w:val="20"/>
          <w:szCs w:val="20"/>
          <w:color w:val="auto"/>
        </w:rPr>
      </w:pPr>
    </w:p>
    <w:p>
      <w:pPr>
        <w:spacing w:after="0" w:line="215" w:lineRule="auto"/>
        <w:rPr>
          <w:sz w:val="20"/>
          <w:szCs w:val="20"/>
          <w:color w:val="auto"/>
        </w:rPr>
      </w:pPr>
      <w:r>
        <w:rPr>
          <w:rFonts w:ascii="Arial" w:cs="Arial" w:eastAsia="Arial" w:hAnsi="Arial"/>
          <w:sz w:val="18"/>
          <w:szCs w:val="18"/>
          <w:color w:val="auto"/>
        </w:rPr>
        <w:t>We file annual, quarterly and other reports, proxy and information statements and other information with the Securities and Exchange Commission. The SEC maintains a website that contains reports, proxy statements and other information regarding us. The address of the SEC website is www.sec.gov. We maintain a website at www.axsome.com. Information contained on our website is not incorporated into this prospectus and you should not consider information contained on our website to be part of this prospectus or any prospectus supplement.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87" w:lineRule="exact"/>
        <w:rPr>
          <w:sz w:val="20"/>
          <w:szCs w:val="20"/>
          <w:color w:val="auto"/>
        </w:rPr>
      </w:pPr>
    </w:p>
    <w:p>
      <w:pPr>
        <w:ind w:right="80"/>
        <w:spacing w:after="0" w:line="181" w:lineRule="exact"/>
        <w:rPr>
          <w:sz w:val="20"/>
          <w:szCs w:val="20"/>
          <w:color w:val="auto"/>
        </w:rPr>
      </w:pPr>
      <w:r>
        <w:rPr>
          <w:rFonts w:ascii="Arial" w:cs="Arial" w:eastAsia="Arial" w:hAnsi="Arial"/>
          <w:sz w:val="16"/>
          <w:szCs w:val="16"/>
          <w:color w:val="auto"/>
        </w:rPr>
        <w:t>The SEC allows us to “incorporate by reference” into this prospectus the information contained in documents that we file with them,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before the date of this prospectus, while information that we file later with the SEC will automatically update and supersede prior information. Any information so updated and superseded shall not be deemed, except as so updated and superseded, to constitute a part of this prospectus. We incorporate by reference the documents listed below and any future filings we will make with the SEC under Sections 13(a), 13(c), 14 or 15(d) of the Securities Exchange Act of 1934, as amended, prior to the termination of the offering. Notwithstanding the foregoing, unless specifically stated to the contrary, none of the information that is not deemed “filed” with the SEC, including information furnished under Items 2.02 or 7.01 of any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will be incorporated by reference into, or otherwise included in, this prospectus:</w:t>
      </w:r>
    </w:p>
    <w:p>
      <w:pPr>
        <w:spacing w:after="0" w:line="161" w:lineRule="exact"/>
        <w:rPr>
          <w:sz w:val="20"/>
          <w:szCs w:val="20"/>
          <w:color w:val="auto"/>
        </w:rPr>
      </w:pPr>
    </w:p>
    <w:p>
      <w:pPr>
        <w:ind w:left="960" w:right="400" w:hanging="320"/>
        <w:spacing w:after="0" w:line="234" w:lineRule="auto"/>
        <w:tabs>
          <w:tab w:leader="none" w:pos="960" w:val="left"/>
        </w:tabs>
        <w:numPr>
          <w:ilvl w:val="0"/>
          <w:numId w:val="39"/>
        </w:numPr>
        <w:rPr>
          <w:rFonts w:ascii="Arial" w:cs="Arial" w:eastAsia="Arial" w:hAnsi="Arial"/>
          <w:sz w:val="18"/>
          <w:szCs w:val="18"/>
          <w:u w:val="single" w:color="auto"/>
          <w:color w:val="0000EE"/>
        </w:rPr>
      </w:pPr>
      <w:hyperlink r:id="rId35">
        <w:r>
          <w:rPr>
            <w:rFonts w:ascii="Arial" w:cs="Arial" w:eastAsia="Arial" w:hAnsi="Arial"/>
            <w:sz w:val="18"/>
            <w:szCs w:val="18"/>
            <w:u w:val="single" w:color="auto"/>
            <w:color w:val="0000EE"/>
          </w:rPr>
          <w:t>our Annual Report on Form 10-K for the fiscal year ended December 31, 2018 filed with the SEC on March 15,</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2019;</w:t>
        </w:r>
      </w:hyperlink>
    </w:p>
    <w:p>
      <w:pPr>
        <w:spacing w:after="0" w:line="160" w:lineRule="exact"/>
        <w:rPr>
          <w:rFonts w:ascii="Arial" w:cs="Arial" w:eastAsia="Arial" w:hAnsi="Arial"/>
          <w:sz w:val="18"/>
          <w:szCs w:val="18"/>
          <w:u w:val="single" w:color="auto"/>
          <w:color w:val="0000EE"/>
        </w:rPr>
      </w:pPr>
    </w:p>
    <w:p>
      <w:pPr>
        <w:ind w:left="960" w:right="40" w:hanging="320"/>
        <w:spacing w:after="0" w:line="223" w:lineRule="auto"/>
        <w:tabs>
          <w:tab w:leader="none" w:pos="960" w:val="left"/>
        </w:tabs>
        <w:numPr>
          <w:ilvl w:val="0"/>
          <w:numId w:val="39"/>
        </w:numPr>
        <w:rPr>
          <w:rFonts w:ascii="Arial" w:cs="Arial" w:eastAsia="Arial" w:hAnsi="Arial"/>
          <w:sz w:val="18"/>
          <w:szCs w:val="18"/>
          <w:color w:val="0000EE"/>
        </w:rPr>
      </w:pPr>
      <w:hyperlink r:id="rId37">
        <w:r>
          <w:rPr>
            <w:rFonts w:ascii="Arial" w:cs="Arial" w:eastAsia="Arial" w:hAnsi="Arial"/>
            <w:sz w:val="18"/>
            <w:szCs w:val="18"/>
            <w:u w:val="single" w:color="auto"/>
            <w:color w:val="0000EE"/>
          </w:rPr>
          <w:t>the information contained in our definitive proxy statement on Schedule 14A for our 2019 annual meeting of</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stockholders filed with the SEC on April 26, 2019, to the extent incorporated by reference in Part III of the Form 10-</w:t>
        </w:r>
      </w:hyperlink>
      <w:hyperlink r:id="rId37">
        <w:r>
          <w:rPr>
            <w:rFonts w:ascii="Arial" w:cs="Arial" w:eastAsia="Arial" w:hAnsi="Arial"/>
            <w:sz w:val="18"/>
            <w:szCs w:val="18"/>
            <w:u w:val="single" w:color="auto"/>
            <w:color w:val="0000EE"/>
          </w:rPr>
          <w:t>K for the fiscal year ended December 31, 2018</w:t>
        </w:r>
        <w:r>
          <w:rPr>
            <w:rFonts w:ascii="Arial" w:cs="Arial" w:eastAsia="Arial" w:hAnsi="Arial"/>
            <w:sz w:val="18"/>
            <w:szCs w:val="18"/>
            <w:color w:val="000000"/>
          </w:rPr>
          <w:t>;</w:t>
        </w:r>
      </w:hyperlink>
    </w:p>
    <w:p>
      <w:pPr>
        <w:spacing w:after="0" w:line="162" w:lineRule="exact"/>
        <w:rPr>
          <w:rFonts w:ascii="Arial" w:cs="Arial" w:eastAsia="Arial" w:hAnsi="Arial"/>
          <w:sz w:val="18"/>
          <w:szCs w:val="18"/>
          <w:color w:val="0000EE"/>
        </w:rPr>
      </w:pPr>
    </w:p>
    <w:p>
      <w:pPr>
        <w:ind w:left="960" w:hanging="320"/>
        <w:spacing w:after="0"/>
        <w:tabs>
          <w:tab w:leader="none" w:pos="960" w:val="left"/>
        </w:tabs>
        <w:numPr>
          <w:ilvl w:val="0"/>
          <w:numId w:val="39"/>
        </w:numPr>
        <w:rPr>
          <w:rFonts w:ascii="Arial" w:cs="Arial" w:eastAsia="Arial" w:hAnsi="Arial"/>
          <w:sz w:val="17"/>
          <w:szCs w:val="17"/>
          <w:u w:val="single" w:color="auto"/>
          <w:color w:val="0000EE"/>
        </w:rPr>
      </w:pPr>
      <w:hyperlink r:id="rId38">
        <w:r>
          <w:rPr>
            <w:rFonts w:ascii="Arial" w:cs="Arial" w:eastAsia="Arial" w:hAnsi="Arial"/>
            <w:sz w:val="17"/>
            <w:szCs w:val="17"/>
            <w:u w:val="single" w:color="auto"/>
            <w:color w:val="0000EE"/>
          </w:rPr>
          <w:t>our Quarterly Report on Form 10-Q for the quarter ended March 31, 2019 filed with the SEC on May 9, 2019;</w:t>
        </w:r>
      </w:hyperlink>
    </w:p>
    <w:p>
      <w:pPr>
        <w:spacing w:after="0" w:line="194" w:lineRule="exact"/>
        <w:rPr>
          <w:rFonts w:ascii="Arial" w:cs="Arial" w:eastAsia="Arial" w:hAnsi="Arial"/>
          <w:sz w:val="17"/>
          <w:szCs w:val="17"/>
          <w:u w:val="single" w:color="auto"/>
          <w:color w:val="0000EE"/>
        </w:rPr>
      </w:pPr>
    </w:p>
    <w:p>
      <w:pPr>
        <w:ind w:left="960" w:hanging="320"/>
        <w:spacing w:after="0"/>
        <w:tabs>
          <w:tab w:leader="none" w:pos="960" w:val="left"/>
        </w:tabs>
        <w:numPr>
          <w:ilvl w:val="0"/>
          <w:numId w:val="39"/>
        </w:numPr>
        <w:rPr>
          <w:rFonts w:ascii="Arial" w:cs="Arial" w:eastAsia="Arial" w:hAnsi="Arial"/>
          <w:sz w:val="17"/>
          <w:szCs w:val="17"/>
          <w:u w:val="single" w:color="auto"/>
          <w:color w:val="0000EE"/>
        </w:rPr>
      </w:pPr>
      <w:hyperlink r:id="rId39">
        <w:r>
          <w:rPr>
            <w:rFonts w:ascii="Arial" w:cs="Arial" w:eastAsia="Arial" w:hAnsi="Arial"/>
            <w:sz w:val="17"/>
            <w:szCs w:val="17"/>
            <w:u w:val="single" w:color="auto"/>
            <w:color w:val="0000EE"/>
          </w:rPr>
          <w:t>our Quarterly Report on Form 10-Q for the quarter ended June 30, 2019 filed with the SEC on August 8, 2019;</w:t>
        </w:r>
      </w:hyperlink>
    </w:p>
    <w:p>
      <w:pPr>
        <w:spacing w:after="0" w:line="194" w:lineRule="exact"/>
        <w:rPr>
          <w:rFonts w:ascii="Arial" w:cs="Arial" w:eastAsia="Arial" w:hAnsi="Arial"/>
          <w:sz w:val="17"/>
          <w:szCs w:val="17"/>
          <w:u w:val="single" w:color="auto"/>
          <w:color w:val="0000EE"/>
        </w:rPr>
      </w:pPr>
    </w:p>
    <w:p>
      <w:pPr>
        <w:ind w:left="960" w:right="240" w:hanging="320"/>
        <w:spacing w:after="0" w:line="234" w:lineRule="auto"/>
        <w:tabs>
          <w:tab w:leader="none" w:pos="960" w:val="left"/>
        </w:tabs>
        <w:numPr>
          <w:ilvl w:val="0"/>
          <w:numId w:val="39"/>
        </w:numPr>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our Quarterly Report on Form 10-Q for the quarter ended September 30, 2019 filed with the SEC on November 7,</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2019;</w:t>
        </w:r>
      </w:hyperlink>
    </w:p>
    <w:p>
      <w:pPr>
        <w:spacing w:after="0" w:line="160" w:lineRule="exact"/>
        <w:rPr>
          <w:rFonts w:ascii="Arial" w:cs="Arial" w:eastAsia="Arial" w:hAnsi="Arial"/>
          <w:sz w:val="18"/>
          <w:szCs w:val="18"/>
          <w:u w:val="single" w:color="auto"/>
          <w:color w:val="0000EE"/>
        </w:rPr>
      </w:pPr>
    </w:p>
    <w:p>
      <w:pPr>
        <w:ind w:left="960" w:right="100" w:hanging="320"/>
        <w:spacing w:after="0" w:line="228" w:lineRule="auto"/>
        <w:tabs>
          <w:tab w:leader="none" w:pos="960" w:val="left"/>
        </w:tabs>
        <w:numPr>
          <w:ilvl w:val="0"/>
          <w:numId w:val="39"/>
        </w:numPr>
        <w:rPr>
          <w:rFonts w:ascii="Arial" w:cs="Arial" w:eastAsia="Arial" w:hAnsi="Arial"/>
          <w:sz w:val="17"/>
          <w:szCs w:val="17"/>
          <w:color w:val="0000EE"/>
        </w:rPr>
      </w:pPr>
      <w:hyperlink r:id="rId41">
        <w:r>
          <w:rPr>
            <w:rFonts w:ascii="Arial" w:cs="Arial" w:eastAsia="Arial" w:hAnsi="Arial"/>
            <w:sz w:val="17"/>
            <w:szCs w:val="17"/>
            <w:color w:val="auto"/>
          </w:rPr>
          <w:t xml:space="preserve">our Current Reports on Form 8-K filed with the SEC on </w:t>
        </w:r>
        <w:r>
          <w:rPr>
            <w:rFonts w:ascii="Arial" w:cs="Arial" w:eastAsia="Arial" w:hAnsi="Arial"/>
            <w:sz w:val="17"/>
            <w:szCs w:val="17"/>
            <w:u w:val="single" w:color="auto"/>
            <w:color w:val="0000EE"/>
          </w:rPr>
          <w:t>January 7, 2019 (two filings); January 8, 2019; January 30,</w:t>
        </w:r>
      </w:hyperlink>
      <w:r>
        <w:rPr>
          <w:rFonts w:ascii="Arial" w:cs="Arial" w:eastAsia="Arial" w:hAnsi="Arial"/>
          <w:sz w:val="17"/>
          <w:szCs w:val="17"/>
          <w:color w:val="auto"/>
        </w:rPr>
        <w:t xml:space="preserve"> </w:t>
      </w:r>
      <w:hyperlink r:id="rId42">
        <w:r>
          <w:rPr>
            <w:rFonts w:ascii="Arial" w:cs="Arial" w:eastAsia="Arial" w:hAnsi="Arial"/>
            <w:sz w:val="17"/>
            <w:szCs w:val="17"/>
            <w:u w:val="single" w:color="auto"/>
            <w:color w:val="0000EE"/>
          </w:rPr>
          <w:t>2019; February 6, 2019; March 4, 2019; March 6, 2019; March 14,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March 27,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April 15,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May 6,</w:t>
        </w:r>
      </w:hyperlink>
      <w:r>
        <w:rPr>
          <w:rFonts w:ascii="Arial" w:cs="Arial" w:eastAsia="Arial" w:hAnsi="Arial"/>
          <w:sz w:val="17"/>
          <w:szCs w:val="17"/>
          <w:color w:val="0000EE"/>
        </w:rPr>
        <w:t xml:space="preserve"> </w:t>
      </w:r>
      <w:hyperlink r:id="rId42">
        <w:r>
          <w:rPr>
            <w:rFonts w:ascii="Arial" w:cs="Arial" w:eastAsia="Arial" w:hAnsi="Arial"/>
            <w:sz w:val="17"/>
            <w:szCs w:val="17"/>
            <w:u w:val="single" w:color="auto"/>
            <w:color w:val="0000EE"/>
          </w:rPr>
          <w:t>2019</w:t>
        </w:r>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43">
        <w:r>
          <w:rPr>
            <w:rFonts w:ascii="Arial" w:cs="Arial" w:eastAsia="Arial" w:hAnsi="Arial"/>
            <w:sz w:val="17"/>
            <w:szCs w:val="17"/>
            <w:u w:val="single" w:color="auto"/>
            <w:color w:val="0000EE"/>
          </w:rPr>
          <w:t xml:space="preserve">May 9, 2019 </w:t>
        </w:r>
      </w:hyperlink>
      <w:hyperlink r:id="rId44">
        <w:r>
          <w:rPr>
            <w:rFonts w:ascii="Arial" w:cs="Arial" w:eastAsia="Arial" w:hAnsi="Arial"/>
            <w:sz w:val="17"/>
            <w:szCs w:val="17"/>
            <w:u w:val="single" w:color="auto"/>
            <w:color w:val="0000EE"/>
          </w:rPr>
          <w:t>(two filings)</w:t>
        </w:r>
      </w:hyperlink>
      <w:hyperlink r:id="rId42">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45">
        <w:r>
          <w:rPr>
            <w:rFonts w:ascii="Arial" w:cs="Arial" w:eastAsia="Arial" w:hAnsi="Arial"/>
            <w:sz w:val="17"/>
            <w:szCs w:val="17"/>
            <w:u w:val="single" w:color="auto"/>
            <w:color w:val="0000EE"/>
          </w:rPr>
          <w:t>June 7, 2019</w:t>
        </w:r>
      </w:hyperlink>
      <w:hyperlink r:id="rId42">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46">
        <w:r>
          <w:rPr>
            <w:rFonts w:ascii="Arial" w:cs="Arial" w:eastAsia="Arial" w:hAnsi="Arial"/>
            <w:sz w:val="17"/>
            <w:szCs w:val="17"/>
            <w:u w:val="single" w:color="auto"/>
            <w:color w:val="0000EE"/>
          </w:rPr>
          <w:t>June 24, 2019</w:t>
        </w:r>
      </w:hyperlink>
      <w:hyperlink r:id="rId42">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47">
        <w:r>
          <w:rPr>
            <w:rFonts w:ascii="Arial" w:cs="Arial" w:eastAsia="Arial" w:hAnsi="Arial"/>
            <w:sz w:val="17"/>
            <w:szCs w:val="17"/>
            <w:u w:val="single" w:color="auto"/>
            <w:color w:val="0000EE"/>
          </w:rPr>
          <w:t>July 11, 2019</w:t>
        </w:r>
      </w:hyperlink>
      <w:hyperlink r:id="rId42">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48">
        <w:r>
          <w:rPr>
            <w:rFonts w:ascii="Arial" w:cs="Arial" w:eastAsia="Arial" w:hAnsi="Arial"/>
            <w:sz w:val="17"/>
            <w:szCs w:val="17"/>
            <w:u w:val="single" w:color="auto"/>
            <w:color w:val="0000EE"/>
          </w:rPr>
          <w:t>July 29, 2019</w:t>
        </w:r>
      </w:hyperlink>
      <w:hyperlink r:id="rId42">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49">
        <w:r>
          <w:rPr>
            <w:rFonts w:ascii="Arial" w:cs="Arial" w:eastAsia="Arial" w:hAnsi="Arial"/>
            <w:sz w:val="17"/>
            <w:szCs w:val="17"/>
            <w:u w:val="single" w:color="auto"/>
            <w:color w:val="0000EE"/>
          </w:rPr>
          <w:t>August 8, 2019</w:t>
        </w:r>
      </w:hyperlink>
      <w:hyperlink r:id="rId42">
        <w:r>
          <w:rPr>
            <w:rFonts w:ascii="Arial" w:cs="Arial" w:eastAsia="Arial" w:hAnsi="Arial"/>
            <w:sz w:val="17"/>
            <w:szCs w:val="17"/>
            <w:color w:val="000000"/>
          </w:rPr>
          <w:t>;</w:t>
        </w:r>
      </w:hyperlink>
      <w:r>
        <w:rPr>
          <w:rFonts w:ascii="Arial" w:cs="Arial" w:eastAsia="Arial" w:hAnsi="Arial"/>
          <w:sz w:val="17"/>
          <w:szCs w:val="17"/>
          <w:color w:val="0000EE"/>
        </w:rPr>
        <w:t xml:space="preserve"> </w:t>
      </w:r>
      <w:hyperlink r:id="rId50">
        <w:r>
          <w:rPr>
            <w:rFonts w:ascii="Arial" w:cs="Arial" w:eastAsia="Arial" w:hAnsi="Arial"/>
            <w:sz w:val="17"/>
            <w:szCs w:val="17"/>
            <w:u w:val="single" w:color="auto"/>
            <w:color w:val="0000EE"/>
          </w:rPr>
          <w:t>August 20,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September 5,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October 2,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October 16,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October 21,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October 28,</w:t>
        </w:r>
      </w:hyperlink>
      <w:r>
        <w:rPr>
          <w:rFonts w:ascii="Arial" w:cs="Arial" w:eastAsia="Arial" w:hAnsi="Arial"/>
          <w:sz w:val="17"/>
          <w:szCs w:val="17"/>
          <w:color w:val="0000EE"/>
        </w:rPr>
        <w:t xml:space="preserve"> </w:t>
      </w:r>
      <w:hyperlink r:id="rId50">
        <w:r>
          <w:rPr>
            <w:rFonts w:ascii="Arial" w:cs="Arial" w:eastAsia="Arial" w:hAnsi="Arial"/>
            <w:sz w:val="17"/>
            <w:szCs w:val="17"/>
            <w:u w:val="single" w:color="auto"/>
            <w:color w:val="0000EE"/>
          </w:rPr>
          <w:t xml:space="preserve">2019 </w:t>
        </w:r>
      </w:hyperlink>
      <w:hyperlink r:id="rId51">
        <w:r>
          <w:rPr>
            <w:rFonts w:ascii="Arial" w:cs="Arial" w:eastAsia="Arial" w:hAnsi="Arial"/>
            <w:sz w:val="17"/>
            <w:szCs w:val="17"/>
            <w:u w:val="single" w:color="auto"/>
            <w:color w:val="0000EE"/>
          </w:rPr>
          <w:t>(two filings)</w:t>
        </w:r>
      </w:hyperlink>
      <w:hyperlink r:id="rId50">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52">
        <w:r>
          <w:rPr>
            <w:rFonts w:ascii="Arial" w:cs="Arial" w:eastAsia="Arial" w:hAnsi="Arial"/>
            <w:sz w:val="17"/>
            <w:szCs w:val="17"/>
            <w:u w:val="single" w:color="auto"/>
            <w:color w:val="0000EE"/>
          </w:rPr>
          <w:t xml:space="preserve">November 7, 2019 </w:t>
        </w:r>
      </w:hyperlink>
      <w:hyperlink r:id="rId53">
        <w:r>
          <w:rPr>
            <w:rFonts w:ascii="Arial" w:cs="Arial" w:eastAsia="Arial" w:hAnsi="Arial"/>
            <w:sz w:val="17"/>
            <w:szCs w:val="17"/>
            <w:u w:val="single" w:color="auto"/>
            <w:color w:val="0000EE"/>
          </w:rPr>
          <w:t xml:space="preserve">(two filings) </w:t>
        </w:r>
      </w:hyperlink>
      <w:hyperlink r:id="rId50">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54">
        <w:r>
          <w:rPr>
            <w:rFonts w:ascii="Arial" w:cs="Arial" w:eastAsia="Arial" w:hAnsi="Arial"/>
            <w:sz w:val="17"/>
            <w:szCs w:val="17"/>
            <w:u w:val="single" w:color="auto"/>
            <w:color w:val="0000EE"/>
          </w:rPr>
          <w:t>December 3, 2019</w:t>
        </w:r>
      </w:hyperlink>
      <w:hyperlink r:id="rId50">
        <w:r>
          <w:rPr>
            <w:rFonts w:ascii="Arial" w:cs="Arial" w:eastAsia="Arial" w:hAnsi="Arial"/>
            <w:sz w:val="17"/>
            <w:szCs w:val="17"/>
            <w:color w:val="000000"/>
          </w:rPr>
          <w:t>; and</w:t>
        </w:r>
      </w:hyperlink>
    </w:p>
    <w:p>
      <w:pPr>
        <w:spacing w:after="0" w:line="160" w:lineRule="exact"/>
        <w:rPr>
          <w:rFonts w:ascii="Arial" w:cs="Arial" w:eastAsia="Arial" w:hAnsi="Arial"/>
          <w:sz w:val="17"/>
          <w:szCs w:val="17"/>
          <w:color w:val="0000EE"/>
        </w:rPr>
      </w:pPr>
    </w:p>
    <w:p>
      <w:pPr>
        <w:ind w:left="960" w:right="80" w:hanging="320"/>
        <w:spacing w:after="0" w:line="223" w:lineRule="auto"/>
        <w:tabs>
          <w:tab w:leader="none" w:pos="960" w:val="left"/>
        </w:tabs>
        <w:numPr>
          <w:ilvl w:val="0"/>
          <w:numId w:val="39"/>
        </w:numPr>
        <w:rPr>
          <w:rFonts w:ascii="Arial" w:cs="Arial" w:eastAsia="Arial" w:hAnsi="Arial"/>
          <w:sz w:val="18"/>
          <w:szCs w:val="18"/>
          <w:color w:val="0000EE"/>
        </w:rPr>
      </w:pPr>
      <w:hyperlink r:id="rId57">
        <w:r>
          <w:rPr>
            <w:rFonts w:ascii="Arial" w:cs="Arial" w:eastAsia="Arial" w:hAnsi="Arial"/>
            <w:sz w:val="18"/>
            <w:szCs w:val="18"/>
            <w:color w:val="auto"/>
          </w:rPr>
          <w:t xml:space="preserve">the description of our common stock contained in our registration statement on </w:t>
        </w:r>
        <w:r>
          <w:rPr>
            <w:rFonts w:ascii="Arial" w:cs="Arial" w:eastAsia="Arial" w:hAnsi="Arial"/>
            <w:sz w:val="18"/>
            <w:szCs w:val="18"/>
            <w:u w:val="single" w:color="auto"/>
            <w:color w:val="0000EE"/>
          </w:rPr>
          <w:t>Form 8 A12B, filed with the SEC on</w:t>
        </w:r>
      </w:hyperlink>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0000EE"/>
          </w:rPr>
          <w:t>November 16, 2015 (File No. 001-37635)</w:t>
        </w:r>
        <w:r>
          <w:rPr>
            <w:rFonts w:ascii="Arial" w:cs="Arial" w:eastAsia="Arial" w:hAnsi="Arial"/>
            <w:sz w:val="18"/>
            <w:szCs w:val="18"/>
            <w:color w:val="000000"/>
          </w:rPr>
          <w:t>, and all amendments or reports filed for the purpose of updating such</w:t>
        </w:r>
      </w:hyperlink>
      <w:r>
        <w:rPr>
          <w:rFonts w:ascii="Arial" w:cs="Arial" w:eastAsia="Arial" w:hAnsi="Arial"/>
          <w:sz w:val="18"/>
          <w:szCs w:val="18"/>
          <w:color w:val="0000EE"/>
        </w:rPr>
        <w:t xml:space="preserve"> </w:t>
      </w:r>
      <w:r>
        <w:rPr>
          <w:rFonts w:ascii="Arial" w:cs="Arial" w:eastAsia="Arial" w:hAnsi="Arial"/>
          <w:sz w:val="18"/>
          <w:szCs w:val="18"/>
          <w:color w:val="000000"/>
        </w:rPr>
        <w:t>description.</w:t>
      </w:r>
    </w:p>
    <w:p>
      <w:pPr>
        <w:spacing w:after="0" w:line="162" w:lineRule="exact"/>
        <w:rPr>
          <w:rFonts w:ascii="Arial" w:cs="Arial" w:eastAsia="Arial" w:hAnsi="Arial"/>
          <w:sz w:val="18"/>
          <w:szCs w:val="18"/>
          <w:color w:val="auto"/>
        </w:rPr>
      </w:pPr>
    </w:p>
    <w:p>
      <w:pPr>
        <w:spacing w:after="0" w:line="181" w:lineRule="exact"/>
        <w:rPr>
          <w:sz w:val="20"/>
          <w:szCs w:val="20"/>
          <w:color w:val="auto"/>
        </w:rPr>
      </w:pPr>
      <w:r>
        <w:rPr>
          <w:rFonts w:ascii="Arial" w:cs="Arial" w:eastAsia="Arial" w:hAnsi="Arial"/>
          <w:sz w:val="17"/>
          <w:szCs w:val="17"/>
          <w:color w:val="auto"/>
        </w:rPr>
        <w:t>We make available, free of charge, through our website our Annual Reports on Form 10</w:t>
      </w:r>
      <w:r>
        <w:rPr>
          <w:rFonts w:ascii="MS PGothic" w:cs="MS PGothic" w:eastAsia="MS PGothic" w:hAnsi="MS PGothic"/>
          <w:sz w:val="17"/>
          <w:szCs w:val="17"/>
          <w:color w:val="auto"/>
        </w:rPr>
        <w:t>‑</w:t>
      </w:r>
      <w:r>
        <w:rPr>
          <w:rFonts w:ascii="Arial" w:cs="Arial" w:eastAsia="Arial" w:hAnsi="Arial"/>
          <w:sz w:val="17"/>
          <w:szCs w:val="17"/>
          <w:color w:val="auto"/>
        </w:rPr>
        <w:t>K, Quarterly Reports on Form 10</w:t>
      </w:r>
      <w:r>
        <w:rPr>
          <w:rFonts w:ascii="MS PGothic" w:cs="MS PGothic" w:eastAsia="MS PGothic" w:hAnsi="MS PGothic"/>
          <w:sz w:val="17"/>
          <w:szCs w:val="17"/>
          <w:color w:val="auto"/>
        </w:rPr>
        <w:t>‑</w:t>
      </w:r>
      <w:r>
        <w:rPr>
          <w:rFonts w:ascii="Arial" w:cs="Arial" w:eastAsia="Arial" w:hAnsi="Arial"/>
          <w:sz w:val="17"/>
          <w:szCs w:val="17"/>
          <w:color w:val="auto"/>
        </w:rPr>
        <w:t>Q, Current Reports on Form 8</w:t>
      </w:r>
      <w:r>
        <w:rPr>
          <w:rFonts w:ascii="MS PGothic" w:cs="MS PGothic" w:eastAsia="MS PGothic" w:hAnsi="MS PGothic"/>
          <w:sz w:val="17"/>
          <w:szCs w:val="17"/>
          <w:color w:val="auto"/>
        </w:rPr>
        <w:t>‑</w:t>
      </w:r>
      <w:r>
        <w:rPr>
          <w:rFonts w:ascii="Arial" w:cs="Arial" w:eastAsia="Arial" w:hAnsi="Arial"/>
          <w:sz w:val="17"/>
          <w:szCs w:val="17"/>
          <w:color w:val="auto"/>
        </w:rPr>
        <w:t>K and amendments to those reports filed or furnished pursuant to Section 13(a), 13(c), 14 or 15(d) of the Exchange Act as soon as reasonably practicable after we electronically file such material with, or furnish it to, the SEC. Except for the specific incorporated documents listed above, no information available on or through our website shall be deemed to be incorporated in this prospectus or the registration statement of which it forms a part. We will provide, upon written or oral request, to each person to whom a prospectus is delivered, including any beneficial owner, a copy of any or all of the information that has been incorporated by reference in the prospectus but not delivered with the prospectus (other than exhibits to these documents unless the exhibits are specifically incorporated by reference into these documents or referred to in this prospectus), free of charge, by writing or calling us at the following address and telephone number:</w:t>
      </w:r>
    </w:p>
    <w:p>
      <w:pPr>
        <w:spacing w:after="0" w:line="15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Axsome Therapeutics, Inc.</w:t>
      </w:r>
    </w:p>
    <w:p>
      <w:pPr>
        <w:ind w:left="4360" w:right="4160" w:hanging="191"/>
        <w:spacing w:after="0" w:line="266" w:lineRule="auto"/>
        <w:tabs>
          <w:tab w:leader="none" w:pos="4484" w:val="left"/>
        </w:tabs>
        <w:numPr>
          <w:ilvl w:val="0"/>
          <w:numId w:val="40"/>
        </w:numPr>
        <w:rPr>
          <w:rFonts w:ascii="Arial" w:cs="Arial" w:eastAsia="Arial" w:hAnsi="Arial"/>
          <w:sz w:val="16"/>
          <w:szCs w:val="16"/>
          <w:color w:val="auto"/>
        </w:rPr>
      </w:pPr>
      <w:r>
        <w:rPr>
          <w:rFonts w:ascii="Arial" w:cs="Arial" w:eastAsia="Arial" w:hAnsi="Arial"/>
          <w:sz w:val="16"/>
          <w:szCs w:val="16"/>
          <w:color w:val="auto"/>
        </w:rPr>
        <w:t>Broadway 3rd Floor</w:t>
      </w:r>
    </w:p>
    <w:p>
      <w:pPr>
        <w:spacing w:after="0" w:line="100" w:lineRule="exact"/>
        <w:rPr>
          <w:rFonts w:ascii="Arial" w:cs="Arial" w:eastAsia="Arial" w:hAnsi="Arial"/>
          <w:sz w:val="18"/>
          <w:szCs w:val="18"/>
          <w:color w:val="auto"/>
        </w:rPr>
      </w:pPr>
    </w:p>
    <w:p>
      <w:pPr>
        <w:ind w:left="4560" w:hanging="426"/>
        <w:spacing w:after="0" w:line="207" w:lineRule="exact"/>
        <w:tabs>
          <w:tab w:leader="none" w:pos="4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332</w:t>
      </w:r>
      <w:r>
        <w:rPr>
          <w:rFonts w:ascii="MS PGothic" w:cs="MS PGothic" w:eastAsia="MS PGothic" w:hAnsi="MS PGothic"/>
          <w:sz w:val="18"/>
          <w:szCs w:val="18"/>
          <w:color w:val="auto"/>
        </w:rPr>
        <w:t>‑</w:t>
      </w:r>
      <w:r>
        <w:rPr>
          <w:rFonts w:ascii="Arial" w:cs="Arial" w:eastAsia="Arial" w:hAnsi="Arial"/>
          <w:sz w:val="18"/>
          <w:szCs w:val="18"/>
          <w:color w:val="auto"/>
        </w:rPr>
        <w:t>3241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0" w:lineRule="exact"/>
        <w:rPr>
          <w:rFonts w:ascii="Arial" w:cs="Arial" w:eastAsia="Arial" w:hAnsi="Arial"/>
          <w:sz w:val="18"/>
          <w:szCs w:val="18"/>
          <w:color w:val="auto"/>
        </w:rPr>
      </w:pPr>
    </w:p>
    <w:p>
      <w:pPr>
        <w:ind w:left="4600"/>
        <w:spacing w:after="0"/>
        <w:rPr>
          <w:rFonts w:ascii="Arial" w:cs="Arial" w:eastAsia="Arial" w:hAnsi="Arial"/>
          <w:sz w:val="18"/>
          <w:szCs w:val="18"/>
          <w:color w:val="auto"/>
        </w:rPr>
      </w:pPr>
      <w:r>
        <w:rPr>
          <w:rFonts w:ascii="Arial" w:cs="Arial" w:eastAsia="Arial" w:hAnsi="Arial"/>
          <w:sz w:val="18"/>
          <w:szCs w:val="18"/>
          <w:color w:val="auto"/>
        </w:rPr>
        <w:t>23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596646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380"/>
          </w:cols>
          <w:pgMar w:left="1260" w:top="114" w:right="125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1764030</wp:posOffset>
            </wp:positionH>
            <wp:positionV relativeFrom="paragraph">
              <wp:posOffset>337185</wp:posOffset>
            </wp:positionV>
            <wp:extent cx="2432685" cy="7512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2432685" cy="75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Common Stock</w:t>
      </w:r>
    </w:p>
    <w:p>
      <w:pPr>
        <w:jc w:val="center"/>
        <w:ind w:right="-200"/>
        <w:spacing w:after="0" w:line="202" w:lineRule="auto"/>
        <w:rPr>
          <w:sz w:val="20"/>
          <w:szCs w:val="20"/>
          <w:color w:val="auto"/>
        </w:rPr>
      </w:pPr>
      <w:r>
        <w:rPr>
          <w:rFonts w:ascii="Arial" w:cs="Arial" w:eastAsia="Arial" w:hAnsi="Arial"/>
          <w:sz w:val="18"/>
          <w:szCs w:val="18"/>
          <w:b w:val="1"/>
          <w:bCs w:val="1"/>
          <w:color w:val="auto"/>
        </w:rPr>
        <w:t>Preferred Stock</w:t>
      </w:r>
    </w:p>
    <w:p>
      <w:pPr>
        <w:jc w:val="center"/>
        <w:ind w:right="-200"/>
        <w:spacing w:after="0" w:line="203" w:lineRule="auto"/>
        <w:rPr>
          <w:sz w:val="20"/>
          <w:szCs w:val="20"/>
          <w:color w:val="auto"/>
        </w:rPr>
      </w:pPr>
      <w:r>
        <w:rPr>
          <w:rFonts w:ascii="Arial" w:cs="Arial" w:eastAsia="Arial" w:hAnsi="Arial"/>
          <w:sz w:val="18"/>
          <w:szCs w:val="18"/>
          <w:b w:val="1"/>
          <w:bCs w:val="1"/>
          <w:color w:val="auto"/>
        </w:rPr>
        <w:t>Warrants</w:t>
      </w:r>
    </w:p>
    <w:p>
      <w:pPr>
        <w:jc w:val="center"/>
        <w:ind w:right="-200"/>
        <w:spacing w:after="0" w:line="202" w:lineRule="auto"/>
        <w:rPr>
          <w:sz w:val="20"/>
          <w:szCs w:val="20"/>
          <w:color w:val="auto"/>
        </w:rPr>
      </w:pPr>
      <w:r>
        <w:rPr>
          <w:rFonts w:ascii="Arial" w:cs="Arial" w:eastAsia="Arial" w:hAnsi="Arial"/>
          <w:sz w:val="18"/>
          <w:szCs w:val="18"/>
          <w:b w:val="1"/>
          <w:bCs w:val="1"/>
          <w:color w:val="auto"/>
        </w:rPr>
        <w:t>Debt Securities</w:t>
      </w:r>
    </w:p>
    <w:p>
      <w:pPr>
        <w:jc w:val="center"/>
        <w:ind w:right="-200"/>
        <w:spacing w:after="0" w:line="228" w:lineRule="auto"/>
        <w:rPr>
          <w:sz w:val="20"/>
          <w:szCs w:val="20"/>
          <w:color w:val="auto"/>
        </w:rPr>
      </w:pPr>
      <w:r>
        <w:rPr>
          <w:rFonts w:ascii="Arial" w:cs="Arial" w:eastAsia="Arial" w:hAnsi="Arial"/>
          <w:sz w:val="16"/>
          <w:szCs w:val="16"/>
          <w:b w:val="1"/>
          <w:bCs w:val="1"/>
          <w:color w:val="auto"/>
        </w:rPr>
        <w:t>Rights to Purchase Common Stock, Preferred Stock, Debt Securities or Units</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174625</wp:posOffset>
            </wp:positionV>
            <wp:extent cx="14935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187325</wp:posOffset>
            </wp:positionV>
            <wp:extent cx="14935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December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725170</wp:posOffset>
            </wp:positionV>
            <wp:extent cx="596646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199"/>
          </w:cols>
          <w:pgMar w:left="1260" w:top="114" w:right="1440"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1764030</wp:posOffset>
            </wp:positionH>
            <wp:positionV relativeFrom="paragraph">
              <wp:posOffset>138430</wp:posOffset>
            </wp:positionV>
            <wp:extent cx="2432685" cy="7512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2432685" cy="75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Axsome Therapeutics, Inc.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138430</wp:posOffset>
            </wp:positionV>
            <wp:extent cx="14935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67945</wp:posOffset>
            </wp:positionV>
            <wp:extent cx="14935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59664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373"/>
        </w:trPr>
        <w:tc>
          <w:tcPr>
            <w:tcW w:w="1760" w:type="dxa"/>
            <w:vAlign w:val="bottom"/>
          </w:tcPr>
          <w:p>
            <w:pPr>
              <w:ind w:left="120"/>
              <w:spacing w:after="0"/>
              <w:rPr>
                <w:sz w:val="20"/>
                <w:szCs w:val="20"/>
                <w:color w:val="auto"/>
              </w:rPr>
            </w:pPr>
            <w:r>
              <w:rPr>
                <w:rFonts w:ascii="Arial" w:cs="Arial" w:eastAsia="Arial" w:hAnsi="Arial"/>
                <w:sz w:val="29"/>
                <w:szCs w:val="29"/>
                <w:b w:val="1"/>
                <w:bCs w:val="1"/>
                <w:color w:val="auto"/>
                <w:w w:val="94"/>
              </w:rPr>
              <w:t>SVB Leerink</w:t>
            </w:r>
          </w:p>
        </w:tc>
        <w:tc>
          <w:tcPr>
            <w:tcW w:w="20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360" w:type="dxa"/>
            <w:vAlign w:val="bottom"/>
          </w:tcPr>
          <w:p>
            <w:pPr>
              <w:ind w:left="260"/>
              <w:spacing w:after="0"/>
              <w:rPr>
                <w:sz w:val="20"/>
                <w:szCs w:val="20"/>
                <w:color w:val="auto"/>
              </w:rPr>
            </w:pPr>
            <w:r>
              <w:rPr>
                <w:rFonts w:ascii="Arial" w:cs="Arial" w:eastAsia="Arial" w:hAnsi="Arial"/>
                <w:sz w:val="29"/>
                <w:szCs w:val="29"/>
                <w:b w:val="1"/>
                <w:bCs w:val="1"/>
                <w:color w:val="auto"/>
                <w:w w:val="96"/>
              </w:rPr>
              <w:t>Morgan Stanley</w:t>
            </w:r>
          </w:p>
        </w:tc>
      </w:tr>
      <w:tr>
        <w:trPr>
          <w:trHeight w:val="533"/>
        </w:trPr>
        <w:tc>
          <w:tcPr>
            <w:tcW w:w="1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60" w:type="dxa"/>
            <w:vAlign w:val="bottom"/>
          </w:tcPr>
          <w:p>
            <w:pPr>
              <w:jc w:val="center"/>
              <w:ind w:right="1336"/>
              <w:spacing w:after="0"/>
              <w:rPr>
                <w:sz w:val="20"/>
                <w:szCs w:val="20"/>
                <w:color w:val="auto"/>
              </w:rPr>
            </w:pPr>
            <w:r>
              <w:rPr>
                <w:rFonts w:ascii="Arial" w:cs="Arial" w:eastAsia="Arial" w:hAnsi="Arial"/>
                <w:sz w:val="18"/>
                <w:szCs w:val="18"/>
                <w:b w:val="1"/>
                <w:bCs w:val="1"/>
                <w:i w:val="1"/>
                <w:iCs w:val="1"/>
                <w:color w:val="auto"/>
                <w:w w:val="88"/>
              </w:rPr>
              <w:t>Co-Lead Managers</w:t>
            </w:r>
          </w:p>
        </w:tc>
        <w:tc>
          <w:tcPr>
            <w:tcW w:w="2360" w:type="dxa"/>
            <w:vAlign w:val="bottom"/>
          </w:tcPr>
          <w:p>
            <w:pPr>
              <w:spacing w:after="0"/>
              <w:rPr>
                <w:sz w:val="24"/>
                <w:szCs w:val="24"/>
                <w:color w:val="auto"/>
              </w:rPr>
            </w:pPr>
          </w:p>
        </w:tc>
      </w:tr>
      <w:tr>
        <w:trPr>
          <w:trHeight w:val="188"/>
        </w:trPr>
        <w:tc>
          <w:tcPr>
            <w:tcW w:w="17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r>
      <w:tr>
        <w:trPr>
          <w:trHeight w:val="195"/>
        </w:trPr>
        <w:tc>
          <w:tcPr>
            <w:tcW w:w="1760" w:type="dxa"/>
            <w:vAlign w:val="bottom"/>
          </w:tcPr>
          <w:p>
            <w:pPr>
              <w:ind w:left="380"/>
              <w:spacing w:after="0" w:line="195" w:lineRule="exact"/>
              <w:rPr>
                <w:sz w:val="20"/>
                <w:szCs w:val="20"/>
                <w:color w:val="auto"/>
              </w:rPr>
            </w:pPr>
            <w:r>
              <w:rPr>
                <w:rFonts w:ascii="Arial" w:cs="Arial" w:eastAsia="Arial" w:hAnsi="Arial"/>
                <w:sz w:val="22"/>
                <w:szCs w:val="22"/>
                <w:b w:val="1"/>
                <w:bCs w:val="1"/>
                <w:color w:val="auto"/>
              </w:rPr>
              <w:t>Cantor</w:t>
            </w:r>
          </w:p>
        </w:tc>
        <w:tc>
          <w:tcPr>
            <w:tcW w:w="2020" w:type="dxa"/>
            <w:vAlign w:val="bottom"/>
          </w:tcPr>
          <w:p>
            <w:pPr>
              <w:jc w:val="center"/>
              <w:ind w:left="346"/>
              <w:spacing w:after="0" w:line="195" w:lineRule="exact"/>
              <w:rPr>
                <w:sz w:val="20"/>
                <w:szCs w:val="20"/>
                <w:color w:val="auto"/>
              </w:rPr>
            </w:pPr>
            <w:r>
              <w:rPr>
                <w:rFonts w:ascii="Arial" w:cs="Arial" w:eastAsia="Arial" w:hAnsi="Arial"/>
                <w:sz w:val="22"/>
                <w:szCs w:val="22"/>
                <w:b w:val="1"/>
                <w:bCs w:val="1"/>
                <w:color w:val="auto"/>
              </w:rPr>
              <w:t>Ladenburg</w:t>
            </w:r>
          </w:p>
        </w:tc>
        <w:tc>
          <w:tcPr>
            <w:tcW w:w="3260" w:type="dxa"/>
            <w:vAlign w:val="bottom"/>
          </w:tcPr>
          <w:p>
            <w:pPr>
              <w:jc w:val="center"/>
              <w:ind w:left="556"/>
              <w:spacing w:after="0" w:line="195" w:lineRule="exact"/>
              <w:rPr>
                <w:sz w:val="20"/>
                <w:szCs w:val="20"/>
                <w:color w:val="auto"/>
              </w:rPr>
            </w:pPr>
            <w:r>
              <w:rPr>
                <w:rFonts w:ascii="Arial" w:cs="Arial" w:eastAsia="Arial" w:hAnsi="Arial"/>
                <w:sz w:val="22"/>
                <w:szCs w:val="22"/>
                <w:b w:val="1"/>
                <w:bCs w:val="1"/>
                <w:color w:val="auto"/>
              </w:rPr>
              <w:t>SunTrust Robinson</w:t>
            </w:r>
          </w:p>
        </w:tc>
        <w:tc>
          <w:tcPr>
            <w:tcW w:w="2360" w:type="dxa"/>
            <w:vAlign w:val="bottom"/>
          </w:tcPr>
          <w:p>
            <w:pPr>
              <w:ind w:left="440"/>
              <w:spacing w:after="0" w:line="195" w:lineRule="exact"/>
              <w:rPr>
                <w:sz w:val="20"/>
                <w:szCs w:val="20"/>
                <w:color w:val="auto"/>
              </w:rPr>
            </w:pPr>
            <w:r>
              <w:rPr>
                <w:rFonts w:ascii="Arial" w:cs="Arial" w:eastAsia="Arial" w:hAnsi="Arial"/>
                <w:sz w:val="22"/>
                <w:szCs w:val="22"/>
                <w:b w:val="1"/>
                <w:bCs w:val="1"/>
                <w:color w:val="auto"/>
              </w:rPr>
              <w:t>William Blair</w:t>
            </w:r>
          </w:p>
        </w:tc>
      </w:tr>
      <w:tr>
        <w:trPr>
          <w:trHeight w:val="326"/>
        </w:trPr>
        <w:tc>
          <w:tcPr>
            <w:tcW w:w="1760" w:type="dxa"/>
            <w:vAlign w:val="bottom"/>
          </w:tcPr>
          <w:p>
            <w:pPr>
              <w:spacing w:after="0"/>
              <w:rPr>
                <w:sz w:val="24"/>
                <w:szCs w:val="24"/>
                <w:color w:val="auto"/>
              </w:rPr>
            </w:pPr>
          </w:p>
        </w:tc>
        <w:tc>
          <w:tcPr>
            <w:tcW w:w="2020" w:type="dxa"/>
            <w:vAlign w:val="bottom"/>
          </w:tcPr>
          <w:p>
            <w:pPr>
              <w:jc w:val="center"/>
              <w:ind w:left="346"/>
              <w:spacing w:after="0"/>
              <w:rPr>
                <w:sz w:val="20"/>
                <w:szCs w:val="20"/>
                <w:color w:val="auto"/>
              </w:rPr>
            </w:pPr>
            <w:r>
              <w:rPr>
                <w:rFonts w:ascii="Arial" w:cs="Arial" w:eastAsia="Arial" w:hAnsi="Arial"/>
                <w:sz w:val="25"/>
                <w:szCs w:val="25"/>
                <w:b w:val="1"/>
                <w:bCs w:val="1"/>
                <w:color w:val="auto"/>
                <w:w w:val="94"/>
              </w:rPr>
              <w:t>Thalmann</w:t>
            </w:r>
          </w:p>
        </w:tc>
        <w:tc>
          <w:tcPr>
            <w:tcW w:w="3260" w:type="dxa"/>
            <w:vAlign w:val="bottom"/>
          </w:tcPr>
          <w:p>
            <w:pPr>
              <w:jc w:val="center"/>
              <w:ind w:left="556"/>
              <w:spacing w:after="0"/>
              <w:rPr>
                <w:sz w:val="20"/>
                <w:szCs w:val="20"/>
                <w:color w:val="auto"/>
              </w:rPr>
            </w:pPr>
            <w:r>
              <w:rPr>
                <w:rFonts w:ascii="Arial" w:cs="Arial" w:eastAsia="Arial" w:hAnsi="Arial"/>
                <w:sz w:val="25"/>
                <w:szCs w:val="25"/>
                <w:b w:val="1"/>
                <w:bCs w:val="1"/>
                <w:color w:val="auto"/>
                <w:w w:val="93"/>
              </w:rPr>
              <w:t>Humphrey</w:t>
            </w:r>
          </w:p>
        </w:tc>
        <w:tc>
          <w:tcPr>
            <w:tcW w:w="2360" w:type="dxa"/>
            <w:vAlign w:val="bottom"/>
          </w:tcPr>
          <w:p>
            <w:pPr>
              <w:spacing w:after="0"/>
              <w:rPr>
                <w:sz w:val="24"/>
                <w:szCs w:val="24"/>
                <w:color w:val="auto"/>
              </w:rPr>
            </w:pPr>
          </w:p>
        </w:tc>
      </w:tr>
      <w:tr>
        <w:trPr>
          <w:trHeight w:val="508"/>
        </w:trPr>
        <w:tc>
          <w:tcPr>
            <w:tcW w:w="1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60" w:type="dxa"/>
            <w:vAlign w:val="bottom"/>
          </w:tcPr>
          <w:p>
            <w:pPr>
              <w:jc w:val="center"/>
              <w:ind w:right="1336"/>
              <w:spacing w:after="0"/>
              <w:rPr>
                <w:sz w:val="20"/>
                <w:szCs w:val="20"/>
                <w:color w:val="auto"/>
              </w:rPr>
            </w:pPr>
            <w:r>
              <w:rPr>
                <w:rFonts w:ascii="Arial" w:cs="Arial" w:eastAsia="Arial" w:hAnsi="Arial"/>
                <w:sz w:val="18"/>
                <w:szCs w:val="18"/>
                <w:b w:val="1"/>
                <w:bCs w:val="1"/>
                <w:i w:val="1"/>
                <w:iCs w:val="1"/>
                <w:color w:val="auto"/>
                <w:w w:val="89"/>
              </w:rPr>
              <w:t>Co-Managers</w:t>
            </w:r>
          </w:p>
        </w:tc>
        <w:tc>
          <w:tcPr>
            <w:tcW w:w="2360" w:type="dxa"/>
            <w:vAlign w:val="bottom"/>
          </w:tcPr>
          <w:p>
            <w:pPr>
              <w:spacing w:after="0"/>
              <w:rPr>
                <w:sz w:val="24"/>
                <w:szCs w:val="24"/>
                <w:color w:val="auto"/>
              </w:rPr>
            </w:pPr>
          </w:p>
        </w:tc>
      </w:tr>
      <w:tr>
        <w:trPr>
          <w:trHeight w:val="161"/>
        </w:trPr>
        <w:tc>
          <w:tcPr>
            <w:tcW w:w="17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5620" w:type="dxa"/>
            <w:vAlign w:val="bottom"/>
            <w:tcBorders>
              <w:bottom w:val="single" w:sz="8" w:color="auto"/>
            </w:tcBorders>
            <w:gridSpan w:val="2"/>
          </w:tcPr>
          <w:p>
            <w:pPr>
              <w:spacing w:after="0"/>
              <w:rPr>
                <w:sz w:val="14"/>
                <w:szCs w:val="14"/>
                <w:color w:val="auto"/>
              </w:rPr>
            </w:pPr>
          </w:p>
        </w:tc>
      </w:tr>
      <w:tr>
        <w:trPr>
          <w:trHeight w:val="273"/>
        </w:trPr>
        <w:tc>
          <w:tcPr>
            <w:tcW w:w="1760" w:type="dxa"/>
            <w:vAlign w:val="bottom"/>
          </w:tcPr>
          <w:p>
            <w:pPr>
              <w:spacing w:after="0"/>
              <w:rPr>
                <w:sz w:val="23"/>
                <w:szCs w:val="23"/>
                <w:color w:val="auto"/>
              </w:rPr>
            </w:pPr>
          </w:p>
        </w:tc>
        <w:tc>
          <w:tcPr>
            <w:tcW w:w="2020" w:type="dxa"/>
            <w:vAlign w:val="bottom"/>
          </w:tcPr>
          <w:p>
            <w:pPr>
              <w:ind w:left="40"/>
              <w:spacing w:after="0"/>
              <w:rPr>
                <w:sz w:val="20"/>
                <w:szCs w:val="20"/>
                <w:color w:val="auto"/>
              </w:rPr>
            </w:pPr>
            <w:r>
              <w:rPr>
                <w:rFonts w:ascii="Arial" w:cs="Arial" w:eastAsia="Arial" w:hAnsi="Arial"/>
                <w:sz w:val="22"/>
                <w:szCs w:val="22"/>
                <w:b w:val="1"/>
                <w:bCs w:val="1"/>
                <w:color w:val="auto"/>
              </w:rPr>
              <w:t>BTIG, LLC</w:t>
            </w:r>
          </w:p>
        </w:tc>
        <w:tc>
          <w:tcPr>
            <w:tcW w:w="5620" w:type="dxa"/>
            <w:vAlign w:val="bottom"/>
            <w:gridSpan w:val="2"/>
          </w:tcPr>
          <w:p>
            <w:pPr>
              <w:ind w:left="2160"/>
              <w:spacing w:after="0"/>
              <w:rPr>
                <w:sz w:val="20"/>
                <w:szCs w:val="20"/>
                <w:color w:val="auto"/>
              </w:rPr>
            </w:pPr>
            <w:r>
              <w:rPr>
                <w:rFonts w:ascii="Arial" w:cs="Arial" w:eastAsia="Arial" w:hAnsi="Arial"/>
                <w:sz w:val="22"/>
                <w:szCs w:val="22"/>
                <w:b w:val="1"/>
                <w:bCs w:val="1"/>
                <w:color w:val="auto"/>
              </w:rPr>
              <w:t>H.C. Wainwright &amp; Co.</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944880</wp:posOffset>
            </wp:positionV>
            <wp:extent cx="59664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sectPr>
      <w:pgSz w:w="11900" w:h="16838" w:orient="portrait"/>
      <w:cols w:equalWidth="0" w:num="1">
        <w:col w:w="9400"/>
      </w:cols>
      <w:pgMar w:left="1260" w:top="114"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upperLetter"/>
      <w:start w:val="1"/>
    </w:lvl>
  </w:abstractNum>
  <w:abstractNum w:abstractNumId="7">
    <w:nsid w:val="8EDBDAB"/>
    <w:multiLevelType w:val="hybridMultilevel"/>
    <w:lvl w:ilvl="0">
      <w:lvlJc w:val="left"/>
      <w:lvlText w:val="%1."/>
      <w:numFmt w:val="upperLetter"/>
      <w:start w:val="3"/>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200"/>
    </w:lvl>
  </w:abstractNum>
  <w:abstractNum w:abstractNumId="10">
    <w:nsid w:val="B03E0C6"/>
    <w:multiLevelType w:val="hybridMultilevel"/>
    <w:lvl w:ilvl="0">
      <w:lvlJc w:val="left"/>
      <w:lvlText w:val="(%1)"/>
      <w:numFmt w:val="decimal"/>
      <w:start w:val="212"/>
    </w:lvl>
  </w:abstractNum>
  <w:abstractNum w:abstractNumId="11">
    <w:nsid w:val="189A769B"/>
    <w:multiLevelType w:val="hybridMultilevel"/>
    <w:lvl w:ilvl="0">
      <w:lvlJc w:val="left"/>
      <w:lvlText w:val="(%1)"/>
      <w:numFmt w:val="decimal"/>
      <w:start w:val="212"/>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200"/>
    </w:lvl>
  </w:abstractNum>
  <w:abstractNum w:abstractNumId="40">
    <w:nsid w:val="153EA438"/>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6" Type="http://schemas.openxmlformats.org/officeDocument/2006/relationships/image" Target="media/image28.png"/><Relationship Id="rId58" Type="http://schemas.openxmlformats.org/officeDocument/2006/relationships/image" Target="media/image29.png"/><Relationship Id="rId59" Type="http://schemas.openxmlformats.org/officeDocument/2006/relationships/image" Target="media/image30.jpeg"/><Relationship Id="rId60" Type="http://schemas.openxmlformats.org/officeDocument/2006/relationships/image" Target="media/image31.png"/><Relationship Id="rId61" Type="http://schemas.openxmlformats.org/officeDocument/2006/relationships/image" Target="media/image32.png"/><Relationship Id="rId62" Type="http://schemas.openxmlformats.org/officeDocument/2006/relationships/image" Target="media/image33.png"/><Relationship Id="rId63" Type="http://schemas.openxmlformats.org/officeDocument/2006/relationships/image" Target="media/image34.png"/><Relationship Id="rId64" Type="http://schemas.openxmlformats.org/officeDocument/2006/relationships/image" Target="media/image35.jpeg"/><Relationship Id="rId65" Type="http://schemas.openxmlformats.org/officeDocument/2006/relationships/image" Target="media/image36.jpeg"/><Relationship Id="rId66" Type="http://schemas.openxmlformats.org/officeDocument/2006/relationships/image" Target="media/image37.png"/><Relationship Id="rId67" Type="http://schemas.openxmlformats.org/officeDocument/2006/relationships/image" Target="media/image38.png"/><Relationship Id="rId68" Type="http://schemas.openxmlformats.org/officeDocument/2006/relationships/image" Target="media/image39.png"/><Relationship Id="rId69" Type="http://schemas.openxmlformats.org/officeDocument/2006/relationships/image" Target="media/image40.png"/><Relationship Id="rId70" Type="http://schemas.openxmlformats.org/officeDocument/2006/relationships/image" Target="media/image41.png"/><Relationship Id="rId71" Type="http://schemas.openxmlformats.org/officeDocument/2006/relationships/image" Target="media/image42.png"/><Relationship Id="rId72" Type="http://schemas.openxmlformats.org/officeDocument/2006/relationships/image" Target="media/image43.png"/><Relationship Id="rId73" Type="http://schemas.openxmlformats.org/officeDocument/2006/relationships/image" Target="media/image44.png"/><Relationship Id="rId74" Type="http://schemas.openxmlformats.org/officeDocument/2006/relationships/image" Target="media/image45.png"/><Relationship Id="rId75" Type="http://schemas.openxmlformats.org/officeDocument/2006/relationships/image" Target="media/image46.png"/><Relationship Id="rId76" Type="http://schemas.openxmlformats.org/officeDocument/2006/relationships/image" Target="media/image47.png"/><Relationship Id="rId77" Type="http://schemas.openxmlformats.org/officeDocument/2006/relationships/image" Target="media/image48.png"/><Relationship Id="rId78" Type="http://schemas.openxmlformats.org/officeDocument/2006/relationships/image" Target="media/image49.png"/><Relationship Id="rId79" Type="http://schemas.openxmlformats.org/officeDocument/2006/relationships/image" Target="media/image50.png"/><Relationship Id="rId80" Type="http://schemas.openxmlformats.org/officeDocument/2006/relationships/image" Target="media/image51.png"/><Relationship Id="rId81" Type="http://schemas.openxmlformats.org/officeDocument/2006/relationships/image" Target="media/image52.png"/><Relationship Id="rId82"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jpe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jpe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35" Type="http://schemas.openxmlformats.org/officeDocument/2006/relationships/hyperlink" Target="http://www.sec.gov/Archives/edgar/data/1579428/000155837019002068/axsm-20181231x10k.htm" TargetMode="External"/><Relationship Id="rId37" Type="http://schemas.openxmlformats.org/officeDocument/2006/relationships/hyperlink" Target="http://www.sec.gov/Archives/edgar/data/1579428/000155837019003404/axsm-20190607xdef14a.htm" TargetMode="External"/><Relationship Id="rId38" Type="http://schemas.openxmlformats.org/officeDocument/2006/relationships/hyperlink" Target="http://www.sec.gov/Archives/edgar/data/1579428/000155837019004564/axsm-20190331x10q.htm" TargetMode="External"/><Relationship Id="rId39" Type="http://schemas.openxmlformats.org/officeDocument/2006/relationships/hyperlink" Target="http://www.sec.gov/Archives/edgar/data/1579428/000155837019007735/axsm-20190630x10q.htm" TargetMode="External"/><Relationship Id="rId40" Type="http://schemas.openxmlformats.org/officeDocument/2006/relationships/hyperlink" Target="http://www.sec.gov/Archives/edgar/data/1579428/000155837019010432/axsm-20190930x10q.htm" TargetMode="External"/><Relationship Id="rId41" Type="http://schemas.openxmlformats.org/officeDocument/2006/relationships/hyperlink" Target="http://www.sec.gov/Archives/edgar/data/1579428/000155837019000275/f8-k.htm" TargetMode="External"/><Relationship Id="rId42" Type="http://schemas.openxmlformats.org/officeDocument/2006/relationships/hyperlink" Target="http://www.sec.gov/Archives/edgar/data/1579428/000110465919026957/a19-9423_18k.htm" TargetMode="External"/><Relationship Id="rId43" Type="http://schemas.openxmlformats.org/officeDocument/2006/relationships/hyperlink" Target="http://www.sec.gov/Archives/edgar/data/1579428/000110465919027994/a19-9691_18k.htm" TargetMode="External"/><Relationship Id="rId44" Type="http://schemas.openxmlformats.org/officeDocument/2006/relationships/hyperlink" Target="http://www.sec.gov/Archives/edgar/data/1579428/000110465919028008/a19-9691_28k.htm" TargetMode="External"/><Relationship Id="rId45" Type="http://schemas.openxmlformats.org/officeDocument/2006/relationships/hyperlink" Target="http://www.sec.gov/Archives/edgar/data/1579428/000110465919034566/a19-11255_18k.htm" TargetMode="External"/><Relationship Id="rId46" Type="http://schemas.openxmlformats.org/officeDocument/2006/relationships/hyperlink" Target="http://www.sec.gov/Archives/edgar/data/1579428/000155837019005849/f8-k.htm" TargetMode="External"/><Relationship Id="rId47" Type="http://schemas.openxmlformats.org/officeDocument/2006/relationships/hyperlink" Target="http://www.sec.gov/Archives/edgar/data/1579428/000155837019006066/f8-k.htm" TargetMode="External"/><Relationship Id="rId48" Type="http://schemas.openxmlformats.org/officeDocument/2006/relationships/hyperlink" Target="http://www.sec.gov/Archives/edgar/data/1579428/000110465919042162/a19-16243_18k.htm" TargetMode="External"/><Relationship Id="rId49" Type="http://schemas.openxmlformats.org/officeDocument/2006/relationships/hyperlink" Target="http://www.sec.gov/Archives/edgar/data/1579428/000155837019007585/f8-k.htm" TargetMode="External"/><Relationship Id="rId50" Type="http://schemas.openxmlformats.org/officeDocument/2006/relationships/hyperlink" Target="http://www.sec.gov/Archives/edgar/data/1579428/000155837019009181/f8-k.htm" TargetMode="External"/><Relationship Id="rId51" Type="http://schemas.openxmlformats.org/officeDocument/2006/relationships/hyperlink" Target="http://www.sec.gov/Archives/edgar/data/1579428/000155837019009183/f8-k.htm" TargetMode="External"/><Relationship Id="rId52" Type="http://schemas.openxmlformats.org/officeDocument/2006/relationships/hyperlink" Target="http://www.sec.gov/Archives/edgar/data/1579428/000155837019010279/f8-k.htm" TargetMode="External"/><Relationship Id="rId53" Type="http://schemas.openxmlformats.org/officeDocument/2006/relationships/hyperlink" Target="http://www.sec.gov/Archives/edgar/data/1579428/000155837019010421/f8-k.htm" TargetMode="External"/><Relationship Id="rId54" Type="http://schemas.openxmlformats.org/officeDocument/2006/relationships/hyperlink" Target="http://www.sec.gov/Archives/edgar/data/1579428/000110465919069244/tm1924374-1_8k.htm" TargetMode="External"/><Relationship Id="rId55" Type="http://schemas.openxmlformats.org/officeDocument/2006/relationships/hyperlink" Target="http://www.sec.gov/Archives/edgar/data/1579428/000155837019011372/f8-k.htm" TargetMode="External"/><Relationship Id="rId56" Type="http://schemas.openxmlformats.org/officeDocument/2006/relationships/hyperlink" Target="http://www.sec.gov/Archives/edgar/data/1579428/000155837019011521/f8-k.htm" TargetMode="External"/><Relationship Id="rId57" Type="http://schemas.openxmlformats.org/officeDocument/2006/relationships/hyperlink" Target="http://www.sec.gov/Archives/edgar/data/1579428/000110465915079272/a15-17626_6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2019-12-20T05:08:20Z</dcterms:created>
  <dcterms:modified xsi:type="dcterms:W3CDTF">2019-12-20T05:08:20Z</dcterms:modified>
</cp:coreProperties>
</file>