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Coleman Mark</w:t>
              </w:r>
            </w:hyperlink>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Axsome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AXSM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X</w:t>
            </w: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8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AXSOME THERAPEUTICS, INC.</w:t>
            </w: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05/13/2019</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9"/>
              </w:rPr>
              <w:t>200 BROADWAY, 3RD FLOOR</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7"/>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10038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2"/>
          </w:tcPr>
          <w:p>
            <w:pPr>
              <w:ind w:left="20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20" w:type="dxa"/>
            <w:vAlign w:val="bottom"/>
            <w:tcBorders>
              <w:bottom w:val="single" w:sz="8" w:color="2C2C2C"/>
            </w:tcBorders>
            <w:gridSpan w:val="5"/>
          </w:tcPr>
          <w:p>
            <w:pPr>
              <w:spacing w:after="0"/>
              <w:rPr>
                <w:sz w:val="11"/>
                <w:szCs w:val="11"/>
                <w:color w:val="auto"/>
              </w:rPr>
            </w:pPr>
          </w:p>
        </w:tc>
        <w:tc>
          <w:tcPr>
            <w:tcW w:w="15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gridSpan w:val="5"/>
          </w:tcPr>
          <w:p>
            <w:pPr>
              <w:ind w:left="720"/>
              <w:spacing w:after="0"/>
              <w:rPr>
                <w:sz w:val="20"/>
                <w:szCs w:val="20"/>
                <w:color w:val="auto"/>
              </w:rPr>
            </w:pPr>
            <w:r>
              <w:rPr>
                <w:rFonts w:ascii="Arial" w:cs="Arial" w:eastAsia="Arial" w:hAnsi="Arial"/>
                <w:sz w:val="18"/>
                <w:szCs w:val="18"/>
                <w:color w:val="0000FF"/>
              </w:rPr>
              <w:t>05/13/2019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4"/>
                <w:szCs w:val="14"/>
                <w:color w:val="0000FF"/>
                <w:w w:val="85"/>
              </w:rPr>
              <w:t>P</w:t>
            </w: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4,650</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40" w:type="dxa"/>
            <w:vAlign w:val="bottom"/>
            <w:tcBorders>
              <w:bottom w:val="single" w:sz="8" w:color="2C2C2C"/>
            </w:tcBorders>
            <w:gridSpan w:val="4"/>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21.44</w:t>
            </w:r>
            <w:r>
              <w:rPr>
                <w:rFonts w:ascii="Arial" w:cs="Arial" w:eastAsia="Arial" w:hAnsi="Arial"/>
                <w:sz w:val="22"/>
                <w:szCs w:val="22"/>
                <w:color w:val="008000"/>
                <w:w w:val="93"/>
                <w:vertAlign w:val="superscript"/>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99"/>
              <w:spacing w:after="0"/>
              <w:rPr>
                <w:sz w:val="20"/>
                <w:szCs w:val="20"/>
                <w:color w:val="auto"/>
              </w:rPr>
            </w:pPr>
            <w:r>
              <w:rPr>
                <w:rFonts w:ascii="Arial" w:cs="Arial" w:eastAsia="Arial" w:hAnsi="Arial"/>
                <w:sz w:val="18"/>
                <w:szCs w:val="18"/>
                <w:color w:val="0000FF"/>
              </w:rPr>
              <w:t>652,648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gridSpan w:val="2"/>
            <w:vMerge w:val="restart"/>
          </w:tcPr>
          <w:p>
            <w:pPr>
              <w:jc w:val="center"/>
              <w:ind w:right="299"/>
              <w:spacing w:after="0"/>
              <w:rPr>
                <w:sz w:val="20"/>
                <w:szCs w:val="20"/>
                <w:color w:val="auto"/>
              </w:rPr>
            </w:pPr>
            <w:r>
              <w:rPr>
                <w:rFonts w:ascii="Arial" w:cs="Arial" w:eastAsia="Arial" w:hAnsi="Arial"/>
                <w:sz w:val="18"/>
                <w:szCs w:val="18"/>
                <w:color w:val="0000FF"/>
              </w:rPr>
              <w:t>5,100</w:t>
            </w:r>
            <w:r>
              <w:rPr>
                <w:rFonts w:ascii="Arial" w:cs="Arial" w:eastAsia="Arial" w:hAnsi="Arial"/>
                <w:sz w:val="22"/>
                <w:szCs w:val="22"/>
                <w:color w:val="008000"/>
                <w:vertAlign w:val="superscript"/>
              </w:rPr>
              <w:t>(2)</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8"/>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60" w:type="dxa"/>
            <w:vAlign w:val="bottom"/>
            <w:gridSpan w:val="16"/>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an average price. These shares were purchased by the reporting person in multiple transactions at prices ranging from $21.42 to $21.49, inclusive. The reporting person undertakes to provide to Axsome Therapeutics, Inc., the staff of the Securities and Exchange Commission, and others pursuant to applicable securities laws, upon request, full information regarding the number of shares sold at each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additional shares held indirectly by the reporting person prior to May 13, 2019. See Footnote 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Such shares were purchased by an entity, of which the reporting person has voting and dispositive power, and therefore, the reporting person is deemed to be the indirect beneficial owner of such shares.</w:t>
      </w:r>
    </w:p>
    <w:p>
      <w:pPr>
        <w:spacing w:after="0" w:line="71"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0000FF"/>
                <w:w w:val="89"/>
              </w:rPr>
              <w:t>/s/ Mark Coleman</w:t>
            </w:r>
          </w:p>
        </w:tc>
        <w:tc>
          <w:tcPr>
            <w:tcW w:w="8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05/15/2019</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8379"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2019-12-23T22:32:18Z</dcterms:created>
  <dcterms:modified xsi:type="dcterms:W3CDTF">2019-12-23T22:32:18Z</dcterms:modified>
</cp:coreProperties>
</file>