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22"/>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One World Trade Center, 29th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On December 31, 2025, Axsome Therapeutics, Inc. (the “Company”) issued a press release announcing the U.S. Food and Drug Administration’s acceptance and grant of Priority Review for its supplemental New Drug Application for the treatment of Alzheimer’s Disease Agitation.</w:t>
      </w:r>
    </w:p>
    <w:p>
      <w:pPr>
        <w:spacing w:after="0" w:line="121"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Also on December 31, 2025, the Company issued a press release announcing that it had received formal pre-New Drug Application (“NDA”) meeting minutes from the FDA for its planned NDA submission for AXS-12 in narcolepsy.</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each respective press release is filed as Exhibit 99.1 &amp; Exhibit 99.2 hereto, and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29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Press Release dated December 31, 2025.</w:t>
            </w:r>
          </w:p>
        </w:tc>
        <w:tc>
          <w:tcPr>
            <w:tcW w:w="20" w:type="dxa"/>
            <w:vAlign w:val="bottom"/>
            <w:tcBorders>
              <w:bottom w:val="single" w:sz="8" w:color="0000EE"/>
            </w:tcBorders>
          </w:tcPr>
          <w:p>
            <w:pPr>
              <w:spacing w:after="0"/>
              <w:rPr>
                <w:sz w:val="18"/>
                <w:szCs w:val="18"/>
                <w:color w:val="auto"/>
              </w:rPr>
            </w:pPr>
          </w:p>
        </w:tc>
        <w:tc>
          <w:tcPr>
            <w:tcW w:w="7040" w:type="dxa"/>
            <w:vAlign w:val="bottom"/>
          </w:tcPr>
          <w:p>
            <w:pPr>
              <w:spacing w:after="0"/>
              <w:rPr>
                <w:sz w:val="18"/>
                <w:szCs w:val="18"/>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7"/>
                <w:szCs w:val="17"/>
                <w:color w:val="auto"/>
              </w:rPr>
            </w:pPr>
          </w:p>
        </w:tc>
        <w:tc>
          <w:tcPr>
            <w:tcW w:w="2940" w:type="dxa"/>
            <w:vAlign w:val="bottom"/>
            <w:tcBorders>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December 31, 2025.</w:t>
            </w:r>
          </w:p>
        </w:tc>
        <w:tc>
          <w:tcPr>
            <w:tcW w:w="20" w:type="dxa"/>
            <w:vAlign w:val="bottom"/>
            <w:tcBorders>
              <w:bottom w:val="single" w:sz="8" w:color="0000EE"/>
            </w:tcBorders>
          </w:tcPr>
          <w:p>
            <w:pPr>
              <w:spacing w:after="0"/>
              <w:rPr>
                <w:sz w:val="17"/>
                <w:szCs w:val="17"/>
                <w:color w:val="auto"/>
              </w:rPr>
            </w:pPr>
          </w:p>
        </w:tc>
        <w:tc>
          <w:tcPr>
            <w:tcW w:w="7040" w:type="dxa"/>
            <w:vAlign w:val="bottom"/>
          </w:tcPr>
          <w:p>
            <w:pPr>
              <w:spacing w:after="0"/>
              <w:rPr>
                <w:sz w:val="17"/>
                <w:szCs w:val="17"/>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8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31, 2025</w:t>
            </w:r>
          </w:p>
        </w:tc>
        <w:tc>
          <w:tcPr>
            <w:tcW w:w="26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3820" w:type="dxa"/>
            <w:vAlign w:val="bottom"/>
          </w:tcPr>
          <w:p>
            <w:pPr>
              <w:spacing w:after="0"/>
              <w:rPr>
                <w:sz w:val="16"/>
                <w:szCs w:val="16"/>
                <w:color w:val="auto"/>
              </w:rPr>
            </w:pPr>
          </w:p>
        </w:tc>
        <w:tc>
          <w:tcPr>
            <w:tcW w:w="2600" w:type="dxa"/>
            <w:vAlign w:val="bottom"/>
          </w:tcPr>
          <w:p>
            <w:pPr>
              <w:ind w:left="18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820" w:type="dxa"/>
            <w:vAlign w:val="bottom"/>
          </w:tcPr>
          <w:p>
            <w:pPr>
              <w:spacing w:after="0"/>
              <w:rPr>
                <w:sz w:val="21"/>
                <w:szCs w:val="21"/>
                <w:color w:val="auto"/>
              </w:rPr>
            </w:pPr>
          </w:p>
        </w:tc>
        <w:tc>
          <w:tcPr>
            <w:tcW w:w="26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41"/>
        </w:trPr>
        <w:tc>
          <w:tcPr>
            <w:tcW w:w="38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48360"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48360" cy="4800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90" w:lineRule="exact"/>
        <w:rPr>
          <w:sz w:val="20"/>
          <w:szCs w:val="20"/>
          <w:color w:val="auto"/>
        </w:rPr>
      </w:pPr>
    </w:p>
    <w:p>
      <w:pPr>
        <w:jc w:val="center"/>
        <w:spacing w:after="0" w:line="446" w:lineRule="auto"/>
        <w:rPr>
          <w:sz w:val="20"/>
          <w:szCs w:val="20"/>
          <w:color w:val="auto"/>
        </w:rPr>
      </w:pPr>
      <w:r>
        <w:rPr>
          <w:rFonts w:ascii="Arial" w:cs="Arial" w:eastAsia="Arial" w:hAnsi="Arial"/>
          <w:sz w:val="18"/>
          <w:szCs w:val="18"/>
          <w:b w:val="1"/>
          <w:bCs w:val="1"/>
          <w:color w:val="auto"/>
        </w:rPr>
        <w:t xml:space="preserve">Axsome Therapeutics Announces FDA Pre-NDA Meeting Minutes for AXS-12 in Narcolepsy Supporting NDA Submission </w:t>
      </w:r>
      <w:r>
        <w:rPr>
          <w:rFonts w:ascii="Arial" w:cs="Arial" w:eastAsia="Arial" w:hAnsi="Arial"/>
          <w:sz w:val="18"/>
          <w:szCs w:val="18"/>
          <w:i w:val="1"/>
          <w:iCs w:val="1"/>
          <w:color w:val="auto"/>
        </w:rPr>
        <w:t>New Drug Application (NDA) submission on track for January 2026</w:t>
      </w:r>
    </w:p>
    <w:p>
      <w:pPr>
        <w:jc w:val="both"/>
        <w:spacing w:after="0" w:line="242" w:lineRule="auto"/>
        <w:rPr>
          <w:sz w:val="20"/>
          <w:szCs w:val="20"/>
          <w:color w:val="auto"/>
        </w:rPr>
      </w:pPr>
      <w:r>
        <w:rPr>
          <w:rFonts w:ascii="Arial" w:cs="Arial" w:eastAsia="Arial" w:hAnsi="Arial"/>
          <w:sz w:val="18"/>
          <w:szCs w:val="18"/>
          <w:color w:val="auto"/>
        </w:rPr>
        <w:t>NEW YORK, December 31, 2025 (Globe Newswire) – Axsome Therapeutics, Inc. (NASDAQ: AXSM), a biopharmaceutical company leading a new era in the treatment of central nervous system (CNS) disorders, today announced that it has received formal pre-New Drug Application (NDA) meeting minutes from the U.S. Food and Drug Administration (FDA) supporting an NDA submission for AXS-12 in narcolepsy. AXS-12 (reboxetine) is a highly selective and potent norepinephrine reuptake inhibitor and cortical dopamine modulator. The purpose of the meeting was to reach agreement with the FDA on the proposed content and format of the Company’s planned NDA submission including the clinical and nonclinical requirements.</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Based on the feedback from the FDA, the Company’s regulatory data package would be sufficient for the submission of an NDA for AXS-12 for the treatment of cataplexy in narcolepsy. Axsome anticipates completing the NDA submission in January 2026. Acceptance of the final NDA will be subject to the FDA’s review of the complete filing.</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pleased with the FDA pre-NDA meeting minutes which allow completion of the NDA submission for AXS-12 for the treatment of cataplexy in patients with narcolepsy shortly in January 2026,” said Herriot Tabuteau, MD, Chief Executive Officer of Axsome. “We are excited by the potential of AXS-12 to provide a new, differentiated treatment option to patients living with this debilitating condition, if approved.”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AXS-12’s clinical development program in narcolepsy includes three controlled efficacy trials, and a completed long-term safety trial.</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AXS-12 has been granted Orphan Drug Designation for the treatment of narcolepsy. Orphan Drug Designation is granted to promising drugs intended for the safe and effective treatment of rare diseases, defined as those affecting fewer than 200,000 people in the U.S. This designation may entitle Axsome to a period of seven years of marketing exclusivity in the U.S. upon FDA approval and a waiver of the Company’s obligation to pay the FDA application user fees for the product as required by the Prescription Drug User Fee Act.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Narcolepsy</w:t>
      </w:r>
    </w:p>
    <w:p>
      <w:pPr>
        <w:spacing w:after="0" w:line="17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Narcolepsy is a serious and debilitating orphan neurological condition that causes dysregulation of the sleep-wake cycle and is characterized clinically by excessive daytime sleepiness, cataplexy, hypnagogic hallucinations, sleep paralysis, and disrupted nocturnal sleep.</w:t>
      </w:r>
      <w:r>
        <w:rPr>
          <w:rFonts w:ascii="Arial" w:cs="Arial" w:eastAsia="Arial" w:hAnsi="Arial"/>
          <w:sz w:val="24"/>
          <w:szCs w:val="24"/>
          <w:color w:val="auto"/>
          <w:vertAlign w:val="superscript"/>
        </w:rPr>
        <w:t>1-3</w:t>
      </w:r>
      <w:r>
        <w:rPr>
          <w:rFonts w:ascii="Arial" w:cs="Arial" w:eastAsia="Arial" w:hAnsi="Arial"/>
          <w:sz w:val="18"/>
          <w:szCs w:val="18"/>
          <w:color w:val="auto"/>
        </w:rPr>
        <w:t xml:space="preserve"> Cataplexy is seen in an estimated 70% of narcolepsy patients and is a sudden reduction or loss of muscle tone while a patient is awake, typically triggered by strong emotions such as laughter, fear, anger, stress, or excitement.</w:t>
      </w:r>
      <w:r>
        <w:rPr>
          <w:rFonts w:ascii="Arial" w:cs="Arial" w:eastAsia="Arial" w:hAnsi="Arial"/>
          <w:sz w:val="24"/>
          <w:szCs w:val="24"/>
          <w:color w:val="auto"/>
          <w:vertAlign w:val="superscript"/>
        </w:rPr>
        <w:t>4-5</w:t>
      </w:r>
      <w:r>
        <w:rPr>
          <w:rFonts w:ascii="Arial" w:cs="Arial" w:eastAsia="Arial" w:hAnsi="Arial"/>
          <w:sz w:val="18"/>
          <w:szCs w:val="18"/>
          <w:color w:val="auto"/>
        </w:rPr>
        <w:t xml:space="preserve"> Narcolepsy is a life-long condition that interferes with cognitive, psychological, and social functioning, increases the risk of work- and driving-related accidents, and is associated with a 1.5-fold higher mortality rate.</w:t>
      </w:r>
      <w:r>
        <w:rPr>
          <w:rFonts w:ascii="Arial" w:cs="Arial" w:eastAsia="Arial" w:hAnsi="Arial"/>
          <w:sz w:val="24"/>
          <w:szCs w:val="24"/>
          <w:color w:val="auto"/>
          <w:vertAlign w:val="superscript"/>
        </w:rPr>
        <w:t>6-8</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AXS-12</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AXS-12 (reboxetine) is a highly selective and potent norepinephrine reuptake inhibitor and cortical dopamine modulator under development for the treatment of narcolepsy. AXS-12 is thought to modulate noradrenergic activity to promote maintain tone during wakefulness, and noradrenergic and cortical dopamine signaling to promote wakefulness and enhance cognition. AXS-12 has been granted U.S. Food and Drug Administration (FDA) Orphan Drug Designation for the treatment of narcolepsy. AXS-12 is covered by issued patents providing protection to at least 2039. AXS-12 is an investigational drug product not approved by the FDA.</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Axsome Therapeutics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excessive daytime sleepiness associated with narcolepsy and obstructive sleep apnea, and migraine,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 For more information, please visit the Company’s website at www.axsome.com.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 Auvelity®, and Symbravo®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Ashley Dong</w:t>
      </w:r>
    </w:p>
    <w:p>
      <w:pPr>
        <w:spacing w:after="0" w:line="234" w:lineRule="auto"/>
        <w:rPr>
          <w:sz w:val="20"/>
          <w:szCs w:val="20"/>
          <w:color w:val="auto"/>
        </w:rPr>
      </w:pPr>
      <w:r>
        <w:rPr>
          <w:rFonts w:ascii="Arial" w:cs="Arial" w:eastAsia="Arial" w:hAnsi="Arial"/>
          <w:sz w:val="18"/>
          <w:szCs w:val="18"/>
          <w:color w:val="auto"/>
        </w:rPr>
        <w:t>Director, Investor Relations</w:t>
      </w:r>
    </w:p>
    <w:p>
      <w:pPr>
        <w:ind w:left="480" w:hanging="472"/>
        <w:spacing w:after="0" w:line="235"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687-1614</w:t>
      </w:r>
    </w:p>
    <w:p>
      <w:pPr>
        <w:spacing w:after="0"/>
        <w:rPr>
          <w:rFonts w:ascii="Arial" w:cs="Arial" w:eastAsia="Arial" w:hAnsi="Arial"/>
          <w:sz w:val="18"/>
          <w:szCs w:val="18"/>
          <w:color w:val="auto"/>
        </w:rPr>
      </w:pPr>
      <w:r>
        <w:rPr>
          <w:rFonts w:ascii="Arial" w:cs="Arial" w:eastAsia="Arial" w:hAnsi="Arial"/>
          <w:sz w:val="18"/>
          <w:szCs w:val="18"/>
          <w:color w:val="467886"/>
        </w:rPr>
        <w:t>adong@axsome.com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Senior Director, Corporate Communications</w:t>
      </w:r>
    </w:p>
    <w:p>
      <w:pPr>
        <w:spacing w:after="0" w:line="1" w:lineRule="exact"/>
        <w:rPr>
          <w:sz w:val="20"/>
          <w:szCs w:val="20"/>
          <w:color w:val="auto"/>
        </w:rPr>
      </w:pPr>
    </w:p>
    <w:p>
      <w:pPr>
        <w:ind w:right="9380" w:firstLine="8"/>
        <w:spacing w:after="0" w:line="250" w:lineRule="auto"/>
        <w:tabs>
          <w:tab w:leader="none" w:pos="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837-1065 </w:t>
      </w:r>
      <w:r>
        <w:rPr>
          <w:rFonts w:ascii="Arial" w:cs="Arial" w:eastAsia="Arial" w:hAnsi="Arial"/>
          <w:sz w:val="18"/>
          <w:szCs w:val="18"/>
          <w:color w:val="467886"/>
        </w:rPr>
        <w:t>dopland@axsome.com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171" w:lineRule="exact"/>
        <w:rPr>
          <w:sz w:val="20"/>
          <w:szCs w:val="20"/>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American Academy of Sleep Medicine. The International Classification of Sleep Disorders. Third Edition (ICSD-3). 2014.</w:t>
      </w:r>
    </w:p>
    <w:p>
      <w:pPr>
        <w:spacing w:after="0" w:line="13"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National Institute of Neurological Disorders and Stroke. Narcolepsy.https://www.ninds.nih.gov/health-information/disorders/narcolepsy. Accessed September 2024.</w:t>
      </w:r>
    </w:p>
    <w:p>
      <w:pPr>
        <w:spacing w:after="0" w:line="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España RA, Scammell TE. Sleep neurobiology from a clinical perspective. Sleep. 2011 Jul 1;34(7):845-58.</w:t>
      </w:r>
    </w:p>
    <w:p>
      <w:pPr>
        <w:ind w:left="760" w:hanging="378"/>
        <w:spacing w:after="0" w:line="23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Narcolepsy Network. About Narcolepsy. https://narcolepsynetwork.org/about-narcolepsy/. Accessed September 2024.</w:t>
      </w:r>
    </w:p>
    <w:p>
      <w:pPr>
        <w:ind w:left="760" w:hanging="378"/>
        <w:spacing w:after="0" w:line="23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Swick TJ. Treatment paradigms for cataplexy in narcolepsy: past, present, and future. Nat Sci Sleep. 2015 Dec 11;7:159-69.</w:t>
      </w:r>
    </w:p>
    <w:p>
      <w:pPr>
        <w:ind w:left="760" w:hanging="378"/>
        <w:spacing w:after="0" w:line="23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Tadrous R, O'Rourke D, Mockler D, Broderick J. Health-related quality of life in narcolepsy: A systematic review and meta-analysis. J Sleep Res. 2021 Dec;30(6):e13383.</w:t>
      </w:r>
    </w:p>
    <w:p>
      <w:pPr>
        <w:spacing w:after="0" w:line="1" w:lineRule="exact"/>
        <w:rPr>
          <w:rFonts w:ascii="Arial" w:cs="Arial" w:eastAsia="Arial" w:hAnsi="Arial"/>
          <w:sz w:val="18"/>
          <w:szCs w:val="18"/>
          <w:color w:val="auto"/>
        </w:rPr>
      </w:pPr>
    </w:p>
    <w:p>
      <w:pPr>
        <w:jc w:val="both"/>
        <w:ind w:left="760" w:hanging="378"/>
        <w:spacing w:after="0" w:line="23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Patil SP, Ayappa IA, Caples SM, Kimoff RJ, Patel SR, Harrod CG. Treatment of Adult Obstructive Sleep Apnea With Positive Airway Pressure: An American Academy of Sleep Medicine Systematic Review, Meta-Analysis, and GRADE Assessment. J Clin Sleep Med. 2019 Feb 15;15(2):301-334.</w:t>
      </w:r>
    </w:p>
    <w:p>
      <w:pPr>
        <w:spacing w:after="0" w:line="2" w:lineRule="exact"/>
        <w:rPr>
          <w:rFonts w:ascii="Arial" w:cs="Arial" w:eastAsia="Arial" w:hAnsi="Arial"/>
          <w:sz w:val="18"/>
          <w:szCs w:val="18"/>
          <w:color w:val="auto"/>
        </w:rPr>
      </w:pPr>
    </w:p>
    <w:p>
      <w:pPr>
        <w:ind w:left="760" w:hanging="378"/>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Ohayon MM, Black J, Lai C, Eller M, Guinta D, Bhattacharyya A. Increased mortality in narcolepsy. Sleep. 2014 Mar 1;37(3):439-44.</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99795"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899795" cy="51435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399" w:lineRule="exact"/>
        <w:rPr>
          <w:sz w:val="20"/>
          <w:szCs w:val="20"/>
          <w:color w:val="auto"/>
        </w:rPr>
      </w:pPr>
    </w:p>
    <w:p>
      <w:pPr>
        <w:jc w:val="center"/>
        <w:ind w:right="40"/>
        <w:spacing w:after="0" w:line="270" w:lineRule="auto"/>
        <w:rPr>
          <w:sz w:val="20"/>
          <w:szCs w:val="20"/>
          <w:color w:val="auto"/>
        </w:rPr>
      </w:pPr>
      <w:r>
        <w:rPr>
          <w:rFonts w:ascii="Arial" w:cs="Arial" w:eastAsia="Arial" w:hAnsi="Arial"/>
          <w:sz w:val="20"/>
          <w:szCs w:val="20"/>
          <w:b w:val="1"/>
          <w:bCs w:val="1"/>
          <w:color w:val="auto"/>
        </w:rPr>
        <w:t>Axsome Therapeutics Announces FDA Acceptance and Priority Review of Supplemental New Drug Application for AXS-05 for the Treatment of Alzheimer’s Disease Agitation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FDA grants AXS-05 Priority Review designation and sets PDUFA action goal date of April 30, 2026</w:t>
      </w:r>
    </w:p>
    <w:p>
      <w:pPr>
        <w:spacing w:after="0" w:line="16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NEW YORK, December 31, 2025 (Globe Newswire) – Axsome Therapeutics, Inc. (NASDAQ: AXSM), a biopharmaceutical company leading a new era in the treatment of central nervous system (CNS) disorders, today announced that the U.S. Food and Drug Administration (FDA) has accepted for filing the Company’s supplemental New Drug Application (NDA) for AXS-05 (dextromethorphan HBr and bupropion HCl) for the treatment of Alzheimer’s disease agitation, and has granted the application Priority Review designation. The FDA has set a Prescription Drug User Fee Act (PDUFA) target action date of April 30, 2026.</w:t>
      </w:r>
    </w:p>
    <w:p>
      <w:pPr>
        <w:spacing w:after="0" w:line="13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Priority Review is granted by the FDA to applications for medicines that, if approved, would provide significant improvements in the effectiveness or safety of the treatment, diagnosis, or prevention of serious conditions when compared to standard applications. A Priority Review designation means the FDA’s goal is to take action on an application within 6 months, compared to 10 months under standard review.</w:t>
      </w:r>
    </w:p>
    <w:p>
      <w:pPr>
        <w:spacing w:after="0" w:line="14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“We are very pleased the FDA has accepted and granted priority review to our supplemental NDA for AXS-05 for the treatment of Alzheimer’s disease agitation,” said Herriot Tabuteau, MD, Chief Executive Officer of Axsome. “Up to 76% of people with Alzheimer’s disease experience agitation, representing a significant unmet medical need for patients and their caregivers, and currently there is a dearth of approved treatments. We look forward to continuing to work with the FDA for the remainder of the review.”</w:t>
      </w:r>
    </w:p>
    <w:p>
      <w:pPr>
        <w:spacing w:after="0" w:line="13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FDA previously granted Breakthrough Therapy designation for AXS-05 for the treatment of Alzheimer’s disease agitation in June 2020. A Breakthrough Therapy designation is granted to potentially expedite development and review timelines for a promising investigational medicine when preliminary clinical evidence indicates it may demonstrate substantial improvement on one or more clinically significant endpoints over available therapies for a serious or life-threatening condition.</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supplemental NDA is the culmination of a comprehensive clinical development program of AXS-05 in Alzheimer’s disease agitation, including four randomized, double-blind, controlled Phase 3 clinical trials and a long-term safety trial.</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Alzheimer’s Disease Agitation</w:t>
      </w:r>
    </w:p>
    <w:p>
      <w:pPr>
        <w:spacing w:after="0" w:line="175" w:lineRule="exact"/>
        <w:rPr>
          <w:sz w:val="20"/>
          <w:szCs w:val="20"/>
          <w:color w:val="auto"/>
        </w:rPr>
      </w:pPr>
    </w:p>
    <w:p>
      <w:pPr>
        <w:jc w:val="both"/>
        <w:spacing w:after="0" w:line="219" w:lineRule="auto"/>
        <w:rPr>
          <w:sz w:val="20"/>
          <w:szCs w:val="20"/>
          <w:color w:val="auto"/>
        </w:rPr>
      </w:pPr>
      <w:r>
        <w:rPr>
          <w:rFonts w:ascii="Arial" w:cs="Arial" w:eastAsia="Arial" w:hAnsi="Arial"/>
          <w:sz w:val="20"/>
          <w:szCs w:val="20"/>
          <w:color w:val="auto"/>
        </w:rPr>
        <w:t>Alzheimer’s disease (AD) is the most common form of dementia, affecting approximately 7 million people in the United States.</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Agitation is reported in up to 76% of patients with AD and is characterized by emotional distress, verbal and physical aggressiveness, disruptive irritability, and disinhibition.</w:t>
      </w:r>
      <w:r>
        <w:rPr>
          <w:rFonts w:ascii="Arial" w:cs="Arial" w:eastAsia="Arial" w:hAnsi="Arial"/>
          <w:sz w:val="26"/>
          <w:szCs w:val="26"/>
          <w:color w:val="auto"/>
          <w:vertAlign w:val="superscript"/>
        </w:rPr>
        <w:t>1,2</w:t>
      </w:r>
      <w:r>
        <w:rPr>
          <w:rFonts w:ascii="Arial" w:cs="Arial" w:eastAsia="Arial" w:hAnsi="Arial"/>
          <w:sz w:val="20"/>
          <w:szCs w:val="20"/>
          <w:color w:val="auto"/>
        </w:rPr>
        <w:t xml:space="preserve"> AD agitation has been associated with accelerated cognitive decline, increased caregiver burden, earlier nursing home placement, and increased mortality.</w:t>
      </w:r>
      <w:r>
        <w:rPr>
          <w:rFonts w:ascii="Arial" w:cs="Arial" w:eastAsia="Arial" w:hAnsi="Arial"/>
          <w:sz w:val="26"/>
          <w:szCs w:val="26"/>
          <w:color w:val="auto"/>
          <w:vertAlign w:val="superscript"/>
        </w:rPr>
        <w:t>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About AXS-05</w:t>
      </w:r>
    </w:p>
    <w:p>
      <w:pPr>
        <w:spacing w:after="0" w:line="16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AXS-05 (dextromethorphan-bupropion) is a novel, oral, investigational N-methyl-D-aspartate (NMDA) receptor antagonist, sigma-1 agonist, and aminoketone CYP2D6 inhibitor under development for the treatment of Alzheimer’s disease (AD) agitation and smoking cessation. AXS-05 utilizes a proprietary formulation and dose of dextromethorphan and bupropion, and Axsome’s metabolic inhibition technology, to modulate the delivery of the components. The dextromethorphan component of AXS-05 is an uncompetitive NMDA receptor antagonist, also known as a glutamate receptor modulator, and a sigma-1 receptor agonist. The bupropion component of AXS-05 serves to increase the bioavailability of dextromethorphan and is a norepinephrine and dopamine reuptake inhibitor. AXS-05 is covered by a robust patent estate extending out to at least 2043. AXS-05 was granted U.S. FDA Breakthrough Therapy designation for the treatment of Alzheimer’s disease agitation in June 2020. AXS-05 (AUVELITY®) is approved in the U.S. for the treatment of major depressive disorder in adults. AXS-05 is not approved by the FDA for Alzheimer’s disease agitation.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Axsome Therapeutics</w:t>
      </w:r>
    </w:p>
    <w:p>
      <w:pPr>
        <w:spacing w:after="0" w:line="177"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excessive daytime sleepiness associated with narcolepsy and obstructive sleep apnea, and migraine,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 For more information, please visit us at www.axsome.com and follow us on LinkedIn and X.</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Forward Looking Statements</w:t>
      </w:r>
    </w:p>
    <w:p>
      <w:pPr>
        <w:spacing w:after="0" w:line="164"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w:t>
      </w:r>
      <w:r>
        <w:rPr>
          <w:rFonts w:ascii="Arial" w:cs="Arial" w:eastAsia="Arial" w:hAnsi="Arial"/>
          <w:sz w:val="26"/>
          <w:szCs w:val="26"/>
          <w:color w:val="auto"/>
          <w:vertAlign w:val="superscript"/>
        </w:rPr>
        <w:t>®</w:t>
      </w:r>
      <w:r>
        <w:rPr>
          <w:rFonts w:ascii="Arial" w:cs="Arial" w:eastAsia="Arial" w:hAnsi="Arial"/>
          <w:sz w:val="20"/>
          <w:szCs w:val="20"/>
          <w:color w:val="auto"/>
        </w:rPr>
        <w:t>, AUVELITY</w:t>
      </w:r>
      <w:r>
        <w:rPr>
          <w:rFonts w:ascii="Arial" w:cs="Arial" w:eastAsia="Arial" w:hAnsi="Arial"/>
          <w:sz w:val="26"/>
          <w:szCs w:val="26"/>
          <w:color w:val="auto"/>
          <w:vertAlign w:val="superscript"/>
        </w:rPr>
        <w:t>®</w:t>
      </w:r>
      <w:r>
        <w:rPr>
          <w:rFonts w:ascii="Arial" w:cs="Arial" w:eastAsia="Arial" w:hAnsi="Arial"/>
          <w:sz w:val="20"/>
          <w:szCs w:val="20"/>
          <w:color w:val="auto"/>
        </w:rPr>
        <w:t>, and SYMBRAVO</w:t>
      </w:r>
      <w:r>
        <w:rPr>
          <w:rFonts w:ascii="Arial" w:cs="Arial" w:eastAsia="Arial" w:hAnsi="Arial"/>
          <w:sz w:val="26"/>
          <w:szCs w:val="26"/>
          <w:color w:val="auto"/>
          <w:vertAlign w:val="superscript"/>
        </w:rPr>
        <w:t>®</w:t>
      </w:r>
      <w:r>
        <w:rPr>
          <w:rFonts w:ascii="Arial" w:cs="Arial" w:eastAsia="Arial" w:hAnsi="Arial"/>
          <w:sz w:val="20"/>
          <w:szCs w:val="20"/>
          <w:color w:val="auto"/>
        </w:rPr>
        <w:t xml:space="preserve">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Company’s ability to successfully resolve any intellectual property litigation, and even if such disputes are settled, whether the applicable federal agencies will approve of such settlements;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Investors:</w:t>
      </w:r>
    </w:p>
    <w:p>
      <w:pPr>
        <w:spacing w:after="0" w:line="231" w:lineRule="auto"/>
        <w:rPr>
          <w:sz w:val="20"/>
          <w:szCs w:val="20"/>
          <w:color w:val="auto"/>
        </w:rPr>
      </w:pPr>
      <w:r>
        <w:rPr>
          <w:rFonts w:ascii="Arial" w:cs="Arial" w:eastAsia="Arial" w:hAnsi="Arial"/>
          <w:sz w:val="20"/>
          <w:szCs w:val="20"/>
          <w:color w:val="auto"/>
        </w:rPr>
        <w:t>Ashley Dong</w:t>
      </w:r>
    </w:p>
    <w:p>
      <w:pPr>
        <w:spacing w:after="0" w:line="226" w:lineRule="auto"/>
        <w:rPr>
          <w:sz w:val="20"/>
          <w:szCs w:val="20"/>
          <w:color w:val="auto"/>
        </w:rPr>
      </w:pPr>
      <w:r>
        <w:rPr>
          <w:rFonts w:ascii="Arial" w:cs="Arial" w:eastAsia="Arial" w:hAnsi="Arial"/>
          <w:sz w:val="20"/>
          <w:szCs w:val="20"/>
          <w:color w:val="auto"/>
        </w:rPr>
        <w:t>Director, Investor Relations</w:t>
      </w:r>
    </w:p>
    <w:p>
      <w:pPr>
        <w:ind w:left="520" w:hanging="512"/>
        <w:spacing w:after="0" w:line="225" w:lineRule="auto"/>
        <w:tabs>
          <w:tab w:leader="none" w:pos="520" w:val="left"/>
        </w:tabs>
        <w:numPr>
          <w:ilvl w:val="0"/>
          <w:numId w:val="5"/>
        </w:numPr>
        <w:rPr>
          <w:rFonts w:ascii="Arial" w:cs="Arial" w:eastAsia="Arial" w:hAnsi="Arial"/>
          <w:sz w:val="20"/>
          <w:szCs w:val="20"/>
          <w:color w:val="auto"/>
        </w:rPr>
      </w:pPr>
      <w:r>
        <w:rPr>
          <w:rFonts w:ascii="Arial" w:cs="Arial" w:eastAsia="Arial" w:hAnsi="Arial"/>
          <w:sz w:val="20"/>
          <w:szCs w:val="20"/>
          <w:color w:val="auto"/>
        </w:rPr>
        <w:t>687-1614</w:t>
      </w:r>
    </w:p>
    <w:p>
      <w:pPr>
        <w:spacing w:after="0"/>
        <w:rPr>
          <w:rFonts w:ascii="Arial" w:cs="Arial" w:eastAsia="Arial" w:hAnsi="Arial"/>
          <w:sz w:val="20"/>
          <w:szCs w:val="20"/>
          <w:color w:val="auto"/>
        </w:rPr>
      </w:pPr>
      <w:r>
        <w:rPr>
          <w:rFonts w:ascii="Arial" w:cs="Arial" w:eastAsia="Arial" w:hAnsi="Arial"/>
          <w:sz w:val="20"/>
          <w:szCs w:val="20"/>
          <w:color w:val="0563C1"/>
        </w:rPr>
        <w:t>adong@axsome.com</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231" w:lineRule="auto"/>
        <w:rPr>
          <w:sz w:val="20"/>
          <w:szCs w:val="20"/>
          <w:color w:val="auto"/>
        </w:rPr>
      </w:pPr>
      <w:r>
        <w:rPr>
          <w:rFonts w:ascii="Arial" w:cs="Arial" w:eastAsia="Arial" w:hAnsi="Arial"/>
          <w:sz w:val="20"/>
          <w:szCs w:val="20"/>
          <w:color w:val="auto"/>
        </w:rPr>
        <w:t>Darren Opland</w:t>
      </w:r>
    </w:p>
    <w:p>
      <w:pPr>
        <w:spacing w:after="0" w:line="226" w:lineRule="auto"/>
        <w:rPr>
          <w:sz w:val="20"/>
          <w:szCs w:val="20"/>
          <w:color w:val="auto"/>
        </w:rPr>
      </w:pPr>
      <w:r>
        <w:rPr>
          <w:rFonts w:ascii="Arial" w:cs="Arial" w:eastAsia="Arial" w:hAnsi="Arial"/>
          <w:sz w:val="20"/>
          <w:szCs w:val="20"/>
          <w:color w:val="auto"/>
        </w:rPr>
        <w:t>Senior Director, Corporate Communications</w:t>
      </w:r>
    </w:p>
    <w:p>
      <w:pPr>
        <w:ind w:right="8920" w:firstLine="8"/>
        <w:spacing w:after="0" w:line="264" w:lineRule="auto"/>
        <w:tabs>
          <w:tab w:leader="none" w:pos="517" w:val="left"/>
        </w:tabs>
        <w:numPr>
          <w:ilvl w:val="0"/>
          <w:numId w:val="6"/>
        </w:numPr>
        <w:rPr>
          <w:rFonts w:ascii="Arial" w:cs="Arial" w:eastAsia="Arial" w:hAnsi="Arial"/>
          <w:sz w:val="19"/>
          <w:szCs w:val="19"/>
          <w:color w:val="auto"/>
        </w:rPr>
      </w:pPr>
      <w:r>
        <w:rPr>
          <w:rFonts w:ascii="Arial" w:cs="Arial" w:eastAsia="Arial" w:hAnsi="Arial"/>
          <w:sz w:val="19"/>
          <w:szCs w:val="19"/>
          <w:color w:val="auto"/>
        </w:rPr>
        <w:t xml:space="preserve">837-1065 </w:t>
      </w:r>
      <w:r>
        <w:rPr>
          <w:rFonts w:ascii="Arial" w:cs="Arial" w:eastAsia="Arial" w:hAnsi="Arial"/>
          <w:sz w:val="19"/>
          <w:szCs w:val="19"/>
          <w:color w:val="0563C1"/>
        </w:rPr>
        <w:t>dopland@axsome.com</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References</w:t>
      </w:r>
    </w:p>
    <w:p>
      <w:pPr>
        <w:spacing w:after="0" w:line="164" w:lineRule="exact"/>
        <w:rPr>
          <w:sz w:val="20"/>
          <w:szCs w:val="20"/>
          <w:color w:val="auto"/>
        </w:rPr>
      </w:pPr>
    </w:p>
    <w:p>
      <w:pPr>
        <w:ind w:left="760" w:hanging="378"/>
        <w:spacing w:after="0"/>
        <w:tabs>
          <w:tab w:leader="none" w:pos="7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Alzheimer’s Association. 2025 Alzheimer’s Disease Facts and Figures.</w:t>
      </w:r>
    </w:p>
    <w:p>
      <w:pPr>
        <w:spacing w:after="0" w:line="161" w:lineRule="exact"/>
        <w:rPr>
          <w:rFonts w:ascii="Arial" w:cs="Arial" w:eastAsia="Arial" w:hAnsi="Arial"/>
          <w:sz w:val="20"/>
          <w:szCs w:val="20"/>
          <w:color w:val="auto"/>
        </w:rPr>
      </w:pPr>
    </w:p>
    <w:p>
      <w:pPr>
        <w:ind w:left="760" w:right="220" w:hanging="378"/>
        <w:spacing w:after="0" w:line="257" w:lineRule="auto"/>
        <w:tabs>
          <w:tab w:leader="none" w:pos="760" w:val="left"/>
        </w:tabs>
        <w:numPr>
          <w:ilvl w:val="0"/>
          <w:numId w:val="7"/>
        </w:numPr>
        <w:rPr>
          <w:rFonts w:ascii="Arial" w:cs="Arial" w:eastAsia="Arial" w:hAnsi="Arial"/>
          <w:sz w:val="20"/>
          <w:szCs w:val="20"/>
          <w:color w:val="auto"/>
        </w:rPr>
      </w:pPr>
      <w:r>
        <w:rPr>
          <w:rFonts w:ascii="Arial" w:cs="Arial" w:eastAsia="Arial" w:hAnsi="Arial"/>
          <w:sz w:val="20"/>
          <w:szCs w:val="20"/>
          <w:color w:val="auto"/>
        </w:rPr>
        <w:t>Van der Mussele, S. et al. Agitation-associated behavioral symptoms in mild cognitive impairment and Alzheimer's dementia. Aging Ment Health. 2015;19(3):247-57.</w:t>
      </w:r>
    </w:p>
    <w:p>
      <w:pPr>
        <w:spacing w:after="0" w:line="128" w:lineRule="exact"/>
        <w:rPr>
          <w:rFonts w:ascii="Arial" w:cs="Arial" w:eastAsia="Arial" w:hAnsi="Arial"/>
          <w:sz w:val="20"/>
          <w:szCs w:val="20"/>
          <w:color w:val="auto"/>
        </w:rPr>
      </w:pPr>
    </w:p>
    <w:p>
      <w:pPr>
        <w:ind w:left="760" w:hanging="378"/>
        <w:spacing w:after="0" w:line="257" w:lineRule="auto"/>
        <w:tabs>
          <w:tab w:leader="none" w:pos="760" w:val="left"/>
        </w:tabs>
        <w:numPr>
          <w:ilvl w:val="0"/>
          <w:numId w:val="7"/>
        </w:numPr>
        <w:rPr>
          <w:rFonts w:ascii="Arial" w:cs="Arial" w:eastAsia="Arial" w:hAnsi="Arial"/>
          <w:sz w:val="20"/>
          <w:szCs w:val="20"/>
          <w:color w:val="auto"/>
        </w:rPr>
      </w:pPr>
      <w:r>
        <w:rPr>
          <w:rFonts w:ascii="Arial" w:cs="Arial" w:eastAsia="Arial" w:hAnsi="Arial"/>
          <w:sz w:val="20"/>
          <w:szCs w:val="20"/>
          <w:color w:val="auto"/>
        </w:rPr>
        <w:t>Porsteinsson, A.P. and Antonsdottir, I.M. An update on the advancements in the treatment of agitation in Alzheimer’s disease. Expert Opin Pharmacother. 2017 Apr;18(6):611-620.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12" w:right="61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929"/>
    </w:lvl>
  </w:abstractNum>
  <w:abstractNum w:abstractNumId="2">
    <w:nsid w:val="46E87CCD"/>
    <w:multiLevelType w:val="hybridMultilevel"/>
    <w:lvl w:ilvl="0">
      <w:lvlJc w:val="left"/>
      <w:lvlText w:val="(%1)"/>
      <w:numFmt w:val="decimal"/>
      <w:start w:val="929"/>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929"/>
    </w:lvl>
  </w:abstractNum>
  <w:abstractNum w:abstractNumId="5">
    <w:nsid w:val="2EB141F2"/>
    <w:multiLevelType w:val="hybridMultilevel"/>
    <w:lvl w:ilvl="0">
      <w:lvlJc w:val="left"/>
      <w:lvlText w:val="(%1)"/>
      <w:numFmt w:val="decimal"/>
      <w:start w:val="929"/>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2025-12-31T06:19:59Z</dcterms:created>
  <dcterms:modified xsi:type="dcterms:W3CDTF">2025-12-31T06:19:59Z</dcterms:modified>
</cp:coreProperties>
</file>