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Pizzie Nick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Axsome Therapeutics,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AXSM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06/29/2020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765"/>
        <w:spacing w:after="0"/>
        <w:rPr>
          <w:sz w:val="20"/>
          <w:szCs w:val="20"/>
          <w:color w:val="auto"/>
        </w:rPr>
      </w:pPr>
      <w:r>
        <w:rPr>
          <w:rFonts w:ascii="Arial" w:cs="Arial" w:eastAsia="Arial" w:hAnsi="Arial"/>
          <w:sz w:val="17"/>
          <w:szCs w:val="17"/>
          <w:color w:val="0000FF"/>
        </w:rPr>
        <w:t>Chief Financial Officer</w:t>
      </w:r>
    </w:p>
    <w:p>
      <w:pPr>
        <w:spacing w:after="0" w:line="402" w:lineRule="exact"/>
        <w:rPr>
          <w:sz w:val="24"/>
          <w:szCs w:val="24"/>
          <w:color w:val="auto"/>
        </w:rPr>
      </w:pPr>
    </w:p>
    <w:p>
      <w:pPr>
        <w:sectPr>
          <w:pgSz w:w="11900" w:h="16838" w:orient="portrait"/>
          <w:cols w:equalWidth="0" w:num="3">
            <w:col w:w="3200" w:space="720"/>
            <w:col w:w="3100" w:space="71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10038</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restart"/>
          </w:tcPr>
          <w:p>
            <w:pPr>
              <w:ind w:left="18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00" w:type="dxa"/>
            <w:vAlign w:val="bottom"/>
            <w:tcBorders>
              <w:bottom w:val="single" w:sz="8" w:color="2C2C2C"/>
            </w:tcBorders>
            <w:gridSpan w:val="4"/>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66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Arial" w:cs="Arial" w:eastAsia="Arial" w:hAnsi="Arial"/>
                <w:sz w:val="17"/>
                <w:szCs w:val="17"/>
                <w:color w:val="0000FF"/>
              </w:rPr>
              <w:t>06/29/2020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777</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76.64</w:t>
            </w:r>
          </w:p>
        </w:tc>
        <w:tc>
          <w:tcPr>
            <w:tcW w:w="1180" w:type="dxa"/>
            <w:vAlign w:val="bottom"/>
            <w:tcBorders>
              <w:bottom w:val="single" w:sz="8" w:color="2C2C2C"/>
            </w:tcBorders>
            <w:gridSpan w:val="2"/>
          </w:tcPr>
          <w:p>
            <w:pPr>
              <w:jc w:val="right"/>
              <w:ind w:right="297"/>
              <w:spacing w:after="0"/>
              <w:rPr>
                <w:sz w:val="20"/>
                <w:szCs w:val="20"/>
                <w:color w:val="auto"/>
              </w:rPr>
            </w:pPr>
            <w:r>
              <w:rPr>
                <w:rFonts w:ascii="Arial" w:cs="Arial" w:eastAsia="Arial" w:hAnsi="Arial"/>
                <w:sz w:val="17"/>
                <w:szCs w:val="17"/>
                <w:color w:val="0000FF"/>
              </w:rPr>
              <w:t>41,217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jc w:val="right"/>
              <w:ind w:right="457"/>
              <w:spacing w:after="0"/>
              <w:rPr>
                <w:sz w:val="20"/>
                <w:szCs w:val="20"/>
                <w:color w:val="auto"/>
              </w:rPr>
            </w:pPr>
            <w:r>
              <w:rPr>
                <w:rFonts w:ascii="Arial" w:cs="Arial" w:eastAsia="Arial" w:hAnsi="Arial"/>
                <w:sz w:val="17"/>
                <w:szCs w:val="17"/>
                <w:color w:val="0000FF"/>
                <w:w w:val="94"/>
              </w:rPr>
              <w:t>60</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UTMA</w:t>
            </w:r>
          </w:p>
        </w:tc>
        <w:tc>
          <w:tcPr>
            <w:tcW w:w="0" w:type="dxa"/>
            <w:vAlign w:val="bottom"/>
          </w:tcPr>
          <w:p>
            <w:pPr>
              <w:spacing w:after="0"/>
              <w:rPr>
                <w:sz w:val="1"/>
                <w:szCs w:val="1"/>
                <w:color w:val="auto"/>
              </w:rPr>
            </w:pPr>
          </w:p>
        </w:tc>
      </w:tr>
      <w:tr>
        <w:trPr>
          <w:trHeight w:val="32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gridSpan w:val="4"/>
          </w:tcPr>
          <w:p>
            <w:pPr>
              <w:ind w:left="20"/>
              <w:spacing w:after="0"/>
              <w:rPr>
                <w:sz w:val="20"/>
                <w:szCs w:val="20"/>
                <w:color w:val="auto"/>
              </w:rPr>
            </w:pPr>
            <w:r>
              <w:rPr>
                <w:rFonts w:ascii="Arial" w:cs="Arial" w:eastAsia="Arial" w:hAnsi="Arial"/>
                <w:sz w:val="17"/>
                <w:szCs w:val="17"/>
                <w:color w:val="0000FF"/>
              </w:rPr>
              <w:t>account</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84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4"/>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gridSpan w:val="4"/>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-3364865</wp:posOffset>
            </wp:positionV>
            <wp:extent cx="7031355"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409950"/>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777 shares were purchased by the Reporting Person's IRA.</w:t>
      </w:r>
    </w:p>
    <w:p>
      <w:pPr>
        <w:spacing w:after="0" w:line="50" w:lineRule="exact"/>
        <w:rPr>
          <w:rFonts w:ascii="Arial" w:cs="Arial" w:eastAsia="Arial" w:hAnsi="Arial"/>
          <w:sz w:val="13"/>
          <w:szCs w:val="13"/>
          <w:color w:val="008000"/>
        </w:rPr>
      </w:pPr>
    </w:p>
    <w:p>
      <w:pPr>
        <w:jc w:val="both"/>
        <w:ind w:left="40" w:right="260" w:firstLine="7"/>
        <w:spacing w:after="0" w:line="263"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60 shares of common stock indirectly held by the reporting person as custodian for his son's UTMA account.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w:t>
      </w:r>
    </w:p>
    <w:p>
      <w:pPr>
        <w:ind w:left="220" w:hanging="173"/>
        <w:spacing w:after="0"/>
        <w:tabs>
          <w:tab w:leader="none" w:pos="22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or for any other purpose.</w:t>
      </w:r>
    </w:p>
    <w:p>
      <w:pPr>
        <w:spacing w:after="0" w:line="5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Nick Pizzie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06/30/2020</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143"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2020-06-30T07:57:44Z</dcterms:created>
  <dcterms:modified xsi:type="dcterms:W3CDTF">2020-06-30T07:57:44Z</dcterms:modified>
</cp:coreProperties>
</file>