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73025</wp:posOffset>
            </wp:positionV>
            <wp:extent cx="164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81" w:lineRule="exact"/>
        <w:rPr>
          <w:sz w:val="24"/>
          <w:szCs w:val="24"/>
          <w:color w:val="auto"/>
        </w:rPr>
      </w:pPr>
    </w:p>
    <w:p>
      <w:pPr>
        <w:ind w:left="4140" w:right="2800" w:hanging="4132"/>
        <w:spacing w:after="0" w:line="334" w:lineRule="auto"/>
        <w:tabs>
          <w:tab w:leader="none" w:pos="19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2021</w:t>
      </w:r>
    </w:p>
    <w:p>
      <w:pPr>
        <w:ind w:left="550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73" w:lineRule="exact"/>
        <w:rPr>
          <w:sz w:val="24"/>
          <w:szCs w:val="24"/>
          <w:color w:val="auto"/>
        </w:rPr>
      </w:pPr>
    </w:p>
    <w:p>
      <w:pPr>
        <w:ind w:left="3800" w:right="2800" w:hanging="3792"/>
        <w:spacing w:after="0" w:line="334" w:lineRule="auto"/>
        <w:tabs>
          <w:tab w:leader="none" w:pos="196"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ind w:left="436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71755</wp:posOffset>
            </wp:positionV>
            <wp:extent cx="1645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AXSOME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8" w:lineRule="exact"/>
        <w:rPr>
          <w:sz w:val="24"/>
          <w:szCs w:val="24"/>
          <w:color w:val="auto"/>
        </w:rPr>
      </w:pPr>
    </w:p>
    <w:tbl>
      <w:tblPr>
        <w:tblLayout w:type="fixed"/>
        <w:tblInd w:w="1100" w:type="dxa"/>
        <w:tblCellMar>
          <w:top w:w="0" w:type="dxa"/>
          <w:left w:w="0" w:type="dxa"/>
          <w:bottom w:w="0" w:type="dxa"/>
          <w:right w:w="0" w:type="dxa"/>
        </w:tblCellMar>
      </w:tblPr>
      <w:tr>
        <w:trPr>
          <w:trHeight w:val="198"/>
        </w:trPr>
        <w:tc>
          <w:tcPr>
            <w:tcW w:w="4860" w:type="dxa"/>
            <w:vAlign w:val="bottom"/>
          </w:tcPr>
          <w:p>
            <w:pPr>
              <w:jc w:val="center"/>
              <w:ind w:right="1362"/>
              <w:spacing w:after="0"/>
              <w:rPr>
                <w:sz w:val="20"/>
                <w:szCs w:val="20"/>
                <w:color w:val="auto"/>
              </w:rPr>
            </w:pPr>
            <w:r>
              <w:rPr>
                <w:rFonts w:ascii="Arial" w:cs="Arial" w:eastAsia="Arial" w:hAnsi="Arial"/>
                <w:sz w:val="16"/>
                <w:szCs w:val="16"/>
                <w:b w:val="1"/>
                <w:bCs w:val="1"/>
                <w:color w:val="auto"/>
                <w:w w:val="93"/>
              </w:rPr>
              <w:t>Delaware</w:t>
            </w:r>
          </w:p>
        </w:tc>
        <w:tc>
          <w:tcPr>
            <w:tcW w:w="3520" w:type="dxa"/>
            <w:vAlign w:val="bottom"/>
          </w:tcPr>
          <w:p>
            <w:pPr>
              <w:jc w:val="right"/>
              <w:ind w:right="584"/>
              <w:spacing w:after="0"/>
              <w:rPr>
                <w:sz w:val="20"/>
                <w:szCs w:val="20"/>
                <w:color w:val="auto"/>
              </w:rPr>
            </w:pPr>
            <w:r>
              <w:rPr>
                <w:rFonts w:ascii="Arial" w:cs="Arial" w:eastAsia="Arial" w:hAnsi="Arial"/>
                <w:sz w:val="16"/>
                <w:szCs w:val="16"/>
                <w:b w:val="1"/>
                <w:bCs w:val="1"/>
                <w:color w:val="auto"/>
              </w:rPr>
              <w:t>45-4241907</w:t>
            </w:r>
          </w:p>
        </w:tc>
      </w:tr>
      <w:tr>
        <w:trPr>
          <w:trHeight w:val="182"/>
        </w:trPr>
        <w:tc>
          <w:tcPr>
            <w:tcW w:w="4860" w:type="dxa"/>
            <w:vAlign w:val="bottom"/>
          </w:tcPr>
          <w:p>
            <w:pPr>
              <w:jc w:val="center"/>
              <w:ind w:right="1342"/>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520" w:type="dxa"/>
            <w:vAlign w:val="bottom"/>
          </w:tcPr>
          <w:p>
            <w:pPr>
              <w:jc w:val="center"/>
              <w:ind w:left="1344"/>
              <w:spacing w:after="0"/>
              <w:rPr>
                <w:sz w:val="20"/>
                <w:szCs w:val="20"/>
                <w:color w:val="auto"/>
              </w:rPr>
            </w:pPr>
            <w:r>
              <w:rPr>
                <w:rFonts w:ascii="Arial" w:cs="Arial" w:eastAsia="Arial" w:hAnsi="Arial"/>
                <w:sz w:val="14"/>
                <w:szCs w:val="14"/>
                <w:color w:val="auto"/>
                <w:w w:val="97"/>
              </w:rPr>
              <w:t>(I.R.S. Employer Identification No.)</w:t>
            </w:r>
          </w:p>
        </w:tc>
      </w:tr>
      <w:tr>
        <w:trPr>
          <w:trHeight w:val="241"/>
        </w:trPr>
        <w:tc>
          <w:tcPr>
            <w:tcW w:w="4860" w:type="dxa"/>
            <w:vAlign w:val="bottom"/>
          </w:tcPr>
          <w:p>
            <w:pPr>
              <w:jc w:val="center"/>
              <w:ind w:right="1362"/>
              <w:spacing w:after="0"/>
              <w:rPr>
                <w:sz w:val="20"/>
                <w:szCs w:val="20"/>
                <w:color w:val="auto"/>
              </w:rPr>
            </w:pPr>
            <w:r>
              <w:rPr>
                <w:rFonts w:ascii="Arial" w:cs="Arial" w:eastAsia="Arial" w:hAnsi="Arial"/>
                <w:sz w:val="16"/>
                <w:szCs w:val="16"/>
                <w:b w:val="1"/>
                <w:bCs w:val="1"/>
                <w:color w:val="auto"/>
                <w:w w:val="93"/>
              </w:rPr>
              <w:t>22 Cortlandt Street</w:t>
            </w:r>
          </w:p>
        </w:tc>
        <w:tc>
          <w:tcPr>
            <w:tcW w:w="3520" w:type="dxa"/>
            <w:vAlign w:val="bottom"/>
          </w:tcPr>
          <w:p>
            <w:pPr>
              <w:spacing w:after="0"/>
              <w:rPr>
                <w:sz w:val="20"/>
                <w:szCs w:val="20"/>
                <w:color w:val="auto"/>
              </w:rPr>
            </w:pPr>
          </w:p>
        </w:tc>
      </w:tr>
      <w:tr>
        <w:trPr>
          <w:trHeight w:val="203"/>
        </w:trPr>
        <w:tc>
          <w:tcPr>
            <w:tcW w:w="4860" w:type="dxa"/>
            <w:vAlign w:val="bottom"/>
          </w:tcPr>
          <w:p>
            <w:pPr>
              <w:jc w:val="center"/>
              <w:ind w:right="1342"/>
              <w:spacing w:after="0"/>
              <w:rPr>
                <w:sz w:val="20"/>
                <w:szCs w:val="20"/>
                <w:color w:val="auto"/>
              </w:rPr>
            </w:pPr>
            <w:r>
              <w:rPr>
                <w:rFonts w:ascii="Arial" w:cs="Arial" w:eastAsia="Arial" w:hAnsi="Arial"/>
                <w:sz w:val="16"/>
                <w:szCs w:val="16"/>
                <w:b w:val="1"/>
                <w:bCs w:val="1"/>
                <w:color w:val="auto"/>
                <w:w w:val="93"/>
              </w:rPr>
              <w:t>16th Floor</w:t>
            </w:r>
          </w:p>
        </w:tc>
        <w:tc>
          <w:tcPr>
            <w:tcW w:w="3520" w:type="dxa"/>
            <w:vAlign w:val="bottom"/>
          </w:tcPr>
          <w:p>
            <w:pPr>
              <w:spacing w:after="0"/>
              <w:rPr>
                <w:sz w:val="17"/>
                <w:szCs w:val="17"/>
                <w:color w:val="auto"/>
              </w:rPr>
            </w:pPr>
          </w:p>
        </w:tc>
      </w:tr>
      <w:tr>
        <w:trPr>
          <w:trHeight w:val="198"/>
        </w:trPr>
        <w:tc>
          <w:tcPr>
            <w:tcW w:w="4860" w:type="dxa"/>
            <w:vAlign w:val="bottom"/>
          </w:tcPr>
          <w:p>
            <w:pPr>
              <w:jc w:val="center"/>
              <w:ind w:right="1362"/>
              <w:spacing w:after="0"/>
              <w:rPr>
                <w:sz w:val="20"/>
                <w:szCs w:val="20"/>
                <w:color w:val="auto"/>
              </w:rPr>
            </w:pPr>
            <w:r>
              <w:rPr>
                <w:rFonts w:ascii="Arial" w:cs="Arial" w:eastAsia="Arial" w:hAnsi="Arial"/>
                <w:sz w:val="16"/>
                <w:szCs w:val="16"/>
                <w:b w:val="1"/>
                <w:bCs w:val="1"/>
                <w:color w:val="auto"/>
                <w:w w:val="94"/>
              </w:rPr>
              <w:t>New York, New York</w:t>
            </w:r>
          </w:p>
        </w:tc>
        <w:tc>
          <w:tcPr>
            <w:tcW w:w="3520" w:type="dxa"/>
            <w:vAlign w:val="bottom"/>
          </w:tcPr>
          <w:p>
            <w:pPr>
              <w:jc w:val="right"/>
              <w:ind w:right="764"/>
              <w:spacing w:after="0"/>
              <w:rPr>
                <w:sz w:val="20"/>
                <w:szCs w:val="20"/>
                <w:color w:val="auto"/>
              </w:rPr>
            </w:pPr>
            <w:r>
              <w:rPr>
                <w:rFonts w:ascii="Arial" w:cs="Arial" w:eastAsia="Arial" w:hAnsi="Arial"/>
                <w:sz w:val="16"/>
                <w:szCs w:val="16"/>
                <w:b w:val="1"/>
                <w:bCs w:val="1"/>
                <w:color w:val="auto"/>
              </w:rPr>
              <w:t>10007</w:t>
            </w:r>
          </w:p>
        </w:tc>
      </w:tr>
      <w:tr>
        <w:trPr>
          <w:trHeight w:val="182"/>
        </w:trPr>
        <w:tc>
          <w:tcPr>
            <w:tcW w:w="4860" w:type="dxa"/>
            <w:vAlign w:val="bottom"/>
          </w:tcPr>
          <w:p>
            <w:pPr>
              <w:jc w:val="center"/>
              <w:ind w:right="1342"/>
              <w:spacing w:after="0"/>
              <w:rPr>
                <w:sz w:val="20"/>
                <w:szCs w:val="20"/>
                <w:color w:val="auto"/>
              </w:rPr>
            </w:pPr>
            <w:r>
              <w:rPr>
                <w:rFonts w:ascii="Arial" w:cs="Arial" w:eastAsia="Arial" w:hAnsi="Arial"/>
                <w:sz w:val="14"/>
                <w:szCs w:val="14"/>
                <w:color w:val="auto"/>
                <w:w w:val="95"/>
              </w:rPr>
              <w:t>(Address of principal executive offices)</w:t>
            </w:r>
          </w:p>
        </w:tc>
        <w:tc>
          <w:tcPr>
            <w:tcW w:w="3520" w:type="dxa"/>
            <w:vAlign w:val="bottom"/>
          </w:tcPr>
          <w:p>
            <w:pPr>
              <w:jc w:val="center"/>
              <w:ind w:left="1344"/>
              <w:spacing w:after="0"/>
              <w:rPr>
                <w:sz w:val="20"/>
                <w:szCs w:val="20"/>
                <w:color w:val="auto"/>
              </w:rPr>
            </w:pPr>
            <w:r>
              <w:rPr>
                <w:rFonts w:ascii="Arial" w:cs="Arial" w:eastAsia="Arial" w:hAnsi="Arial"/>
                <w:sz w:val="14"/>
                <w:szCs w:val="14"/>
                <w:color w:val="auto"/>
                <w:w w:val="93"/>
              </w:rPr>
              <w:t>(Zip Code)</w:t>
            </w: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(212) 332-3241</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Address: 200 Broadway, 3rd Floor, New York, NY 10038</w:t>
      </w:r>
    </w:p>
    <w:p>
      <w:pPr>
        <w:spacing w:after="0" w:line="68"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6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34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2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34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0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540" w:type="dxa"/>
            <w:vAlign w:val="bottom"/>
          </w:tcPr>
          <w:p>
            <w:pPr>
              <w:ind w:left="134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8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Trading Symbol(s)</w:t>
            </w:r>
          </w:p>
        </w:tc>
        <w:tc>
          <w:tcPr>
            <w:tcW w:w="360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76"/>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200" w:type="dxa"/>
            <w:vAlign w:val="bottom"/>
          </w:tcPr>
          <w:p>
            <w:pPr>
              <w:spacing w:after="0"/>
              <w:rPr>
                <w:sz w:val="15"/>
                <w:szCs w:val="15"/>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The Nasdaq Global Market</w:t>
            </w:r>
          </w:p>
        </w:tc>
      </w:tr>
    </w:tbl>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There were 37,570,390 shares of the registrant’s common stock, $0.0001 par value, outstanding as of May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0500" w:type="dxa"/>
            <w:vAlign w:val="bottom"/>
            <w:gridSpan w:val="14"/>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41"/>
        </w:trPr>
        <w:tc>
          <w:tcPr>
            <w:tcW w:w="7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60" w:type="dxa"/>
            <w:vAlign w:val="bottom"/>
            <w:gridSpan w:val="4"/>
          </w:tcPr>
          <w:p>
            <w:pPr>
              <w:jc w:val="center"/>
              <w:ind w:right="2200"/>
              <w:spacing w:after="0"/>
              <w:rPr>
                <w:sz w:val="20"/>
                <w:szCs w:val="20"/>
                <w:color w:val="auto"/>
              </w:rPr>
            </w:pPr>
            <w:r>
              <w:rPr>
                <w:rFonts w:ascii="Arial" w:cs="Arial" w:eastAsia="Arial" w:hAnsi="Arial"/>
                <w:sz w:val="16"/>
                <w:szCs w:val="16"/>
                <w:b w:val="1"/>
                <w:bCs w:val="1"/>
                <w:color w:val="auto"/>
              </w:rPr>
              <w:t>AXSOME THERAPEUTICS, INC.</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60" w:type="dxa"/>
            <w:vAlign w:val="bottom"/>
            <w:gridSpan w:val="4"/>
          </w:tcPr>
          <w:p>
            <w:pPr>
              <w:jc w:val="center"/>
              <w:ind w:right="2200"/>
              <w:spacing w:after="0"/>
              <w:rPr>
                <w:sz w:val="20"/>
                <w:szCs w:val="20"/>
                <w:color w:val="auto"/>
              </w:rPr>
            </w:pPr>
            <w:r>
              <w:rPr>
                <w:rFonts w:ascii="Arial" w:cs="Arial" w:eastAsia="Arial" w:hAnsi="Arial"/>
                <w:sz w:val="16"/>
                <w:szCs w:val="16"/>
                <w:b w:val="1"/>
                <w:bCs w:val="1"/>
                <w:color w:val="auto"/>
              </w:rPr>
              <w:t>QUARTERLY REPORT ON FORM 10-Q</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560" w:type="dxa"/>
            <w:vAlign w:val="bottom"/>
            <w:gridSpan w:val="4"/>
          </w:tcPr>
          <w:p>
            <w:pPr>
              <w:jc w:val="center"/>
              <w:ind w:right="2180"/>
              <w:spacing w:after="0"/>
              <w:rPr>
                <w:sz w:val="20"/>
                <w:szCs w:val="20"/>
                <w:color w:val="auto"/>
              </w:rPr>
            </w:pPr>
            <w:r>
              <w:rPr>
                <w:rFonts w:ascii="Arial" w:cs="Arial" w:eastAsia="Arial" w:hAnsi="Arial"/>
                <w:sz w:val="16"/>
                <w:szCs w:val="16"/>
                <w:b w:val="1"/>
                <w:bCs w:val="1"/>
                <w:color w:val="auto"/>
              </w:rPr>
              <w:t>FOR THE QUARTER ENDED MARCH 31, 2021</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5"/>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60" w:type="dxa"/>
            <w:vAlign w:val="bottom"/>
            <w:gridSpan w:val="4"/>
          </w:tcPr>
          <w:p>
            <w:pPr>
              <w:jc w:val="center"/>
              <w:ind w:right="2180"/>
              <w:spacing w:after="0"/>
              <w:rPr>
                <w:sz w:val="20"/>
                <w:szCs w:val="20"/>
                <w:color w:val="auto"/>
              </w:rPr>
            </w:pPr>
            <w:r>
              <w:rPr>
                <w:rFonts w:ascii="Arial" w:cs="Arial" w:eastAsia="Arial" w:hAnsi="Arial"/>
                <w:sz w:val="16"/>
                <w:szCs w:val="16"/>
                <w:b w:val="1"/>
                <w:bCs w:val="1"/>
                <w:color w:val="auto"/>
              </w:rPr>
              <w:t>TABLE OF CONTENTS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Page</w:t>
            </w:r>
          </w:p>
        </w:tc>
      </w:tr>
      <w:tr>
        <w:trPr>
          <w:trHeight w:val="161"/>
        </w:trPr>
        <w:tc>
          <w:tcPr>
            <w:tcW w:w="10500" w:type="dxa"/>
            <w:vAlign w:val="bottom"/>
            <w:gridSpan w:val="14"/>
          </w:tcPr>
          <w:p>
            <w:pPr>
              <w:spacing w:after="0" w:line="161" w:lineRule="exact"/>
              <w:rPr>
                <w:rFonts w:ascii="Arial" w:cs="Arial" w:eastAsia="Arial" w:hAnsi="Arial"/>
                <w:sz w:val="16"/>
                <w:szCs w:val="16"/>
                <w:color w:val="0000EE"/>
              </w:rPr>
            </w:pPr>
            <w:hyperlink w:anchor="page3">
              <w:r>
                <w:rPr>
                  <w:rFonts w:ascii="Arial" w:cs="Arial" w:eastAsia="Arial" w:hAnsi="Arial"/>
                  <w:sz w:val="16"/>
                  <w:szCs w:val="16"/>
                  <w:color w:val="0000EE"/>
                </w:rPr>
                <w:t>CAUTIONARY NOTE REGARDING FORWARD LOOKING STATEMENTS</w:t>
              </w:r>
            </w:hyperlink>
          </w:p>
        </w:tc>
        <w:tc>
          <w:tcPr>
            <w:tcW w:w="74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4"/>
                <w:szCs w:val="14"/>
                <w:color w:val="auto"/>
              </w:rPr>
            </w:pPr>
          </w:p>
        </w:tc>
      </w:tr>
      <w:tr>
        <w:trPr>
          <w:trHeight w:val="183"/>
        </w:trPr>
        <w:tc>
          <w:tcPr>
            <w:tcW w:w="2940" w:type="dxa"/>
            <w:vAlign w:val="bottom"/>
            <w:tcBorders>
              <w:top w:val="single" w:sz="8" w:color="0000EE"/>
              <w:bottom w:val="single" w:sz="8" w:color="0000EE"/>
            </w:tcBorders>
            <w:gridSpan w:val="10"/>
          </w:tcPr>
          <w:p>
            <w:pPr>
              <w:spacing w:after="0" w:line="183" w:lineRule="exact"/>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PART I — FINANCIAL INFORMATION</w:t>
              </w:r>
            </w:hyperlink>
          </w:p>
        </w:tc>
        <w:tc>
          <w:tcPr>
            <w:tcW w:w="2260" w:type="dxa"/>
            <w:vAlign w:val="bottom"/>
            <w:tcBorders>
              <w:top w:val="single" w:sz="8" w:color="0000EE"/>
            </w:tcBorders>
            <w:gridSpan w:val="2"/>
          </w:tcPr>
          <w:p>
            <w:pPr>
              <w:spacing w:after="0"/>
              <w:rPr>
                <w:sz w:val="15"/>
                <w:szCs w:val="15"/>
                <w:color w:val="auto"/>
              </w:rPr>
            </w:pPr>
          </w:p>
        </w:tc>
        <w:tc>
          <w:tcPr>
            <w:tcW w:w="53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20" w:type="dxa"/>
            <w:vAlign w:val="bottom"/>
            <w:gridSpan w:val="2"/>
          </w:tcPr>
          <w:p>
            <w:pPr>
              <w:spacing w:after="0" w:line="183" w:lineRule="exact"/>
              <w:rPr>
                <w:sz w:val="20"/>
                <w:szCs w:val="20"/>
                <w:color w:val="auto"/>
              </w:rPr>
            </w:pPr>
            <w:r>
              <w:rPr>
                <w:rFonts w:ascii="Arial" w:cs="Arial" w:eastAsia="Arial" w:hAnsi="Arial"/>
                <w:sz w:val="16"/>
                <w:szCs w:val="16"/>
                <w:color w:val="auto"/>
              </w:rPr>
              <w:t>ITEM 1</w:t>
            </w:r>
          </w:p>
        </w:tc>
        <w:tc>
          <w:tcPr>
            <w:tcW w:w="9580" w:type="dxa"/>
            <w:vAlign w:val="bottom"/>
            <w:gridSpan w:val="12"/>
          </w:tcPr>
          <w:p>
            <w:pPr>
              <w:spacing w:after="0" w:line="183" w:lineRule="exact"/>
              <w:rPr>
                <w:rFonts w:ascii="Arial" w:cs="Arial" w:eastAsia="Arial" w:hAnsi="Arial"/>
                <w:sz w:val="16"/>
                <w:szCs w:val="16"/>
                <w:color w:val="0000EE"/>
              </w:rPr>
            </w:pPr>
            <w:hyperlink w:anchor="page4">
              <w:r>
                <w:rPr>
                  <w:rFonts w:ascii="Arial" w:cs="Arial" w:eastAsia="Arial" w:hAnsi="Arial"/>
                  <w:sz w:val="16"/>
                  <w:szCs w:val="16"/>
                  <w:color w:val="0000EE"/>
                </w:rPr>
                <w:t>Financial Statements</w:t>
              </w:r>
            </w:hyperlink>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4</w:t>
            </w: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83"/>
        </w:trPr>
        <w:tc>
          <w:tcPr>
            <w:tcW w:w="920" w:type="dxa"/>
            <w:vAlign w:val="bottom"/>
            <w:gridSpan w:val="2"/>
          </w:tcPr>
          <w:p>
            <w:pPr>
              <w:spacing w:after="0" w:line="183" w:lineRule="exact"/>
              <w:rPr>
                <w:sz w:val="20"/>
                <w:szCs w:val="20"/>
                <w:color w:val="auto"/>
              </w:rPr>
            </w:pPr>
            <w:r>
              <w:rPr>
                <w:rFonts w:ascii="Arial" w:cs="Arial" w:eastAsia="Arial" w:hAnsi="Arial"/>
                <w:sz w:val="16"/>
                <w:szCs w:val="16"/>
                <w:color w:val="auto"/>
              </w:rPr>
              <w:t>ITEM 2</w:t>
            </w:r>
          </w:p>
        </w:tc>
        <w:tc>
          <w:tcPr>
            <w:tcW w:w="5820" w:type="dxa"/>
            <w:vAlign w:val="bottom"/>
            <w:tcBorders>
              <w:bottom w:val="single" w:sz="8" w:color="0000EE"/>
            </w:tcBorders>
            <w:gridSpan w:val="11"/>
          </w:tcPr>
          <w:p>
            <w:pPr>
              <w:spacing w:after="0" w:line="183" w:lineRule="exact"/>
              <w:rPr>
                <w:rFonts w:ascii="Arial" w:cs="Arial" w:eastAsia="Arial" w:hAnsi="Arial"/>
                <w:sz w:val="16"/>
                <w:szCs w:val="16"/>
                <w:color w:val="0000EE"/>
                <w:w w:val="92"/>
              </w:rPr>
            </w:pPr>
            <w:hyperlink w:anchor="page20">
              <w:r>
                <w:rPr>
                  <w:rFonts w:ascii="Arial" w:cs="Arial" w:eastAsia="Arial" w:hAnsi="Arial"/>
                  <w:sz w:val="16"/>
                  <w:szCs w:val="16"/>
                  <w:color w:val="0000EE"/>
                  <w:w w:val="92"/>
                </w:rPr>
                <w:t>Management’s Discussion and Analysis of Financial Condition and Results of Operations</w:t>
              </w:r>
            </w:hyperlink>
          </w:p>
        </w:tc>
        <w:tc>
          <w:tcPr>
            <w:tcW w:w="3760" w:type="dxa"/>
            <w:vAlign w:val="bottom"/>
          </w:tcPr>
          <w:p>
            <w:pPr>
              <w:spacing w:after="0"/>
              <w:rPr>
                <w:sz w:val="15"/>
                <w:szCs w:val="15"/>
                <w:color w:val="auto"/>
              </w:rPr>
            </w:pPr>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20</w:t>
            </w:r>
          </w:p>
        </w:tc>
      </w:tr>
      <w:tr>
        <w:trPr>
          <w:trHeight w:val="183"/>
        </w:trPr>
        <w:tc>
          <w:tcPr>
            <w:tcW w:w="920" w:type="dxa"/>
            <w:vAlign w:val="bottom"/>
            <w:gridSpan w:val="2"/>
          </w:tcPr>
          <w:p>
            <w:pPr>
              <w:spacing w:after="0" w:line="183" w:lineRule="exact"/>
              <w:rPr>
                <w:sz w:val="20"/>
                <w:szCs w:val="20"/>
                <w:color w:val="auto"/>
              </w:rPr>
            </w:pPr>
            <w:r>
              <w:rPr>
                <w:rFonts w:ascii="Arial" w:cs="Arial" w:eastAsia="Arial" w:hAnsi="Arial"/>
                <w:sz w:val="16"/>
                <w:szCs w:val="16"/>
                <w:color w:val="auto"/>
              </w:rPr>
              <w:t>ITEM 3</w:t>
            </w:r>
          </w:p>
        </w:tc>
        <w:tc>
          <w:tcPr>
            <w:tcW w:w="9580" w:type="dxa"/>
            <w:vAlign w:val="bottom"/>
            <w:gridSpan w:val="12"/>
          </w:tcPr>
          <w:p>
            <w:pPr>
              <w:spacing w:after="0" w:line="183" w:lineRule="exact"/>
              <w:rPr>
                <w:rFonts w:ascii="Arial" w:cs="Arial" w:eastAsia="Arial" w:hAnsi="Arial"/>
                <w:sz w:val="16"/>
                <w:szCs w:val="16"/>
                <w:color w:val="0000EE"/>
              </w:rPr>
            </w:pPr>
            <w:hyperlink w:anchor="page33">
              <w:r>
                <w:rPr>
                  <w:rFonts w:ascii="Arial" w:cs="Arial" w:eastAsia="Arial" w:hAnsi="Arial"/>
                  <w:sz w:val="16"/>
                  <w:szCs w:val="16"/>
                  <w:color w:val="0000EE"/>
                </w:rPr>
                <w:t>Quantitative and Qualitative Disclosure About Market Risk</w:t>
              </w:r>
            </w:hyperlink>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33</w:t>
            </w:r>
          </w:p>
        </w:tc>
      </w:tr>
      <w:tr>
        <w:trPr>
          <w:trHeight w:val="183"/>
        </w:trPr>
        <w:tc>
          <w:tcPr>
            <w:tcW w:w="920" w:type="dxa"/>
            <w:vAlign w:val="bottom"/>
            <w:gridSpan w:val="2"/>
          </w:tcPr>
          <w:p>
            <w:pPr>
              <w:spacing w:after="0" w:line="183" w:lineRule="exact"/>
              <w:rPr>
                <w:sz w:val="20"/>
                <w:szCs w:val="20"/>
                <w:color w:val="auto"/>
              </w:rPr>
            </w:pPr>
            <w:r>
              <w:rPr>
                <w:rFonts w:ascii="Arial" w:cs="Arial" w:eastAsia="Arial" w:hAnsi="Arial"/>
                <w:sz w:val="16"/>
                <w:szCs w:val="16"/>
                <w:color w:val="auto"/>
              </w:rPr>
              <w:t>ITEM 4</w:t>
            </w:r>
          </w:p>
        </w:tc>
        <w:tc>
          <w:tcPr>
            <w:tcW w:w="160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89"/>
              </w:rPr>
            </w:pPr>
            <w:hyperlink w:anchor="page34">
              <w:r>
                <w:rPr>
                  <w:rFonts w:ascii="Arial" w:cs="Arial" w:eastAsia="Arial" w:hAnsi="Arial"/>
                  <w:sz w:val="16"/>
                  <w:szCs w:val="16"/>
                  <w:color w:val="0000EE"/>
                  <w:w w:val="89"/>
                </w:rPr>
                <w:t>Controls and Procedures</w:t>
              </w:r>
            </w:hyperlink>
          </w:p>
        </w:tc>
        <w:tc>
          <w:tcPr>
            <w:tcW w:w="2260" w:type="dxa"/>
            <w:vAlign w:val="bottom"/>
            <w:tcBorders>
              <w:top w:val="single" w:sz="8" w:color="0000EE"/>
            </w:tcBorders>
            <w:gridSpan w:val="3"/>
          </w:tcPr>
          <w:p>
            <w:pPr>
              <w:spacing w:after="0"/>
              <w:rPr>
                <w:sz w:val="15"/>
                <w:szCs w:val="15"/>
                <w:color w:val="auto"/>
              </w:rPr>
            </w:pPr>
          </w:p>
        </w:tc>
        <w:tc>
          <w:tcPr>
            <w:tcW w:w="5720" w:type="dxa"/>
            <w:vAlign w:val="bottom"/>
            <w:gridSpan w:val="3"/>
          </w:tcPr>
          <w:p>
            <w:pPr>
              <w:spacing w:after="0"/>
              <w:rPr>
                <w:sz w:val="15"/>
                <w:szCs w:val="15"/>
                <w:color w:val="auto"/>
              </w:rPr>
            </w:pPr>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34</w:t>
            </w:r>
          </w:p>
        </w:tc>
      </w:tr>
      <w:tr>
        <w:trPr>
          <w:trHeight w:val="183"/>
        </w:trPr>
        <w:tc>
          <w:tcPr>
            <w:tcW w:w="10500" w:type="dxa"/>
            <w:vAlign w:val="bottom"/>
            <w:gridSpan w:val="14"/>
          </w:tcPr>
          <w:p>
            <w:pPr>
              <w:spacing w:after="0" w:line="183" w:lineRule="exact"/>
              <w:rPr>
                <w:rFonts w:ascii="Arial" w:cs="Arial" w:eastAsia="Arial" w:hAnsi="Arial"/>
                <w:sz w:val="16"/>
                <w:szCs w:val="16"/>
                <w:b w:val="1"/>
                <w:bCs w:val="1"/>
                <w:color w:val="0000EE"/>
              </w:rPr>
            </w:pPr>
            <w:hyperlink w:anchor="page35">
              <w:r>
                <w:rPr>
                  <w:rFonts w:ascii="Arial" w:cs="Arial" w:eastAsia="Arial" w:hAnsi="Arial"/>
                  <w:sz w:val="16"/>
                  <w:szCs w:val="16"/>
                  <w:b w:val="1"/>
                  <w:bCs w:val="1"/>
                  <w:color w:val="0000EE"/>
                </w:rPr>
                <w:t>PART II — OTHER INFORMATION</w:t>
              </w:r>
            </w:hyperlink>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20" w:type="dxa"/>
            <w:vAlign w:val="bottom"/>
            <w:tcBorders>
              <w:top w:val="single" w:sz="8" w:color="0000EE"/>
            </w:tcBorders>
            <w:gridSpan w:val="2"/>
          </w:tcPr>
          <w:p>
            <w:pPr>
              <w:spacing w:after="0" w:line="183" w:lineRule="exact"/>
              <w:rPr>
                <w:sz w:val="20"/>
                <w:szCs w:val="20"/>
                <w:color w:val="auto"/>
              </w:rPr>
            </w:pPr>
            <w:r>
              <w:rPr>
                <w:rFonts w:ascii="Arial" w:cs="Arial" w:eastAsia="Arial" w:hAnsi="Arial"/>
                <w:sz w:val="16"/>
                <w:szCs w:val="16"/>
                <w:color w:val="auto"/>
              </w:rPr>
              <w:t>ITEM 1</w:t>
            </w:r>
          </w:p>
        </w:tc>
        <w:tc>
          <w:tcPr>
            <w:tcW w:w="1740" w:type="dxa"/>
            <w:vAlign w:val="bottom"/>
            <w:tcBorders>
              <w:top w:val="single" w:sz="8" w:color="0000EE"/>
            </w:tcBorders>
            <w:gridSpan w:val="7"/>
          </w:tcPr>
          <w:p>
            <w:pPr>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Legal Proceedings</w:t>
              </w:r>
            </w:hyperlink>
          </w:p>
        </w:tc>
        <w:tc>
          <w:tcPr>
            <w:tcW w:w="7840" w:type="dxa"/>
            <w:vAlign w:val="bottom"/>
            <w:gridSpan w:val="5"/>
          </w:tcPr>
          <w:p>
            <w:pPr>
              <w:spacing w:after="0"/>
              <w:rPr>
                <w:sz w:val="15"/>
                <w:szCs w:val="15"/>
                <w:color w:val="auto"/>
              </w:rPr>
            </w:pPr>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35</w:t>
            </w:r>
          </w:p>
        </w:tc>
      </w:tr>
      <w:tr>
        <w:trPr>
          <w:trHeight w:val="183"/>
        </w:trPr>
        <w:tc>
          <w:tcPr>
            <w:tcW w:w="920" w:type="dxa"/>
            <w:vAlign w:val="bottom"/>
            <w:gridSpan w:val="2"/>
          </w:tcPr>
          <w:p>
            <w:pPr>
              <w:spacing w:after="0" w:line="183" w:lineRule="exact"/>
              <w:rPr>
                <w:sz w:val="20"/>
                <w:szCs w:val="20"/>
                <w:color w:val="auto"/>
              </w:rPr>
            </w:pPr>
            <w:r>
              <w:rPr>
                <w:rFonts w:ascii="Arial" w:cs="Arial" w:eastAsia="Arial" w:hAnsi="Arial"/>
                <w:sz w:val="16"/>
                <w:szCs w:val="16"/>
                <w:color w:val="auto"/>
              </w:rPr>
              <w:t>ITEM 1A</w:t>
            </w:r>
          </w:p>
        </w:tc>
        <w:tc>
          <w:tcPr>
            <w:tcW w:w="1200" w:type="dxa"/>
            <w:vAlign w:val="bottom"/>
            <w:tcBorders>
              <w:top w:val="single" w:sz="8" w:color="0000EE"/>
            </w:tcBorders>
            <w:gridSpan w:val="4"/>
          </w:tcPr>
          <w:p>
            <w:pPr>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Risk Factors</w:t>
              </w:r>
            </w:hyperlink>
          </w:p>
        </w:tc>
        <w:tc>
          <w:tcPr>
            <w:tcW w:w="8380" w:type="dxa"/>
            <w:vAlign w:val="bottom"/>
            <w:gridSpan w:val="8"/>
          </w:tcPr>
          <w:p>
            <w:pPr>
              <w:spacing w:after="0"/>
              <w:rPr>
                <w:sz w:val="15"/>
                <w:szCs w:val="15"/>
                <w:color w:val="auto"/>
              </w:rPr>
            </w:pPr>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35</w:t>
            </w:r>
          </w:p>
        </w:tc>
      </w:tr>
      <w:tr>
        <w:trPr>
          <w:trHeight w:val="183"/>
        </w:trPr>
        <w:tc>
          <w:tcPr>
            <w:tcW w:w="920" w:type="dxa"/>
            <w:vAlign w:val="bottom"/>
            <w:gridSpan w:val="2"/>
          </w:tcPr>
          <w:p>
            <w:pPr>
              <w:spacing w:after="0" w:line="183" w:lineRule="exact"/>
              <w:rPr>
                <w:sz w:val="20"/>
                <w:szCs w:val="20"/>
                <w:color w:val="auto"/>
              </w:rPr>
            </w:pPr>
            <w:r>
              <w:rPr>
                <w:rFonts w:ascii="Arial" w:cs="Arial" w:eastAsia="Arial" w:hAnsi="Arial"/>
                <w:sz w:val="16"/>
                <w:szCs w:val="16"/>
                <w:color w:val="auto"/>
              </w:rPr>
              <w:t>ITEM 6</w:t>
            </w:r>
          </w:p>
        </w:tc>
        <w:tc>
          <w:tcPr>
            <w:tcW w:w="820" w:type="dxa"/>
            <w:vAlign w:val="bottom"/>
            <w:tcBorders>
              <w:top w:val="single" w:sz="8" w:color="0000EE"/>
            </w:tcBorders>
            <w:gridSpan w:val="3"/>
          </w:tcPr>
          <w:p>
            <w:pPr>
              <w:spacing w:after="0" w:line="183" w:lineRule="exact"/>
              <w:rPr>
                <w:rFonts w:ascii="Arial" w:cs="Arial" w:eastAsia="Arial" w:hAnsi="Arial"/>
                <w:sz w:val="16"/>
                <w:szCs w:val="16"/>
                <w:color w:val="0000EE"/>
              </w:rPr>
            </w:pPr>
            <w:hyperlink w:anchor="page85">
              <w:r>
                <w:rPr>
                  <w:rFonts w:ascii="Arial" w:cs="Arial" w:eastAsia="Arial" w:hAnsi="Arial"/>
                  <w:sz w:val="16"/>
                  <w:szCs w:val="16"/>
                  <w:color w:val="0000EE"/>
                </w:rPr>
                <w:t>Exhibits</w:t>
              </w:r>
            </w:hyperlink>
          </w:p>
        </w:tc>
        <w:tc>
          <w:tcPr>
            <w:tcW w:w="8760" w:type="dxa"/>
            <w:vAlign w:val="bottom"/>
            <w:gridSpan w:val="9"/>
          </w:tcPr>
          <w:p>
            <w:pPr>
              <w:spacing w:after="0"/>
              <w:rPr>
                <w:sz w:val="15"/>
                <w:szCs w:val="15"/>
                <w:color w:val="auto"/>
              </w:rPr>
            </w:pPr>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85</w:t>
            </w:r>
          </w:p>
        </w:tc>
      </w:tr>
      <w:tr>
        <w:trPr>
          <w:trHeight w:val="183"/>
        </w:trPr>
        <w:tc>
          <w:tcPr>
            <w:tcW w:w="700" w:type="dxa"/>
            <w:vAlign w:val="bottom"/>
            <w:tcBorders>
              <w:bottom w:val="single" w:sz="8" w:color="0000EE"/>
            </w:tcBorders>
          </w:tcPr>
          <w:p>
            <w:pPr>
              <w:spacing w:after="0" w:line="183" w:lineRule="exact"/>
              <w:rPr>
                <w:rFonts w:ascii="Arial" w:cs="Arial" w:eastAsia="Arial" w:hAnsi="Arial"/>
                <w:sz w:val="16"/>
                <w:szCs w:val="16"/>
                <w:color w:val="0000EE"/>
                <w:w w:val="88"/>
              </w:rPr>
            </w:pPr>
            <w:hyperlink w:anchor="page86">
              <w:r>
                <w:rPr>
                  <w:rFonts w:ascii="Arial" w:cs="Arial" w:eastAsia="Arial" w:hAnsi="Arial"/>
                  <w:sz w:val="16"/>
                  <w:szCs w:val="16"/>
                  <w:color w:val="0000EE"/>
                  <w:w w:val="88"/>
                </w:rPr>
                <w:t>Signatures</w:t>
              </w:r>
            </w:hyperlink>
          </w:p>
        </w:tc>
        <w:tc>
          <w:tcPr>
            <w:tcW w:w="2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39" w:lineRule="exact"/>
        <w:rPr>
          <w:sz w:val="20"/>
          <w:szCs w:val="20"/>
          <w:color w:val="auto"/>
        </w:rPr>
      </w:pPr>
    </w:p>
    <w:p>
      <w:pPr>
        <w:ind w:firstLine="777"/>
        <w:spacing w:after="0" w:line="287" w:lineRule="auto"/>
        <w:rPr>
          <w:sz w:val="20"/>
          <w:szCs w:val="20"/>
          <w:color w:val="auto"/>
        </w:rPr>
      </w:pPr>
      <w:r>
        <w:rPr>
          <w:rFonts w:ascii="Arial" w:cs="Arial" w:eastAsia="Arial" w:hAnsi="Arial"/>
          <w:sz w:val="15"/>
          <w:szCs w:val="15"/>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78" w:lineRule="exact"/>
        <w:rPr>
          <w:sz w:val="20"/>
          <w:szCs w:val="20"/>
          <w:color w:val="auto"/>
        </w:rPr>
      </w:pPr>
    </w:p>
    <w:p>
      <w:pPr>
        <w:ind w:left="1200" w:hanging="423"/>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for increases or decreases in expenses;</w:t>
      </w:r>
    </w:p>
    <w:p>
      <w:pPr>
        <w:spacing w:after="0" w:line="126" w:lineRule="exact"/>
        <w:rPr>
          <w:rFonts w:ascii="Arial" w:cs="Arial" w:eastAsia="Arial" w:hAnsi="Arial"/>
          <w:sz w:val="16"/>
          <w:szCs w:val="16"/>
          <w:color w:val="auto"/>
        </w:rPr>
      </w:pPr>
    </w:p>
    <w:p>
      <w:pPr>
        <w:ind w:left="1200" w:right="120" w:hanging="423"/>
        <w:spacing w:after="0" w:line="293" w:lineRule="auto"/>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for the clinical and preclinical development, manufacturing, regulatory approval, and commercialization of our pharmaceutical product candidates or any other products that we may acquire or in-license;</w:t>
      </w:r>
    </w:p>
    <w:p>
      <w:pPr>
        <w:spacing w:after="0" w:line="63" w:lineRule="exact"/>
        <w:rPr>
          <w:rFonts w:ascii="Arial" w:cs="Arial" w:eastAsia="Arial" w:hAnsi="Arial"/>
          <w:sz w:val="16"/>
          <w:szCs w:val="16"/>
          <w:color w:val="auto"/>
        </w:rPr>
      </w:pPr>
    </w:p>
    <w:p>
      <w:pPr>
        <w:ind w:left="1200" w:hanging="423"/>
        <w:spacing w:after="0"/>
        <w:tabs>
          <w:tab w:leader="none" w:pos="1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estimates of the sufficiency of our existing capital resources combined with future anticipated cash flows to finance our operating requirements;</w:t>
      </w:r>
    </w:p>
    <w:p>
      <w:pPr>
        <w:spacing w:after="0" w:line="138" w:lineRule="exact"/>
        <w:rPr>
          <w:rFonts w:ascii="Arial" w:cs="Arial" w:eastAsia="Arial" w:hAnsi="Arial"/>
          <w:sz w:val="15"/>
          <w:szCs w:val="15"/>
          <w:color w:val="auto"/>
        </w:rPr>
      </w:pPr>
    </w:p>
    <w:p>
      <w:pPr>
        <w:ind w:left="1200" w:hanging="423"/>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for incurring capital expenditures to expand our research and development and manufacturing capabilities;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unforeseen circumstances or other disruptions to normal business operations arising from or related to COVID-19;</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for generating revenue or becoming profitable on a sustained basis;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or ability to enter into marketing and other partnership agreements;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or ability to enter into product acquisition and in-licensing transactions;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or ability to build our own commercial infrastructure to manufacture, market and sell our product candidates;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expected losses;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for our product candidates;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acceptance of our products by doctors, patients, or payors;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stock price and its volatility;</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key personnel;</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performance of our third-party manufacturers;</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for future capital requirements; and</w:t>
      </w:r>
    </w:p>
    <w:p>
      <w:pPr>
        <w:spacing w:after="0" w:line="126" w:lineRule="exact"/>
        <w:rPr>
          <w:rFonts w:ascii="Arial" w:cs="Arial" w:eastAsia="Arial" w:hAnsi="Arial"/>
          <w:sz w:val="16"/>
          <w:szCs w:val="16"/>
          <w:color w:val="auto"/>
        </w:rPr>
      </w:pPr>
    </w:p>
    <w:p>
      <w:pPr>
        <w:ind w:left="1200" w:hanging="423"/>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implement our strategy.</w:t>
      </w:r>
    </w:p>
    <w:p>
      <w:pPr>
        <w:spacing w:after="0" w:line="235" w:lineRule="exact"/>
        <w:rPr>
          <w:sz w:val="20"/>
          <w:szCs w:val="20"/>
          <w:color w:val="auto"/>
        </w:rPr>
      </w:pPr>
    </w:p>
    <w:p>
      <w:pPr>
        <w:ind w:right="240" w:firstLine="777"/>
        <w:spacing w:after="0" w:line="293"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72" w:lineRule="exact"/>
        <w:rPr>
          <w:sz w:val="20"/>
          <w:szCs w:val="20"/>
          <w:color w:val="auto"/>
        </w:rPr>
      </w:pPr>
    </w:p>
    <w:p>
      <w:pPr>
        <w:ind w:right="20" w:firstLine="777"/>
        <w:spacing w:after="0" w:line="293"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17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164,660,132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183,876,453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375,306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165,035,438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184,024,826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Equipment, net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74,316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52,647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 - operating lease</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1,476,711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1,739,475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317,375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166,903,840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186,134,323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14,621,717</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13,504,022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5,864,526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8,713,249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liability, current portion</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1,196,539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1,220,587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21,682,782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23,437,858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Loan payable, long-term</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48,597,943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48,321,848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long-term</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329,916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581,708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70,610,641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72,341,414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w w:val="90"/>
              </w:rPr>
              <w:t>Preferred stock, $0.0001 par value per share (10,000,000 shares authorized, none issued and outstanding</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at March 31, 2021 and December 31, 2020, respectively)</w:t>
            </w:r>
          </w:p>
        </w:tc>
        <w:tc>
          <w:tcPr>
            <w:tcW w:w="26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$0.0001 par value per share (150,000,000 shares authorized, 37,563,882 and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w w:val="96"/>
              </w:rPr>
              <w:t>37,374,088 shares issued and outstanding at March 31, 2021 and December 31, 2020, respectively)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404,345,506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392,585,265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(308,056,063)</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(278,796,093)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96,293,199</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113,792,909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166,903,840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186,134,323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Three Months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00" w:type="dxa"/>
            <w:vAlign w:val="bottom"/>
            <w:tcBorders>
              <w:bottom w:val="single" w:sz="8" w:color="CFF0FC"/>
            </w:tcBorders>
          </w:tcPr>
          <w:p>
            <w:pPr>
              <w:spacing w:after="0"/>
              <w:rPr>
                <w:sz w:val="13"/>
                <w:szCs w:val="13"/>
                <w:color w:val="auto"/>
              </w:rPr>
            </w:pPr>
          </w:p>
        </w:tc>
        <w:tc>
          <w:tcPr>
            <w:tcW w:w="16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16,595,689</w:t>
            </w:r>
          </w:p>
        </w:tc>
        <w:tc>
          <w:tcPr>
            <w:tcW w:w="28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27,521,400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11,248,372</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4,970,057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6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27,844,061</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32,491,457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(27,844,061)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(32,491,457)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Interest and amortization of debt discount (expense) income</w:t>
            </w: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(1,415,909)</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(29,259,970)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(32,484,146</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20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FF0FC"/>
            </w:tcBorders>
            <w:vMerge w:val="continue"/>
          </w:tcPr>
          <w:p>
            <w:pPr>
              <w:spacing w:after="0"/>
              <w:rPr>
                <w:sz w:val="21"/>
                <w:szCs w:val="21"/>
                <w:color w:val="auto"/>
              </w:rPr>
            </w:pPr>
          </w:p>
        </w:tc>
        <w:tc>
          <w:tcPr>
            <w:tcW w:w="166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28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6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37,429,450</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37,061,356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42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Additional</w:t>
            </w:r>
          </w:p>
        </w:tc>
        <w:tc>
          <w:tcPr>
            <w:tcW w:w="12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522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paid-in capital</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Balance at December 31, 2019</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36,933,217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3,693</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354,614,189</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(175,895,493)</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178,722,389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2,133,530</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2,133,530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upon exercise of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60,186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629,750</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Issuance of common stock related to license agreement</w:t>
            </w:r>
          </w:p>
        </w:tc>
        <w:tc>
          <w:tcPr>
            <w:tcW w:w="1000" w:type="dxa"/>
            <w:vAlign w:val="bottom"/>
          </w:tcPr>
          <w:p>
            <w:pPr>
              <w:jc w:val="right"/>
              <w:spacing w:after="0"/>
              <w:rPr>
                <w:sz w:val="20"/>
                <w:szCs w:val="20"/>
                <w:color w:val="auto"/>
              </w:rPr>
            </w:pPr>
            <w:r>
              <w:rPr>
                <w:rFonts w:ascii="Arial" w:cs="Arial" w:eastAsia="Arial" w:hAnsi="Arial"/>
                <w:sz w:val="16"/>
                <w:szCs w:val="16"/>
                <w:color w:val="auto"/>
              </w:rPr>
              <w:t>82,019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7,155,329</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7,155,337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(32,484,146)</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(32,484,146)</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6"/>
                <w:szCs w:val="16"/>
                <w:color w:val="auto"/>
              </w:rPr>
              <w:t>Balance at March 31, 2020</w:t>
            </w: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2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37,075,422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3,707</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364,532,798</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(208,379,639)</w:t>
            </w:r>
          </w:p>
        </w:tc>
        <w:tc>
          <w:tcPr>
            <w:tcW w:w="1040" w:type="dxa"/>
            <w:vAlign w:val="bottom"/>
          </w:tcPr>
          <w:p>
            <w:pPr>
              <w:jc w:val="right"/>
              <w:spacing w:after="0"/>
              <w:rPr>
                <w:sz w:val="20"/>
                <w:szCs w:val="20"/>
                <w:color w:val="auto"/>
              </w:rPr>
            </w:pPr>
            <w:r>
              <w:rPr>
                <w:rFonts w:ascii="Arial" w:cs="Arial" w:eastAsia="Arial" w:hAnsi="Arial"/>
                <w:sz w:val="16"/>
                <w:szCs w:val="16"/>
                <w:color w:val="auto"/>
              </w:rPr>
              <w:t>156,156,866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Balance at December 31, 2020</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20" w:type="dxa"/>
            <w:vAlign w:val="bottom"/>
            <w:vMerge w:val="continue"/>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37,374,088</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3,737</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392,585,265</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(278,796,093)</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113,792,909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3,731,097</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3,731,097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upon exercise of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94,000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1,913,289</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1,913,299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Issuance of common stock upon vesting of RSUs</w:t>
            </w:r>
          </w:p>
        </w:tc>
        <w:tc>
          <w:tcPr>
            <w:tcW w:w="1000" w:type="dxa"/>
            <w:vAlign w:val="bottom"/>
          </w:tcPr>
          <w:p>
            <w:pPr>
              <w:jc w:val="right"/>
              <w:spacing w:after="0"/>
              <w:rPr>
                <w:sz w:val="20"/>
                <w:szCs w:val="20"/>
                <w:color w:val="auto"/>
              </w:rPr>
            </w:pPr>
            <w:r>
              <w:rPr>
                <w:rFonts w:ascii="Arial" w:cs="Arial" w:eastAsia="Arial" w:hAnsi="Arial"/>
                <w:sz w:val="16"/>
                <w:szCs w:val="16"/>
                <w:color w:val="auto"/>
              </w:rPr>
              <w:t>1,917</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upon financing</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93,877</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6,115,855</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6,115,864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(29,259,970)</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(29,259,970)</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at March 31, 2021</w:t>
            </w: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37,563,882</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3,756</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404,345,506</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(308,056,063)</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96,293,199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(29,259,970)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(32,484,146)</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3,731,097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2,133,530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Non-cash research and development license expense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7,155,337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276,095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177,652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operating lease right-of-use asset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262,764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Change in operating lease liability</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(275,840)</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(226,933)</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1,117,695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(2,848,723)</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(1,609,407)</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(27,215,489)</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(23,273,184)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equipment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(29,995)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(29,995)</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issuance of common stock upon financing,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6,115,864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upon exercise of options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1,913,299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629,756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8,029,163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(19,216,321)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(22,652,759)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183,876,453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219,966,167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164,660,132</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197,313,408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paid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1,143,750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379,167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(Unaudited)</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Note 1. Nature of Business and Basis of Presentation</w:t>
      </w:r>
    </w:p>
    <w:p>
      <w:pPr>
        <w:spacing w:after="0" w:line="212" w:lineRule="exact"/>
        <w:rPr>
          <w:sz w:val="20"/>
          <w:szCs w:val="20"/>
          <w:color w:val="auto"/>
        </w:rPr>
      </w:pPr>
    </w:p>
    <w:p>
      <w:pPr>
        <w:ind w:right="60" w:firstLine="777"/>
        <w:spacing w:after="0" w:line="269" w:lineRule="auto"/>
        <w:rPr>
          <w:sz w:val="20"/>
          <w:szCs w:val="20"/>
          <w:color w:val="auto"/>
        </w:rPr>
      </w:pPr>
      <w:r>
        <w:rPr>
          <w:rFonts w:ascii="Arial" w:cs="Arial" w:eastAsia="Arial" w:hAnsi="Arial"/>
          <w:sz w:val="16"/>
          <w:szCs w:val="16"/>
          <w:color w:val="auto"/>
        </w:rPr>
        <w:t>Axsome Therapeutics, Inc. (“Axsome” or the “Company”) is a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core CNS portfolio includes five product candidates, AXS-05, AXS-07, AXS-09, AXS-12, and AXS-14,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w:t>
      </w:r>
    </w:p>
    <w:p>
      <w:pPr>
        <w:spacing w:after="0" w:line="153" w:lineRule="exact"/>
        <w:rPr>
          <w:sz w:val="20"/>
          <w:szCs w:val="20"/>
          <w:color w:val="auto"/>
        </w:rPr>
      </w:pPr>
    </w:p>
    <w:p>
      <w:pPr>
        <w:jc w:val="both"/>
        <w:ind w:right="60" w:firstLine="777"/>
        <w:spacing w:after="0" w:line="318" w:lineRule="auto"/>
        <w:rPr>
          <w:sz w:val="20"/>
          <w:szCs w:val="20"/>
          <w:color w:val="auto"/>
        </w:rPr>
      </w:pPr>
      <w:r>
        <w:rPr>
          <w:rFonts w:ascii="Arial" w:cs="Arial" w:eastAsia="Arial" w:hAnsi="Arial"/>
          <w:sz w:val="14"/>
          <w:szCs w:val="14"/>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2020 filed with the SEC on March 1, 2021.</w:t>
      </w:r>
    </w:p>
    <w:p>
      <w:pPr>
        <w:spacing w:after="0" w:line="121" w:lineRule="exact"/>
        <w:rPr>
          <w:sz w:val="20"/>
          <w:szCs w:val="20"/>
          <w:color w:val="auto"/>
        </w:rPr>
      </w:pPr>
    </w:p>
    <w:p>
      <w:pPr>
        <w:ind w:firstLine="777"/>
        <w:spacing w:after="0" w:line="278" w:lineRule="auto"/>
        <w:rPr>
          <w:sz w:val="20"/>
          <w:szCs w:val="20"/>
          <w:color w:val="auto"/>
        </w:rPr>
      </w:pPr>
      <w:r>
        <w:rPr>
          <w:rFonts w:ascii="Arial" w:cs="Arial" w:eastAsia="Arial" w:hAnsi="Arial"/>
          <w:sz w:val="16"/>
          <w:szCs w:val="16"/>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months ended March 31, 2021 are not necessarily indicative of the operating results for the full fiscal year or any future period.</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Liquidity and Capital Resources</w:t>
      </w:r>
    </w:p>
    <w:p>
      <w:pPr>
        <w:spacing w:after="0" w:line="198" w:lineRule="exact"/>
        <w:rPr>
          <w:sz w:val="20"/>
          <w:szCs w:val="20"/>
          <w:color w:val="auto"/>
        </w:rPr>
      </w:pPr>
    </w:p>
    <w:p>
      <w:pPr>
        <w:ind w:right="520" w:firstLine="777"/>
        <w:spacing w:after="0" w:line="293" w:lineRule="auto"/>
        <w:rPr>
          <w:sz w:val="20"/>
          <w:szCs w:val="20"/>
          <w:color w:val="auto"/>
        </w:rPr>
      </w:pPr>
      <w:r>
        <w:rPr>
          <w:rFonts w:ascii="Arial" w:cs="Arial" w:eastAsia="Arial" w:hAnsi="Arial"/>
          <w:sz w:val="16"/>
          <w:szCs w:val="16"/>
          <w:color w:val="auto"/>
        </w:rPr>
        <w:t>The Company has incurred operating losses since its inception, and expects to continue to incur operating losses for the foreseeable future and may never become profitable. As of March 31, 2021, the Company had an accumulated deficit of $308.1 million.</w:t>
      </w:r>
    </w:p>
    <w:p>
      <w:pPr>
        <w:spacing w:after="0" w:line="131" w:lineRule="exact"/>
        <w:rPr>
          <w:sz w:val="20"/>
          <w:szCs w:val="20"/>
          <w:color w:val="auto"/>
        </w:rPr>
      </w:pPr>
    </w:p>
    <w:p>
      <w:pPr>
        <w:ind w:right="40" w:firstLine="777"/>
        <w:spacing w:after="0" w:line="271" w:lineRule="auto"/>
        <w:rPr>
          <w:sz w:val="20"/>
          <w:szCs w:val="20"/>
          <w:color w:val="auto"/>
        </w:rPr>
      </w:pPr>
      <w:r>
        <w:rPr>
          <w:rFonts w:ascii="Arial" w:cs="Arial" w:eastAsia="Arial" w:hAnsi="Arial"/>
          <w:sz w:val="16"/>
          <w:szCs w:val="16"/>
          <w:color w:val="auto"/>
        </w:rPr>
        <w:t>The Company’s primary sources of cash have been proceeds from the issuance and sale of its common stock in public offerings. The Company has not yet commercialized any of its product candidates and cannot be sure if it will ever be able to do so.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63" w:lineRule="exact"/>
        <w:rPr>
          <w:sz w:val="20"/>
          <w:szCs w:val="20"/>
          <w:color w:val="auto"/>
        </w:rPr>
      </w:pPr>
    </w:p>
    <w:p>
      <w:pPr>
        <w:ind w:right="60" w:firstLine="777"/>
        <w:spacing w:after="0" w:line="271" w:lineRule="auto"/>
        <w:rPr>
          <w:sz w:val="20"/>
          <w:szCs w:val="20"/>
          <w:color w:val="auto"/>
        </w:rPr>
      </w:pPr>
      <w:r>
        <w:rPr>
          <w:rFonts w:ascii="Arial" w:cs="Arial" w:eastAsia="Arial" w:hAnsi="Arial"/>
          <w:sz w:val="16"/>
          <w:szCs w:val="16"/>
          <w:color w:val="auto"/>
        </w:rPr>
        <w:t>The Company believes its existing cash will be sufficient to fund its anticipated operating cash requirements for at least twelve months following the date of this filing. The actual amount of cash that the Company will need to operate is subject to many factors, including, but not limited to, the timing, design and conduct of clinical trials for its product candidates. The Company may use a combination of public and private equity offerings, debt financings, other third-party funding, strategic alliances, licensing arrangements or marketing and distribution arrangements if market conditions are favorable or in light of other strategic considerations to finance its future cash needs.</w:t>
      </w:r>
    </w:p>
    <w:p>
      <w:pPr>
        <w:spacing w:after="0" w:line="17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Company’s common stock is listed on the Nasdaq Global Market and trades under the symbol “AXSM”.</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COVID-19</w:t>
      </w:r>
    </w:p>
    <w:p>
      <w:pPr>
        <w:spacing w:after="0" w:line="212" w:lineRule="exact"/>
        <w:rPr>
          <w:sz w:val="20"/>
          <w:szCs w:val="20"/>
          <w:color w:val="auto"/>
        </w:rPr>
      </w:pPr>
    </w:p>
    <w:p>
      <w:pPr>
        <w:ind w:right="20" w:firstLine="777"/>
        <w:spacing w:after="0" w:line="267" w:lineRule="auto"/>
        <w:rPr>
          <w:sz w:val="20"/>
          <w:szCs w:val="20"/>
          <w:color w:val="auto"/>
        </w:rPr>
      </w:pPr>
      <w:r>
        <w:rPr>
          <w:rFonts w:ascii="Arial" w:cs="Arial" w:eastAsia="Arial" w:hAnsi="Arial"/>
          <w:sz w:val="16"/>
          <w:szCs w:val="16"/>
          <w:color w:val="auto"/>
        </w:rPr>
        <w:t>In December 2019, a novel (new) coronavirus known as SARS-CoV-2 was first detected in Wuhan, Hubei Province, People’s Republic of China, causing outbreaks of the coronavirus disease, known as COVID-19, that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pandemic. 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the Company does not believe the COVID-19 pandemic has had or will have a material impact on the Company’s current investment liquidity.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Risks and Uncertainties</w:t>
      </w:r>
    </w:p>
    <w:p>
      <w:pPr>
        <w:spacing w:after="0" w:line="239" w:lineRule="exact"/>
        <w:rPr>
          <w:sz w:val="20"/>
          <w:szCs w:val="20"/>
          <w:color w:val="auto"/>
        </w:rPr>
      </w:pPr>
    </w:p>
    <w:p>
      <w:pPr>
        <w:ind w:left="780"/>
        <w:spacing w:after="0"/>
        <w:rPr>
          <w:sz w:val="20"/>
          <w:szCs w:val="20"/>
          <w:color w:val="auto"/>
        </w:rPr>
      </w:pPr>
      <w:r>
        <w:rPr>
          <w:rFonts w:ascii="Arial" w:cs="Arial" w:eastAsia="Arial" w:hAnsi="Arial"/>
          <w:sz w:val="14"/>
          <w:szCs w:val="14"/>
          <w:color w:val="auto"/>
        </w:rPr>
        <w:t>The Company’s operations are subject to a number of factors that can affect its operating results and financial condition. Such factors include, but are not limited</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to: the results of clinical testing and trial activities of the Company’s product candidates; the Company’s ability to obtain regulatory approval to market its products, if</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approved; competition from products manufactured and sold or being developed by other companies; the price of, and demand for, the Company’s products, if approved; the</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Company’s ability to negotiate favorable licensing or other manufacturing and marketing agreements for its products, if approved; and the Company’s ability to raise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additional financing. If the Company does not successfully commercialize any of its product candidates, it will be unable to generate recurring product revenue or achieve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and maintain profitability.</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39" w:lineRule="exact"/>
        <w:rPr>
          <w:sz w:val="20"/>
          <w:szCs w:val="20"/>
          <w:color w:val="auto"/>
        </w:rPr>
      </w:pPr>
    </w:p>
    <w:p>
      <w:pPr>
        <w:ind w:right="100" w:firstLine="777"/>
        <w:spacing w:after="0" w:line="203" w:lineRule="exact"/>
        <w:rPr>
          <w:sz w:val="20"/>
          <w:szCs w:val="20"/>
          <w:color w:val="auto"/>
        </w:rPr>
      </w:pPr>
      <w:r>
        <w:rPr>
          <w:rFonts w:ascii="Arial" w:cs="Arial" w:eastAsia="Arial" w:hAnsi="Arial"/>
          <w:sz w:val="14"/>
          <w:szCs w:val="14"/>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 the determination of the fair value of the warrants; the accounting for research and development costs; and the recoverability of the Company’s net deferred tax assets and related valuation allowance.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Translation</w:t>
      </w:r>
    </w:p>
    <w:p>
      <w:pPr>
        <w:spacing w:after="0" w:line="239" w:lineRule="exact"/>
        <w:rPr>
          <w:sz w:val="20"/>
          <w:szCs w:val="20"/>
          <w:color w:val="auto"/>
        </w:rPr>
      </w:pPr>
    </w:p>
    <w:p>
      <w:pPr>
        <w:ind w:right="280" w:firstLine="777"/>
        <w:spacing w:after="0" w:line="278" w:lineRule="auto"/>
        <w:rPr>
          <w:sz w:val="20"/>
          <w:szCs w:val="20"/>
          <w:color w:val="auto"/>
        </w:rPr>
      </w:pPr>
      <w:r>
        <w:rPr>
          <w:rFonts w:ascii="Arial" w:cs="Arial" w:eastAsia="Arial" w:hAnsi="Arial"/>
          <w:sz w:val="16"/>
          <w:szCs w:val="16"/>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and Geographic Information</w:t>
      </w:r>
    </w:p>
    <w:p>
      <w:pPr>
        <w:spacing w:after="0" w:line="239" w:lineRule="exact"/>
        <w:rPr>
          <w:sz w:val="20"/>
          <w:szCs w:val="20"/>
          <w:color w:val="auto"/>
        </w:rPr>
      </w:pPr>
    </w:p>
    <w:p>
      <w:pPr>
        <w:ind w:firstLine="777"/>
        <w:spacing w:after="0" w:line="278" w:lineRule="auto"/>
        <w:rPr>
          <w:sz w:val="20"/>
          <w:szCs w:val="20"/>
          <w:color w:val="auto"/>
        </w:rPr>
      </w:pPr>
      <w:r>
        <w:rPr>
          <w:rFonts w:ascii="Arial" w:cs="Arial" w:eastAsia="Arial" w:hAnsi="Arial"/>
          <w:sz w:val="16"/>
          <w:szCs w:val="16"/>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39" w:lineRule="exact"/>
        <w:rPr>
          <w:sz w:val="20"/>
          <w:szCs w:val="20"/>
          <w:color w:val="auto"/>
        </w:rPr>
      </w:pPr>
    </w:p>
    <w:p>
      <w:pPr>
        <w:ind w:firstLine="777"/>
        <w:spacing w:after="0" w:line="271" w:lineRule="auto"/>
        <w:rPr>
          <w:sz w:val="20"/>
          <w:szCs w:val="20"/>
          <w:color w:val="auto"/>
        </w:rPr>
      </w:pPr>
      <w:r>
        <w:rPr>
          <w:rFonts w:ascii="Arial" w:cs="Arial" w:eastAsia="Arial" w:hAnsi="Arial"/>
          <w:sz w:val="16"/>
          <w:szCs w:val="16"/>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March 31, 2021, the balance of cash and cash equivalents was $164.7 million, which approximates fair value and was determined based upon Level 1 inputs. The sweep account is valued using quoted market prices with no valuation adjustments applied. Accordingly, these securities are categorized as Level 1.</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239" w:lineRule="exact"/>
        <w:rPr>
          <w:sz w:val="20"/>
          <w:szCs w:val="20"/>
          <w:color w:val="auto"/>
        </w:rPr>
      </w:pPr>
    </w:p>
    <w:p>
      <w:pPr>
        <w:ind w:right="80" w:firstLine="777"/>
        <w:spacing w:after="0" w:line="273"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The Company maintains its cash at financial institutions, which at times, exceed federally insured limits. At March 31, 2021,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39" w:lineRule="exact"/>
        <w:rPr>
          <w:sz w:val="20"/>
          <w:szCs w:val="20"/>
          <w:color w:val="auto"/>
        </w:rPr>
      </w:pPr>
    </w:p>
    <w:p>
      <w:pPr>
        <w:ind w:right="100" w:firstLine="777"/>
        <w:spacing w:after="0" w:line="204" w:lineRule="exact"/>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Arial" w:cs="Arial" w:eastAsia="Arial" w:hAnsi="Arial"/>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1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Level 1—Quoted prices in active markets for identical assets or liabilities that the Company has the ability to access at the measurement date.</w:t>
      </w:r>
    </w:p>
    <w:p>
      <w:pPr>
        <w:spacing w:after="0" w:line="23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Level 2—Inputs other than quoted prices in active markets that are observable for the asset or liability, either directly or indirectly.</w:t>
      </w:r>
    </w:p>
    <w:p>
      <w:pPr>
        <w:spacing w:after="0" w:line="23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Level 3—Inputs that are unobservable for the asset or liability.</w:t>
      </w:r>
    </w:p>
    <w:p>
      <w:pPr>
        <w:spacing w:after="0" w:line="235" w:lineRule="exact"/>
        <w:rPr>
          <w:sz w:val="20"/>
          <w:szCs w:val="20"/>
          <w:color w:val="auto"/>
        </w:rPr>
      </w:pPr>
    </w:p>
    <w:p>
      <w:pPr>
        <w:ind w:right="280" w:firstLine="777"/>
        <w:spacing w:after="0" w:line="305" w:lineRule="auto"/>
        <w:rPr>
          <w:sz w:val="20"/>
          <w:szCs w:val="20"/>
          <w:color w:val="auto"/>
        </w:rPr>
      </w:pPr>
      <w:r>
        <w:rPr>
          <w:rFonts w:ascii="Arial" w:cs="Arial" w:eastAsia="Arial" w:hAnsi="Arial"/>
          <w:sz w:val="15"/>
          <w:szCs w:val="15"/>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6" w:lineRule="exact"/>
        <w:rPr>
          <w:sz w:val="20"/>
          <w:szCs w:val="20"/>
          <w:color w:val="auto"/>
        </w:rPr>
      </w:pPr>
    </w:p>
    <w:p>
      <w:pPr>
        <w:ind w:right="260" w:firstLine="777"/>
        <w:spacing w:after="0" w:line="273" w:lineRule="auto"/>
        <w:rPr>
          <w:sz w:val="20"/>
          <w:szCs w:val="20"/>
          <w:color w:val="auto"/>
        </w:rPr>
      </w:pPr>
      <w:r>
        <w:rPr>
          <w:rFonts w:ascii="Arial" w:cs="Arial" w:eastAsia="Arial" w:hAnsi="Arial"/>
          <w:sz w:val="16"/>
          <w:szCs w:val="16"/>
          <w:color w:val="auto"/>
        </w:rPr>
        <w:t>The Company’s financial instruments are cash, accounts payable, accrued liabilities, and current and long-term debt. The carrying values for cash, accounts payable and accrued liabilities reported in the accompanying consolidated financial statements approximate their respective fair values due to their short-term maturities. The carrying value of debt on the Company’s balance sheet (see Note 6 – Loan and Security Agreement), is estimated to approximate its fair value as the interest rate approximates the market rate for loans with similar terms and risk characteristics.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Issuance Costs</w:t>
      </w:r>
    </w:p>
    <w:p>
      <w:pPr>
        <w:spacing w:after="0" w:line="239" w:lineRule="exact"/>
        <w:rPr>
          <w:sz w:val="20"/>
          <w:szCs w:val="20"/>
          <w:color w:val="auto"/>
        </w:rPr>
      </w:pPr>
    </w:p>
    <w:p>
      <w:pPr>
        <w:ind w:firstLine="777"/>
        <w:spacing w:after="0" w:line="278" w:lineRule="auto"/>
        <w:rPr>
          <w:sz w:val="20"/>
          <w:szCs w:val="20"/>
          <w:color w:val="auto"/>
        </w:rPr>
      </w:pPr>
      <w:r>
        <w:rPr>
          <w:rFonts w:ascii="Arial" w:cs="Arial" w:eastAsia="Arial" w:hAnsi="Arial"/>
          <w:sz w:val="16"/>
          <w:szCs w:val="16"/>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Equipment</w:t>
      </w:r>
    </w:p>
    <w:p>
      <w:pPr>
        <w:spacing w:after="0" w:line="239" w:lineRule="exact"/>
        <w:rPr>
          <w:sz w:val="20"/>
          <w:szCs w:val="20"/>
          <w:color w:val="auto"/>
        </w:rPr>
      </w:pPr>
    </w:p>
    <w:p>
      <w:pPr>
        <w:jc w:val="both"/>
        <w:ind w:right="340" w:firstLine="777"/>
        <w:spacing w:after="0" w:line="204" w:lineRule="exact"/>
        <w:rPr>
          <w:sz w:val="20"/>
          <w:szCs w:val="20"/>
          <w:color w:val="auto"/>
        </w:rPr>
      </w:pPr>
      <w:r>
        <w:rPr>
          <w:rFonts w:ascii="Arial" w:cs="Arial" w:eastAsia="Arial" w:hAnsi="Arial"/>
          <w:sz w:val="16"/>
          <w:szCs w:val="16"/>
          <w:color w:val="auto"/>
        </w:rPr>
        <w:t>Equipment consists primarily of computer equipment and is recorded at cost. Equipment is depreciated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Costs</w:t>
      </w:r>
    </w:p>
    <w:p>
      <w:pPr>
        <w:spacing w:after="0" w:line="239" w:lineRule="exact"/>
        <w:rPr>
          <w:sz w:val="20"/>
          <w:szCs w:val="20"/>
          <w:color w:val="auto"/>
        </w:rPr>
      </w:pPr>
    </w:p>
    <w:p>
      <w:pPr>
        <w:ind w:right="20" w:firstLine="777"/>
        <w:spacing w:after="0" w:line="287" w:lineRule="auto"/>
        <w:rPr>
          <w:sz w:val="20"/>
          <w:szCs w:val="20"/>
          <w:color w:val="auto"/>
        </w:rPr>
      </w:pPr>
      <w:r>
        <w:rPr>
          <w:rFonts w:ascii="Arial" w:cs="Arial" w:eastAsia="Arial" w:hAnsi="Arial"/>
          <w:sz w:val="15"/>
          <w:szCs w:val="15"/>
          <w:color w:val="auto"/>
        </w:rPr>
        <w:t>Research and development costs are expensed as incurred. Research and development expenses consist primarily of personnel costs for our research and development employees,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 Payments made to third parties under these arrangements in advance of the performance of the related services by the third parties are recorded as prepaid expenses until the services are rendered.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39" w:lineRule="exact"/>
        <w:rPr>
          <w:sz w:val="20"/>
          <w:szCs w:val="20"/>
          <w:color w:val="auto"/>
        </w:rPr>
      </w:pPr>
    </w:p>
    <w:p>
      <w:pPr>
        <w:ind w:right="20" w:firstLine="777"/>
        <w:spacing w:after="0" w:line="269"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94" w:lineRule="exact"/>
        <w:rPr>
          <w:sz w:val="20"/>
          <w:szCs w:val="20"/>
          <w:color w:val="auto"/>
        </w:rPr>
      </w:pPr>
    </w:p>
    <w:p>
      <w:pPr>
        <w:ind w:right="400" w:firstLine="777"/>
        <w:spacing w:after="0" w:line="328" w:lineRule="auto"/>
        <w:rPr>
          <w:sz w:val="20"/>
          <w:szCs w:val="20"/>
          <w:color w:val="auto"/>
        </w:rPr>
      </w:pPr>
      <w:r>
        <w:rPr>
          <w:rFonts w:ascii="Arial" w:cs="Arial" w:eastAsia="Arial" w:hAnsi="Arial"/>
          <w:sz w:val="15"/>
          <w:szCs w:val="15"/>
          <w:color w:val="auto"/>
        </w:rPr>
        <w:t>The Company estimates an annual effective tax rate of 0% for the year ending December 31, 2021 and has not recorded an income tax benefit for the three months ended March 31, 2021 and 2020 since it determined that a full valuation allowance is required against the Company’s deferred tax assets.</w:t>
      </w:r>
    </w:p>
    <w:p>
      <w:pPr>
        <w:spacing w:after="0" w:line="150" w:lineRule="exact"/>
        <w:rPr>
          <w:sz w:val="20"/>
          <w:szCs w:val="20"/>
          <w:color w:val="auto"/>
        </w:rPr>
      </w:pPr>
    </w:p>
    <w:p>
      <w:pPr>
        <w:ind w:right="40" w:firstLine="777"/>
        <w:spacing w:after="0" w:line="271"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March 31, 2021,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39" w:lineRule="exact"/>
        <w:rPr>
          <w:sz w:val="20"/>
          <w:szCs w:val="20"/>
          <w:color w:val="auto"/>
        </w:rPr>
      </w:pPr>
    </w:p>
    <w:p>
      <w:pPr>
        <w:ind w:right="20" w:firstLine="777"/>
        <w:spacing w:after="0" w:line="203" w:lineRule="exact"/>
        <w:rPr>
          <w:sz w:val="20"/>
          <w:szCs w:val="20"/>
          <w:color w:val="auto"/>
        </w:rPr>
      </w:pPr>
      <w:r>
        <w:rPr>
          <w:rFonts w:ascii="Arial" w:cs="Arial" w:eastAsia="Arial" w:hAnsi="Arial"/>
          <w:sz w:val="15"/>
          <w:szCs w:val="15"/>
          <w:color w:val="auto"/>
        </w:rPr>
        <w:t>For stock options issued, the Company estimates the grant date fair value of each option using the Black</w:t>
      </w:r>
      <w:r>
        <w:rPr>
          <w:rFonts w:ascii="MS PGothic" w:cs="MS PGothic" w:eastAsia="MS PGothic" w:hAnsi="MS PGothic"/>
          <w:sz w:val="15"/>
          <w:szCs w:val="15"/>
          <w:color w:val="auto"/>
        </w:rPr>
        <w:t>‑</w:t>
      </w:r>
      <w:r>
        <w:rPr>
          <w:rFonts w:ascii="Arial" w:cs="Arial" w:eastAsia="Arial" w:hAnsi="Arial"/>
          <w:sz w:val="15"/>
          <w:szCs w:val="15"/>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 forfeitures as they occur. For awards subject to service-based vesting conditions, the Company recognizes stock-based compensation expense on a straight-line basis over the requisite service period, which is generally the vesting term.</w:t>
      </w:r>
    </w:p>
    <w:p>
      <w:pPr>
        <w:spacing w:after="0" w:line="215" w:lineRule="exact"/>
        <w:rPr>
          <w:sz w:val="20"/>
          <w:szCs w:val="20"/>
          <w:color w:val="auto"/>
        </w:rPr>
      </w:pPr>
    </w:p>
    <w:p>
      <w:pPr>
        <w:ind w:right="300" w:firstLine="777"/>
        <w:spacing w:after="0" w:line="278" w:lineRule="auto"/>
        <w:rPr>
          <w:sz w:val="20"/>
          <w:szCs w:val="20"/>
          <w:color w:val="auto"/>
        </w:rPr>
      </w:pPr>
      <w:r>
        <w:rPr>
          <w:rFonts w:ascii="Arial" w:cs="Arial" w:eastAsia="Arial" w:hAnsi="Arial"/>
          <w:sz w:val="16"/>
          <w:szCs w:val="16"/>
          <w:color w:val="auto"/>
        </w:rPr>
        <w:t>For restricted stock units (“RSUs”), the Company issues them in the form of Company common stock. The fair market value of these awards is based on the market closing price per share on the grant date. Prior to January 1, 2020, the Company only granted stock options. Beginning in 2020, for grants to employees, the Company granted a mix of stock options and RSUs.</w:t>
      </w:r>
    </w:p>
    <w:p>
      <w:pPr>
        <w:spacing w:after="0" w:line="184" w:lineRule="exact"/>
        <w:rPr>
          <w:sz w:val="20"/>
          <w:szCs w:val="20"/>
          <w:color w:val="auto"/>
        </w:rPr>
      </w:pPr>
    </w:p>
    <w:p>
      <w:pPr>
        <w:ind w:right="100" w:firstLine="777"/>
        <w:spacing w:after="0" w:line="273" w:lineRule="auto"/>
        <w:rPr>
          <w:sz w:val="20"/>
          <w:szCs w:val="20"/>
          <w:color w:val="auto"/>
        </w:rPr>
      </w:pPr>
      <w:r>
        <w:rPr>
          <w:rFonts w:ascii="Arial" w:cs="Arial" w:eastAsia="Arial" w:hAnsi="Arial"/>
          <w:sz w:val="16"/>
          <w:szCs w:val="16"/>
          <w:color w:val="auto"/>
        </w:rPr>
        <w:t>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89" w:lineRule="exact"/>
        <w:rPr>
          <w:sz w:val="20"/>
          <w:szCs w:val="20"/>
          <w:color w:val="auto"/>
        </w:rPr>
      </w:pPr>
    </w:p>
    <w:p>
      <w:pPr>
        <w:ind w:right="80" w:firstLine="777"/>
        <w:spacing w:after="0" w:line="293" w:lineRule="auto"/>
        <w:rPr>
          <w:sz w:val="20"/>
          <w:szCs w:val="20"/>
          <w:color w:val="auto"/>
        </w:rPr>
      </w:pPr>
      <w:r>
        <w:rPr>
          <w:rFonts w:ascii="Arial" w:cs="Arial" w:eastAsia="Arial" w:hAnsi="Arial"/>
          <w:sz w:val="16"/>
          <w:szCs w:val="16"/>
          <w:color w:val="auto"/>
        </w:rPr>
        <w:t>The Company’s policy upon exercise of stock options and RSUs is that shares will be issued as new shares drawing on the Company’s 2015 Omnibus Incentive Compensation Plan share pool that was adopted by the stockholders in November 2015.</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and Diluted Net Loss per Common Share</w:t>
      </w:r>
    </w:p>
    <w:p>
      <w:pPr>
        <w:spacing w:after="0" w:line="239" w:lineRule="exact"/>
        <w:rPr>
          <w:sz w:val="20"/>
          <w:szCs w:val="20"/>
          <w:color w:val="auto"/>
        </w:rPr>
      </w:pPr>
    </w:p>
    <w:p>
      <w:pPr>
        <w:ind w:right="160" w:firstLine="777"/>
        <w:spacing w:after="0" w:line="297" w:lineRule="auto"/>
        <w:rPr>
          <w:sz w:val="20"/>
          <w:szCs w:val="20"/>
          <w:color w:val="auto"/>
        </w:rPr>
      </w:pPr>
      <w:r>
        <w:rPr>
          <w:rFonts w:ascii="Arial" w:cs="Arial" w:eastAsia="Arial" w:hAnsi="Arial"/>
          <w:sz w:val="15"/>
          <w:szCs w:val="15"/>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and RSUs, which would result in the issuance of incremental shares of common stock. As the impact of these items is anti-dilutive during periods of net loss, there was no difference between basic and diluted net loss per share of common stock for the three months ended March 31, 2021 and 2020.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239" w:lineRule="exact"/>
        <w:rPr>
          <w:sz w:val="20"/>
          <w:szCs w:val="20"/>
          <w:color w:val="auto"/>
        </w:rPr>
      </w:pPr>
    </w:p>
    <w:p>
      <w:pPr>
        <w:ind w:firstLine="777"/>
        <w:spacing w:after="0" w:line="324" w:lineRule="auto"/>
        <w:rPr>
          <w:sz w:val="20"/>
          <w:szCs w:val="20"/>
          <w:color w:val="auto"/>
        </w:rPr>
      </w:pPr>
      <w:r>
        <w:rPr>
          <w:rFonts w:ascii="Arial" w:cs="Arial" w:eastAsia="Arial" w:hAnsi="Arial"/>
          <w:sz w:val="14"/>
          <w:szCs w:val="14"/>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firstLine="777"/>
        <w:spacing w:after="0" w:line="273" w:lineRule="auto"/>
        <w:rPr>
          <w:sz w:val="20"/>
          <w:szCs w:val="20"/>
          <w:color w:val="auto"/>
        </w:rPr>
      </w:pPr>
      <w:r>
        <w:rPr>
          <w:rFonts w:ascii="Arial" w:cs="Arial" w:eastAsia="Arial" w:hAnsi="Arial"/>
          <w:sz w:val="16"/>
          <w:szCs w:val="16"/>
          <w:color w:val="auto"/>
        </w:rPr>
        <w:t>The Company’s lease agreement contains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 are primarily fixed, however variable payments, are expensed as incurred and not included in the operating lease asset and liability.</w:t>
      </w:r>
    </w:p>
    <w:p>
      <w:pPr>
        <w:spacing w:after="0" w:line="189" w:lineRule="exact"/>
        <w:rPr>
          <w:sz w:val="20"/>
          <w:szCs w:val="20"/>
          <w:color w:val="auto"/>
        </w:rPr>
      </w:pPr>
    </w:p>
    <w:p>
      <w:pPr>
        <w:ind w:right="140" w:firstLine="777"/>
        <w:spacing w:after="0" w:line="297" w:lineRule="auto"/>
        <w:rPr>
          <w:sz w:val="20"/>
          <w:szCs w:val="20"/>
          <w:color w:val="auto"/>
        </w:rPr>
      </w:pPr>
      <w:r>
        <w:rPr>
          <w:rFonts w:ascii="Arial" w:cs="Arial" w:eastAsia="Arial" w:hAnsi="Arial"/>
          <w:sz w:val="15"/>
          <w:szCs w:val="15"/>
          <w:color w:val="auto"/>
        </w:rPr>
        <w:t>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interest rate when readily determinable and uses the Company’s incremental borrowing rate when the implicit rate is not readily determinable based upon the information available at the commencement date in determining the present value of the lease payments.</w:t>
      </w:r>
    </w:p>
    <w:p>
      <w:pPr>
        <w:spacing w:after="0" w:line="172" w:lineRule="exact"/>
        <w:rPr>
          <w:sz w:val="20"/>
          <w:szCs w:val="20"/>
          <w:color w:val="auto"/>
        </w:rPr>
      </w:pPr>
    </w:p>
    <w:p>
      <w:pPr>
        <w:ind w:right="40" w:firstLine="777"/>
        <w:spacing w:after="0" w:line="324" w:lineRule="auto"/>
        <w:rPr>
          <w:sz w:val="20"/>
          <w:szCs w:val="20"/>
          <w:color w:val="auto"/>
        </w:rPr>
      </w:pPr>
      <w:r>
        <w:rPr>
          <w:rFonts w:ascii="Arial" w:cs="Arial" w:eastAsia="Arial" w:hAnsi="Arial"/>
          <w:sz w:val="14"/>
          <w:szCs w:val="14"/>
          <w:color w:val="auto"/>
        </w:rPr>
        <w:t>The Company’s operating leases are reflected in the right-of-use operating asset; operating lease liability, current portion; and operating lease liability, long-term portion in the Company’s consolidated balance sheets. Lease expense for minimum lease payments is recognized on a straight-line basis over the lease term. Short-term leases, defined as leases that have a lease term of 12 months or less at the commencement date, and do not include an option to extend the term or purchase the underlying asset that that the Company is reasonably certain to exercise, are excluded from this treatment and are recognized on a straight-line basis over the term of the lease.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39" w:lineRule="exact"/>
        <w:rPr>
          <w:sz w:val="20"/>
          <w:szCs w:val="20"/>
          <w:color w:val="auto"/>
        </w:rPr>
      </w:pPr>
    </w:p>
    <w:p>
      <w:pPr>
        <w:ind w:right="160" w:firstLine="777"/>
        <w:spacing w:after="0" w:line="293" w:lineRule="auto"/>
        <w:rPr>
          <w:sz w:val="20"/>
          <w:szCs w:val="20"/>
          <w:color w:val="auto"/>
        </w:rPr>
      </w:pPr>
      <w:r>
        <w:rPr>
          <w:rFonts w:ascii="Arial" w:cs="Arial" w:eastAsia="Arial" w:hAnsi="Arial"/>
          <w:sz w:val="15"/>
          <w:szCs w:val="15"/>
          <w:color w:val="auto"/>
        </w:rPr>
        <w:t>In December 2019, the FASB issued ASU 2019-12, Income Taxes (Topic 740): Simplifying the Accounting for Income Taxes,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annual periods, and interim periods within those annual periods, beginning after December 15, 2020. Early adoption is permitted, including adoption in an interim period. The Company adopted this standard on January 1, 2021, and the standard did not have a significant impact on its consolidated financial statements.</w:t>
      </w:r>
    </w:p>
    <w:p>
      <w:pPr>
        <w:spacing w:after="0" w:line="176" w:lineRule="exact"/>
        <w:rPr>
          <w:sz w:val="20"/>
          <w:szCs w:val="20"/>
          <w:color w:val="auto"/>
        </w:rPr>
      </w:pPr>
    </w:p>
    <w:p>
      <w:pPr>
        <w:ind w:right="20" w:firstLine="777"/>
        <w:spacing w:after="0" w:line="271" w:lineRule="auto"/>
        <w:rPr>
          <w:sz w:val="20"/>
          <w:szCs w:val="20"/>
          <w:color w:val="auto"/>
        </w:rPr>
      </w:pPr>
      <w:r>
        <w:rPr>
          <w:rFonts w:ascii="Arial" w:cs="Arial" w:eastAsia="Arial" w:hAnsi="Arial"/>
          <w:sz w:val="16"/>
          <w:szCs w:val="16"/>
          <w:color w:val="auto"/>
        </w:rPr>
        <w:t>In October 2020, the FASB issued ASU 2020-10, Codification Improvements, which clarifies various topics in the Accounting Standards Codification, including the addition of existing disclosure requirements to the relevant disclosure sections. The amendments in ASU 2020-10 do not change GAAP and, therefore, are not expected to result in a significant change in practice. ASU 2020-10 should be applied retrospectively to the beginning of the period that includes the adoption date. ASU 2020-10 is effective for fiscal years, and interim periods within those fiscal years, beginning after December 15, 2020. The Company adopted this standard on January 1, 2021, and the standard did not have a significant impact on its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Accrued Expenses and Other Current Liabilities</w:t>
      </w:r>
    </w:p>
    <w:p>
      <w:pPr>
        <w:spacing w:after="0" w:line="23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At March 31, 2021 and December 31, 2020 accrued expenses and other current liabilities consisted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CFF0FC"/>
            </w:tcBorders>
          </w:tcPr>
          <w:p>
            <w:pPr>
              <w:spacing w:after="0"/>
              <w:rPr>
                <w:sz w:val="14"/>
                <w:szCs w:val="14"/>
                <w:color w:val="auto"/>
              </w:rPr>
            </w:pPr>
          </w:p>
        </w:tc>
        <w:tc>
          <w:tcPr>
            <w:tcW w:w="36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36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1,183,367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4,293,522</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Accrued compensation</w:t>
            </w:r>
          </w:p>
        </w:tc>
        <w:tc>
          <w:tcPr>
            <w:tcW w:w="3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1,165,548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2,870,261</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Accrued general and administrative</w:t>
            </w:r>
          </w:p>
        </w:tc>
        <w:tc>
          <w:tcPr>
            <w:tcW w:w="3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3,121,653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1,155,508</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Interest</w:t>
            </w:r>
          </w:p>
        </w:tc>
        <w:tc>
          <w:tcPr>
            <w:tcW w:w="36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393,958</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393,958</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6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5,864,526</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8,713,249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660" w:type="dxa"/>
            <w:vAlign w:val="bottom"/>
            <w:vMerge w:val="restart"/>
          </w:tcPr>
          <w:p>
            <w:pPr>
              <w:jc w:val="right"/>
              <w:ind w:right="1939"/>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40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6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Loan and Security Agreement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Hercules Capital, Inc.</w:t>
      </w:r>
    </w:p>
    <w:p>
      <w:pPr>
        <w:spacing w:after="0" w:line="235" w:lineRule="exact"/>
        <w:rPr>
          <w:sz w:val="20"/>
          <w:szCs w:val="20"/>
          <w:color w:val="auto"/>
        </w:rPr>
      </w:pPr>
    </w:p>
    <w:p>
      <w:pPr>
        <w:ind w:firstLine="777"/>
        <w:spacing w:after="0" w:line="306" w:lineRule="auto"/>
        <w:rPr>
          <w:sz w:val="20"/>
          <w:szCs w:val="20"/>
          <w:color w:val="auto"/>
        </w:rPr>
      </w:pPr>
      <w:r>
        <w:rPr>
          <w:rFonts w:ascii="Arial" w:cs="Arial" w:eastAsia="Arial" w:hAnsi="Arial"/>
          <w:sz w:val="14"/>
          <w:szCs w:val="14"/>
          <w:color w:val="auto"/>
        </w:rPr>
        <w:t>In September 2020, the Company entered into a Loan and Security Agreement (the “Loan Agreement”) with Hercules Capital, Inc., in its capacity as administrative agent and collateral agent and as a lender (in such capacity, the “Agent” or “Hercules”) and the other financial institutions that from time to time become parties to the Loan Agreement as lenders (collectively, the “Lenders”). The Loan Agreement provides for term loans in an aggregate principal amount of up to $225.0 million under multiple tranches (the “2020 Term Loan”). The tranches consist of (i) a first tranche consisting of term loans in an aggregate principal amount of $60.0 million, of which $50.0 million was funded to the Company on the Closing Date (the “First Advance”), and of which the remaining $10.0 million is available at the Company’s option at any time through September 15, 2021; (ii) subject to the approval of the Company’s AXS-05 product candidate for the treatment of major depressive disorder (the “First Milestone”), a second tranche consisting of additional term loans in an aggregate principal amount of up to $35.0 million, available at the Company’s option beginning on the date that the First Milestone is achieved through the earlier of (A) 181 days following such date and (B) June 30, 2022; (iii) subject to the approval of the Company’s AXS-07 product candidate for the treatment of migraine (the “Second Milestone”), a third tranche consisting of additional term loans in an aggregate principal amount of up to $20.0 million, available at the Company’s option beginning on the date that the Second Milestone is achieved through the earlier of (A) 181 days following such date and (B) June 30, 2022; (iv) subject to the achievement of either the First Milestone or the Second Milestone and so long as the Company is in compliance with a required ratio of Lender indebtedness to net product revenue, a fourth tranche consisting of additional term loans in an aggregate principal amount of up to $60.0 million, available at the Company’s option beginning on January 1, 2022 and continuing through March 31, 2023; and (v) subject to approval by the Lenders’ in their discretion, a fifth tranche of additional term loans in an aggregate principal amount of up to $50.0 million, available through December 31, 2023. The Company intends to use the proceeds of the Term Loan Advances for working capital and general corporate purposes. In addition, approximately $21.5 million of the proceeds from the First Advance was used to satisfy in full and retire the Company’s indebtedness under the 2019 Term Loan (as defined below), as amended.</w:t>
      </w:r>
    </w:p>
    <w:p>
      <w:pPr>
        <w:spacing w:after="0" w:line="377" w:lineRule="exact"/>
        <w:rPr>
          <w:sz w:val="20"/>
          <w:szCs w:val="20"/>
          <w:color w:val="auto"/>
        </w:rPr>
      </w:pPr>
    </w:p>
    <w:p>
      <w:pPr>
        <w:jc w:val="both"/>
        <w:ind w:right="140" w:firstLine="777"/>
        <w:spacing w:after="0" w:line="303" w:lineRule="auto"/>
        <w:rPr>
          <w:sz w:val="20"/>
          <w:szCs w:val="20"/>
          <w:color w:val="auto"/>
        </w:rPr>
      </w:pPr>
      <w:r>
        <w:rPr>
          <w:rFonts w:ascii="Arial" w:cs="Arial" w:eastAsia="Arial" w:hAnsi="Arial"/>
          <w:sz w:val="14"/>
          <w:szCs w:val="14"/>
          <w:color w:val="auto"/>
        </w:rPr>
        <w:t xml:space="preserve">The outstanding principal balance of the term loans bears interest at an annual rate equal to the greater of either (i) the prime rate as reported in </w:t>
      </w:r>
      <w:r>
        <w:rPr>
          <w:rFonts w:ascii="Arial" w:cs="Arial" w:eastAsia="Arial" w:hAnsi="Arial"/>
          <w:sz w:val="14"/>
          <w:szCs w:val="14"/>
          <w:i w:val="1"/>
          <w:iCs w:val="1"/>
          <w:color w:val="auto"/>
        </w:rPr>
        <w:t>The Wall Street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Journal </w:t>
      </w:r>
      <w:r>
        <w:rPr>
          <w:rFonts w:ascii="Arial" w:cs="Arial" w:eastAsia="Arial" w:hAnsi="Arial"/>
          <w:sz w:val="14"/>
          <w:szCs w:val="14"/>
          <w:color w:val="auto"/>
        </w:rPr>
        <w:t>plus 5.90% or (ii) 9.15%, subject to an ability by the Company, during certain periods (each, a “PIK Deferral Period”), to request a reduction of the then-effective</w:t>
      </w:r>
      <w:r>
        <w:rPr>
          <w:rFonts w:ascii="Arial" w:cs="Arial" w:eastAsia="Arial" w:hAnsi="Arial"/>
          <w:sz w:val="14"/>
          <w:szCs w:val="14"/>
          <w:i w:val="1"/>
          <w:iCs w:val="1"/>
          <w:color w:val="auto"/>
        </w:rPr>
        <w:t xml:space="preserve"> </w:t>
      </w:r>
      <w:r>
        <w:rPr>
          <w:rFonts w:ascii="Arial" w:cs="Arial" w:eastAsia="Arial" w:hAnsi="Arial"/>
          <w:sz w:val="14"/>
          <w:szCs w:val="14"/>
          <w:color w:val="auto"/>
        </w:rPr>
        <w:t>cash-pay interest rate by up to 1.00% per annum (the “Cash Interest Reduction Amount”). Accrued interest is payable monthly following the funding of each term loan.</w:t>
      </w:r>
    </w:p>
    <w:p>
      <w:pPr>
        <w:spacing w:after="0" w:line="2" w:lineRule="exact"/>
        <w:rPr>
          <w:sz w:val="20"/>
          <w:szCs w:val="20"/>
          <w:color w:val="auto"/>
        </w:rPr>
      </w:pPr>
    </w:p>
    <w:p>
      <w:pPr>
        <w:jc w:val="both"/>
        <w:ind w:right="80"/>
        <w:spacing w:after="0" w:line="276" w:lineRule="auto"/>
        <w:rPr>
          <w:sz w:val="20"/>
          <w:szCs w:val="20"/>
          <w:color w:val="auto"/>
        </w:rPr>
      </w:pPr>
      <w:r>
        <w:rPr>
          <w:rFonts w:ascii="Arial" w:cs="Arial" w:eastAsia="Arial" w:hAnsi="Arial"/>
          <w:sz w:val="16"/>
          <w:szCs w:val="16"/>
          <w:color w:val="auto"/>
        </w:rPr>
        <w:t>During each PIK Deferral Period, the term loans will bear cash-pay interest, at the reduced amount, and will accrue paid-in-kind interest at a rate equal to the Cash Interest Reduction Amount multiplied by 1.15, which amount will be capitalized and added to the outstanding principal balance of the term loans on each monthly interest payment date during the PIK Deferral Period.</w:t>
      </w:r>
    </w:p>
    <w:p>
      <w:pPr>
        <w:spacing w:after="0" w:line="185" w:lineRule="exact"/>
        <w:rPr>
          <w:sz w:val="20"/>
          <w:szCs w:val="20"/>
          <w:color w:val="auto"/>
        </w:rPr>
      </w:pPr>
    </w:p>
    <w:p>
      <w:pPr>
        <w:ind w:right="100" w:firstLine="777"/>
        <w:spacing w:after="0" w:line="269" w:lineRule="auto"/>
        <w:rPr>
          <w:sz w:val="20"/>
          <w:szCs w:val="20"/>
          <w:color w:val="auto"/>
        </w:rPr>
      </w:pPr>
      <w:r>
        <w:rPr>
          <w:rFonts w:ascii="Arial" w:cs="Arial" w:eastAsia="Arial" w:hAnsi="Arial"/>
          <w:sz w:val="16"/>
          <w:szCs w:val="16"/>
          <w:color w:val="auto"/>
        </w:rPr>
        <w:t>The Company is required to repay the term loans in equal installments of principal and interest commencing on May 1, 2023 through October 1, 2025 (the “Maturity Date”). However, if either the First Milestone or the Second Milestone are achieved prior to May 1, 2023, and no default exists, the amortization commencement date will be automatically extended to November 1, 2023; if both the First Milestone and the Second Milestone are achieved prior to November 1, 2023, and no default exists, the amortization commencement date will be further automatically extended to May 1, 2024 and if any term loans are funded under the fourth tranche noted above prior to May 1, 2024, and no default exists, the amortization commencement date will be further automatically extended to November 1, 2024. On the Maturity Date, all unpaid term loans will be due and payable.</w:t>
      </w:r>
    </w:p>
    <w:p>
      <w:pPr>
        <w:spacing w:after="0" w:line="194" w:lineRule="exact"/>
        <w:rPr>
          <w:sz w:val="20"/>
          <w:szCs w:val="20"/>
          <w:color w:val="auto"/>
        </w:rPr>
      </w:pPr>
    </w:p>
    <w:p>
      <w:pPr>
        <w:ind w:right="140" w:firstLine="777"/>
        <w:spacing w:after="0" w:line="271" w:lineRule="auto"/>
        <w:rPr>
          <w:sz w:val="20"/>
          <w:szCs w:val="20"/>
          <w:color w:val="auto"/>
        </w:rPr>
      </w:pPr>
      <w:r>
        <w:rPr>
          <w:rFonts w:ascii="Arial" w:cs="Arial" w:eastAsia="Arial" w:hAnsi="Arial"/>
          <w:sz w:val="16"/>
          <w:szCs w:val="16"/>
          <w:color w:val="auto"/>
        </w:rPr>
        <w:t>As collateral for the obligations, the Company has granted to Hercules a senior security interest in all of Company’s right, title, and interest in, to and under all of Company’s property, inclusive of intellectual property, which includes one of the Company’s existing license agreements (the “License Agreement”) with Antecip Bioventures II LLC (“Antecip”), an entity owned by Axsome’s Chief Executive Officer and Chairman of the Board, Herriot Tabuteau, M.D., subject to limited exceptions</w:t>
      </w:r>
      <w:r>
        <w:rPr>
          <w:rFonts w:ascii="Arial" w:cs="Arial" w:eastAsia="Arial" w:hAnsi="Arial"/>
          <w:sz w:val="16"/>
          <w:szCs w:val="16"/>
          <w:color w:val="FF0000"/>
        </w:rPr>
        <w:t>.</w:t>
      </w:r>
      <w:r>
        <w:rPr>
          <w:rFonts w:ascii="Arial" w:cs="Arial" w:eastAsia="Arial" w:hAnsi="Arial"/>
          <w:sz w:val="16"/>
          <w:szCs w:val="16"/>
          <w:color w:val="auto"/>
        </w:rPr>
        <w:t xml:space="preserve"> Antecip consented to the collateral assignment of the License Agreement, among other things, under a direct agreement (the “Direct Agreement”) with the Company and Hercules.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firstLine="777"/>
        <w:spacing w:after="0" w:line="271" w:lineRule="auto"/>
        <w:rPr>
          <w:sz w:val="20"/>
          <w:szCs w:val="20"/>
          <w:color w:val="auto"/>
        </w:rPr>
      </w:pPr>
      <w:r>
        <w:rPr>
          <w:rFonts w:ascii="Arial" w:cs="Arial" w:eastAsia="Arial" w:hAnsi="Arial"/>
          <w:sz w:val="16"/>
          <w:szCs w:val="16"/>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the Company in the future, if the Company decides to do so, under the terms set forth in the Loan Agreement, there will be certain limited financial covenants that will apply, including:</w:t>
      </w:r>
    </w:p>
    <w:p>
      <w:pPr>
        <w:spacing w:after="0" w:line="190" w:lineRule="exact"/>
        <w:rPr>
          <w:sz w:val="20"/>
          <w:szCs w:val="20"/>
          <w:color w:val="auto"/>
        </w:rPr>
      </w:pPr>
    </w:p>
    <w:p>
      <w:pPr>
        <w:jc w:val="both"/>
        <w:ind w:left="1200" w:right="160" w:hanging="423"/>
        <w:spacing w:after="0" w:line="297" w:lineRule="auto"/>
        <w:tabs>
          <w:tab w:leader="none" w:pos="1200" w:val="left"/>
        </w:tabs>
        <w:numPr>
          <w:ilvl w:val="0"/>
          <w:numId w:val="4"/>
        </w:numPr>
        <w:rPr>
          <w:rFonts w:ascii="Arial" w:cs="Arial" w:eastAsia="Arial" w:hAnsi="Arial"/>
          <w:sz w:val="15"/>
          <w:szCs w:val="15"/>
          <w:color w:val="auto"/>
        </w:rPr>
      </w:pPr>
      <w:r>
        <w:rPr>
          <w:rFonts w:ascii="Arial" w:cs="Arial" w:eastAsia="Arial" w:hAnsi="Arial"/>
          <w:sz w:val="15"/>
          <w:szCs w:val="15"/>
          <w:color w:val="auto"/>
        </w:rPr>
        <w:t>Effective upon the date the outstanding principal amount of the advances under the Loan Agreement equals or exceeds $55.0 million, which has not yet occurred, the Company at all times thereafter must maintain cash in an account or accounts in which Hercules has a first priority security interest, in an aggregate amount greater than or equal to $15.0 million, plus the amount of the Company’s accounts payable under U.S. GAAP not paid after the 180th day following the invoice for such account payable (such amount, the “Qualified Cash A/P Amount”).</w:t>
      </w:r>
    </w:p>
    <w:p>
      <w:pPr>
        <w:spacing w:after="0" w:line="64" w:lineRule="exact"/>
        <w:rPr>
          <w:rFonts w:ascii="Arial" w:cs="Arial" w:eastAsia="Arial" w:hAnsi="Arial"/>
          <w:sz w:val="15"/>
          <w:szCs w:val="15"/>
          <w:color w:val="auto"/>
        </w:rPr>
      </w:pPr>
    </w:p>
    <w:p>
      <w:pPr>
        <w:ind w:left="1200" w:right="20" w:hanging="423"/>
        <w:spacing w:after="0" w:line="287" w:lineRule="auto"/>
        <w:tabs>
          <w:tab w:leader="none" w:pos="1200"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Effective upon the later of (i) the last calendar month of the calendar quarter that is twelve months following the earlier of (x) the date that the First Milestone is achieved and (y) the date that the Second Milestone is achieved, or (ii) the date on which the outstanding principal amount of the term loan advances under the Loan Agreement is equal to or greater than $65.0 million, the Company is required to (A) ensure that at all times its market capitalization exceeds $2.0 billion, and that it maintains cash in an account which Hercules has a first priority security interest in an amount not less than 65% of the sum of the outstanding principal amount of the term loan advances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Qualified Cash A/P Amount, (B) ensure that at all times that it maintains cash in an account which Hercules has a first priority security interest in an amount not less than 100% of the sum of the outstanding principal amount of the term loan advances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Qualified Cash A/P Amount, or (C) achieve at least 60% of the net product revenue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70" w:lineRule="exact"/>
        <w:rPr>
          <w:rFonts w:ascii="Arial" w:cs="Arial" w:eastAsia="Arial" w:hAnsi="Arial"/>
          <w:sz w:val="15"/>
          <w:szCs w:val="15"/>
          <w:color w:val="auto"/>
        </w:rPr>
      </w:pPr>
    </w:p>
    <w:p>
      <w:pPr>
        <w:ind w:left="1200" w:hanging="423"/>
        <w:spacing w:after="0" w:line="293" w:lineRule="auto"/>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72" w:lineRule="exact"/>
        <w:rPr>
          <w:sz w:val="20"/>
          <w:szCs w:val="20"/>
          <w:color w:val="auto"/>
        </w:rPr>
      </w:pPr>
    </w:p>
    <w:p>
      <w:pPr>
        <w:ind w:right="40" w:firstLine="777"/>
        <w:spacing w:after="0" w:line="293" w:lineRule="auto"/>
        <w:rPr>
          <w:sz w:val="20"/>
          <w:szCs w:val="20"/>
          <w:color w:val="auto"/>
        </w:rPr>
      </w:pPr>
      <w:r>
        <w:rPr>
          <w:rFonts w:ascii="Arial" w:cs="Arial" w:eastAsia="Arial" w:hAnsi="Arial"/>
          <w:sz w:val="16"/>
          <w:szCs w:val="16"/>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72" w:lineRule="exact"/>
        <w:rPr>
          <w:sz w:val="20"/>
          <w:szCs w:val="20"/>
          <w:color w:val="auto"/>
        </w:rPr>
      </w:pPr>
    </w:p>
    <w:p>
      <w:pPr>
        <w:ind w:right="200" w:firstLine="777"/>
        <w:spacing w:after="0" w:line="278" w:lineRule="auto"/>
        <w:rPr>
          <w:sz w:val="20"/>
          <w:szCs w:val="20"/>
          <w:color w:val="auto"/>
        </w:rPr>
      </w:pPr>
      <w:r>
        <w:rPr>
          <w:rFonts w:ascii="Arial" w:cs="Arial" w:eastAsia="Arial" w:hAnsi="Arial"/>
          <w:sz w:val="16"/>
          <w:szCs w:val="16"/>
          <w:color w:val="auto"/>
        </w:rPr>
        <w:t>In addition, the Company is required to pay a final payment fee equal to the greater of (A) $2,910,000 and (B) 4.85% of the aggregate amount of all term loan advances minus the aggregate amount of repayments made. The final payment fee is being accreted and amortized into interest expense using the effective interest rate method over the term of the loan.</w:t>
      </w:r>
    </w:p>
    <w:p>
      <w:pPr>
        <w:spacing w:after="0" w:line="184" w:lineRule="exact"/>
        <w:rPr>
          <w:sz w:val="20"/>
          <w:szCs w:val="20"/>
          <w:color w:val="auto"/>
        </w:rPr>
      </w:pPr>
    </w:p>
    <w:p>
      <w:pPr>
        <w:jc w:val="both"/>
        <w:ind w:right="100" w:firstLine="777"/>
        <w:spacing w:after="0" w:line="273" w:lineRule="auto"/>
        <w:rPr>
          <w:sz w:val="20"/>
          <w:szCs w:val="20"/>
          <w:color w:val="auto"/>
        </w:rPr>
      </w:pPr>
      <w:r>
        <w:rPr>
          <w:rFonts w:ascii="Arial" w:cs="Arial" w:eastAsia="Arial" w:hAnsi="Arial"/>
          <w:sz w:val="16"/>
          <w:szCs w:val="16"/>
          <w:color w:val="auto"/>
        </w:rPr>
        <w:t>The Company may, at its option prepay the term loans in full or in part, subject to a prepayment penalty equal to (i) 2.0% of the principal amount prepaid if the prepayment occurs prior to the first anniversary of the Closing Date, (ii) 1.5% of the principal amount prepaid if the prepayment occurs on or after the first anniversary and prior to the second anniversary of the Closing Date, and (iii) 1.0% of the principal amount prepaid if the prepayment occurs on or after the second anniversary and prior to the third anniversary of the Closing Date.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Silicon Valley Bank</w:t>
      </w:r>
    </w:p>
    <w:p>
      <w:pPr>
        <w:spacing w:after="0" w:line="235" w:lineRule="exact"/>
        <w:rPr>
          <w:sz w:val="20"/>
          <w:szCs w:val="20"/>
          <w:color w:val="auto"/>
        </w:rPr>
      </w:pPr>
    </w:p>
    <w:p>
      <w:pPr>
        <w:ind w:firstLine="864"/>
        <w:spacing w:after="0" w:line="278" w:lineRule="auto"/>
        <w:rPr>
          <w:sz w:val="20"/>
          <w:szCs w:val="20"/>
          <w:color w:val="auto"/>
        </w:rPr>
      </w:pPr>
      <w:r>
        <w:rPr>
          <w:rFonts w:ascii="Arial" w:cs="Arial" w:eastAsia="Arial" w:hAnsi="Arial"/>
          <w:sz w:val="16"/>
          <w:szCs w:val="16"/>
          <w:color w:val="auto"/>
        </w:rPr>
        <w:t>In March 2019, the Company entered into a $24.0 million growth capital term loan facility (the “2019 Term Loan”) with Silicon Valley Bank, or SVB and West River Innovation Lending Fund VIII, L.P., or WestRiver. In September 2020, the Company used a portion of the 2020 Term Loan to terminate and repay all amounts outstanding under the 2019 Term Loan and recorded a loss on extinguishment of the 2019 Term Loan.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Loan Interest Expense and Amortization</w:t>
      </w:r>
    </w:p>
    <w:p>
      <w:pPr>
        <w:spacing w:after="0" w:line="235" w:lineRule="exact"/>
        <w:rPr>
          <w:sz w:val="20"/>
          <w:szCs w:val="20"/>
          <w:color w:val="auto"/>
        </w:rPr>
      </w:pPr>
    </w:p>
    <w:p>
      <w:pPr>
        <w:ind w:right="820" w:firstLine="777"/>
        <w:spacing w:after="0" w:line="328" w:lineRule="auto"/>
        <w:rPr>
          <w:sz w:val="20"/>
          <w:szCs w:val="20"/>
          <w:color w:val="auto"/>
        </w:rPr>
      </w:pPr>
      <w:r>
        <w:rPr>
          <w:rFonts w:ascii="Arial" w:cs="Arial" w:eastAsia="Arial" w:hAnsi="Arial"/>
          <w:sz w:val="15"/>
          <w:szCs w:val="15"/>
          <w:color w:val="auto"/>
        </w:rPr>
        <w:t>The Company incurred interest expense of $1,143,750 and $379,167 for the three months ended March 31, 2021 and 2020, respectively. In addition, amortization of the final payment fee was $143,589 and $119,014 for the three months ended March 31, 2021 and 2020, respectively.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outstanding debt and unamortized debt discount balances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ind w:right="475"/>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Outstanding Debt</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50,000,000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50,000,000</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Add: accreted liability of final payment fee</w:t>
            </w:r>
          </w:p>
        </w:tc>
        <w:tc>
          <w:tcPr>
            <w:tcW w:w="26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295,493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151,912</w:t>
            </w: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unamortized debt discount, long-term</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(1,697,550)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(1,830,064)</w:t>
            </w: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 payable, long-term</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48,597,943</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48,321,848</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60" w:firstLine="777"/>
        <w:spacing w:after="0" w:line="278" w:lineRule="auto"/>
        <w:rPr>
          <w:sz w:val="20"/>
          <w:szCs w:val="20"/>
          <w:color w:val="auto"/>
        </w:rPr>
      </w:pPr>
      <w:r>
        <w:rPr>
          <w:rFonts w:ascii="Arial" w:cs="Arial" w:eastAsia="Arial" w:hAnsi="Arial"/>
          <w:sz w:val="16"/>
          <w:szCs w:val="16"/>
          <w:color w:val="auto"/>
        </w:rPr>
        <w:t>In connection with the entry into the Hercules Term Loan, the Company issued to Hercules a warrant to purchase a number of shares of the Company’s common stock equal to 2.5% of the aggregate amount of the Term Loan Advances that are funded. Further information on warrants issued related to this loan and prior debt financings and amendments are disclosed in Note 7 - Stockholders’ Equity under the “Warrants” section.</w:t>
      </w:r>
    </w:p>
    <w:p>
      <w:pPr>
        <w:spacing w:after="0" w:line="184" w:lineRule="exact"/>
        <w:rPr>
          <w:sz w:val="20"/>
          <w:szCs w:val="20"/>
          <w:color w:val="auto"/>
        </w:rPr>
      </w:pPr>
    </w:p>
    <w:p>
      <w:pPr>
        <w:ind w:right="20" w:firstLine="777"/>
        <w:spacing w:after="0" w:line="293" w:lineRule="auto"/>
        <w:rPr>
          <w:sz w:val="20"/>
          <w:szCs w:val="20"/>
          <w:color w:val="auto"/>
        </w:rPr>
      </w:pPr>
      <w:r>
        <w:rPr>
          <w:rFonts w:ascii="Arial" w:cs="Arial" w:eastAsia="Arial" w:hAnsi="Arial"/>
          <w:sz w:val="16"/>
          <w:szCs w:val="16"/>
          <w:color w:val="auto"/>
        </w:rPr>
        <w:t>Amortization of the debt discount in relation to warrants issued as described above was $132,508 and $58,638 for three months ended March 31, 2021 and 2020,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260" w:type="dxa"/>
            <w:vAlign w:val="bottom"/>
          </w:tcPr>
          <w:p>
            <w:pPr>
              <w:ind w:left="780"/>
              <w:spacing w:after="0"/>
              <w:rPr>
                <w:sz w:val="20"/>
                <w:szCs w:val="20"/>
                <w:color w:val="auto"/>
              </w:rPr>
            </w:pPr>
            <w:r>
              <w:rPr>
                <w:rFonts w:ascii="Arial" w:cs="Arial" w:eastAsia="Arial" w:hAnsi="Arial"/>
                <w:sz w:val="16"/>
                <w:szCs w:val="16"/>
                <w:color w:val="auto"/>
              </w:rPr>
              <w:t>Scheduled Principal Payments on Outstanding Debt, as of March 31, 2021, are as follows:</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49"/>
        </w:trPr>
        <w:tc>
          <w:tcPr>
            <w:tcW w:w="9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12,193,153</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19,761,468</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18,045,379</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principal payments outstanding</w:t>
            </w: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2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50,000,000</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780"/>
        <w:spacing w:after="0"/>
        <w:rPr>
          <w:sz w:val="20"/>
          <w:szCs w:val="20"/>
          <w:color w:val="auto"/>
        </w:rPr>
      </w:pPr>
      <w:r>
        <w:rPr>
          <w:rFonts w:ascii="Arial" w:cs="Arial" w:eastAsia="Arial" w:hAnsi="Arial"/>
          <w:sz w:val="14"/>
          <w:szCs w:val="14"/>
          <w:color w:val="auto"/>
        </w:rPr>
        <w:t>The Company was in compliance with all covenants and requirements of its financing arrangements as of and during the three months ended March 31, 2021.</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Net Loss per Common Share</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sets forth the computation of basic and diluted net loss per common share: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7"/>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(29,259,970)</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(32,484,146)</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37,429,450</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37,061,356</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loss per common share—basic and diluted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340" w:firstLine="777"/>
        <w:spacing w:after="0" w:line="293" w:lineRule="auto"/>
        <w:rPr>
          <w:sz w:val="20"/>
          <w:szCs w:val="20"/>
          <w:color w:val="auto"/>
        </w:rPr>
      </w:pPr>
      <w:r>
        <w:rPr>
          <w:rFonts w:ascii="Arial" w:cs="Arial" w:eastAsia="Arial" w:hAnsi="Arial"/>
          <w:sz w:val="16"/>
          <w:szCs w:val="16"/>
          <w:color w:val="auto"/>
        </w:rPr>
        <w:t>The following potentially dilutive securities outstanding at March 31, 2021 and 2020 have been excluded from the computation of diluted weighted average shares outstanding, as they would be anti-dilutive: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240" w:type="dxa"/>
            <w:vAlign w:val="bottom"/>
            <w:tcBorders>
              <w:bottom w:val="single" w:sz="8" w:color="auto"/>
            </w:tcBorders>
            <w:gridSpan w:val="3"/>
          </w:tcPr>
          <w:p>
            <w:pPr>
              <w:ind w:left="1380"/>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right"/>
              <w:ind w:right="67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6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4,385,598</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3,962,733</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680" w:type="dxa"/>
            <w:vAlign w:val="bottom"/>
          </w:tcPr>
          <w:p>
            <w:pPr>
              <w:jc w:val="right"/>
              <w:ind w:right="56"/>
              <w:spacing w:after="0"/>
              <w:rPr>
                <w:sz w:val="20"/>
                <w:szCs w:val="20"/>
                <w:color w:val="auto"/>
              </w:rPr>
            </w:pPr>
            <w:r>
              <w:rPr>
                <w:rFonts w:ascii="Arial" w:cs="Arial" w:eastAsia="Arial" w:hAnsi="Arial"/>
                <w:sz w:val="18"/>
                <w:szCs w:val="18"/>
                <w:color w:val="auto"/>
              </w:rPr>
              <w:t>303,983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149,389</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68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15,541</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69,656</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4,705,122</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4,181,778</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Note 6. Commitments and Contingencies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Leases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2021, the Company had the following operating lease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Statement of Operations Location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43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4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General and administrative and Research and development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286,923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Total operating lease expense</w:t>
            </w:r>
          </w:p>
        </w:tc>
        <w:tc>
          <w:tcPr>
            <w:tcW w:w="4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ind w:left="780"/>
              <w:spacing w:after="0"/>
              <w:rPr>
                <w:sz w:val="20"/>
                <w:szCs w:val="20"/>
                <w:color w:val="auto"/>
              </w:rPr>
            </w:pPr>
            <w:r>
              <w:rPr>
                <w:rFonts w:ascii="Arial" w:cs="Arial" w:eastAsia="Arial" w:hAnsi="Arial"/>
                <w:sz w:val="16"/>
                <w:szCs w:val="16"/>
                <w:color w:val="auto"/>
              </w:rPr>
              <w:t>Future minimum lease payments of our operating leases as of March 31, 2021 were as follows:</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8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4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2022</w:t>
            </w:r>
          </w:p>
        </w:tc>
        <w:tc>
          <w:tcPr>
            <w:tcW w:w="4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2024</w:t>
            </w:r>
          </w:p>
        </w:tc>
        <w:tc>
          <w:tcPr>
            <w:tcW w:w="4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Thereafter</w:t>
            </w:r>
          </w:p>
        </w:tc>
        <w:tc>
          <w:tcPr>
            <w:tcW w:w="4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lease payments</w:t>
            </w:r>
          </w:p>
        </w:tc>
        <w:tc>
          <w:tcPr>
            <w:tcW w:w="4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Less imputed interest</w:t>
            </w:r>
          </w:p>
        </w:tc>
        <w:tc>
          <w:tcPr>
            <w:tcW w:w="4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(53,545)</w:t>
            </w: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Present value of operating lease liabilities</w:t>
            </w:r>
          </w:p>
        </w:tc>
        <w:tc>
          <w:tcPr>
            <w:tcW w:w="4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1,526,455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80" w:firstLine="777"/>
        <w:spacing w:after="0" w:line="273" w:lineRule="auto"/>
        <w:rPr>
          <w:sz w:val="20"/>
          <w:szCs w:val="20"/>
          <w:color w:val="auto"/>
        </w:rPr>
      </w:pPr>
      <w:r>
        <w:rPr>
          <w:rFonts w:ascii="Arial" w:cs="Arial" w:eastAsia="Arial" w:hAnsi="Arial"/>
          <w:sz w:val="16"/>
          <w:szCs w:val="16"/>
          <w:color w:val="auto"/>
        </w:rPr>
        <w:t>As of March 31, 2021, the remaining lease term for our operating lease was 1.3 years with a discount rate of 6.0%.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Note 7. Stockholders’ Equity</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Capital Structure</w:t>
      </w:r>
    </w:p>
    <w:p>
      <w:pPr>
        <w:spacing w:after="0" w:line="239" w:lineRule="exact"/>
        <w:rPr>
          <w:sz w:val="20"/>
          <w:szCs w:val="20"/>
          <w:color w:val="auto"/>
        </w:rPr>
      </w:pPr>
    </w:p>
    <w:p>
      <w:pPr>
        <w:ind w:right="40" w:firstLine="777"/>
        <w:spacing w:after="0" w:line="271" w:lineRule="auto"/>
        <w:rPr>
          <w:sz w:val="20"/>
          <w:szCs w:val="20"/>
          <w:color w:val="auto"/>
        </w:rPr>
      </w:pPr>
      <w:r>
        <w:rPr>
          <w:rFonts w:ascii="Arial" w:cs="Arial" w:eastAsia="Arial" w:hAnsi="Arial"/>
          <w:sz w:val="16"/>
          <w:szCs w:val="16"/>
          <w:color w:val="auto"/>
        </w:rPr>
        <w:t>In May 2019, the Company entered into the May 2019 Sales Agreement with SVB Leerink, pursuant to which the Company may sell up to $50 million in shares of the Company’s common stock from time to time through SVB Leerink, acting as the Company’s sales agent, in one or more at-the-market offerings utilizing the 2016 Shelf Registration Statement. SVB Leerink is entitled to receive a commission of 3.0% of the gross proceeds for any shares sold under the May 2019 Sales Agreement. Due to expiration of the 2016 Shelf Registration Statement, at the Company’s option, the shares that were unsold of approximately $29.9 million under the May 2019 Sales Agreement, may be rolled over to the December 2019 Sales Agreement (see below).</w:t>
      </w:r>
    </w:p>
    <w:p>
      <w:pPr>
        <w:spacing w:after="0" w:line="190" w:lineRule="exact"/>
        <w:rPr>
          <w:sz w:val="20"/>
          <w:szCs w:val="20"/>
          <w:color w:val="auto"/>
        </w:rPr>
      </w:pPr>
    </w:p>
    <w:p>
      <w:pPr>
        <w:ind w:right="20" w:firstLine="777"/>
        <w:spacing w:after="0" w:line="269" w:lineRule="auto"/>
        <w:rPr>
          <w:sz w:val="20"/>
          <w:szCs w:val="20"/>
          <w:color w:val="auto"/>
        </w:rPr>
      </w:pPr>
      <w:r>
        <w:rPr>
          <w:rFonts w:ascii="Arial" w:cs="Arial" w:eastAsia="Arial" w:hAnsi="Arial"/>
          <w:sz w:val="16"/>
          <w:szCs w:val="16"/>
          <w:color w:val="auto"/>
        </w:rPr>
        <w:t>In December 2019, the Company entered into the December 2019 Sales Agreement with SVB Leerink, pursuant to which the Company may sell up to $80 million in shares of the Company’s common stock from time to time through SVB Leerink, acting as the Company’s sales agent, in one or more at-the-market offerings utilizing the 2019 Shelf Registration Statement. SVB Leerink is entitled to receive a commission of 3.0% of the gross proceeds for any shares sold under the December 2019 Sales Agreement. For the three months ended March 31, 2021, the Company received approximately $6.3 million in gross proceeds through the sale of 93,877 shares, of which net proceeds were approximately $6.1 million. For the three months ended March 31, 2020, the Company did not issue any shares of common stock pursuant to the December 2019 Sales Agreement.</w:t>
      </w:r>
    </w:p>
    <w:p>
      <w:pPr>
        <w:spacing w:after="0" w:line="194" w:lineRule="exact"/>
        <w:rPr>
          <w:sz w:val="20"/>
          <w:szCs w:val="20"/>
          <w:color w:val="auto"/>
        </w:rPr>
      </w:pPr>
    </w:p>
    <w:p>
      <w:pPr>
        <w:ind w:right="380" w:firstLine="777"/>
        <w:spacing w:after="0" w:line="278" w:lineRule="auto"/>
        <w:rPr>
          <w:sz w:val="20"/>
          <w:szCs w:val="20"/>
          <w:color w:val="auto"/>
        </w:rPr>
      </w:pPr>
      <w:r>
        <w:rPr>
          <w:rFonts w:ascii="Arial" w:cs="Arial" w:eastAsia="Arial" w:hAnsi="Arial"/>
          <w:sz w:val="16"/>
          <w:szCs w:val="16"/>
          <w:color w:val="auto"/>
        </w:rPr>
        <w:t>In December 2019, the Company completed an underwritten public offering, whereby the Company sold 2,300,000 shares of our common stock at a public offering price of $87.00 per share. The Company received gross proceeds of approximately $200.1 million and net proceeds of approximately $187.1 million, net of underwriting discounts and offering expenses.</w:t>
      </w:r>
    </w:p>
    <w:p>
      <w:pPr>
        <w:spacing w:after="0" w:line="184" w:lineRule="exact"/>
        <w:rPr>
          <w:sz w:val="20"/>
          <w:szCs w:val="20"/>
          <w:color w:val="auto"/>
        </w:rPr>
      </w:pPr>
    </w:p>
    <w:p>
      <w:pPr>
        <w:ind w:right="20" w:firstLine="777"/>
        <w:spacing w:after="0" w:line="293" w:lineRule="auto"/>
        <w:rPr>
          <w:sz w:val="20"/>
          <w:szCs w:val="20"/>
          <w:color w:val="auto"/>
        </w:rPr>
      </w:pPr>
      <w:r>
        <w:rPr>
          <w:rFonts w:ascii="Arial" w:cs="Arial" w:eastAsia="Arial" w:hAnsi="Arial"/>
          <w:sz w:val="16"/>
          <w:szCs w:val="16"/>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Shelf Registration Statement</w:t>
      </w:r>
    </w:p>
    <w:p>
      <w:pPr>
        <w:spacing w:after="0" w:line="239" w:lineRule="exact"/>
        <w:rPr>
          <w:sz w:val="20"/>
          <w:szCs w:val="20"/>
          <w:color w:val="auto"/>
        </w:rPr>
      </w:pPr>
    </w:p>
    <w:p>
      <w:pPr>
        <w:ind w:right="180" w:firstLine="777"/>
        <w:spacing w:after="0" w:line="273" w:lineRule="auto"/>
        <w:rPr>
          <w:sz w:val="20"/>
          <w:szCs w:val="20"/>
          <w:color w:val="auto"/>
        </w:rPr>
      </w:pPr>
      <w:r>
        <w:rPr>
          <w:rFonts w:ascii="Arial" w:cs="Arial" w:eastAsia="Arial" w:hAnsi="Arial"/>
          <w:sz w:val="16"/>
          <w:szCs w:val="16"/>
          <w:color w:val="auto"/>
        </w:rPr>
        <w:t>On December 5, 2019, the Company filed an automatic shelf registration statement (“2019 Shelf Registration”) with the Securities and Exchange Commission (“SEC”) for the issuance of common stock, preferred stock, warrants, rights, debt securities and units. It became effective upon filing with the SEC and is currently the Company’s only active shelf registration. Through the date of this report, the Company has issued common stock of approximately $228.2 million pursuant to such shelf registration statement.</w:t>
      </w:r>
    </w:p>
    <w:p>
      <w:pPr>
        <w:spacing w:after="0" w:line="189" w:lineRule="exact"/>
        <w:rPr>
          <w:sz w:val="20"/>
          <w:szCs w:val="20"/>
          <w:color w:val="auto"/>
        </w:rPr>
      </w:pPr>
    </w:p>
    <w:p>
      <w:pPr>
        <w:ind w:right="120" w:firstLine="777"/>
        <w:spacing w:after="0" w:line="273" w:lineRule="auto"/>
        <w:rPr>
          <w:sz w:val="20"/>
          <w:szCs w:val="20"/>
          <w:color w:val="auto"/>
        </w:rPr>
      </w:pPr>
      <w:r>
        <w:rPr>
          <w:rFonts w:ascii="Arial" w:cs="Arial" w:eastAsia="Arial" w:hAnsi="Arial"/>
          <w:sz w:val="16"/>
          <w:szCs w:val="16"/>
          <w:color w:val="auto"/>
        </w:rPr>
        <w:t>Under SEC rules, the 2019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2019 Shelf Registration Statement are offered for sale, a prospectus supplement will be prepared and filed with the SEC containing specific information about the terms of any such offering.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239" w:lineRule="exact"/>
        <w:rPr>
          <w:sz w:val="20"/>
          <w:szCs w:val="20"/>
          <w:color w:val="auto"/>
        </w:rPr>
      </w:pPr>
    </w:p>
    <w:p>
      <w:pPr>
        <w:ind w:right="300" w:firstLine="777"/>
        <w:spacing w:after="0" w:line="293" w:lineRule="auto"/>
        <w:rPr>
          <w:sz w:val="20"/>
          <w:szCs w:val="20"/>
          <w:color w:val="auto"/>
        </w:rPr>
      </w:pPr>
      <w:r>
        <w:rPr>
          <w:rFonts w:ascii="Arial" w:cs="Arial" w:eastAsia="Arial" w:hAnsi="Arial"/>
          <w:sz w:val="16"/>
          <w:szCs w:val="16"/>
          <w:color w:val="auto"/>
        </w:rPr>
        <w:t>There were 4,727,326 shares available for the issuance of stock options or stock-based awards under the Company’s 2015 Omnibus Incentive Compensation Plan at March 31, 2021.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23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sets forth the stock option activity for the three months ended March 31, 2021:</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exercise price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term</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2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3,725,648</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16.06</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780,440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66.72</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22.20</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240" w:type="dxa"/>
            <w:vAlign w:val="bottom"/>
          </w:tcPr>
          <w:p>
            <w:pPr>
              <w:jc w:val="right"/>
              <w:spacing w:after="0"/>
              <w:rPr>
                <w:sz w:val="20"/>
                <w:szCs w:val="20"/>
                <w:color w:val="auto"/>
              </w:rPr>
            </w:pPr>
            <w:r>
              <w:rPr>
                <w:rFonts w:ascii="Arial" w:cs="Arial" w:eastAsia="Arial" w:hAnsi="Arial"/>
                <w:sz w:val="18"/>
                <w:szCs w:val="18"/>
                <w:color w:val="auto"/>
              </w:rPr>
              <w:t>(25,844)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80.72</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87.76</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Pr>
          <w:p>
            <w:pPr>
              <w:spacing w:after="0"/>
              <w:rPr>
                <w:sz w:val="20"/>
                <w:szCs w:val="20"/>
                <w:color w:val="auto"/>
              </w:rPr>
            </w:pPr>
            <w:r>
              <w:rPr>
                <w:rFonts w:ascii="Arial" w:cs="Arial" w:eastAsia="Arial" w:hAnsi="Arial"/>
                <w:sz w:val="18"/>
                <w:szCs w:val="18"/>
                <w:color w:val="auto"/>
              </w:rPr>
              <w:t>Outstanding at March 31, 2021</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4,385,598</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24.04</w:t>
            </w:r>
          </w:p>
        </w:tc>
        <w:tc>
          <w:tcPr>
            <w:tcW w:w="14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80"/>
              <w:spacing w:after="0"/>
              <w:rPr>
                <w:sz w:val="20"/>
                <w:szCs w:val="20"/>
                <w:color w:val="auto"/>
              </w:rPr>
            </w:pPr>
            <w:r>
              <w:rPr>
                <w:rFonts w:ascii="Arial" w:cs="Arial" w:eastAsia="Arial" w:hAnsi="Arial"/>
                <w:sz w:val="18"/>
                <w:szCs w:val="18"/>
                <w:color w:val="auto"/>
                <w:w w:val="99"/>
              </w:rPr>
              <w:t>248,407,010</w:t>
            </w: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March 31, 2021</w:t>
            </w: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4,379,429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24.94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247,912,432</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Exercisable at March 31, 2021</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2,529,258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11.03</w:t>
            </w:r>
          </w:p>
        </w:tc>
        <w:tc>
          <w:tcPr>
            <w:tcW w:w="1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178,255,864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20" w:firstLine="777"/>
        <w:spacing w:after="0" w:line="291" w:lineRule="auto"/>
        <w:rPr>
          <w:sz w:val="20"/>
          <w:szCs w:val="20"/>
          <w:color w:val="auto"/>
        </w:rPr>
      </w:pPr>
      <w:r>
        <w:rPr>
          <w:rFonts w:ascii="Arial" w:cs="Arial" w:eastAsia="Arial" w:hAnsi="Arial"/>
          <w:sz w:val="15"/>
          <w:szCs w:val="15"/>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w:t>
      </w:r>
    </w:p>
    <w:p>
      <w:pPr>
        <w:spacing w:after="0" w:line="176" w:lineRule="exact"/>
        <w:rPr>
          <w:sz w:val="20"/>
          <w:szCs w:val="20"/>
          <w:color w:val="auto"/>
        </w:rPr>
      </w:pPr>
    </w:p>
    <w:p>
      <w:pPr>
        <w:ind w:right="220" w:firstLine="777"/>
        <w:spacing w:after="0" w:line="204" w:lineRule="exact"/>
        <w:rPr>
          <w:sz w:val="20"/>
          <w:szCs w:val="20"/>
          <w:color w:val="auto"/>
        </w:rPr>
      </w:pPr>
      <w:r>
        <w:rPr>
          <w:rFonts w:ascii="Arial" w:cs="Arial" w:eastAsia="Arial" w:hAnsi="Arial"/>
          <w:sz w:val="15"/>
          <w:szCs w:val="15"/>
          <w:color w:val="auto"/>
        </w:rPr>
        <w:t>The weighted average grant date fair value of options granted was $49.26 per option for the three months ended March 31, 2021. As of March 31, 2021, there was $54.8 million of total unrecognized compensation cost related to non-vested stock options which is expected to be recognized over a weighted average period of 3.5 years. These amounts do not include 9,788 options outstanding as of March 31, 2021, which are performance-based and vest upon the achievement of certain corporate milestones. Stock</w:t>
      </w:r>
      <w:r>
        <w:rPr>
          <w:rFonts w:ascii="MS PGothic" w:cs="MS PGothic" w:eastAsia="MS PGothic" w:hAnsi="MS PGothic"/>
          <w:sz w:val="15"/>
          <w:szCs w:val="15"/>
          <w:color w:val="auto"/>
        </w:rPr>
        <w:t>‑</w:t>
      </w:r>
      <w:r>
        <w:rPr>
          <w:rFonts w:ascii="Arial" w:cs="Arial" w:eastAsia="Arial" w:hAnsi="Arial"/>
          <w:sz w:val="15"/>
          <w:szCs w:val="15"/>
          <w:color w:val="auto"/>
        </w:rPr>
        <w:t>based compensation will be measured and recorded if and when it is probable that the milestone will occur.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239" w:lineRule="exact"/>
        <w:rPr>
          <w:sz w:val="20"/>
          <w:szCs w:val="20"/>
          <w:color w:val="auto"/>
        </w:rPr>
      </w:pPr>
    </w:p>
    <w:p>
      <w:pPr>
        <w:ind w:right="20" w:firstLine="777"/>
        <w:spacing w:after="0" w:line="278" w:lineRule="auto"/>
        <w:rPr>
          <w:sz w:val="20"/>
          <w:szCs w:val="20"/>
          <w:color w:val="auto"/>
        </w:rPr>
      </w:pPr>
      <w:r>
        <w:rPr>
          <w:rFonts w:ascii="Arial" w:cs="Arial" w:eastAsia="Arial" w:hAnsi="Arial"/>
          <w:sz w:val="16"/>
          <w:szCs w:val="16"/>
          <w:color w:val="auto"/>
        </w:rPr>
        <w:t>In 2020, the Company began granting RSUs covering an equal number of its shares of common stock to employees. The fair value of RSUs is determined on the date of the grant based on the market price of its shares of common stock as of that date. The fair value of the RSUs is recognized as an expense ratably over the vesting period of four years. As of March 31, 2021, total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compensation cost not yet recognized related to unvested RSUs was $12.0 million, which is expected to be recognized over a weighted-average period of 3.7 years.</w:t>
      </w:r>
    </w:p>
    <w:p>
      <w:pPr>
        <w:spacing w:after="0" w:line="24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sets forth the RSU activity for the three months ended March 31, 2021:</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center"/>
              <w:ind w:right="3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400" w:type="dxa"/>
            <w:vAlign w:val="bottom"/>
          </w:tcPr>
          <w:p>
            <w:pPr>
              <w:jc w:val="center"/>
              <w:ind w:right="3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318"/>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tcPr>
          <w:p>
            <w:pPr>
              <w:ind w:left="500"/>
              <w:spacing w:after="0"/>
              <w:rPr>
                <w:sz w:val="20"/>
                <w:szCs w:val="20"/>
                <w:color w:val="auto"/>
              </w:rPr>
            </w:pPr>
            <w:r>
              <w:rPr>
                <w:rFonts w:ascii="Arial" w:cs="Arial" w:eastAsia="Arial" w:hAnsi="Arial"/>
                <w:sz w:val="14"/>
                <w:szCs w:val="14"/>
                <w:b w:val="1"/>
                <w:bCs w:val="1"/>
                <w:color w:val="auto"/>
              </w:rPr>
              <w:t>of shares</w:t>
            </w:r>
          </w:p>
        </w:tc>
        <w:tc>
          <w:tcPr>
            <w:tcW w:w="280" w:type="dxa"/>
            <w:vAlign w:val="bottom"/>
          </w:tcPr>
          <w:p>
            <w:pPr>
              <w:spacing w:after="0"/>
              <w:rPr>
                <w:sz w:val="14"/>
                <w:szCs w:val="14"/>
                <w:color w:val="auto"/>
              </w:rPr>
            </w:pPr>
          </w:p>
        </w:tc>
        <w:tc>
          <w:tcPr>
            <w:tcW w:w="1400" w:type="dxa"/>
            <w:vAlign w:val="bottom"/>
          </w:tcPr>
          <w:p>
            <w:pPr>
              <w:jc w:val="center"/>
              <w:ind w:right="338"/>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68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136,067</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55"/>
              <w:spacing w:after="0"/>
              <w:rPr>
                <w:sz w:val="20"/>
                <w:szCs w:val="20"/>
                <w:color w:val="auto"/>
              </w:rPr>
            </w:pPr>
            <w:r>
              <w:rPr>
                <w:rFonts w:ascii="Arial" w:cs="Arial" w:eastAsia="Arial" w:hAnsi="Arial"/>
                <w:sz w:val="18"/>
                <w:szCs w:val="18"/>
                <w:color w:val="auto"/>
              </w:rPr>
              <w:t>174,688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8"/>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jc w:val="right"/>
              <w:ind w:right="58"/>
              <w:spacing w:after="0"/>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16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303,983</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Stock-based compensation expense recognized for the three months ended March 31, 2021 and 2020 was allocated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257"/>
              <w:spacing w:after="0" w:line="155" w:lineRule="exact"/>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1,534,395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634,375</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2,196,702</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1,499,155</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3,731,097</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2,133,530</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b w:val="1"/>
                <w:bCs w:val="1"/>
                <w:color w:val="auto"/>
              </w:rPr>
              <w:t>Warrants</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720" w:type="dxa"/>
            <w:vAlign w:val="bottom"/>
          </w:tcPr>
          <w:p>
            <w:pPr>
              <w:ind w:left="780"/>
              <w:spacing w:after="0"/>
              <w:rPr>
                <w:sz w:val="20"/>
                <w:szCs w:val="20"/>
                <w:color w:val="auto"/>
              </w:rPr>
            </w:pPr>
            <w:r>
              <w:rPr>
                <w:rFonts w:ascii="Arial" w:cs="Arial" w:eastAsia="Arial" w:hAnsi="Arial"/>
                <w:sz w:val="16"/>
                <w:szCs w:val="16"/>
                <w:color w:val="auto"/>
              </w:rPr>
              <w:t>The following table summarizes warrant activity for the three months ended March 31, 2021:</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57"/>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Warrants</w:t>
            </w:r>
          </w:p>
        </w:tc>
        <w:tc>
          <w:tcPr>
            <w:tcW w:w="220" w:type="dxa"/>
            <w:vAlign w:val="bottom"/>
          </w:tcPr>
          <w:p>
            <w:pPr>
              <w:spacing w:after="0"/>
              <w:rPr>
                <w:sz w:val="14"/>
                <w:szCs w:val="14"/>
                <w:color w:val="auto"/>
              </w:rPr>
            </w:pPr>
          </w:p>
        </w:tc>
        <w:tc>
          <w:tcPr>
            <w:tcW w:w="1460" w:type="dxa"/>
            <w:vAlign w:val="bottom"/>
          </w:tcPr>
          <w:p>
            <w:pPr>
              <w:jc w:val="center"/>
              <w:ind w:right="257"/>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3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15,541</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Issued</w:t>
            </w:r>
          </w:p>
        </w:tc>
        <w:tc>
          <w:tcPr>
            <w:tcW w:w="30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Outstanding at March 31, 2021</w:t>
            </w:r>
          </w:p>
        </w:tc>
        <w:tc>
          <w:tcPr>
            <w:tcW w:w="3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15,541</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Outstanding Warrants</w:t>
      </w:r>
    </w:p>
    <w:p>
      <w:pPr>
        <w:spacing w:after="0" w:line="262" w:lineRule="exact"/>
        <w:rPr>
          <w:sz w:val="20"/>
          <w:szCs w:val="20"/>
          <w:color w:val="auto"/>
        </w:rPr>
      </w:pPr>
    </w:p>
    <w:p>
      <w:pPr>
        <w:ind w:right="80" w:firstLine="777"/>
        <w:spacing w:after="0" w:line="313" w:lineRule="auto"/>
        <w:rPr>
          <w:sz w:val="20"/>
          <w:szCs w:val="20"/>
          <w:color w:val="auto"/>
        </w:rPr>
      </w:pPr>
      <w:r>
        <w:rPr>
          <w:rFonts w:ascii="Arial" w:cs="Arial" w:eastAsia="Arial" w:hAnsi="Arial"/>
          <w:sz w:val="15"/>
          <w:szCs w:val="15"/>
          <w:color w:val="auto"/>
        </w:rPr>
        <w:t>In connection with the first advance of the 2020 Term Loan, Hercules Capital Inc. received warrants to purchase an aggregate 15,541 shares of the Company’s common stock at an exercise price of $80.43 per share, which was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$0.9 million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License Agreements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Exclusive License Agreement with Pfizer</w:t>
      </w:r>
    </w:p>
    <w:p>
      <w:pPr>
        <w:spacing w:after="0" w:line="235" w:lineRule="exact"/>
        <w:rPr>
          <w:sz w:val="20"/>
          <w:szCs w:val="20"/>
          <w:color w:val="auto"/>
        </w:rPr>
      </w:pPr>
    </w:p>
    <w:p>
      <w:pPr>
        <w:ind w:right="80" w:firstLine="777"/>
        <w:spacing w:after="0" w:line="273" w:lineRule="auto"/>
        <w:rPr>
          <w:sz w:val="20"/>
          <w:szCs w:val="20"/>
          <w:color w:val="auto"/>
        </w:rPr>
      </w:pPr>
      <w:r>
        <w:rPr>
          <w:rFonts w:ascii="Arial" w:cs="Arial" w:eastAsia="Arial" w:hAnsi="Arial"/>
          <w:sz w:val="16"/>
          <w:szCs w:val="16"/>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now referred to as AXS-14, in the U.S. for the treatment of fibromyalgia.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firstLine="777"/>
        <w:spacing w:after="0" w:line="293" w:lineRule="auto"/>
        <w:rPr>
          <w:sz w:val="20"/>
          <w:szCs w:val="20"/>
          <w:color w:val="auto"/>
        </w:rPr>
      </w:pPr>
      <w:r>
        <w:rPr>
          <w:rFonts w:ascii="Arial" w:cs="Arial" w:eastAsia="Arial" w:hAnsi="Arial"/>
          <w:sz w:val="15"/>
          <w:szCs w:val="15"/>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three months ended March 31, 2020.</w:t>
      </w:r>
    </w:p>
    <w:p>
      <w:pPr>
        <w:spacing w:after="0" w:line="176" w:lineRule="exact"/>
        <w:rPr>
          <w:sz w:val="20"/>
          <w:szCs w:val="20"/>
          <w:color w:val="auto"/>
        </w:rPr>
      </w:pPr>
    </w:p>
    <w:p>
      <w:pPr>
        <w:jc w:val="both"/>
        <w:ind w:right="60" w:firstLine="777"/>
        <w:spacing w:after="0" w:line="278" w:lineRule="auto"/>
        <w:rPr>
          <w:sz w:val="20"/>
          <w:szCs w:val="20"/>
          <w:color w:val="auto"/>
        </w:rPr>
      </w:pPr>
      <w:r>
        <w:rPr>
          <w:rFonts w:ascii="Arial" w:cs="Arial" w:eastAsia="Arial" w:hAnsi="Arial"/>
          <w:sz w:val="16"/>
          <w:szCs w:val="16"/>
          <w:color w:val="auto"/>
        </w:rPr>
        <w:t>Pfizer can also receive up to $323 million in regulatory and sales milestones, and tiered mid-single to low double-digit royalties on future sales. Pfizer will also have a right of first negotiation on any potential future strategic transactions involving AXS-12 and AXS-14. During the three months ended March 31, 2021, no milestone payments or royalties were paid to Pfizer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Exclusive License Agreements with Antecip</w:t>
      </w:r>
    </w:p>
    <w:p>
      <w:pPr>
        <w:spacing w:after="0" w:line="235" w:lineRule="exact"/>
        <w:rPr>
          <w:sz w:val="20"/>
          <w:szCs w:val="20"/>
          <w:color w:val="auto"/>
        </w:rPr>
      </w:pPr>
    </w:p>
    <w:p>
      <w:pPr>
        <w:ind w:firstLine="777"/>
        <w:spacing w:after="0" w:line="286" w:lineRule="auto"/>
        <w:rPr>
          <w:sz w:val="20"/>
          <w:szCs w:val="20"/>
          <w:color w:val="auto"/>
        </w:rPr>
      </w:pPr>
      <w:r>
        <w:rPr>
          <w:rFonts w:ascii="Arial" w:cs="Arial" w:eastAsia="Arial" w:hAnsi="Arial"/>
          <w:sz w:val="15"/>
          <w:szCs w:val="15"/>
          <w:color w:val="auto"/>
        </w:rPr>
        <w:t>In 2012, the Company entered into three exclusive license agreements with Antecip, in which it was granted exclusive licenses to develop, manufacture, and commercialize Antecip’s patents and applications related to the development of AXS-02, AXS-05, and AXS-04, a product candidate that is currently in early stage development, anywhere in the world for human therapeutic, veterinary, and diagnostic use. Pursuant to the agreements, the Company is required to use commercially reasonable efforts to develop, obtain regulatory approval for and commercialize AXS-02, AXS-05, and AXS-04. Under the terms of the agreements, the Company is required to pay to Antecip a royalty equal to 4.5% for AXS-02, 3.0% for AXS-05, and 1.5% for AXS-04,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To date, the Company has not been required to make any payments to Antecip under any of the license agreements.</w:t>
      </w:r>
    </w:p>
    <w:p>
      <w:pPr>
        <w:spacing w:after="0" w:line="179" w:lineRule="exact"/>
        <w:rPr>
          <w:sz w:val="20"/>
          <w:szCs w:val="20"/>
          <w:color w:val="auto"/>
        </w:rPr>
      </w:pPr>
    </w:p>
    <w:p>
      <w:pPr>
        <w:ind w:right="380" w:firstLine="777"/>
        <w:spacing w:after="0" w:line="293" w:lineRule="auto"/>
        <w:rPr>
          <w:sz w:val="20"/>
          <w:szCs w:val="20"/>
          <w:color w:val="auto"/>
        </w:rPr>
      </w:pPr>
      <w:r>
        <w:rPr>
          <w:rFonts w:ascii="Arial" w:cs="Arial" w:eastAsia="Arial" w:hAnsi="Arial"/>
          <w:sz w:val="16"/>
          <w:szCs w:val="16"/>
          <w:color w:val="auto"/>
        </w:rPr>
        <w:t>In connection with the 2020 Term Loan, the Company entered into a Direct Agreement with Antecip pursuant to which Antecip consented to the collateral assignment of the License Agreement to Hercules, among other things.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39" w:lineRule="exact"/>
        <w:rPr>
          <w:sz w:val="20"/>
          <w:szCs w:val="20"/>
          <w:color w:val="auto"/>
        </w:rPr>
      </w:pPr>
    </w:p>
    <w:p>
      <w:pPr>
        <w:ind w:right="20" w:firstLine="777"/>
        <w:spacing w:after="0" w:line="297" w:lineRule="auto"/>
        <w:rPr>
          <w:sz w:val="20"/>
          <w:szCs w:val="20"/>
          <w:color w:val="auto"/>
        </w:rPr>
      </w:pPr>
      <w:r>
        <w:rPr>
          <w:rFonts w:ascii="Arial" w:cs="Arial" w:eastAsia="Arial" w:hAnsi="Arial"/>
          <w:sz w:val="15"/>
          <w:szCs w:val="15"/>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72" w:lineRule="exact"/>
        <w:rPr>
          <w:sz w:val="20"/>
          <w:szCs w:val="20"/>
          <w:color w:val="auto"/>
        </w:rPr>
      </w:pPr>
    </w:p>
    <w:p>
      <w:pPr>
        <w:ind w:right="40" w:firstLine="777"/>
        <w:spacing w:after="0" w:line="305" w:lineRule="auto"/>
        <w:rPr>
          <w:sz w:val="20"/>
          <w:szCs w:val="20"/>
          <w:color w:val="auto"/>
        </w:rPr>
      </w:pPr>
      <w:r>
        <w:rPr>
          <w:rFonts w:ascii="Arial" w:cs="Arial" w:eastAsia="Arial" w:hAnsi="Arial"/>
          <w:sz w:val="15"/>
          <w:szCs w:val="15"/>
          <w:i w:val="1"/>
          <w:iCs w:val="1"/>
          <w:color w:val="auto"/>
        </w:rPr>
        <w:t xml:space="preserve">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2020 </w:t>
      </w:r>
      <w:r>
        <w:rPr>
          <w:rFonts w:ascii="Arial" w:cs="Arial" w:eastAsia="Arial" w:hAnsi="Arial"/>
          <w:sz w:val="15"/>
          <w:szCs w:val="15"/>
          <w:color w:val="auto"/>
        </w:rPr>
        <w:t>which wa</w:t>
      </w:r>
      <w:r>
        <w:rPr>
          <w:rFonts w:ascii="Arial" w:cs="Arial" w:eastAsia="Arial" w:hAnsi="Arial"/>
          <w:sz w:val="15"/>
          <w:szCs w:val="15"/>
          <w:i w:val="1"/>
          <w:iCs w:val="1"/>
          <w:color w:val="auto"/>
        </w:rPr>
        <w:t>s filed with the Securities and Exchange Commission, or SEC, on March 1, 2021</w:t>
      </w:r>
      <w:r>
        <w:rPr>
          <w:rFonts w:ascii="Arial" w:cs="Arial" w:eastAsia="Arial" w:hAnsi="Arial"/>
          <w:sz w:val="15"/>
          <w:szCs w:val="15"/>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firstLine="792"/>
        <w:spacing w:after="0" w:line="284" w:lineRule="auto"/>
        <w:rPr>
          <w:sz w:val="20"/>
          <w:szCs w:val="20"/>
          <w:color w:val="auto"/>
        </w:rPr>
      </w:pPr>
      <w:r>
        <w:rPr>
          <w:rFonts w:ascii="Arial" w:cs="Arial" w:eastAsia="Arial" w:hAnsi="Arial"/>
          <w:sz w:val="15"/>
          <w:szCs w:val="15"/>
          <w:color w:val="auto"/>
        </w:rPr>
        <w:t>We are a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five CNS product candidates, AXS-05, AXS-07, AXS-09, AXS-12, and AXS-14 which are being developed for multiple indications. AXS-05 is being developed for the treatment of major depressive disorder, or MDD, for which we have completed a Phase 2 controlled trial and Phase 3 controlled trial, which we refer to as the ASCEND study and the GEMINI study, respectively, and a Phase 3 long-term open-label study, which we refer to as the COMET study. A New Drug Application, or NDA, has been submitted and accepted for filing for AXS-05 for the treatment of MDD. The FDA has set a Prescription Drug User Fee Act (PDUFA) target action date for the AXS-05 NDA of August 22, 2021. AXS-05 is also under development for the treatment of Alzheimer's disease agitation, or AD agitation. We have completed one Phase 2/3 controlled trial, which we refer to as the ADVANCE-1 study, for this indication. We are conducting a Phase 3 placebo-controlled, randomized withdrawal trial in AD agitation, which we refer to as the ACCORD study, and one open-label long-term safety study in AD agitation. AXS-05 is also being developed for smoking cessation and a Phase 2 trial in this indication has been completed. AXS-07 is being developed for the acute treatment of migraine, for which we have completed two Phase 3 controlled trials, which we refer to as the MOMENTUM study and the INTERCEPT study, and one Phase 3 long-term open-label trial, which we refer to as the MOVEMENT study. We plan to submit an NDA for AXS-07 for the acute treatment of migraine. AXS-09 is being developed for the treatment of CNS disorders. AXS-12 is being developed for the treatment of narcolepsy. We have completed a Phase 2 trial with AXS-12, which we refer to as the CONCERT study. A Phase 3 trial with AXS-12 in narcolepsy is planned. AXS-14 is being developed for the treatment of fibromyalgia. 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190" w:lineRule="exact"/>
        <w:rPr>
          <w:sz w:val="20"/>
          <w:szCs w:val="20"/>
          <w:color w:val="auto"/>
        </w:rPr>
      </w:pPr>
    </w:p>
    <w:p>
      <w:pPr>
        <w:ind w:right="120" w:firstLine="792"/>
        <w:spacing w:after="0" w:line="203" w:lineRule="exact"/>
        <w:rPr>
          <w:sz w:val="20"/>
          <w:szCs w:val="20"/>
          <w:color w:val="auto"/>
        </w:rPr>
      </w:pPr>
      <w:r>
        <w:rPr>
          <w:rFonts w:ascii="Arial" w:cs="Arial" w:eastAsia="Arial" w:hAnsi="Arial"/>
          <w:sz w:val="15"/>
          <w:szCs w:val="15"/>
          <w:color w:val="auto"/>
        </w:rPr>
        <w:t>AXS-05 is a novel, oral, investigational NMDA, or N-methyl-D-aspartate, receptor antagonist with multimodal activity under development for the treatment of CNS disorders. AXS-05 consists of a proprietary formulation and dose of bupropion and dextromethorphan and utilizes our metabolic inhibition technology. The dextromethorphan component of AXS-05 is an uncompetitive NMDA, receptor antagonist, also known as a glutamate receptor modulator.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are seeking U.S. Food and Drug Administration, or FDA, approval for AXS</w:t>
      </w:r>
      <w:r>
        <w:rPr>
          <w:rFonts w:ascii="MS PGothic" w:cs="MS PGothic" w:eastAsia="MS PGothic" w:hAnsi="MS PGothic"/>
          <w:sz w:val="15"/>
          <w:szCs w:val="15"/>
          <w:color w:val="auto"/>
        </w:rPr>
        <w:t>‑</w:t>
      </w:r>
      <w:r>
        <w:rPr>
          <w:rFonts w:ascii="Arial" w:cs="Arial" w:eastAsia="Arial" w:hAnsi="Arial"/>
          <w:sz w:val="15"/>
          <w:szCs w:val="15"/>
          <w:color w:val="auto"/>
        </w:rPr>
        <w:t>05 utilizing the 505(b)(2) regulatory development pathway. AXS-05 has been granted FDA Breakthrough Therapy designation for both the treatment of MDD and the treatment of Alzheimer’s disease agitation, as well as Fast Track designations for the treatment of Alzheimer’s disease agitation and treatment resistant depression.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777"/>
        <w:spacing w:after="0" w:line="284" w:lineRule="auto"/>
        <w:rPr>
          <w:sz w:val="20"/>
          <w:szCs w:val="20"/>
          <w:color w:val="auto"/>
        </w:rPr>
      </w:pPr>
      <w:r>
        <w:rPr>
          <w:rFonts w:ascii="Arial" w:cs="Arial" w:eastAsia="Arial" w:hAnsi="Arial"/>
          <w:sz w:val="15"/>
          <w:szCs w:val="15"/>
          <w:color w:val="auto"/>
        </w:rPr>
        <w:t>We have completed two pivotal, one Phase 2 and one Phase 3, trials of AXS-05 in MDD, which we refer to as the ASCEND and GEMINI trials, respectively. AXS-05 achieved the primary endpoint in both the ASCEND and GEMINI trials. A Phase 3, open-label, long-term safety study with AXS-05 in patients with MDD and TRD known as the COMET trial has also been completed. Additionally, three Phase 2 open-label efficacy sub-studies of the COMET trial have been completed. These sub-studies evaluated the efficacy and safety of AXS-05 in three clinically pertinent MDD patient populations: the COMET-TRD trial in treatment resistant MDD (TRD), the COMET-AU trial in antidepressant unresponsive MDD, and the COMET-SI trial in MDD with suicidal ideation. In the overall COMET trial, AXS-05 treatment resulted in rapid, substantial, and durable improvement in depressive symptoms, measured using the MADRS, which was sustained or increased with long-term treatment. Additionally, AXS-05 was well tolerated with long-term dosing. Similar findings of rapid and durable improvements in depressive symptoms were demonstrated in the COMET-AU and COMET-TRD sub-studies. In the COMET-SI trial, a rapid reduction in suicidal ideation was observed with AXS-05 treatment, as demonstrated by reductions in the MADRS-SI score. We have completed a Phase 3 trial of AXS-05 in TRD, which we refer to as the STRIDE-1 trial, which met key secondary endpoints but did not reach statistical significance on the primary endpoint. Additionally, we have initiated the MERIT (Mechanistic Evaluation of Response in TRD) trial, a Phase 2, double-blind, placebo-controlled, randomized withdrawal study in patients with TRD. We have also completed a Phase 2/3 trial of AXS-05 in AD agitation, which we refer to as the ADVANCE-1 trial. AXS-05 achieved the primary endpoint in the ADVANCE-1 trial. We have initiated the ACCORD (Assessing Clinical Outcomes in Alzheimer’s Disease Agitation) trial, a Phase 3, double blind, placebo-controlled, randomized withdrawal trial in patients with AD agitation, and one open-label long-term safety study in AD agitation. AXS-05 is also being developed as an aid to smoking cessation treatment and a positive Phase 2 trial in this indication has been completed under a research collaboration between us and Duke University. We have submitted a New Drug Application, or NDA, for AXS-05 for the treatment of MDD supported by the positive results from the ASCEND and GEMINI trials which has been accepted for filing by the FDA and has granted the application Priority Review resulting in a Prescription Drug User Fee Act (PDUFA) target action date of August 22, 2021.</w:t>
      </w:r>
    </w:p>
    <w:p>
      <w:pPr>
        <w:spacing w:after="0" w:line="189" w:lineRule="exact"/>
        <w:rPr>
          <w:sz w:val="20"/>
          <w:szCs w:val="20"/>
          <w:color w:val="auto"/>
        </w:rPr>
      </w:pPr>
    </w:p>
    <w:p>
      <w:pPr>
        <w:ind w:right="80" w:firstLine="777"/>
        <w:spacing w:after="0" w:line="242" w:lineRule="auto"/>
        <w:rPr>
          <w:sz w:val="20"/>
          <w:szCs w:val="20"/>
          <w:color w:val="auto"/>
        </w:rPr>
      </w:pPr>
      <w:r>
        <w:rPr>
          <w:rFonts w:ascii="Arial" w:cs="Arial" w:eastAsia="Arial" w:hAnsi="Arial"/>
          <w:sz w:val="15"/>
          <w:szCs w:val="15"/>
          <w:color w:val="auto"/>
        </w:rPr>
        <w:t>AXS-07 is a novel, oral, rapidly absorbed, multi-mechanistic, investigational medicine under development for the acute treatment of migraine. AXS-07 consists of MoSEIC™, or Molecular Solubility Enhanced Inclusion Complex, meloxicam and rizatriptan.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5"/>
          <w:szCs w:val="25"/>
          <w:color w:val="auto"/>
          <w:vertAlign w:val="subscript"/>
        </w:rPr>
        <w:t>max</w:t>
      </w:r>
      <w:r>
        <w:rPr>
          <w:rFonts w:ascii="Arial" w:cs="Arial" w:eastAsia="Arial" w:hAnsi="Arial"/>
          <w:sz w:val="15"/>
          <w:szCs w:val="15"/>
          <w:color w:val="auto"/>
        </w:rPr>
        <w:t>, which delays its onset of action.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w:t>
      </w:r>
      <w:r>
        <w:rPr>
          <w:rFonts w:ascii="Arial" w:cs="Arial" w:eastAsia="Arial" w:hAnsi="Arial"/>
          <w:sz w:val="25"/>
          <w:szCs w:val="25"/>
          <w:color w:val="auto"/>
          <w:vertAlign w:val="subscript"/>
        </w:rPr>
        <w:t>1B/1D</w:t>
      </w:r>
      <w:r>
        <w:rPr>
          <w:rFonts w:ascii="Arial" w:cs="Arial" w:eastAsia="Arial" w:hAnsi="Arial"/>
          <w:sz w:val="15"/>
          <w:szCs w:val="15"/>
          <w:color w:val="auto"/>
        </w:rPr>
        <w:t xml:space="preserve">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213" w:lineRule="exact"/>
        <w:rPr>
          <w:sz w:val="20"/>
          <w:szCs w:val="20"/>
          <w:color w:val="auto"/>
        </w:rPr>
      </w:pPr>
    </w:p>
    <w:p>
      <w:pPr>
        <w:ind w:right="60" w:firstLine="777"/>
        <w:spacing w:after="0" w:line="271" w:lineRule="auto"/>
        <w:rPr>
          <w:sz w:val="20"/>
          <w:szCs w:val="20"/>
          <w:color w:val="auto"/>
        </w:rPr>
      </w:pPr>
      <w:r>
        <w:rPr>
          <w:rFonts w:ascii="Arial" w:cs="Arial" w:eastAsia="Arial" w:hAnsi="Arial"/>
          <w:sz w:val="16"/>
          <w:szCs w:val="16"/>
          <w:color w:val="auto"/>
        </w:rPr>
        <w:t>We have completed two Phase 3 trials of AXS-07 for the acute treatment of migraine, which we refer to as the MOMENTUM and INTERCEPT trials. AXS-07 achieved the co-primary endpoints in both the MOMENTUM and INTERCEPT trials. We plan to submit an NDA for AXS-07 for the acute treatment of migraine supported by the positive results from the MOMENTUM and INTERCEPT trials. An open-label, long-term, safety study of AXS-07 in patients with migraine known as the MOVEMENT trial has also been completed. In the MOVEMENT trial, administration of AXS-07 resulted in rapid, and substantial relief of migraine pain and associated symptoms and was well tolerated with long term dosing.</w:t>
      </w:r>
    </w:p>
    <w:p>
      <w:pPr>
        <w:spacing w:after="0" w:line="190" w:lineRule="exact"/>
        <w:rPr>
          <w:sz w:val="20"/>
          <w:szCs w:val="20"/>
          <w:color w:val="auto"/>
        </w:rPr>
      </w:pPr>
    </w:p>
    <w:p>
      <w:pPr>
        <w:ind w:right="140" w:firstLine="777"/>
        <w:spacing w:after="0" w:line="293" w:lineRule="auto"/>
        <w:rPr>
          <w:sz w:val="20"/>
          <w:szCs w:val="20"/>
          <w:color w:val="auto"/>
        </w:rPr>
      </w:pPr>
      <w:r>
        <w:rPr>
          <w:rFonts w:ascii="Arial" w:cs="Arial" w:eastAsia="Arial" w:hAnsi="Arial"/>
          <w:sz w:val="15"/>
          <w:szCs w:val="15"/>
          <w:color w:val="auto"/>
        </w:rPr>
        <w:t>AXS-09 is an oral, investigational NMDA receptor antagonist with multimodal activity consisting of esbupropion and dextromethorphan, which is being developed for the treatment of CNS disorders. AXS-09 contains esbupropion, the chirally pure S-enantiomer of bupropion, as compared to the company’s first generation product candidate AXS-05 which contains racemic bupropion, equal amounts of the S- and R-enantiomers. We have demonstrated in a Phase 1 trial that dextromethorphan plasma levels are substantially increased into a potentially therapeutic range with repeated administration of AXS-09. Results of this Phase 1 trial coupled with preclinical data also indicate the potential for enhanced absorption and therapeutic effect of the S-enantiomer as compared to the R-enantiomer.</w:t>
      </w:r>
    </w:p>
    <w:p>
      <w:pPr>
        <w:spacing w:after="0" w:line="176" w:lineRule="exact"/>
        <w:rPr>
          <w:sz w:val="20"/>
          <w:szCs w:val="20"/>
          <w:color w:val="auto"/>
        </w:rPr>
      </w:pPr>
    </w:p>
    <w:p>
      <w:pPr>
        <w:ind w:right="340" w:firstLine="777"/>
        <w:spacing w:after="0" w:line="305" w:lineRule="auto"/>
        <w:rPr>
          <w:sz w:val="20"/>
          <w:szCs w:val="20"/>
          <w:color w:val="auto"/>
        </w:rPr>
      </w:pPr>
      <w:r>
        <w:rPr>
          <w:rFonts w:ascii="Arial" w:cs="Arial" w:eastAsia="Arial" w:hAnsi="Arial"/>
          <w:sz w:val="15"/>
          <w:szCs w:val="15"/>
          <w:color w:val="auto"/>
        </w:rPr>
        <w:t>AXS-12, reboxetine, is a novel, oral, investigational medicine in development for the treatment of narcolepsy. AXS-12 is a highly selective and potent norepinephrine reuptake inhibitor. AXS-12 has been granted FDA Breakthrough Therapy designation and Orphan Drug Designation for the treatment of narcolepsy. We have completed a Phase 2 trial with AXS-12, which we refer to as the CONCERT trial. AXS-12 achieved the primary endpoint in the CONCERT trial.</w:t>
      </w:r>
    </w:p>
    <w:p>
      <w:pPr>
        <w:spacing w:after="0" w:line="166" w:lineRule="exact"/>
        <w:rPr>
          <w:sz w:val="20"/>
          <w:szCs w:val="20"/>
          <w:color w:val="auto"/>
        </w:rPr>
      </w:pPr>
    </w:p>
    <w:p>
      <w:pPr>
        <w:ind w:right="80" w:firstLine="777"/>
        <w:spacing w:after="0" w:line="273" w:lineRule="auto"/>
        <w:rPr>
          <w:sz w:val="20"/>
          <w:szCs w:val="20"/>
          <w:color w:val="auto"/>
        </w:rPr>
      </w:pPr>
      <w:r>
        <w:rPr>
          <w:rFonts w:ascii="Arial" w:cs="Arial" w:eastAsia="Arial" w:hAnsi="Arial"/>
          <w:sz w:val="16"/>
          <w:szCs w:val="16"/>
          <w:color w:val="auto"/>
        </w:rPr>
        <w:t>AXS-14, esreboxetine, is a novel, oral, investigational medicine in development for the treatment of fibromyalgia. AXS-14 is a highly selective and potent norepinephrine reuptake inhibitor. We are initially developing esreboxetine for the treatment of fibromyalgia. Esreboxetine, the SS-enantiomer of reboxetine, is more potent and selective than racemic reboxetine. We have in-licensed data from Pfizer which includes a completed Phase 2 trial and Phase 3 trial in fibromyalgia, both of which were positive.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60" w:firstLine="777"/>
        <w:spacing w:after="0" w:line="324" w:lineRule="auto"/>
        <w:rPr>
          <w:sz w:val="20"/>
          <w:szCs w:val="20"/>
          <w:color w:val="auto"/>
        </w:rPr>
      </w:pPr>
      <w:r>
        <w:rPr>
          <w:rFonts w:ascii="Arial" w:cs="Arial" w:eastAsia="Arial" w:hAnsi="Arial"/>
          <w:sz w:val="14"/>
          <w:szCs w:val="14"/>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 and subsequent to our IPO, through proceeds from sales of our common stock and warrants to purchase shares of our common stock to equity investors and debt borrowings. For a further discussion, see the section entitled “Liquidity and Capital Resources” below.</w:t>
      </w:r>
    </w:p>
    <w:p>
      <w:pPr>
        <w:spacing w:after="0" w:line="157" w:lineRule="exact"/>
        <w:rPr>
          <w:sz w:val="20"/>
          <w:szCs w:val="20"/>
          <w:color w:val="auto"/>
        </w:rPr>
      </w:pPr>
    </w:p>
    <w:p>
      <w:pPr>
        <w:ind w:right="620" w:firstLine="777"/>
        <w:spacing w:after="0" w:line="293" w:lineRule="auto"/>
        <w:rPr>
          <w:sz w:val="20"/>
          <w:szCs w:val="20"/>
          <w:color w:val="auto"/>
        </w:rPr>
      </w:pPr>
      <w:r>
        <w:rPr>
          <w:rFonts w:ascii="Arial" w:cs="Arial" w:eastAsia="Arial" w:hAnsi="Arial"/>
          <w:sz w:val="16"/>
          <w:szCs w:val="16"/>
          <w:color w:val="auto"/>
        </w:rPr>
        <w:t>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172" w:lineRule="exact"/>
        <w:rPr>
          <w:sz w:val="20"/>
          <w:szCs w:val="20"/>
          <w:color w:val="auto"/>
        </w:rPr>
      </w:pPr>
    </w:p>
    <w:p>
      <w:pPr>
        <w:ind w:right="40" w:firstLine="777"/>
        <w:spacing w:after="0" w:line="287" w:lineRule="auto"/>
        <w:rPr>
          <w:sz w:val="20"/>
          <w:szCs w:val="20"/>
          <w:color w:val="auto"/>
        </w:rPr>
      </w:pPr>
      <w:r>
        <w:rPr>
          <w:rFonts w:ascii="Arial" w:cs="Arial" w:eastAsia="Arial" w:hAnsi="Arial"/>
          <w:sz w:val="15"/>
          <w:szCs w:val="15"/>
          <w:color w:val="auto"/>
        </w:rPr>
        <w:t>We have incurred significant operating expenses and net losses since inception. We incurred net losses of $29.3 million and $32.5 million for the three months ended March 31, 2021 and 2020, respectively. Our accumulated deficit as of March 31, 2021 was $308.1 million, and we expect to incur significant expenses and increasing operating losses for the foreseeable future. We expect to continue to incur expenses in connection with the development of our product candidates, including with respect to conducting clinical trials and seeking regulatory approval for our current product candidates and any other product candidates that we develop or in-license and advance to clinical development. In preparation for obtaining regulatory approval for our product candidates, we expect to incur significant expenses in order to create an infrastructure and market readiness to support the commercialization of the product candidate, including manufacturing, sales, marketing, and distribution functions. Further, we have incurred and will continue to incur additional costs associated with operating as a public company. Accordingly, we will need additional financing to support our continuing operations. We will seek to fund our operations through public and/or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to Date and Recent Developments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AXS-05</w:t>
      </w:r>
    </w:p>
    <w:p>
      <w:pPr>
        <w:spacing w:after="0" w:line="235" w:lineRule="exact"/>
        <w:rPr>
          <w:sz w:val="20"/>
          <w:szCs w:val="20"/>
          <w:color w:val="auto"/>
        </w:rPr>
      </w:pPr>
    </w:p>
    <w:p>
      <w:pPr>
        <w:ind w:right="400" w:firstLine="777"/>
        <w:spacing w:after="0" w:line="293" w:lineRule="auto"/>
        <w:rPr>
          <w:sz w:val="20"/>
          <w:szCs w:val="20"/>
          <w:color w:val="auto"/>
        </w:rPr>
      </w:pPr>
      <w:r>
        <w:rPr>
          <w:rFonts w:ascii="Arial" w:cs="Arial" w:eastAsia="Arial" w:hAnsi="Arial"/>
          <w:sz w:val="16"/>
          <w:szCs w:val="16"/>
          <w:color w:val="auto"/>
        </w:rPr>
        <w:t>In April 2021, we announced that the FDA has accepted for filing the NDA for AXS-05 for the treatment of MDD, and has granted the application Priority Review resulting in a PDUFA target action date of August 22, 2021.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Overview</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35" w:lineRule="exact"/>
        <w:rPr>
          <w:sz w:val="20"/>
          <w:szCs w:val="20"/>
          <w:color w:val="auto"/>
        </w:rPr>
      </w:pPr>
    </w:p>
    <w:p>
      <w:pPr>
        <w:ind w:right="20" w:firstLine="777"/>
        <w:spacing w:after="0" w:line="273" w:lineRule="auto"/>
        <w:rPr>
          <w:sz w:val="20"/>
          <w:szCs w:val="20"/>
          <w:color w:val="auto"/>
        </w:rPr>
      </w:pPr>
      <w:r>
        <w:rPr>
          <w:rFonts w:ascii="Arial" w:cs="Arial" w:eastAsia="Arial" w:hAnsi="Arial"/>
          <w:sz w:val="16"/>
          <w:szCs w:val="16"/>
          <w:color w:val="auto"/>
        </w:rPr>
        <w:t>We have not generated any revenue and have incurred significant operating losses since inception, and we do not expect to generate any revenue from the sale of any products unless or until we obtain regulatory approval. If we fail to complete the development of our product candidates in a timely manner or obtain regulatory approval for them, our ability to generate future revenue, and our results of operations and financial position, would be materially and adversely affected. If we enter into licensing or collaboration arrangements, such agreements may generate revenue in the future.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35" w:lineRule="exact"/>
        <w:rPr>
          <w:sz w:val="20"/>
          <w:szCs w:val="20"/>
          <w:color w:val="auto"/>
        </w:rPr>
      </w:pPr>
    </w:p>
    <w:p>
      <w:pPr>
        <w:ind w:right="240" w:firstLine="777"/>
        <w:spacing w:after="0" w:line="204" w:lineRule="exact"/>
        <w:rPr>
          <w:sz w:val="20"/>
          <w:szCs w:val="20"/>
          <w:color w:val="auto"/>
        </w:rPr>
      </w:pPr>
      <w:r>
        <w:rPr>
          <w:rFonts w:ascii="Arial" w:cs="Arial" w:eastAsia="Arial" w:hAnsi="Arial"/>
          <w:sz w:val="16"/>
          <w:szCs w:val="16"/>
          <w:color w:val="auto"/>
        </w:rPr>
        <w:t>Research and development expenses primarily include preclinical studies, clinical trials, manufacturing costs, employee salaries and benefits,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214" w:lineRule="exact"/>
        <w:rPr>
          <w:sz w:val="20"/>
          <w:szCs w:val="20"/>
          <w:color w:val="auto"/>
        </w:rPr>
      </w:pPr>
    </w:p>
    <w:p>
      <w:pPr>
        <w:ind w:firstLine="777"/>
        <w:spacing w:after="0" w:line="288" w:lineRule="auto"/>
        <w:rPr>
          <w:sz w:val="20"/>
          <w:szCs w:val="20"/>
          <w:color w:val="auto"/>
        </w:rPr>
      </w:pPr>
      <w:r>
        <w:rPr>
          <w:rFonts w:ascii="Arial" w:cs="Arial" w:eastAsia="Arial" w:hAnsi="Arial"/>
          <w:sz w:val="15"/>
          <w:szCs w:val="15"/>
          <w:color w:val="auto"/>
        </w:rPr>
        <w:t>Research and development activities are central to our business model. We have and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60" w:firstLine="777"/>
        <w:spacing w:after="0" w:line="315" w:lineRule="auto"/>
        <w:rPr>
          <w:sz w:val="20"/>
          <w:szCs w:val="20"/>
          <w:color w:val="auto"/>
        </w:rPr>
      </w:pPr>
      <w:r>
        <w:rPr>
          <w:rFonts w:ascii="Arial" w:cs="Arial" w:eastAsia="Arial" w:hAnsi="Arial"/>
          <w:sz w:val="14"/>
          <w:szCs w:val="14"/>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63"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The following table summarizes our research and development expenses for our primary programs for the three months ended March 31, 2021 and 2020:</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4"/>
                <w:szCs w:val="14"/>
                <w:color w:val="auto"/>
              </w:rPr>
            </w:pPr>
          </w:p>
        </w:tc>
      </w:tr>
      <w:tr>
        <w:trPr>
          <w:trHeight w:val="171"/>
        </w:trPr>
        <w:tc>
          <w:tcPr>
            <w:tcW w:w="7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4"/>
                <w:szCs w:val="14"/>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AXS-05</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10,044,146</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9,317,822</w:t>
            </w: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AXS-07</w:t>
            </w:r>
          </w:p>
        </w:tc>
        <w:tc>
          <w:tcPr>
            <w:tcW w:w="36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2,531,549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6,010,278</w:t>
            </w: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AXS-12</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733,858</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5,557,062</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AXS-14</w:t>
            </w:r>
          </w:p>
        </w:tc>
        <w:tc>
          <w:tcPr>
            <w:tcW w:w="36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5,077,669</w:t>
            </w: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research and development</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1,751,741</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924,194</w:t>
            </w: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1,534,395</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634,375</w:t>
            </w: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16,595,689</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27,521,400</w:t>
            </w: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Other research and development expenses primarily consist of employee salaries and benefits, facilities and overhead costs.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35" w:lineRule="exact"/>
        <w:rPr>
          <w:sz w:val="20"/>
          <w:szCs w:val="20"/>
          <w:color w:val="auto"/>
        </w:rPr>
      </w:pPr>
    </w:p>
    <w:p>
      <w:pPr>
        <w:ind w:right="220" w:firstLine="777"/>
        <w:spacing w:after="0" w:line="273" w:lineRule="auto"/>
        <w:rPr>
          <w:sz w:val="20"/>
          <w:szCs w:val="20"/>
          <w:color w:val="auto"/>
        </w:rPr>
      </w:pPr>
      <w:r>
        <w:rPr>
          <w:rFonts w:ascii="Arial" w:cs="Arial" w:eastAsia="Arial" w:hAnsi="Arial"/>
          <w:sz w:val="16"/>
          <w:szCs w:val="16"/>
          <w:color w:val="auto"/>
        </w:rPr>
        <w:t>General and administrative expenses primarily consist of salaries and related costs for personnel in executive, commercial, finance, and operational functions, including stock based compensation and travel expenses. Also included in general and administrative expenses are pre-commercialization costs, facility related costs, insurance expense, professional fees for legal and accounting services and patent filing and prosecution costs. General and administrative expenses are expensed when incurred.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and amortization of debt discount (expense) income</w:t>
      </w:r>
    </w:p>
    <w:p>
      <w:pPr>
        <w:spacing w:after="0" w:line="235" w:lineRule="exact"/>
        <w:rPr>
          <w:sz w:val="20"/>
          <w:szCs w:val="20"/>
          <w:color w:val="auto"/>
        </w:rPr>
      </w:pPr>
    </w:p>
    <w:p>
      <w:pPr>
        <w:ind w:right="160" w:firstLine="777"/>
        <w:spacing w:after="0" w:line="278" w:lineRule="auto"/>
        <w:rPr>
          <w:sz w:val="20"/>
          <w:szCs w:val="20"/>
          <w:color w:val="auto"/>
        </w:rPr>
      </w:pPr>
      <w:r>
        <w:rPr>
          <w:rFonts w:ascii="Arial" w:cs="Arial" w:eastAsia="Arial" w:hAnsi="Arial"/>
          <w:sz w:val="16"/>
          <w:szCs w:val="16"/>
          <w:color w:val="auto"/>
        </w:rPr>
        <w:t>Interest and amortization of debt discount (expense) income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and amortization of debt discount (expense) income also includes interest income earned on cash.</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Judgments and Estimates</w:t>
      </w:r>
    </w:p>
    <w:p>
      <w:pPr>
        <w:spacing w:after="0" w:line="239" w:lineRule="exact"/>
        <w:rPr>
          <w:sz w:val="20"/>
          <w:szCs w:val="20"/>
          <w:color w:val="auto"/>
        </w:rPr>
      </w:pPr>
    </w:p>
    <w:p>
      <w:pPr>
        <w:ind w:right="140" w:firstLine="777"/>
        <w:spacing w:after="0" w:line="269"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94" w:lineRule="exact"/>
        <w:rPr>
          <w:sz w:val="20"/>
          <w:szCs w:val="20"/>
          <w:color w:val="auto"/>
        </w:rPr>
      </w:pPr>
    </w:p>
    <w:p>
      <w:pPr>
        <w:ind w:right="120" w:firstLine="777"/>
        <w:spacing w:after="0" w:line="305" w:lineRule="auto"/>
        <w:rPr>
          <w:sz w:val="20"/>
          <w:szCs w:val="20"/>
          <w:color w:val="auto"/>
        </w:rPr>
      </w:pPr>
      <w:r>
        <w:rPr>
          <w:rFonts w:ascii="Arial" w:cs="Arial" w:eastAsia="Arial" w:hAnsi="Arial"/>
          <w:sz w:val="15"/>
          <w:szCs w:val="15"/>
          <w:color w:val="auto"/>
        </w:rPr>
        <w:t>There have been no material changes to our critical accounting policies since the beginning of our fiscal year. Our critical accounting policies are described in “Management’s Discussion and Analysis of Financial Condition and Results of Operations” included in our Annual Report on Form 10-K for the year ended December 31, 2020 and in the notes to the condensed consolidated financial statements appearing elsewhere in this Quarterly Report on Form 10-Q.</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summarizes our results of operations for the periods indicated: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16,595,689</w:t>
            </w:r>
          </w:p>
        </w:tc>
        <w:tc>
          <w:tcPr>
            <w:tcW w:w="16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27,521,400</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11,248,372</w:t>
            </w:r>
          </w:p>
        </w:tc>
        <w:tc>
          <w:tcPr>
            <w:tcW w:w="1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4,970,057</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27,844,061</w:t>
            </w:r>
          </w:p>
        </w:tc>
        <w:tc>
          <w:tcPr>
            <w:tcW w:w="1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32,491,457</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(27,844,061)</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(32,491,457)</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amortization of debt discount (expense) income</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(1,415,909)</w:t>
            </w:r>
          </w:p>
        </w:tc>
        <w:tc>
          <w:tcPr>
            <w:tcW w:w="1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7,311</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(29,259,970)</w:t>
            </w:r>
          </w:p>
        </w:tc>
        <w:tc>
          <w:tcPr>
            <w:tcW w:w="1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(32,484,146)</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months ended March 31, 2021 and 2020</w:t>
      </w:r>
    </w:p>
    <w:p>
      <w:pPr>
        <w:spacing w:after="0" w:line="235" w:lineRule="exact"/>
        <w:rPr>
          <w:sz w:val="20"/>
          <w:szCs w:val="20"/>
          <w:color w:val="auto"/>
        </w:rPr>
      </w:pPr>
    </w:p>
    <w:p>
      <w:pPr>
        <w:ind w:left="780"/>
        <w:spacing w:after="0"/>
        <w:rPr>
          <w:sz w:val="20"/>
          <w:szCs w:val="20"/>
          <w:color w:val="auto"/>
        </w:rPr>
      </w:pPr>
      <w:r>
        <w:rPr>
          <w:rFonts w:ascii="Arial" w:cs="Arial" w:eastAsia="Arial" w:hAnsi="Arial"/>
          <w:sz w:val="14"/>
          <w:szCs w:val="14"/>
          <w:i w:val="1"/>
          <w:iCs w:val="1"/>
          <w:color w:val="auto"/>
        </w:rPr>
        <w:t xml:space="preserve">Research and Development Expenses. </w:t>
      </w:r>
      <w:r>
        <w:rPr>
          <w:rFonts w:ascii="Arial" w:cs="Arial" w:eastAsia="Arial" w:hAnsi="Arial"/>
          <w:sz w:val="14"/>
          <w:szCs w:val="14"/>
          <w:color w:val="auto"/>
        </w:rPr>
        <w:t>Our research and development expenses for the three months ended March 31, 2021 were $16.6 million, compared to</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$27.5 million for the three months ended March 31, 2020, a decrease of $10.9 million. The decrease was driven by a one-time charge of $10.2 million for the Pfizer license</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agreement in the comparable prior period along with conclusion of several clinical trials, which were ongoing in the comparable prior period. The current period included a</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$2.9 million PDUFA fee related to the NDA submission for AXS-05. This fee will be refunded subsequent to the end of the first quarter, as our Small Business Waiver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request for the fee was recently granted by the FDA.</w:t>
      </w:r>
    </w:p>
    <w:p>
      <w:pPr>
        <w:spacing w:after="0" w:line="231" w:lineRule="exact"/>
        <w:rPr>
          <w:sz w:val="20"/>
          <w:szCs w:val="20"/>
          <w:color w:val="auto"/>
        </w:rPr>
      </w:pPr>
    </w:p>
    <w:p>
      <w:pPr>
        <w:ind w:left="780"/>
        <w:spacing w:after="0"/>
        <w:rPr>
          <w:sz w:val="20"/>
          <w:szCs w:val="20"/>
          <w:color w:val="auto"/>
        </w:rPr>
      </w:pPr>
      <w:r>
        <w:rPr>
          <w:rFonts w:ascii="Arial" w:cs="Arial" w:eastAsia="Arial" w:hAnsi="Arial"/>
          <w:sz w:val="15"/>
          <w:szCs w:val="15"/>
          <w:i w:val="1"/>
          <w:iCs w:val="1"/>
          <w:color w:val="auto"/>
        </w:rPr>
        <w:t xml:space="preserve">General and Administrative Expenses. </w:t>
      </w:r>
      <w:r>
        <w:rPr>
          <w:rFonts w:ascii="Arial" w:cs="Arial" w:eastAsia="Arial" w:hAnsi="Arial"/>
          <w:sz w:val="15"/>
          <w:szCs w:val="15"/>
          <w:color w:val="auto"/>
        </w:rPr>
        <w:t>Our general and administrative expenses for the three months ended March 31, 2021 were $11.2 million, compared to</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$5.0 million for the three months ended March 31, 2020, an increase of $6.2 million. The increase was primarily due to pre-commercial activities along with increased stock</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w:t>
      </w:r>
    </w:p>
    <w:p>
      <w:pPr>
        <w:spacing w:after="0" w:line="231" w:lineRule="exact"/>
        <w:rPr>
          <w:sz w:val="20"/>
          <w:szCs w:val="20"/>
          <w:color w:val="auto"/>
        </w:rPr>
      </w:pPr>
    </w:p>
    <w:p>
      <w:pPr>
        <w:ind w:right="80" w:firstLine="777"/>
        <w:spacing w:after="0" w:line="278" w:lineRule="auto"/>
        <w:rPr>
          <w:sz w:val="20"/>
          <w:szCs w:val="20"/>
          <w:color w:val="auto"/>
        </w:rPr>
      </w:pPr>
      <w:r>
        <w:rPr>
          <w:rFonts w:ascii="Arial" w:cs="Arial" w:eastAsia="Arial" w:hAnsi="Arial"/>
          <w:sz w:val="16"/>
          <w:szCs w:val="16"/>
          <w:i w:val="1"/>
          <w:iCs w:val="1"/>
          <w:color w:val="auto"/>
        </w:rPr>
        <w:t xml:space="preserve">Interest and amortization of debt discount (expense) income. </w:t>
      </w:r>
      <w:r>
        <w:rPr>
          <w:rFonts w:ascii="Arial" w:cs="Arial" w:eastAsia="Arial" w:hAnsi="Arial"/>
          <w:sz w:val="16"/>
          <w:szCs w:val="16"/>
          <w:color w:val="auto"/>
        </w:rPr>
        <w:t>Interest and amortization of debt discount expense for the three months ended March 31, 2021 was</w:t>
      </w:r>
      <w:r>
        <w:rPr>
          <w:rFonts w:ascii="Arial" w:cs="Arial" w:eastAsia="Arial" w:hAnsi="Arial"/>
          <w:sz w:val="16"/>
          <w:szCs w:val="16"/>
          <w:i w:val="1"/>
          <w:iCs w:val="1"/>
          <w:color w:val="auto"/>
        </w:rPr>
        <w:t xml:space="preserve"> </w:t>
      </w:r>
      <w:r>
        <w:rPr>
          <w:rFonts w:ascii="Arial" w:cs="Arial" w:eastAsia="Arial" w:hAnsi="Arial"/>
          <w:sz w:val="16"/>
          <w:szCs w:val="16"/>
          <w:color w:val="auto"/>
        </w:rPr>
        <w:t>$1.4 million, compared to interest income of less than $0.1 million for the three months ended March 31, 2020, a change of $1.4 million. The change is mainly due to a higher outstanding principal amount on our debt in 2021 as compared to the comparable period in 2020.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right="480" w:firstLine="777"/>
        <w:spacing w:after="0" w:line="293" w:lineRule="auto"/>
        <w:rPr>
          <w:sz w:val="20"/>
          <w:szCs w:val="20"/>
          <w:color w:val="auto"/>
        </w:rPr>
      </w:pPr>
      <w:r>
        <w:rPr>
          <w:rFonts w:ascii="Arial" w:cs="Arial" w:eastAsia="Arial" w:hAnsi="Arial"/>
          <w:sz w:val="16"/>
          <w:szCs w:val="16"/>
          <w:color w:val="auto"/>
        </w:rPr>
        <w:t>Since our inception through March 31, 2021, we have financed our operations primarily through proceeds from equity offerings and debt borrowings. See discussion below.</w:t>
      </w:r>
    </w:p>
    <w:p>
      <w:pPr>
        <w:spacing w:after="0" w:line="172" w:lineRule="exact"/>
        <w:rPr>
          <w:sz w:val="20"/>
          <w:szCs w:val="20"/>
          <w:color w:val="auto"/>
        </w:rPr>
      </w:pPr>
    </w:p>
    <w:p>
      <w:pPr>
        <w:ind w:right="400" w:firstLine="777"/>
        <w:spacing w:after="0" w:line="278" w:lineRule="auto"/>
        <w:rPr>
          <w:sz w:val="20"/>
          <w:szCs w:val="20"/>
          <w:color w:val="auto"/>
        </w:rPr>
      </w:pPr>
      <w:r>
        <w:rPr>
          <w:rFonts w:ascii="Arial" w:cs="Arial" w:eastAsia="Arial" w:hAnsi="Arial"/>
          <w:sz w:val="16"/>
          <w:szCs w:val="16"/>
          <w:color w:val="auto"/>
        </w:rPr>
        <w:t>In November 2015, we completed our IPO, in which we sold 5,666,667 shares of common stock at an offering price to the public of $9.00 per share. We received gross proceeds of approximately $51.0 million and net proceeds of approximately $45.5 million, after deducting underwriting discounts and commissions and offering-related transaction costs.</w:t>
      </w:r>
    </w:p>
    <w:p>
      <w:pPr>
        <w:spacing w:after="0" w:line="184" w:lineRule="exact"/>
        <w:rPr>
          <w:sz w:val="20"/>
          <w:szCs w:val="20"/>
          <w:color w:val="auto"/>
        </w:rPr>
      </w:pPr>
    </w:p>
    <w:p>
      <w:pPr>
        <w:ind w:right="20" w:firstLine="777"/>
        <w:spacing w:after="0" w:line="289" w:lineRule="auto"/>
        <w:rPr>
          <w:sz w:val="20"/>
          <w:szCs w:val="20"/>
          <w:color w:val="auto"/>
        </w:rPr>
      </w:pPr>
      <w:r>
        <w:rPr>
          <w:rFonts w:ascii="Arial" w:cs="Arial" w:eastAsia="Arial" w:hAnsi="Arial"/>
          <w:sz w:val="15"/>
          <w:szCs w:val="15"/>
          <w:color w:val="auto"/>
        </w:rPr>
        <w:t>In November 2016, we entered into a loan and security agreement with SVB for a term loan of up to $20.0 million, which we refer to as the Original Term Loan. The initial tranche of $10.0 million was funded shortly after executing the loan agreement. Because we did not achieve the conditional criteria to access the second and third tranches before the specified dates, the $10.0 million in additional term loan advances expired. In November 2018, we amended the loan and security agreement with SVB to provide an additional $4 million growth capital loan, related to our narcolepsy clinical program with AXS-12. We refer to this amendment as the First Amendment to the Original Term Loan. The additional capital was available to be drawn, at our option, subject to the achievement of a specified clinical milestone. Our obligations under the loan and security agreement, as amended, along with our ability to draw down on the additional $4.0 million tranche, were subsequently extinguished in connection with the establishment of a new term loan facility with SVB during March 2019 (see below).</w:t>
      </w:r>
    </w:p>
    <w:p>
      <w:pPr>
        <w:spacing w:after="0" w:line="180" w:lineRule="exact"/>
        <w:rPr>
          <w:sz w:val="20"/>
          <w:szCs w:val="20"/>
          <w:color w:val="auto"/>
        </w:rPr>
      </w:pPr>
    </w:p>
    <w:p>
      <w:pPr>
        <w:ind w:right="60" w:firstLine="777"/>
        <w:spacing w:after="0" w:line="269" w:lineRule="auto"/>
        <w:rPr>
          <w:sz w:val="20"/>
          <w:szCs w:val="20"/>
          <w:color w:val="auto"/>
        </w:rPr>
      </w:pPr>
      <w:r>
        <w:rPr>
          <w:rFonts w:ascii="Arial" w:cs="Arial" w:eastAsia="Arial" w:hAnsi="Arial"/>
          <w:sz w:val="16"/>
          <w:szCs w:val="16"/>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As discussed in greater detail below, we completed an offering of common stock in March 2017, entered into a sales agreement in October 2017 pursuant to which we sold shares of our common stock from time to time in an at-the-market offering until completion of the offering in January 2019, completed a registered direct offering priced at the market in December 2017 and September 2018, entered into a sales agreement in May 2019 pursuant to which we sold shares of our common stock from time to time in an at-the-market offering each utilizing the 2016 Shelf Registration Statement. The 2016 Shelf Registration expired in December 2019.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right="240" w:firstLine="777"/>
        <w:spacing w:after="0" w:line="369" w:lineRule="auto"/>
        <w:rPr>
          <w:sz w:val="20"/>
          <w:szCs w:val="20"/>
          <w:color w:val="auto"/>
        </w:rPr>
      </w:pPr>
      <w:r>
        <w:rPr>
          <w:rFonts w:ascii="Arial" w:cs="Arial" w:eastAsia="Arial" w:hAnsi="Arial"/>
          <w:sz w:val="14"/>
          <w:szCs w:val="14"/>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126" w:lineRule="exact"/>
        <w:rPr>
          <w:sz w:val="20"/>
          <w:szCs w:val="20"/>
          <w:color w:val="auto"/>
        </w:rPr>
      </w:pPr>
    </w:p>
    <w:p>
      <w:pPr>
        <w:ind w:right="20" w:firstLine="777"/>
        <w:spacing w:after="0" w:line="271" w:lineRule="auto"/>
        <w:rPr>
          <w:sz w:val="20"/>
          <w:szCs w:val="20"/>
          <w:color w:val="auto"/>
        </w:rPr>
      </w:pPr>
      <w:r>
        <w:rPr>
          <w:rFonts w:ascii="Arial" w:cs="Arial" w:eastAsia="Arial" w:hAnsi="Arial"/>
          <w:sz w:val="16"/>
          <w:szCs w:val="16"/>
          <w:color w:val="auto"/>
        </w:rPr>
        <w:t>In October 2017, we entered into an “at-the-market” sales agreement, or the Sales Agreement, with Leerink Partners LLC, or now known as SVB Leerink, pursuant to which we could sell up to $30 million in shares of our common stock from time to time through SVB Leerink, acting as our sales agent, in one or more at-the-market offerings. In January 2019, we raised approximately $25.8 million in gross proceeds through the sale of 3,164,015 shares under the Sales Agreement. Upon completion of this final sale, the Sales Agreement was automatically terminated. SVB Leerink received a commission of 3.0% of the gross proceeds for all shares sold under the Sales Agreement.</w:t>
      </w:r>
    </w:p>
    <w:p>
      <w:pPr>
        <w:spacing w:after="0" w:line="190" w:lineRule="exact"/>
        <w:rPr>
          <w:sz w:val="20"/>
          <w:szCs w:val="20"/>
          <w:color w:val="auto"/>
        </w:rPr>
      </w:pPr>
    </w:p>
    <w:p>
      <w:pPr>
        <w:ind w:right="180" w:firstLine="777"/>
        <w:spacing w:after="0" w:line="289" w:lineRule="auto"/>
        <w:rPr>
          <w:sz w:val="20"/>
          <w:szCs w:val="20"/>
          <w:color w:val="auto"/>
        </w:rPr>
      </w:pPr>
      <w:r>
        <w:rPr>
          <w:rFonts w:ascii="Arial" w:cs="Arial" w:eastAsia="Arial" w:hAnsi="Arial"/>
          <w:sz w:val="15"/>
          <w:szCs w:val="15"/>
          <w:color w:val="auto"/>
        </w:rPr>
        <w:t>In December 2017, we completed a registered direct offering priced at the market, whereby we sold an aggregate of $9.5 million worth of units, or Units, at a purchase price of $5.325 per Unit, with each Unit consisting of (i) one share of our common stock, and (ii) a warrant to purchase one share of our common stock, or Common Warrant, at an exercise price equal to $5.25 per share. We sold an aggregate of 1,783,587 Units in the offering for gross proceeds of approximately $9.5 million and net proceeds of approximately $8.8 million, net of underwriting discounts and offering expenses. Additionally, we issued warrants to purchase up to 107,015 shares of our common stock at an exercise price of $6.6562 per share to certain investors affiliated with H.C. Wainwright &amp; Co., LLC, placement agent for the offering, which we refer to as the Placement Agent Warrants. The Placement Agent Warrants had the same terms as the Common Warrants, except for the difference in exercise price noted above. Both the Common Warrants and the Placement Agent Warrants expired on December 11, 2018.</w:t>
      </w:r>
    </w:p>
    <w:p>
      <w:pPr>
        <w:spacing w:after="0" w:line="180" w:lineRule="exact"/>
        <w:rPr>
          <w:sz w:val="20"/>
          <w:szCs w:val="20"/>
          <w:color w:val="auto"/>
        </w:rPr>
      </w:pPr>
    </w:p>
    <w:p>
      <w:pPr>
        <w:ind w:firstLine="792"/>
        <w:spacing w:after="0" w:line="293" w:lineRule="auto"/>
        <w:rPr>
          <w:sz w:val="20"/>
          <w:szCs w:val="20"/>
          <w:color w:val="auto"/>
        </w:rPr>
      </w:pPr>
      <w:r>
        <w:rPr>
          <w:rFonts w:ascii="Arial" w:cs="Arial" w:eastAsia="Arial" w:hAnsi="Arial"/>
          <w:sz w:val="15"/>
          <w:szCs w:val="15"/>
          <w:color w:val="auto"/>
        </w:rPr>
        <w:t>In September 2018, we entered into a purchase agreement with certain institutional and accredited investors, which we refer to as the RDO Investors, for the sale by us directly to the RDO Investors of an aggregate of 2,966,667 shares of our common stock, at a purchase price of $3.00 per share, which we refer to as the 2018 Registered Direct Offering, for gross proceeds of approximately $8.9 million. The 2018 Registered Direct Offering closed on October 1, 2018, and we received estimated net proceeds of approximately $8.8 million, after deducting transaction expenses. The 2,966,667 shares of common stock sold in the 2018 Registered Direct Offering were offered and sold by us directly to the RDO Investors, without a placement agent, underwriter, broker or dealer.</w:t>
      </w:r>
    </w:p>
    <w:p>
      <w:pPr>
        <w:spacing w:after="0" w:line="176" w:lineRule="exact"/>
        <w:rPr>
          <w:sz w:val="20"/>
          <w:szCs w:val="20"/>
          <w:color w:val="auto"/>
        </w:rPr>
      </w:pPr>
    </w:p>
    <w:p>
      <w:pPr>
        <w:ind w:firstLine="792"/>
        <w:spacing w:after="0" w:line="269" w:lineRule="auto"/>
        <w:rPr>
          <w:sz w:val="20"/>
          <w:szCs w:val="20"/>
          <w:color w:val="auto"/>
        </w:rPr>
      </w:pPr>
      <w:r>
        <w:rPr>
          <w:rFonts w:ascii="Arial" w:cs="Arial" w:eastAsia="Arial" w:hAnsi="Arial"/>
          <w:sz w:val="16"/>
          <w:szCs w:val="16"/>
          <w:color w:val="auto"/>
        </w:rPr>
        <w:t>In March 2019, we entered into a loan and security agreement, the 2019 Term Loan with SVB and WestRiver, for a term loan up to $24.0 million. The initial tranche of $20.0 million was funded shortly after executing the loan agreement. The second tranche of $4.0 million was available to be drawn, at our option, subject to the achievement of positive data, on or prior to August 15, 2019, with respect to our ongoing Phase 2 clinical trial for AXS 12 in narcolepsy, sufficient to submit a Phase 3 protocol to FDA, provided that we had not received any objections from the FDA within thirty days after submission of such Phase 3 protocol A portion of the initial tranche was used to satisfy our existing obligations under our November 2016 term loan facility with SVB, as amended in November 2018, and such obligations are considered fully repaid and extinguished. In September 2020, we terminated and repaid all amounts outstanding under 2019 Term Loan in connection with our entry into the Loan Agreement (see below).</w:t>
      </w:r>
    </w:p>
    <w:p>
      <w:pPr>
        <w:spacing w:after="0" w:line="190" w:lineRule="exact"/>
        <w:rPr>
          <w:sz w:val="20"/>
          <w:szCs w:val="20"/>
          <w:color w:val="auto"/>
        </w:rPr>
      </w:pPr>
    </w:p>
    <w:p>
      <w:pPr>
        <w:ind w:right="20" w:firstLine="792"/>
        <w:spacing w:after="0" w:line="297" w:lineRule="auto"/>
        <w:rPr>
          <w:sz w:val="20"/>
          <w:szCs w:val="20"/>
          <w:color w:val="auto"/>
        </w:rPr>
      </w:pPr>
      <w:r>
        <w:rPr>
          <w:rFonts w:ascii="Arial" w:cs="Arial" w:eastAsia="Arial" w:hAnsi="Arial"/>
          <w:sz w:val="15"/>
          <w:szCs w:val="15"/>
          <w:color w:val="auto"/>
        </w:rPr>
        <w:t>In May 2019, we entered into the May 2019 Sales Agreement with SVB Leerink, pursuant to which we may sell up to $50 million in shares of our common stock from time to time through SVB Leerink, acting as our sales agent, in one or more at-the-market offerings utilizing the 2016 Shelf Registration Statement. SVB Leerink is entitled to receive a commission of 3.0% of the gross proceeds for any shares sold under the May 2019 Sales Agreement. Due to expiration of the 2016 Shelf Registration Statement, the shares that were unsold under the May 2019 Sales Agreement, were rolled over to the December 2019 Sales Agreement (see below).</w:t>
      </w:r>
    </w:p>
    <w:p>
      <w:pPr>
        <w:spacing w:after="0" w:line="172" w:lineRule="exact"/>
        <w:rPr>
          <w:sz w:val="20"/>
          <w:szCs w:val="20"/>
          <w:color w:val="auto"/>
        </w:rPr>
      </w:pPr>
    </w:p>
    <w:p>
      <w:pPr>
        <w:ind w:right="60" w:firstLine="792"/>
        <w:spacing w:after="0" w:line="269" w:lineRule="auto"/>
        <w:rPr>
          <w:sz w:val="20"/>
          <w:szCs w:val="20"/>
          <w:color w:val="auto"/>
        </w:rPr>
      </w:pPr>
      <w:r>
        <w:rPr>
          <w:rFonts w:ascii="Arial" w:cs="Arial" w:eastAsia="Arial" w:hAnsi="Arial"/>
          <w:sz w:val="16"/>
          <w:szCs w:val="16"/>
          <w:color w:val="auto"/>
        </w:rPr>
        <w:t>In July 2019, we entered into the first amendment to the 2019 Term Loan, or the First Amendment to the 2019 Term Loan. Under the First Amendment to the 2019 Term Loan, the interest-only monthly payment period of the 2019 Term Loan was extended to 18 months after the date of the 2019 Term Loan, which could have been further extended to 24 months upon receipt by us of the Term B Loan Advance. Our ability to draw down the Term B Loan Advance was extended to December 31, 2019, subject to our achievement of the Milestone Event prior to or on December 31, 2019. The Loan Advances mature on February 1, 2023. See the subsection titled “July 2019 First Amendment to Loan and Security Agreement – Silicon Valley Bank” under the “Contractual Obligations and Commitments” section below for a further description of the First Amendment to the 2019 Term Loan.</w:t>
      </w:r>
    </w:p>
    <w:p>
      <w:pPr>
        <w:spacing w:after="0" w:line="194" w:lineRule="exact"/>
        <w:rPr>
          <w:sz w:val="20"/>
          <w:szCs w:val="20"/>
          <w:color w:val="auto"/>
        </w:rPr>
      </w:pPr>
    </w:p>
    <w:p>
      <w:pPr>
        <w:ind w:right="60" w:firstLine="792"/>
        <w:spacing w:after="0" w:line="289" w:lineRule="auto"/>
        <w:rPr>
          <w:sz w:val="20"/>
          <w:szCs w:val="20"/>
          <w:color w:val="auto"/>
        </w:rPr>
      </w:pPr>
      <w:r>
        <w:rPr>
          <w:rFonts w:ascii="Arial" w:cs="Arial" w:eastAsia="Arial" w:hAnsi="Arial"/>
          <w:sz w:val="15"/>
          <w:szCs w:val="15"/>
          <w:color w:val="auto"/>
        </w:rPr>
        <w:t>On December 5, 2019, we filed an automatic shelf registration statement with the SEC for the issuance of common stock, preferred stock, warrants, rights, debt securities and units up to an unlimited amount, which we refer to as the 2019 Shelf Registration Statement. It was declared effective by the SEC upon filing. As discussed in greater detail below, we entered into a sales agreement in December 2019 pursuant to which we sold shares of our common stock from time to time in an at-the-market offering and completed an offering of common stock in December 2019, each utilizing the 2019 Shelf Registration Statement. In the future, we may conduct additional offerings of one or more of these securities utilizing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777"/>
        <w:spacing w:after="0" w:line="269" w:lineRule="auto"/>
        <w:rPr>
          <w:sz w:val="20"/>
          <w:szCs w:val="20"/>
          <w:color w:val="auto"/>
        </w:rPr>
      </w:pPr>
      <w:r>
        <w:rPr>
          <w:rFonts w:ascii="Arial" w:cs="Arial" w:eastAsia="Arial" w:hAnsi="Arial"/>
          <w:sz w:val="16"/>
          <w:szCs w:val="16"/>
          <w:color w:val="auto"/>
        </w:rPr>
        <w:t>In December 2019, we entered into the December 2019 Sales Agreement with SVB Leerink, pursuant to which we may sell up to $80 million in shares of our common stock from time to time through SVB Leerink, acting as our sales agent, in one or more at-the-market offerings utilizing the 2019 Shelf Registration Statement. SVB Leerink is entitled to receive a commission of 3.0% of the gross proceeds for any shares sold under the December 2019 Sales Agreement. For the year ended December 31, 2020, the Company received approximately $14.6 million in gross proceeds through the sale of 167,243 shares, of which net proceeds were approximately $14.1 million. For the year ended December 31, 2019, we received approximately $7.3 million in gross proceeds through the sale of 89,390 shares, of which net proceeds were approximately $7.1 million.</w:t>
      </w:r>
    </w:p>
    <w:p>
      <w:pPr>
        <w:spacing w:after="0" w:line="194" w:lineRule="exact"/>
        <w:rPr>
          <w:sz w:val="20"/>
          <w:szCs w:val="20"/>
          <w:color w:val="auto"/>
        </w:rPr>
      </w:pPr>
    </w:p>
    <w:p>
      <w:pPr>
        <w:ind w:firstLine="777"/>
        <w:spacing w:after="0" w:line="271" w:lineRule="auto"/>
        <w:rPr>
          <w:sz w:val="20"/>
          <w:szCs w:val="20"/>
          <w:color w:val="auto"/>
        </w:rPr>
      </w:pPr>
      <w:r>
        <w:rPr>
          <w:rFonts w:ascii="Arial" w:cs="Arial" w:eastAsia="Arial" w:hAnsi="Arial"/>
          <w:sz w:val="16"/>
          <w:szCs w:val="16"/>
          <w:color w:val="auto"/>
        </w:rPr>
        <w:t>In December 2019, we entered into a new Sales Agreement with SVB Leerink, or the December 2019 Sales Agreement, pursuant to which we may sell up to $80 million in shares of our common stock from time to time through SVB Leerink, acting as our sales agent, in one or more at-the-market offerings utilizing the 2019 Shelf Registration Statement. SVB Leerink is entitled to receive a commission of 3.0% of the gross proceeds for any shares sold under the December 2019 Sales Agreement. We received approximately $6.3 million in gross proceeds through the sale of 93,877 shares, of which net proceeds were approximately $6.1 million during the three months ended March 31, 2021.</w:t>
      </w:r>
    </w:p>
    <w:p>
      <w:pPr>
        <w:spacing w:after="0" w:line="190" w:lineRule="exact"/>
        <w:rPr>
          <w:sz w:val="20"/>
          <w:szCs w:val="20"/>
          <w:color w:val="auto"/>
        </w:rPr>
      </w:pPr>
    </w:p>
    <w:p>
      <w:pPr>
        <w:ind w:right="20" w:firstLine="777"/>
        <w:spacing w:after="0" w:line="313" w:lineRule="auto"/>
        <w:rPr>
          <w:sz w:val="20"/>
          <w:szCs w:val="20"/>
          <w:color w:val="auto"/>
        </w:rPr>
      </w:pPr>
      <w:r>
        <w:rPr>
          <w:rFonts w:ascii="Arial" w:cs="Arial" w:eastAsia="Arial" w:hAnsi="Arial"/>
          <w:sz w:val="14"/>
          <w:szCs w:val="14"/>
          <w:color w:val="auto"/>
        </w:rPr>
        <w:t>In September 2020, we entered into the Loan Agreement with Hercules for the 2020 Term Loan, which consists of several tranches in an aggregate amount of up to $225.0 million. The first tranche consists of term loans in the amount of $60.0 million, of which $50.0 million was funded shortly after executing the Loan Agreement and the remaining $10.0 million is available at our option at any time through September 15, 2021. A portion of the initial tranche was used to repay the 2019 Term Loan along with associated final payment fees. The remaining $115 million may be drawn at our option, in three separate tranches, as described below under “Contractual Obligations - September 2020 Loan and Security Agreement – Hercules.” An additional $50 million is available, subject to the approval of Hercules, to support future strategic initiatives, including further pipeline advancement or expansion. The 2020 Term Loan bears interest at a calculated prime-based variable rate currently at 9.15%. It matures in October 2025 and has an initial interest-only payment period of 30 months, which may be extended to up to 48 months upon the drawing of future tranches.</w:t>
      </w:r>
    </w:p>
    <w:p>
      <w:pPr>
        <w:spacing w:after="0" w:line="164" w:lineRule="exact"/>
        <w:rPr>
          <w:sz w:val="20"/>
          <w:szCs w:val="20"/>
          <w:color w:val="auto"/>
        </w:rPr>
      </w:pPr>
    </w:p>
    <w:p>
      <w:pPr>
        <w:ind w:right="40" w:firstLine="777"/>
        <w:spacing w:after="0" w:line="305" w:lineRule="auto"/>
        <w:rPr>
          <w:sz w:val="20"/>
          <w:szCs w:val="20"/>
          <w:color w:val="auto"/>
        </w:rPr>
      </w:pPr>
      <w:r>
        <w:rPr>
          <w:rFonts w:ascii="Arial" w:cs="Arial" w:eastAsia="Arial" w:hAnsi="Arial"/>
          <w:sz w:val="15"/>
          <w:szCs w:val="15"/>
          <w:color w:val="auto"/>
        </w:rPr>
        <w:t>In the future, we may conduct additional offerings of one or more of the securities covered by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66" w:lineRule="exact"/>
        <w:rPr>
          <w:sz w:val="20"/>
          <w:szCs w:val="20"/>
          <w:color w:val="auto"/>
        </w:rPr>
      </w:pPr>
    </w:p>
    <w:p>
      <w:pPr>
        <w:ind w:right="380" w:firstLine="777"/>
        <w:spacing w:after="0" w:line="297" w:lineRule="auto"/>
        <w:rPr>
          <w:sz w:val="20"/>
          <w:szCs w:val="20"/>
          <w:color w:val="auto"/>
        </w:rPr>
      </w:pPr>
      <w:r>
        <w:rPr>
          <w:rFonts w:ascii="Arial" w:cs="Arial" w:eastAsia="Arial" w:hAnsi="Arial"/>
          <w:sz w:val="15"/>
          <w:szCs w:val="15"/>
          <w:color w:val="auto"/>
        </w:rPr>
        <w:t>We believe our current cash, along with the committed capital from the term loan facility, will be sufficient to fund our anticipated operations, based on our current operating plans which includes costs for the commercial launch of AXS-05 in MDD and AXS-07 in migraine into at least 2024.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3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summarizes our primary sources and uses of cash for the periods indicated: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(27,215,489)</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(23,273,184)</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(9,331)</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8,029,163</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629,756</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(19,216,321)</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(22,652,759)</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140" w:firstLine="777"/>
        <w:spacing w:after="0" w:line="278"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used in operating activities for the three months ended March 31, 2021 was $27.2 million as compared to $23.3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2020. The increase of $3.9 million in net cash used was mainly due to the NDA submission fees of $2.9 million as well as the build-out of the commercial function.</w:t>
      </w:r>
    </w:p>
    <w:p>
      <w:pPr>
        <w:spacing w:after="0" w:line="144" w:lineRule="exact"/>
        <w:rPr>
          <w:sz w:val="20"/>
          <w:szCs w:val="20"/>
          <w:color w:val="auto"/>
        </w:rPr>
      </w:pPr>
    </w:p>
    <w:p>
      <w:pPr>
        <w:ind w:right="700" w:firstLine="777"/>
        <w:spacing w:after="0" w:line="293"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used in investing activities for the purchase of property and equipment was less than $0.1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2021 and 2020.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right="60" w:firstLine="777"/>
        <w:spacing w:after="0" w:line="273"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provided by financing activities was $8.0 million for the three months ended March 31, 2021, which included net proceeds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of common stock through our Sales Agreement with Leerink of $6.1 million and proceeds from the issuance of common stock upon exercise of employee stock options of $1.9 million. Cash provided by financing activities was $0.6 million for the three months ended March 31, 2020, which are proceeds from the issuance of common stock upon exercise of employee 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Funding requirements</w:t>
      </w:r>
    </w:p>
    <w:p>
      <w:pPr>
        <w:spacing w:after="0" w:line="239" w:lineRule="exact"/>
        <w:rPr>
          <w:sz w:val="20"/>
          <w:szCs w:val="20"/>
          <w:color w:val="auto"/>
        </w:rPr>
      </w:pPr>
    </w:p>
    <w:p>
      <w:pPr>
        <w:ind w:right="140" w:firstLine="777"/>
        <w:spacing w:after="0" w:line="273" w:lineRule="auto"/>
        <w:rPr>
          <w:sz w:val="20"/>
          <w:szCs w:val="20"/>
          <w:color w:val="auto"/>
        </w:rPr>
      </w:pPr>
      <w:r>
        <w:rPr>
          <w:rFonts w:ascii="Arial" w:cs="Arial" w:eastAsia="Arial" w:hAnsi="Arial"/>
          <w:sz w:val="16"/>
          <w:szCs w:val="16"/>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89" w:lineRule="exact"/>
        <w:rPr>
          <w:sz w:val="20"/>
          <w:szCs w:val="20"/>
          <w:color w:val="auto"/>
        </w:rPr>
      </w:pPr>
    </w:p>
    <w:p>
      <w:pPr>
        <w:ind w:right="80" w:firstLine="777"/>
        <w:spacing w:after="0" w:line="271" w:lineRule="auto"/>
        <w:rPr>
          <w:sz w:val="20"/>
          <w:szCs w:val="20"/>
          <w:color w:val="auto"/>
        </w:rPr>
      </w:pPr>
      <w:r>
        <w:rPr>
          <w:rFonts w:ascii="Arial" w:cs="Arial" w:eastAsia="Arial" w:hAnsi="Arial"/>
          <w:sz w:val="16"/>
          <w:szCs w:val="16"/>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90"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scope, rate of progress, results, and cost of our clinical studies and other related activities;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enter into collaborative agreements for the development and commercialization of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and development requirements of any other product candidates that we pursue;</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costs, timing, and outcome of regulatory reviews of our product candidates;</w:t>
      </w:r>
    </w:p>
    <w:p>
      <w:pPr>
        <w:spacing w:after="0" w:line="261" w:lineRule="exact"/>
        <w:rPr>
          <w:rFonts w:ascii="Arial" w:cs="Arial" w:eastAsia="Arial" w:hAnsi="Arial"/>
          <w:sz w:val="16"/>
          <w:szCs w:val="16"/>
          <w:color w:val="auto"/>
        </w:rPr>
      </w:pPr>
    </w:p>
    <w:p>
      <w:pPr>
        <w:ind w:left="880" w:right="640" w:hanging="440"/>
        <w:spacing w:after="0" w:line="293"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costs and timing of future commercialization activities, including product manufacturing, marketing, sales, and distribution, for any of our product candidates for which we receive marketing approval;</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product liability or other lawsuits related to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expenses needed to attract and retain skilled personnel;</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general and administrative expenses related to being a public company;</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revenue, if any, received from commercial sales of our product candidates for which we receive marketing approval; and</w:t>
      </w:r>
    </w:p>
    <w:p>
      <w:pPr>
        <w:spacing w:after="0" w:line="261" w:lineRule="exact"/>
        <w:rPr>
          <w:rFonts w:ascii="Arial" w:cs="Arial" w:eastAsia="Arial" w:hAnsi="Arial"/>
          <w:sz w:val="16"/>
          <w:szCs w:val="16"/>
          <w:color w:val="auto"/>
        </w:rPr>
      </w:pPr>
    </w:p>
    <w:p>
      <w:pPr>
        <w:ind w:left="880" w:right="500" w:hanging="440"/>
        <w:spacing w:after="0" w:line="204" w:lineRule="exact"/>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6"/>
          <w:szCs w:val="16"/>
          <w:color w:val="auto"/>
        </w:rPr>
        <w:t>‑</w:t>
      </w:r>
      <w:r>
        <w:rPr>
          <w:rFonts w:ascii="Arial" w:cs="Arial" w:eastAsia="Arial" w:hAnsi="Arial"/>
          <w:sz w:val="16"/>
          <w:szCs w:val="16"/>
          <w:color w:val="auto"/>
        </w:rPr>
        <w:t>related claims.</w:t>
      </w:r>
    </w:p>
    <w:p>
      <w:pPr>
        <w:spacing w:after="0" w:line="21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Please see “Risk Factors” for additional risks associated with our substantial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agreement with Pfizer</w:t>
      </w:r>
    </w:p>
    <w:p>
      <w:pPr>
        <w:spacing w:after="0" w:line="235" w:lineRule="exact"/>
        <w:rPr>
          <w:sz w:val="20"/>
          <w:szCs w:val="20"/>
          <w:color w:val="auto"/>
        </w:rPr>
      </w:pPr>
    </w:p>
    <w:p>
      <w:pPr>
        <w:ind w:firstLine="777"/>
        <w:spacing w:after="0" w:line="324" w:lineRule="auto"/>
        <w:rPr>
          <w:sz w:val="20"/>
          <w:szCs w:val="20"/>
          <w:color w:val="auto"/>
        </w:rPr>
      </w:pPr>
      <w:r>
        <w:rPr>
          <w:rFonts w:ascii="Arial" w:cs="Arial" w:eastAsia="Arial" w:hAnsi="Arial"/>
          <w:sz w:val="14"/>
          <w:szCs w:val="14"/>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firstLine="777"/>
        <w:spacing w:after="0" w:line="293" w:lineRule="auto"/>
        <w:rPr>
          <w:sz w:val="20"/>
          <w:szCs w:val="20"/>
          <w:color w:val="auto"/>
        </w:rPr>
      </w:pPr>
      <w:r>
        <w:rPr>
          <w:rFonts w:ascii="Arial" w:cs="Arial" w:eastAsia="Arial" w:hAnsi="Arial"/>
          <w:sz w:val="16"/>
          <w:szCs w:val="16"/>
          <w:color w:val="auto"/>
        </w:rPr>
        <w:t>Pfizer can also receive up to $323 million upon the achievement of certain regulatory and sales milestones, and tiered mid-single to low double-digit royalties on future sales. Pfizer will also have a right of first negotiation on any potential future strategic transactions involving AXS-12 and AXS-14.</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agreements with Antecip Bioventures</w:t>
      </w:r>
    </w:p>
    <w:p>
      <w:pPr>
        <w:spacing w:after="0" w:line="235" w:lineRule="exact"/>
        <w:rPr>
          <w:sz w:val="20"/>
          <w:szCs w:val="20"/>
          <w:color w:val="auto"/>
        </w:rPr>
      </w:pPr>
    </w:p>
    <w:p>
      <w:pPr>
        <w:jc w:val="both"/>
        <w:ind w:right="240" w:firstLine="777"/>
        <w:spacing w:after="0" w:line="305" w:lineRule="auto"/>
        <w:rPr>
          <w:sz w:val="20"/>
          <w:szCs w:val="20"/>
          <w:color w:val="auto"/>
        </w:rPr>
      </w:pPr>
      <w:r>
        <w:rPr>
          <w:rFonts w:ascii="Arial" w:cs="Arial" w:eastAsia="Arial" w:hAnsi="Arial"/>
          <w:sz w:val="15"/>
          <w:szCs w:val="15"/>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166" w:lineRule="exact"/>
        <w:rPr>
          <w:sz w:val="20"/>
          <w:szCs w:val="20"/>
          <w:color w:val="auto"/>
        </w:rPr>
      </w:pPr>
    </w:p>
    <w:p>
      <w:pPr>
        <w:ind w:right="340" w:firstLine="777"/>
        <w:spacing w:after="0" w:line="293" w:lineRule="auto"/>
        <w:rPr>
          <w:sz w:val="20"/>
          <w:szCs w:val="20"/>
          <w:color w:val="auto"/>
        </w:rPr>
      </w:pPr>
      <w:r>
        <w:rPr>
          <w:rFonts w:ascii="Arial" w:cs="Arial" w:eastAsia="Arial" w:hAnsi="Arial"/>
          <w:sz w:val="16"/>
          <w:szCs w:val="16"/>
          <w:color w:val="auto"/>
        </w:rPr>
        <w:t>In connection with the 2020 Term Loan, Antecip consented to the collateral assignment of one of the license agreements, among other things, under a direct agreement with us and Hercules.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November 2016 Loan and Security Agreement—Silicon Valley Bank</w:t>
      </w:r>
    </w:p>
    <w:p>
      <w:pPr>
        <w:spacing w:after="0" w:line="235" w:lineRule="exact"/>
        <w:rPr>
          <w:sz w:val="20"/>
          <w:szCs w:val="20"/>
          <w:color w:val="auto"/>
        </w:rPr>
      </w:pPr>
    </w:p>
    <w:p>
      <w:pPr>
        <w:ind w:right="20" w:firstLine="777"/>
        <w:spacing w:after="0" w:line="293" w:lineRule="auto"/>
        <w:rPr>
          <w:sz w:val="20"/>
          <w:szCs w:val="20"/>
          <w:color w:val="auto"/>
        </w:rPr>
      </w:pPr>
      <w:r>
        <w:rPr>
          <w:rFonts w:ascii="Arial" w:cs="Arial" w:eastAsia="Arial" w:hAnsi="Arial"/>
          <w:sz w:val="15"/>
          <w:szCs w:val="15"/>
          <w:color w:val="auto"/>
        </w:rPr>
        <w:t>In November 2016, we entered into the 2016 Original Term Loan with SVB and Life Sciences Loans, LLC, for a term loan of up to $20.0 million. The initial tranche of $10.0 million was funded shortly after executing the loan agreement. We were scheduled to make interest only payments on the loan until December 1, 2017, which could have been extended under certain circumstances. Under the terms of the loan, we had the opportunity, but not the obligation to, draw two additional tranches of $5.0 million each prior to November 9, 2017 and December 31, 2017, subject to the achievement of certain clinical and financial milestones. Because we did not achieve the conditional criteria to access the second and third tranches before the specified dates, the $10.0 million in additional term loan advances expired.</w:t>
      </w:r>
    </w:p>
    <w:p>
      <w:pPr>
        <w:spacing w:after="0" w:line="176" w:lineRule="exact"/>
        <w:rPr>
          <w:sz w:val="20"/>
          <w:szCs w:val="20"/>
          <w:color w:val="auto"/>
        </w:rPr>
      </w:pPr>
    </w:p>
    <w:p>
      <w:pPr>
        <w:ind w:right="240" w:firstLine="777"/>
        <w:spacing w:after="0" w:line="305" w:lineRule="auto"/>
        <w:rPr>
          <w:sz w:val="20"/>
          <w:szCs w:val="20"/>
          <w:color w:val="auto"/>
        </w:rPr>
      </w:pPr>
      <w:r>
        <w:rPr>
          <w:rFonts w:ascii="Arial" w:cs="Arial" w:eastAsia="Arial" w:hAnsi="Arial"/>
          <w:sz w:val="15"/>
          <w:szCs w:val="15"/>
          <w:color w:val="auto"/>
        </w:rPr>
        <w:t>The 2016 Original Term Loan accrued interest at an annual rate equal to 4.50% plus the prime rate, which was the greater of 3.50% or the Wall Street Journal prime rate, and was payable monthly. Following the interest only payment period, we began making monthly payments of principal and interest. In addition, we were required to pay a final payment fee of 8.5% of the principal amount extended to us on the date of repayment of the outstanding loan.</w:t>
      </w:r>
    </w:p>
    <w:p>
      <w:pPr>
        <w:spacing w:after="0" w:line="166" w:lineRule="exact"/>
        <w:rPr>
          <w:sz w:val="20"/>
          <w:szCs w:val="20"/>
          <w:color w:val="auto"/>
        </w:rPr>
      </w:pPr>
    </w:p>
    <w:p>
      <w:pPr>
        <w:ind w:right="20" w:firstLine="777"/>
        <w:spacing w:after="0" w:line="273" w:lineRule="auto"/>
        <w:rPr>
          <w:sz w:val="20"/>
          <w:szCs w:val="20"/>
          <w:color w:val="auto"/>
        </w:rPr>
      </w:pPr>
      <w:r>
        <w:rPr>
          <w:rFonts w:ascii="Arial" w:cs="Arial" w:eastAsia="Arial" w:hAnsi="Arial"/>
          <w:sz w:val="16"/>
          <w:szCs w:val="16"/>
          <w:color w:val="auto"/>
        </w:rPr>
        <w:t>We were permitted to prepay all, but not less than all, of the 2016 Original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was collateralized by a security interest in all of our assets except intellectual property. Our intellectual property was subject to a negative pledge.</w:t>
      </w:r>
    </w:p>
    <w:p>
      <w:pPr>
        <w:spacing w:after="0" w:line="189" w:lineRule="exact"/>
        <w:rPr>
          <w:sz w:val="20"/>
          <w:szCs w:val="20"/>
          <w:color w:val="auto"/>
        </w:rPr>
      </w:pPr>
    </w:p>
    <w:p>
      <w:pPr>
        <w:ind w:right="180" w:firstLine="777"/>
        <w:spacing w:after="0" w:line="293" w:lineRule="auto"/>
        <w:rPr>
          <w:sz w:val="20"/>
          <w:szCs w:val="20"/>
          <w:color w:val="auto"/>
        </w:rPr>
      </w:pPr>
      <w:r>
        <w:rPr>
          <w:rFonts w:ascii="Arial" w:cs="Arial" w:eastAsia="Arial" w:hAnsi="Arial"/>
          <w:sz w:val="16"/>
          <w:szCs w:val="16"/>
          <w:color w:val="auto"/>
        </w:rPr>
        <w:t>In connection with the loan, SVB and Life Science Loans, LLC, received warrants to purchase an aggregate 65,228 shares of our common stock at an exercise price of $7.41 per share, which were exercisable for seven years from the date of issuance.</w:t>
      </w:r>
    </w:p>
    <w:p>
      <w:pPr>
        <w:spacing w:after="0" w:line="172" w:lineRule="exact"/>
        <w:rPr>
          <w:sz w:val="20"/>
          <w:szCs w:val="20"/>
          <w:color w:val="auto"/>
        </w:rPr>
      </w:pPr>
    </w:p>
    <w:p>
      <w:pPr>
        <w:jc w:val="both"/>
        <w:ind w:right="340" w:firstLine="777"/>
        <w:spacing w:after="0" w:line="305" w:lineRule="auto"/>
        <w:rPr>
          <w:sz w:val="20"/>
          <w:szCs w:val="20"/>
          <w:color w:val="auto"/>
        </w:rPr>
      </w:pPr>
      <w:r>
        <w:rPr>
          <w:rFonts w:ascii="Arial" w:cs="Arial" w:eastAsia="Arial" w:hAnsi="Arial"/>
          <w:sz w:val="15"/>
          <w:szCs w:val="15"/>
          <w:color w:val="auto"/>
        </w:rPr>
        <w:t>We allocated the proceeds of $10.0 million based on the relative fair values of the debt instrument and the warrant instrument. The relative fair value of the warrants of approximately $0.3 million at the time of issuance, which was determined using the Black-Scholes option-pricing model, was recorded as additional paid-in capital and reduced the carrying value of the debt. The discount on the debt was being amortized to interest expense over the term of the debt.</w:t>
      </w:r>
    </w:p>
    <w:p>
      <w:pPr>
        <w:spacing w:after="0" w:line="166" w:lineRule="exact"/>
        <w:rPr>
          <w:sz w:val="20"/>
          <w:szCs w:val="20"/>
          <w:color w:val="auto"/>
        </w:rPr>
      </w:pPr>
    </w:p>
    <w:p>
      <w:pPr>
        <w:ind w:right="120" w:firstLine="777"/>
        <w:spacing w:after="0" w:line="273" w:lineRule="auto"/>
        <w:rPr>
          <w:sz w:val="20"/>
          <w:szCs w:val="20"/>
          <w:color w:val="auto"/>
        </w:rPr>
      </w:pPr>
      <w:r>
        <w:rPr>
          <w:rFonts w:ascii="Arial" w:cs="Arial" w:eastAsia="Arial" w:hAnsi="Arial"/>
          <w:sz w:val="16"/>
          <w:szCs w:val="16"/>
          <w:color w:val="auto"/>
        </w:rPr>
        <w:t>In November 2018, we amended the 2016 Original Term Loan with SVB and WestRiver, to provide an additional $4 million growth capital loan, related to our narcolepsy clinical program with AXS-12. The additional capital was available to be drawn, at our option, subject to the achievement of a specified clinical milestone. In connection with the 2016 Amended Term Loan, SVB and WestRiver received warrants to purchase an aggregate 15,750 shares of our common stock at an exercise price of $3.06 per share, which were exercisable for seven years from the date of issuance.</w:t>
      </w:r>
    </w:p>
    <w:p>
      <w:pPr>
        <w:spacing w:after="0" w:line="189" w:lineRule="exact"/>
        <w:rPr>
          <w:sz w:val="20"/>
          <w:szCs w:val="20"/>
          <w:color w:val="auto"/>
        </w:rPr>
      </w:pPr>
    </w:p>
    <w:p>
      <w:pPr>
        <w:ind w:right="640" w:firstLine="777"/>
        <w:spacing w:after="0" w:line="293" w:lineRule="auto"/>
        <w:rPr>
          <w:sz w:val="20"/>
          <w:szCs w:val="20"/>
          <w:color w:val="auto"/>
        </w:rPr>
      </w:pPr>
      <w:r>
        <w:rPr>
          <w:rFonts w:ascii="Arial" w:cs="Arial" w:eastAsia="Arial" w:hAnsi="Arial"/>
          <w:sz w:val="16"/>
          <w:szCs w:val="16"/>
          <w:color w:val="auto"/>
        </w:rPr>
        <w:t>Our obligations under the 2016 Amended Term Loan, along with the ability to draw down on the additional $4.0 million tranche, were considered to be performed and completed in connection with the establishment of the 2019 Term Loan during March 2019.</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March 2019 Loan and Security Agreement—Silicon Valley Bank</w:t>
      </w:r>
    </w:p>
    <w:p>
      <w:pPr>
        <w:spacing w:after="0" w:line="235" w:lineRule="exact"/>
        <w:rPr>
          <w:sz w:val="20"/>
          <w:szCs w:val="20"/>
          <w:color w:val="auto"/>
        </w:rPr>
      </w:pPr>
    </w:p>
    <w:p>
      <w:pPr>
        <w:ind w:firstLine="777"/>
        <w:spacing w:after="0" w:line="271" w:lineRule="auto"/>
        <w:rPr>
          <w:sz w:val="20"/>
          <w:szCs w:val="20"/>
          <w:color w:val="auto"/>
        </w:rPr>
      </w:pPr>
      <w:r>
        <w:rPr>
          <w:rFonts w:ascii="Arial" w:cs="Arial" w:eastAsia="Arial" w:hAnsi="Arial"/>
          <w:sz w:val="16"/>
          <w:szCs w:val="16"/>
          <w:color w:val="auto"/>
        </w:rPr>
        <w:t>In March 2019, we entered into the 2019 Term Loan with SVB and WestRiver consisting of an initial $20.0 million tranche, which was funded shortly upon closing, with the remaining $4.0 million available to be drawn, at our option, subject to the achievement of positive data, on or prior to August 15, 2019, with respect to our ongoing Phase 2 clinical trial for AXS-12 in narcolepsy, sufficient to submit a Phase 3 protocol to the FDA, provided that we have not received any objections from the FDA within thirty days after submission of such Phase 3 protocol. A portion of the first tranche was used to satisfy our then-existing obligations under our 2016 Amended Term Loan and such obligations are considered to be fully repaid and completed.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00" w:firstLine="777"/>
        <w:spacing w:after="0" w:line="318" w:lineRule="auto"/>
        <w:rPr>
          <w:sz w:val="20"/>
          <w:szCs w:val="20"/>
          <w:color w:val="auto"/>
        </w:rPr>
      </w:pPr>
      <w:r>
        <w:rPr>
          <w:rFonts w:ascii="Arial" w:cs="Arial" w:eastAsia="Arial" w:hAnsi="Arial"/>
          <w:sz w:val="14"/>
          <w:szCs w:val="14"/>
          <w:color w:val="auto"/>
        </w:rPr>
        <w:t>The 2019 Term Loan accrued interest on the unpaid principal balance of the outstanding loan advances at a floating per annum rate equal to the greater of (i) seven and one-half of one percent (7.50%) and (ii) two percent (2.0%) above the prime rate and is payable monthly. The 2019 Term Loan initially had an interest-only monthly payment period for twelve months which was extendable to 18 months upon drawing of the second tranche. Following the interest only payment period, we would have begun making monthly payments of principal and interest. In addition, we were initially required to pay a final payment fee of 6.0% of the principal amount extended to us on the date of repayment of the outstanding loan, which was increased to 6.3% in connection with the First Amendment to the 2019 Term Loan, as described below.</w:t>
      </w:r>
    </w:p>
    <w:p>
      <w:pPr>
        <w:spacing w:after="0" w:line="162" w:lineRule="exact"/>
        <w:rPr>
          <w:sz w:val="20"/>
          <w:szCs w:val="20"/>
          <w:color w:val="auto"/>
        </w:rPr>
      </w:pPr>
    </w:p>
    <w:p>
      <w:pPr>
        <w:ind w:right="160" w:firstLine="777"/>
        <w:spacing w:after="0" w:line="297" w:lineRule="auto"/>
        <w:rPr>
          <w:sz w:val="20"/>
          <w:szCs w:val="20"/>
          <w:color w:val="auto"/>
        </w:rPr>
      </w:pPr>
      <w:r>
        <w:rPr>
          <w:rFonts w:ascii="Arial" w:cs="Arial" w:eastAsia="Arial" w:hAnsi="Arial"/>
          <w:sz w:val="15"/>
          <w:szCs w:val="15"/>
          <w:color w:val="auto"/>
        </w:rPr>
        <w:t>We were permitted to prepay all, but not less than all, of the 2019 Term Loan, subject to a prepayment premium of 3.0% of the outstanding principal if prepaid within one year of the effective date of the loan, 2.0% of the outstanding principal if prepaid after the first anniversary of the effective date but on prior to the second anniversary of the effective date, and 1.0% of the outstanding principal if prepaid after the second anniversary of the effective date. The term loan was collateralized by a security interest in all of our assets except intellectual property. Our intellectual property was subject to a negative pledge.</w:t>
      </w:r>
    </w:p>
    <w:p>
      <w:pPr>
        <w:spacing w:after="0" w:line="172" w:lineRule="exact"/>
        <w:rPr>
          <w:sz w:val="20"/>
          <w:szCs w:val="20"/>
          <w:color w:val="auto"/>
        </w:rPr>
      </w:pPr>
    </w:p>
    <w:p>
      <w:pPr>
        <w:ind w:right="200" w:firstLine="777"/>
        <w:spacing w:after="0" w:line="318" w:lineRule="auto"/>
        <w:rPr>
          <w:sz w:val="20"/>
          <w:szCs w:val="20"/>
          <w:color w:val="auto"/>
        </w:rPr>
      </w:pPr>
      <w:r>
        <w:rPr>
          <w:rFonts w:ascii="Arial" w:cs="Arial" w:eastAsia="Arial" w:hAnsi="Arial"/>
          <w:sz w:val="14"/>
          <w:szCs w:val="14"/>
          <w:color w:val="auto"/>
        </w:rPr>
        <w:t>In connection with the 2019 Term Loan, SVB and WestRiver received warrants, or the March 2019 Warrants, to purchase an aggregate 70,000 shares of our common stock at an exercise price of $8.10 per share, which were exercisable for seven years from the date of issuance. The warrants were to be earned based upon the usage of the facility and are exercisable until March 4, 2026. The warrants were classified as a component of stockholders’ equity, of which 58,332 warrants were immediately exercisable and the remaining 11,668 warrants would be earned upon drawing of the second $4.0 million tranche under the loan. In connection with the First Amendment to the 2019 Term Loan, the shares of common stock issuable under each of the March 2019 Warrants were fixed at 29,167 shares, as described further below.</w:t>
      </w:r>
    </w:p>
    <w:p>
      <w:pPr>
        <w:spacing w:after="0" w:line="162" w:lineRule="exact"/>
        <w:rPr>
          <w:sz w:val="20"/>
          <w:szCs w:val="20"/>
          <w:color w:val="auto"/>
        </w:rPr>
      </w:pPr>
    </w:p>
    <w:p>
      <w:pPr>
        <w:jc w:val="both"/>
        <w:ind w:right="340" w:firstLine="777"/>
        <w:spacing w:after="0" w:line="305" w:lineRule="auto"/>
        <w:rPr>
          <w:sz w:val="20"/>
          <w:szCs w:val="20"/>
          <w:color w:val="auto"/>
        </w:rPr>
      </w:pPr>
      <w:r>
        <w:rPr>
          <w:rFonts w:ascii="Arial" w:cs="Arial" w:eastAsia="Arial" w:hAnsi="Arial"/>
          <w:sz w:val="15"/>
          <w:szCs w:val="15"/>
          <w:color w:val="auto"/>
        </w:rPr>
        <w:t>We allocated the proceeds of $20.0 million based on the relative fair values of the debt instrument and the warrant instrument. The relative fair value of the warrants of approximately $0.4 million at the time of issuance, which was determined using the Black-Scholes option-pricing model, was recorded as additional paid-in capital and reduced the carrying value of the debt. The discount on the debt was amortized to interest expense over the term of the debt.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July 2019 First Amendment to Loan and Security Agreement—Silicon Valley Bank</w:t>
      </w:r>
    </w:p>
    <w:p>
      <w:pPr>
        <w:spacing w:after="0" w:line="235" w:lineRule="exact"/>
        <w:rPr>
          <w:sz w:val="20"/>
          <w:szCs w:val="20"/>
          <w:color w:val="auto"/>
        </w:rPr>
      </w:pPr>
    </w:p>
    <w:p>
      <w:pPr>
        <w:ind w:right="80" w:firstLine="777"/>
        <w:spacing w:after="0" w:line="273" w:lineRule="auto"/>
        <w:rPr>
          <w:sz w:val="20"/>
          <w:szCs w:val="20"/>
          <w:color w:val="auto"/>
        </w:rPr>
      </w:pPr>
      <w:r>
        <w:rPr>
          <w:rFonts w:ascii="Arial" w:cs="Arial" w:eastAsia="Arial" w:hAnsi="Arial"/>
          <w:sz w:val="16"/>
          <w:szCs w:val="16"/>
          <w:color w:val="auto"/>
        </w:rPr>
        <w:t>In July 2019, we entered into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The Loan Advances matured on February 1, 2023.</w:t>
      </w:r>
    </w:p>
    <w:p>
      <w:pPr>
        <w:spacing w:after="0" w:line="189" w:lineRule="exact"/>
        <w:rPr>
          <w:sz w:val="20"/>
          <w:szCs w:val="20"/>
          <w:color w:val="auto"/>
        </w:rPr>
      </w:pPr>
    </w:p>
    <w:p>
      <w:pPr>
        <w:ind w:right="20" w:firstLine="777"/>
        <w:spacing w:after="0" w:line="269" w:lineRule="auto"/>
        <w:rPr>
          <w:sz w:val="20"/>
          <w:szCs w:val="20"/>
          <w:color w:val="auto"/>
        </w:rPr>
      </w:pPr>
      <w:r>
        <w:rPr>
          <w:rFonts w:ascii="Arial" w:cs="Arial" w:eastAsia="Arial" w:hAnsi="Arial"/>
          <w:sz w:val="16"/>
          <w:szCs w:val="16"/>
          <w:color w:val="auto"/>
        </w:rPr>
        <w:t>Pursuant to the 2019 Term Loan, as amended by the First Amendment to the 2019 Term Loan, following the interest-only payment period, we would have begun making monthly payments of principal in equal monthly installments for 30 consecutive months (provided, that, upon the occurrence of the Milestone Event, the repayment schedule will be decreased to 24 consecutive months) and monthly payments of interest, until the Maturity Date. Interest accrued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our repayment of the Loan Advances from 6.0% to 6.30% of the original principal amount of the Loan Advances.</w:t>
      </w:r>
    </w:p>
    <w:p>
      <w:pPr>
        <w:spacing w:after="0" w:line="194" w:lineRule="exact"/>
        <w:rPr>
          <w:sz w:val="20"/>
          <w:szCs w:val="20"/>
          <w:color w:val="auto"/>
        </w:rPr>
      </w:pPr>
    </w:p>
    <w:p>
      <w:pPr>
        <w:ind w:firstLine="777"/>
        <w:spacing w:after="0" w:line="324" w:lineRule="auto"/>
        <w:rPr>
          <w:sz w:val="20"/>
          <w:szCs w:val="20"/>
          <w:color w:val="auto"/>
        </w:rPr>
      </w:pPr>
      <w:r>
        <w:rPr>
          <w:rFonts w:ascii="Arial" w:cs="Arial" w:eastAsia="Arial" w:hAnsi="Arial"/>
          <w:sz w:val="14"/>
          <w:szCs w:val="14"/>
          <w:color w:val="auto"/>
        </w:rPr>
        <w:t>We could have prepaid all, but not less than all of the Loan Advances, subject to a prepayment fee of 3.0% of any amount prepaid prior to the first anniversary of July 25, 2019, or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were unchanged from the original 2019 Term Loan.</w:t>
      </w:r>
    </w:p>
    <w:p>
      <w:pPr>
        <w:spacing w:after="0" w:line="157" w:lineRule="exact"/>
        <w:rPr>
          <w:sz w:val="20"/>
          <w:szCs w:val="20"/>
          <w:color w:val="auto"/>
        </w:rPr>
      </w:pPr>
    </w:p>
    <w:p>
      <w:pPr>
        <w:ind w:firstLine="777"/>
        <w:spacing w:after="0" w:line="291" w:lineRule="auto"/>
        <w:rPr>
          <w:sz w:val="20"/>
          <w:szCs w:val="20"/>
          <w:color w:val="auto"/>
        </w:rPr>
      </w:pPr>
      <w:r>
        <w:rPr>
          <w:rFonts w:ascii="Arial" w:cs="Arial" w:eastAsia="Arial" w:hAnsi="Arial"/>
          <w:sz w:val="15"/>
          <w:szCs w:val="15"/>
          <w:color w:val="auto"/>
        </w:rPr>
        <w:t>In connection with the First Amendment to the 2019 Term Loan, the March 2019 Warrants were amended to fix the number of shares that may be issued upon exercise of each such March 2019 Warrant at 29,167 shares of common stock, and SVB and WestRiver were issued the July 2019 Warrants, which become exercisable only upon funding of the Term B Loan Advance, to purchase 5,750 shares of our common stock at a price per share equal to $25.71. The July 2019 Warrants replace the portion of the March 2019 Warrants that could originally be earned by SVB and WestRiver upon funding of the Term B Loan Advance. The July 2019 Warrants, if earned, would have been exercisable until July 24, 2026 and would be exercised automatically on a net issuance basis if not exercised prior to the expiration date and if the then-current fair market value of one share of our common stock is greater than the exercise price then in effect.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September 2020 Loan and Security Agreement – Hercules</w:t>
      </w:r>
    </w:p>
    <w:p>
      <w:pPr>
        <w:spacing w:after="0" w:line="235" w:lineRule="exact"/>
        <w:rPr>
          <w:sz w:val="20"/>
          <w:szCs w:val="20"/>
          <w:color w:val="auto"/>
        </w:rPr>
      </w:pPr>
    </w:p>
    <w:p>
      <w:pPr>
        <w:ind w:right="40" w:firstLine="864"/>
        <w:spacing w:after="0" w:line="285" w:lineRule="auto"/>
        <w:rPr>
          <w:sz w:val="20"/>
          <w:szCs w:val="20"/>
          <w:color w:val="auto"/>
        </w:rPr>
      </w:pPr>
      <w:r>
        <w:rPr>
          <w:rFonts w:ascii="Arial" w:cs="Arial" w:eastAsia="Arial" w:hAnsi="Arial"/>
          <w:sz w:val="15"/>
          <w:szCs w:val="15"/>
          <w:color w:val="auto"/>
        </w:rPr>
        <w:t>In September 2020, we entered into the Loan Agreement with Hercules, in its capacity as administrative agent and collateral agent and as a lender, and the other financial institutions that may from time to time become parties to the Loan Agreement as lenders, which we collectively refer to as the Lenders. The Loan Agreement provides for term loans in an aggregate principal amount of up to $225.0 million under multiple tranches. The tranches consist of (i) a first tranche consisting of term loans in an aggregate principal amount of $60.0 million, of which $50.0 million, or the First Advance, was funded at closing, and of which the remaining $10.0 million is available at our option at any time through September 15, 2021; (ii) subject to the FDA approval of our AXS-05 product candidate for the treatment of major depressive disorder, or the First Milestone, a second tranche consisting of additional term loans in an aggregate principal amount of up to $35.0 million, available at our option beginning on the date that the First Milestone is achieved through the earlier of (A) 181 days following such date and (B) June 30, 2022; (iii) subject to the approval of our AXS-07 product candidate for the treatment of migraine, or the Second Milestone, a third tranche consisting of additional term loans in an aggregate principal amount of up to $20.0 million, available at our option beginning on the date that the Second Milestone is achieved through the earlier of (A) 181 days following such date and (B) June 30, 2022; (iv) subject to the achievement of either the First Milestone or the Second Milestone and so long as we are in compliance with a required ratio of Lender indebtedness to net product revenue, a fourth tranche consisting of additional term loans in an aggregate principal amount of up to $60.0 million, available at our option beginning on January 1, 2022 and continuing through March 31, 2023; and (v) subject to approval by the Lenders in their discretion, a fifth tranche of additional term loans in an aggregate principal amount of up to $50.0 million, available through December 31, 2023. We intend to use the proceeds of the Term Loan Advances for working capital and general corporate purposes. In addition, approximately $21.7 million of the proceeds from the First Advance was used to satisfy in full and retire our indebtedness under the 2019 Term Loan, as amended.</w:t>
      </w:r>
    </w:p>
    <w:p>
      <w:pPr>
        <w:spacing w:after="0" w:line="181" w:lineRule="exact"/>
        <w:rPr>
          <w:sz w:val="20"/>
          <w:szCs w:val="20"/>
          <w:color w:val="auto"/>
        </w:rPr>
      </w:pPr>
    </w:p>
    <w:p>
      <w:pPr>
        <w:ind w:firstLine="864"/>
        <w:spacing w:after="0" w:line="286" w:lineRule="auto"/>
        <w:rPr>
          <w:sz w:val="20"/>
          <w:szCs w:val="20"/>
          <w:color w:val="auto"/>
        </w:rPr>
      </w:pPr>
      <w:r>
        <w:rPr>
          <w:rFonts w:ascii="Arial" w:cs="Arial" w:eastAsia="Arial" w:hAnsi="Arial"/>
          <w:sz w:val="15"/>
          <w:szCs w:val="15"/>
          <w:color w:val="auto"/>
        </w:rPr>
        <w:t>The outstanding principal balance of the term loans bears interest at an annual rate equal to the greater of either (i) the prime rate as reported in The Wall Street Journal plus 5.90% or (ii) 9.15%, subject to an ability by us, during certain periods, each such period a PIK Deferral Period, to request a reduction of the then-effective cash-pay interest rate by up to 1.00% per annum, which we refer to as the Cash Interest Reduction Amount. Accrued interest is payable monthly following the funding of each term loan. During each PIK Deferral Period, the term loans will bear cash-pay interest, at the reduced amount, and will accrue paid-in-kind interest at a rate equal to the Cash Interest Reduction Amount multiplied by 1.15, which amount will be capitalized and added to the outstanding principal balance of the term loans on each monthly interest payment date during the PIK Deferral Period. We are required to repay the term loans in equal installments of principal and interest commencing on May 1, 2023 through October 1, 2025, which is the Maturity Date. However, if either the First Milestone or the Second Milestone are achieved prior to May 1, 2023, and no default exists, the amortization commencement date will be automatically extended to November 1, 2023; if both the First Milestone and the Second Milestone are achieved prior to November 1, 2023, and no default exists, the amortization commencement date will be further automatically extended to May 1, 2024 and if any term loans are funded under the fourth tranche noted above prior to May 1, 2024, and no default exists, the amortization commencement date will be further automatically extended to November 1, 2024. On the Maturity Date, all unpaid term loans will be due and payable.</w:t>
      </w:r>
    </w:p>
    <w:p>
      <w:pPr>
        <w:spacing w:after="0" w:line="183" w:lineRule="exact"/>
        <w:rPr>
          <w:sz w:val="20"/>
          <w:szCs w:val="20"/>
          <w:color w:val="auto"/>
        </w:rPr>
      </w:pPr>
    </w:p>
    <w:p>
      <w:pPr>
        <w:jc w:val="both"/>
        <w:ind w:right="300" w:firstLine="864"/>
        <w:spacing w:after="0" w:line="278" w:lineRule="auto"/>
        <w:rPr>
          <w:sz w:val="20"/>
          <w:szCs w:val="20"/>
          <w:color w:val="auto"/>
        </w:rPr>
      </w:pPr>
      <w:r>
        <w:rPr>
          <w:rFonts w:ascii="Arial" w:cs="Arial" w:eastAsia="Arial" w:hAnsi="Arial"/>
          <w:sz w:val="16"/>
          <w:szCs w:val="16"/>
          <w:color w:val="auto"/>
        </w:rPr>
        <w:t>As collateral for the obligations, we have granted to Hercules a senior security interest in all our right, title, and interest in, to and under all of our property, inclusive of intellectual property, which includes one of our existing license agreements with Antecip, subject to limited exceptions. Antecip consented to the collateral assignment of the License Agreement, among other things, under a Direct Agreement with us and Hercules.</w:t>
      </w:r>
    </w:p>
    <w:p>
      <w:pPr>
        <w:spacing w:after="0" w:line="184" w:lineRule="exact"/>
        <w:rPr>
          <w:sz w:val="20"/>
          <w:szCs w:val="20"/>
          <w:color w:val="auto"/>
        </w:rPr>
      </w:pPr>
    </w:p>
    <w:p>
      <w:pPr>
        <w:ind w:right="140" w:firstLine="432"/>
        <w:spacing w:after="0" w:line="271" w:lineRule="auto"/>
        <w:rPr>
          <w:sz w:val="20"/>
          <w:szCs w:val="20"/>
          <w:color w:val="auto"/>
        </w:rPr>
      </w:pPr>
      <w:r>
        <w:rPr>
          <w:rFonts w:ascii="Arial" w:cs="Arial" w:eastAsia="Arial" w:hAnsi="Arial"/>
          <w:sz w:val="16"/>
          <w:szCs w:val="16"/>
          <w:color w:val="auto"/>
        </w:rPr>
        <w:t>The Loan Agreement contains customary representations, warranties and covenants, including covenants by us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us in the future, if we decide to do so, under the terms set forth in the Loan Agreement, there will be certain limited financial covenants that will apply, including:</w:t>
      </w:r>
    </w:p>
    <w:p>
      <w:pPr>
        <w:spacing w:after="0" w:line="190" w:lineRule="exact"/>
        <w:rPr>
          <w:sz w:val="20"/>
          <w:szCs w:val="20"/>
          <w:color w:val="auto"/>
        </w:rPr>
      </w:pPr>
    </w:p>
    <w:p>
      <w:pPr>
        <w:ind w:left="880" w:right="40" w:hanging="440"/>
        <w:spacing w:after="0" w:line="273"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Effective upon the date the outstanding principal amount of the advances under the Loan Agreement equals or exceeds $55.0 million, which has not yet occurred, we at all times thereafter must maintain cash in an account or accounts in which Hercules has a first priority security interest, in an aggregate amount greater than or equal to $15.0 million, plus the amount of our accounts payable under U.S. GAAP not paid after the 180th day following the invoice for such account payable which amount we refer to as the Qualified Cash A/P Amount.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80" w:hanging="440"/>
        <w:spacing w:after="0" w:line="287" w:lineRule="auto"/>
        <w:tabs>
          <w:tab w:leader="none" w:pos="880" w:val="left"/>
        </w:tabs>
        <w:numPr>
          <w:ilvl w:val="0"/>
          <w:numId w:val="7"/>
        </w:numPr>
        <w:rPr>
          <w:rFonts w:ascii="Arial" w:cs="Arial" w:eastAsia="Arial" w:hAnsi="Arial"/>
          <w:sz w:val="15"/>
          <w:szCs w:val="15"/>
          <w:color w:val="auto"/>
        </w:rPr>
      </w:pPr>
      <w:r>
        <w:rPr>
          <w:rFonts w:ascii="Arial" w:cs="Arial" w:eastAsia="Arial" w:hAnsi="Arial"/>
          <w:sz w:val="15"/>
          <w:szCs w:val="15"/>
          <w:color w:val="auto"/>
        </w:rPr>
        <w:t>Effective upon the later of (i) the last calendar month of the calendar quarter that is twelve months following the earlier of (x) the date that the First Milestone is achieved and (y) the date that the Second Milestone is achieved, or (ii) the date on which the outstanding principal amount of the term loan advances under the Loan Agreement is equal to or greater than $65.0 million, we are required to (A) ensure that at all times its market capitalization exceeds $2.0 billion, and that it maintains cash in an account which Hercules has a first priority security interest in an amount not less than 65% of the sum of the outstanding principal amount of the term loan advances plus the Qualified Cash A/P Amount, (B) ensure that at all times that it maintains cash in an account which Hercules has a first priority security interest in an amount not less than 100% of the sum of the outstanding principal amount of the term loan advances plus the Qualified Cash A/P Amount, or (C) achieve at least 60% of the net product revenue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our most recent quarterly financial statement, determined on a quarterly basis.</w:t>
      </w:r>
    </w:p>
    <w:p>
      <w:pPr>
        <w:spacing w:after="0" w:line="178" w:lineRule="exact"/>
        <w:rPr>
          <w:rFonts w:ascii="Arial" w:cs="Arial" w:eastAsia="Arial" w:hAnsi="Arial"/>
          <w:sz w:val="15"/>
          <w:szCs w:val="15"/>
          <w:color w:val="auto"/>
        </w:rPr>
      </w:pPr>
    </w:p>
    <w:p>
      <w:pPr>
        <w:ind w:left="880" w:right="540" w:hanging="440"/>
        <w:spacing w:after="0" w:line="293"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Restrictions on our ability to incur additional indebtedness, pay dividends, encumber its intellectual property, or engage in certain fundamental business transactions, such as mergers or acquisitions of other businesses, with certain exceptions.</w:t>
      </w:r>
    </w:p>
    <w:p>
      <w:pPr>
        <w:spacing w:after="0" w:line="172" w:lineRule="exact"/>
        <w:rPr>
          <w:sz w:val="20"/>
          <w:szCs w:val="20"/>
          <w:color w:val="auto"/>
        </w:rPr>
      </w:pPr>
    </w:p>
    <w:p>
      <w:pPr>
        <w:jc w:val="both"/>
        <w:ind w:right="60" w:firstLine="432"/>
        <w:spacing w:after="0" w:line="293" w:lineRule="auto"/>
        <w:rPr>
          <w:sz w:val="20"/>
          <w:szCs w:val="20"/>
          <w:color w:val="auto"/>
        </w:rPr>
      </w:pPr>
      <w:r>
        <w:rPr>
          <w:rFonts w:ascii="Arial" w:cs="Arial" w:eastAsia="Arial" w:hAnsi="Arial"/>
          <w:sz w:val="16"/>
          <w:szCs w:val="16"/>
          <w:color w:val="auto"/>
        </w:rPr>
        <w:t>Our obligations under the Loan Agreement are subject to acceleration upon the occurrence of specified events of default, including payment default, insolvency and a material adverse change in our business, operations or financial or other condition.</w:t>
      </w:r>
    </w:p>
    <w:p>
      <w:pPr>
        <w:spacing w:after="0" w:line="172" w:lineRule="exact"/>
        <w:rPr>
          <w:sz w:val="20"/>
          <w:szCs w:val="20"/>
          <w:color w:val="auto"/>
        </w:rPr>
      </w:pPr>
    </w:p>
    <w:p>
      <w:pPr>
        <w:jc w:val="both"/>
        <w:ind w:right="40" w:firstLine="432"/>
        <w:spacing w:after="0" w:line="278" w:lineRule="auto"/>
        <w:rPr>
          <w:sz w:val="20"/>
          <w:szCs w:val="20"/>
          <w:color w:val="auto"/>
        </w:rPr>
      </w:pPr>
      <w:r>
        <w:rPr>
          <w:rFonts w:ascii="Arial" w:cs="Arial" w:eastAsia="Arial" w:hAnsi="Arial"/>
          <w:sz w:val="16"/>
          <w:szCs w:val="16"/>
          <w:color w:val="auto"/>
        </w:rPr>
        <w:t>In addition, we are required to pay a final payment fee equal to the greater of (A) $2,910,000 and (B) 4.85% of the aggregate amount of all term loan advances minus the aggregate amount of repayments made. The final payment fee is being accreted and amortized into interest expense using the effective interest rate method over the term of the loan.</w:t>
      </w:r>
    </w:p>
    <w:p>
      <w:pPr>
        <w:spacing w:after="0" w:line="184" w:lineRule="exact"/>
        <w:rPr>
          <w:sz w:val="20"/>
          <w:szCs w:val="20"/>
          <w:color w:val="auto"/>
        </w:rPr>
      </w:pPr>
    </w:p>
    <w:p>
      <w:pPr>
        <w:ind w:right="140" w:firstLine="432"/>
        <w:spacing w:after="0" w:line="273" w:lineRule="auto"/>
        <w:rPr>
          <w:sz w:val="20"/>
          <w:szCs w:val="20"/>
          <w:color w:val="auto"/>
        </w:rPr>
      </w:pPr>
      <w:r>
        <w:rPr>
          <w:rFonts w:ascii="Arial" w:cs="Arial" w:eastAsia="Arial" w:hAnsi="Arial"/>
          <w:sz w:val="16"/>
          <w:szCs w:val="16"/>
          <w:color w:val="auto"/>
        </w:rPr>
        <w:t>We may, at our option prepay the term loans in full or in part, subject to a prepayment penalty equal to (i) 2.0% of the principal amount prepaid if the prepayment occurs prior to the first anniversary of the initial closing, (ii) 1.5% of the principal amount prepaid if the prepayment occurs on or after the first anniversary and prior to the second anniversary of the initial closing, and (iii) 1.0% of the principal amount prepaid if the prepayment occurs on or after the second anniversary and prior to the third anniversary of the initial closing.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 and Human Capital Management</w:t>
      </w:r>
    </w:p>
    <w:p>
      <w:pPr>
        <w:spacing w:after="0" w:line="239" w:lineRule="exact"/>
        <w:rPr>
          <w:sz w:val="20"/>
          <w:szCs w:val="20"/>
          <w:color w:val="auto"/>
        </w:rPr>
      </w:pPr>
    </w:p>
    <w:p>
      <w:pPr>
        <w:ind w:right="20" w:firstLine="864"/>
        <w:spacing w:after="0" w:line="203" w:lineRule="exact"/>
        <w:rPr>
          <w:sz w:val="20"/>
          <w:szCs w:val="20"/>
          <w:color w:val="auto"/>
        </w:rPr>
      </w:pPr>
      <w:r>
        <w:rPr>
          <w:rFonts w:ascii="Arial" w:cs="Arial" w:eastAsia="Arial" w:hAnsi="Arial"/>
          <w:sz w:val="16"/>
          <w:szCs w:val="16"/>
          <w:color w:val="auto"/>
        </w:rPr>
        <w:t>As of May 3, 2021, we had 70 full</w:t>
      </w:r>
      <w:r>
        <w:rPr>
          <w:rFonts w:ascii="MS PGothic" w:cs="MS PGothic" w:eastAsia="MS PGothic" w:hAnsi="MS PGothic"/>
          <w:sz w:val="16"/>
          <w:szCs w:val="16"/>
          <w:color w:val="auto"/>
        </w:rPr>
        <w:t>‑</w:t>
      </w:r>
      <w:r>
        <w:rPr>
          <w:rFonts w:ascii="Arial" w:cs="Arial" w:eastAsia="Arial" w:hAnsi="Arial"/>
          <w:sz w:val="16"/>
          <w:szCs w:val="16"/>
          <w:color w:val="auto"/>
        </w:rPr>
        <w:t>time employees. None of our employees is represented by a collective bargaining agreement and we have never experienced any work stoppage. We believe that we maintain good relations with our employees. Our employees are highly skilled, and many hold advanced degrees. Most of our employees have experience with drug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have taken proactive steps throughout the COVID-19 pandemic to protect the health and safety of our employees. We expect to continue to implement these measures until we determine that the COVID-19 pandemic is adequately contained for purposes of our business. We may take further actions, in compliance with all appropriate government regulations, that we determine to be in the best interest of our employees.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the CARES Act</w:t>
      </w:r>
    </w:p>
    <w:p>
      <w:pPr>
        <w:spacing w:after="0" w:line="239" w:lineRule="exact"/>
        <w:rPr>
          <w:sz w:val="20"/>
          <w:szCs w:val="20"/>
          <w:color w:val="auto"/>
        </w:rPr>
      </w:pPr>
    </w:p>
    <w:p>
      <w:pPr>
        <w:ind w:right="20" w:firstLine="864"/>
        <w:spacing w:after="0" w:line="289" w:lineRule="auto"/>
        <w:rPr>
          <w:sz w:val="20"/>
          <w:szCs w:val="20"/>
          <w:color w:val="auto"/>
        </w:rPr>
      </w:pPr>
      <w:r>
        <w:rPr>
          <w:rFonts w:ascii="Arial" w:cs="Arial" w:eastAsia="Arial" w:hAnsi="Arial"/>
          <w:sz w:val="15"/>
          <w:szCs w:val="15"/>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net operating losses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have evaluated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COVID-19 on our Business</w:t>
      </w:r>
    </w:p>
    <w:p>
      <w:pPr>
        <w:spacing w:after="0" w:line="239" w:lineRule="exact"/>
        <w:rPr>
          <w:sz w:val="20"/>
          <w:szCs w:val="20"/>
          <w:color w:val="auto"/>
        </w:rPr>
      </w:pPr>
    </w:p>
    <w:p>
      <w:pPr>
        <w:ind w:right="100" w:firstLine="777"/>
        <w:spacing w:after="0" w:line="324" w:lineRule="auto"/>
        <w:rPr>
          <w:sz w:val="20"/>
          <w:szCs w:val="20"/>
          <w:color w:val="auto"/>
        </w:rPr>
      </w:pPr>
      <w:r>
        <w:rPr>
          <w:rFonts w:ascii="Arial" w:cs="Arial" w:eastAsia="Arial" w:hAnsi="Arial"/>
          <w:sz w:val="14"/>
          <w:szCs w:val="14"/>
          <w:color w:val="auto"/>
        </w:rPr>
        <w:t>In December 2019, a novel coronavirus known as SARS-CoV-2 was first detected in Wuhan, Hubei Province, People’s Republic of China, causing outbreaks of the coronavirus disease, known as COVID-19, that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pandemic.</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Operations and Liquidity</w:t>
      </w:r>
    </w:p>
    <w:p>
      <w:pPr>
        <w:spacing w:after="0" w:line="235" w:lineRule="exact"/>
        <w:rPr>
          <w:sz w:val="20"/>
          <w:szCs w:val="20"/>
          <w:color w:val="auto"/>
        </w:rPr>
      </w:pPr>
    </w:p>
    <w:p>
      <w:pPr>
        <w:ind w:firstLine="777"/>
        <w:spacing w:after="0" w:line="313" w:lineRule="auto"/>
        <w:rPr>
          <w:sz w:val="20"/>
          <w:szCs w:val="20"/>
          <w:color w:val="auto"/>
        </w:rPr>
      </w:pPr>
      <w:r>
        <w:rPr>
          <w:rFonts w:ascii="Arial" w:cs="Arial" w:eastAsia="Arial" w:hAnsi="Arial"/>
          <w:sz w:val="14"/>
          <w:szCs w:val="14"/>
          <w:color w:val="auto"/>
        </w:rPr>
        <w:t>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To date, the COVID-19 pandemic has not had significant effects on the progression of our clinical trials. Given the nature and type of our short-term investments, we do not believe that the COVID-19 pandemic will have a material impact on our current investment liquidity.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Outlook</w:t>
      </w:r>
    </w:p>
    <w:p>
      <w:pPr>
        <w:spacing w:after="0" w:line="235" w:lineRule="exact"/>
        <w:rPr>
          <w:sz w:val="20"/>
          <w:szCs w:val="20"/>
          <w:color w:val="auto"/>
        </w:rPr>
      </w:pPr>
    </w:p>
    <w:p>
      <w:pPr>
        <w:ind w:right="220" w:firstLine="777"/>
        <w:spacing w:after="0" w:line="273" w:lineRule="auto"/>
        <w:rPr>
          <w:sz w:val="20"/>
          <w:szCs w:val="20"/>
          <w:color w:val="auto"/>
        </w:rPr>
      </w:pPr>
      <w:r>
        <w:rPr>
          <w:rFonts w:ascii="Arial" w:cs="Arial" w:eastAsia="Arial" w:hAnsi="Arial"/>
          <w:sz w:val="16"/>
          <w:szCs w:val="16"/>
          <w:color w:val="auto"/>
        </w:rPr>
        <w:t>Although there is uncertainty related to the anticipated impact of the COVID-19 pandemic on our future results, we believe our current cash reserves, coupled with our access to additional capital through the December 2019 Sales Agreement, leave us well-positioned to manage our business through this crisis as it continues to unfold. However, the impacts of the COVID-19 pandemic are broad-reaching and continuing and the financial impacts associated with the COVID-19 pandemic are still uncertain.</w:t>
      </w:r>
    </w:p>
    <w:p>
      <w:pPr>
        <w:spacing w:after="0" w:line="189" w:lineRule="exact"/>
        <w:rPr>
          <w:sz w:val="20"/>
          <w:szCs w:val="20"/>
          <w:color w:val="auto"/>
        </w:rPr>
      </w:pPr>
    </w:p>
    <w:p>
      <w:pPr>
        <w:ind w:right="20" w:firstLine="777"/>
        <w:spacing w:after="0" w:line="278" w:lineRule="auto"/>
        <w:rPr>
          <w:sz w:val="20"/>
          <w:szCs w:val="20"/>
          <w:color w:val="auto"/>
        </w:rPr>
      </w:pPr>
      <w:r>
        <w:rPr>
          <w:rFonts w:ascii="Arial" w:cs="Arial" w:eastAsia="Arial" w:hAnsi="Arial"/>
          <w:sz w:val="16"/>
          <w:szCs w:val="16"/>
          <w:color w:val="auto"/>
        </w:rPr>
        <w:t>As a result of the ongoing COVID-19 pandemic and its dynamic nature, including uncertainties relating to the ultimate geographic spread of the virus, the severity of the disease, the duration of the pandemic, and actions that have been or may be taken by governmental authorities to contain the pandemic or to treat its impact, it is difficult to forecast the effects of the COVID-19 pandemic on our results for the fiscal year ending December 31, 2021.</w:t>
      </w:r>
    </w:p>
    <w:p>
      <w:pPr>
        <w:spacing w:after="0" w:line="184" w:lineRule="exact"/>
        <w:rPr>
          <w:sz w:val="20"/>
          <w:szCs w:val="20"/>
          <w:color w:val="auto"/>
        </w:rPr>
      </w:pPr>
    </w:p>
    <w:p>
      <w:pPr>
        <w:ind w:firstLine="777"/>
        <w:spacing w:after="0" w:line="271" w:lineRule="auto"/>
        <w:rPr>
          <w:sz w:val="20"/>
          <w:szCs w:val="20"/>
          <w:color w:val="auto"/>
        </w:rPr>
      </w:pPr>
      <w:r>
        <w:rPr>
          <w:rFonts w:ascii="Arial" w:cs="Arial" w:eastAsia="Arial" w:hAnsi="Arial"/>
          <w:sz w:val="16"/>
          <w:szCs w:val="16"/>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we may take additional actions based on their recommendations. In these circumstances, there may be developments outside of our control requiring us to adjust our operating plan. As such, given the dynamic nature of this situation, we cannot reasonably estimate the impacts of the COVID-19 pandemic on our financial condition, results of operations or cash flows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39" w:lineRule="exact"/>
        <w:rPr>
          <w:sz w:val="20"/>
          <w:szCs w:val="20"/>
          <w:color w:val="auto"/>
        </w:rPr>
      </w:pPr>
    </w:p>
    <w:p>
      <w:pPr>
        <w:ind w:left="780"/>
        <w:spacing w:after="0"/>
        <w:rPr>
          <w:sz w:val="20"/>
          <w:szCs w:val="20"/>
          <w:color w:val="auto"/>
        </w:rPr>
      </w:pPr>
      <w:r>
        <w:rPr>
          <w:rFonts w:ascii="Arial" w:cs="Arial" w:eastAsia="Arial" w:hAnsi="Arial"/>
          <w:sz w:val="15"/>
          <w:szCs w:val="15"/>
          <w:color w:val="auto"/>
        </w:rPr>
        <w:t>We did not have during the periods presented, and we do not currently have, any off-balance sheet arrangements, as defined by applicable SEC regulations.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39" w:lineRule="exact"/>
        <w:rPr>
          <w:sz w:val="20"/>
          <w:szCs w:val="20"/>
          <w:color w:val="auto"/>
        </w:rPr>
      </w:pPr>
    </w:p>
    <w:p>
      <w:pPr>
        <w:ind w:right="560" w:firstLine="777"/>
        <w:spacing w:after="0" w:line="293" w:lineRule="auto"/>
        <w:rPr>
          <w:sz w:val="20"/>
          <w:szCs w:val="20"/>
          <w:color w:val="auto"/>
        </w:rPr>
      </w:pPr>
      <w:r>
        <w:rPr>
          <w:rFonts w:ascii="Arial" w:cs="Arial" w:eastAsia="Arial" w:hAnsi="Arial"/>
          <w:sz w:val="16"/>
          <w:szCs w:val="16"/>
          <w:color w:val="auto"/>
        </w:rPr>
        <w:t>Refer to Note 2 –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235" w:lineRule="exact"/>
        <w:rPr>
          <w:sz w:val="20"/>
          <w:szCs w:val="20"/>
          <w:color w:val="auto"/>
        </w:rPr>
      </w:pPr>
    </w:p>
    <w:p>
      <w:pPr>
        <w:ind w:firstLine="777"/>
        <w:spacing w:after="0" w:line="269" w:lineRule="auto"/>
        <w:rPr>
          <w:sz w:val="20"/>
          <w:szCs w:val="20"/>
          <w:color w:val="auto"/>
        </w:rPr>
      </w:pPr>
      <w:r>
        <w:rPr>
          <w:rFonts w:ascii="Arial" w:cs="Arial" w:eastAsia="Arial" w:hAnsi="Arial"/>
          <w:sz w:val="16"/>
          <w:szCs w:val="16"/>
          <w:color w:val="auto"/>
        </w:rPr>
        <w:t>We are exposed to market risks in the ordinary course of our business and from changes in the interest rate on our debt borrowings. These market risks are principally limited to interest rate fluctuations. We had cash of $164.7 million and $183.9 million as of March 31, 2021 and December 31, 2020, respectively. The primary objective of our investment activities is to preserve principal and liquidity while maximizing income without significantly increasing risk. We do not enter into investments for trading or speculative purposes. Due to the short term nature of our investment portfolio and debt agreement,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Exchange Risk</w:t>
      </w:r>
    </w:p>
    <w:p>
      <w:pPr>
        <w:spacing w:after="0" w:line="235" w:lineRule="exact"/>
        <w:rPr>
          <w:sz w:val="20"/>
          <w:szCs w:val="20"/>
          <w:color w:val="auto"/>
        </w:rPr>
      </w:pPr>
    </w:p>
    <w:p>
      <w:pPr>
        <w:ind w:right="40" w:firstLine="777"/>
        <w:spacing w:after="0" w:line="273" w:lineRule="auto"/>
        <w:rPr>
          <w:sz w:val="20"/>
          <w:szCs w:val="20"/>
          <w:color w:val="auto"/>
        </w:rPr>
      </w:pPr>
      <w:r>
        <w:rPr>
          <w:rFonts w:ascii="Arial" w:cs="Arial" w:eastAsia="Arial" w:hAnsi="Arial"/>
          <w:sz w:val="16"/>
          <w:szCs w:val="16"/>
          <w:color w:val="auto"/>
        </w:rPr>
        <w:t>We contract with vendors and third 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15"/>
          <w:szCs w:val="15"/>
          <w:color w:val="auto"/>
        </w:rPr>
        <w:t>We do not believe a 10% change in these currencies on March 31, 2021 would have had a material effect on our results of operations or financial condition.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Inflation Risk</w:t>
      </w:r>
    </w:p>
    <w:p>
      <w:pPr>
        <w:spacing w:after="0" w:line="235" w:lineRule="exact"/>
        <w:rPr>
          <w:sz w:val="20"/>
          <w:szCs w:val="20"/>
          <w:color w:val="auto"/>
        </w:rPr>
      </w:pPr>
    </w:p>
    <w:p>
      <w:pPr>
        <w:ind w:right="100" w:firstLine="777"/>
        <w:spacing w:after="0" w:line="293" w:lineRule="auto"/>
        <w:rPr>
          <w:sz w:val="20"/>
          <w:szCs w:val="20"/>
          <w:color w:val="auto"/>
        </w:rPr>
      </w:pPr>
      <w:r>
        <w:rPr>
          <w:rFonts w:ascii="Arial" w:cs="Arial" w:eastAsia="Arial" w:hAnsi="Arial"/>
          <w:sz w:val="16"/>
          <w:szCs w:val="16"/>
          <w:color w:val="auto"/>
        </w:rPr>
        <w:t>Inflation generally affects us by increasing our cost of labor and pricing of contracts. We do not believe that inflation has had a material effect on our business, financial condition, or results of operations during the three months ended March 31, 2021.</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39" w:lineRule="exact"/>
        <w:rPr>
          <w:sz w:val="20"/>
          <w:szCs w:val="20"/>
          <w:color w:val="auto"/>
        </w:rPr>
      </w:pPr>
    </w:p>
    <w:p>
      <w:pPr>
        <w:ind w:firstLine="777"/>
        <w:spacing w:after="0" w:line="289" w:lineRule="auto"/>
        <w:rPr>
          <w:sz w:val="20"/>
          <w:szCs w:val="20"/>
          <w:color w:val="auto"/>
        </w:rPr>
      </w:pPr>
      <w:r>
        <w:rPr>
          <w:rFonts w:ascii="Arial" w:cs="Arial" w:eastAsia="Arial" w:hAnsi="Arial"/>
          <w:sz w:val="15"/>
          <w:szCs w:val="15"/>
          <w:i w:val="1"/>
          <w:iCs w:val="1"/>
          <w:color w:val="auto"/>
        </w:rPr>
        <w:t xml:space="preserve">Disclosure Controls and Procedures. </w:t>
      </w:r>
      <w:r>
        <w:rPr>
          <w:rFonts w:ascii="Arial" w:cs="Arial" w:eastAsia="Arial" w:hAnsi="Arial"/>
          <w:sz w:val="15"/>
          <w:szCs w:val="15"/>
          <w:color w:val="auto"/>
        </w:rPr>
        <w:t>Our management, with the participation of our principal executive officer and our principal financial officer, evaluated, as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80" w:lineRule="exact"/>
        <w:rPr>
          <w:sz w:val="20"/>
          <w:szCs w:val="20"/>
          <w:color w:val="auto"/>
        </w:rPr>
      </w:pPr>
    </w:p>
    <w:p>
      <w:pPr>
        <w:ind w:right="280" w:firstLine="777"/>
        <w:spacing w:after="0" w:line="293"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There has been no change in internal controls over financial reporting that occurred during the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covered by this report that has materially affected, or is reasonably likely to materially affect, our internal control over financial reporting.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39" w:lineRule="exact"/>
        <w:rPr>
          <w:sz w:val="20"/>
          <w:szCs w:val="20"/>
          <w:color w:val="auto"/>
        </w:rPr>
      </w:pPr>
    </w:p>
    <w:p>
      <w:pPr>
        <w:ind w:right="120" w:firstLine="777"/>
        <w:spacing w:after="0" w:line="293" w:lineRule="auto"/>
        <w:rPr>
          <w:sz w:val="20"/>
          <w:szCs w:val="20"/>
          <w:color w:val="auto"/>
        </w:rPr>
      </w:pPr>
      <w:r>
        <w:rPr>
          <w:rFonts w:ascii="Arial" w:cs="Arial" w:eastAsia="Arial" w:hAnsi="Arial"/>
          <w:sz w:val="16"/>
          <w:szCs w:val="16"/>
          <w:color w:val="auto"/>
        </w:rPr>
        <w:t>We, and our subsidiaries, are currently not a party to, and our property is not currently the subject of, any material pending legal proceedings; however, we may become involved in various claims and legal actions arising in the ordinary course of business.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39" w:lineRule="exact"/>
        <w:rPr>
          <w:sz w:val="20"/>
          <w:szCs w:val="20"/>
          <w:color w:val="auto"/>
        </w:rPr>
      </w:pPr>
    </w:p>
    <w:p>
      <w:pPr>
        <w:ind w:right="100" w:firstLine="777"/>
        <w:spacing w:after="0" w:line="27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Summary</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Our business is subject to a number of risks and uncertainties, including those risks discussed at length below. These risks include, among others, the following:</w:t>
      </w:r>
    </w:p>
    <w:p>
      <w:pPr>
        <w:spacing w:after="0" w:line="200" w:lineRule="exact"/>
        <w:rPr>
          <w:sz w:val="20"/>
          <w:szCs w:val="20"/>
          <w:color w:val="auto"/>
        </w:rPr>
      </w:pPr>
    </w:p>
    <w:p>
      <w:pPr>
        <w:spacing w:after="0" w:line="206" w:lineRule="exact"/>
        <w:rPr>
          <w:sz w:val="20"/>
          <w:szCs w:val="20"/>
          <w:color w:val="auto"/>
        </w:rPr>
      </w:pPr>
    </w:p>
    <w:p>
      <w:pPr>
        <w:ind w:left="880" w:right="20" w:hanging="440"/>
        <w:spacing w:after="0" w:line="293"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71" w:lineRule="exact"/>
        <w:rPr>
          <w:rFonts w:ascii="Arial" w:cs="Arial" w:eastAsia="Arial" w:hAnsi="Arial"/>
          <w:sz w:val="16"/>
          <w:szCs w:val="16"/>
          <w:color w:val="auto"/>
        </w:rPr>
      </w:pPr>
    </w:p>
    <w:p>
      <w:pPr>
        <w:ind w:left="880" w:right="40" w:hanging="440"/>
        <w:spacing w:after="0" w:line="416" w:lineRule="auto"/>
        <w:tabs>
          <w:tab w:leader="none" w:pos="880"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02" w:lineRule="exact"/>
        <w:rPr>
          <w:rFonts w:ascii="Arial" w:cs="Arial" w:eastAsia="Arial" w:hAnsi="Arial"/>
          <w:sz w:val="13"/>
          <w:szCs w:val="13"/>
          <w:color w:val="auto"/>
        </w:rPr>
      </w:pPr>
    </w:p>
    <w:p>
      <w:pPr>
        <w:ind w:left="880" w:right="400" w:hanging="440"/>
        <w:spacing w:after="0" w:line="278"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84" w:lineRule="exact"/>
        <w:rPr>
          <w:rFonts w:ascii="Arial" w:cs="Arial" w:eastAsia="Arial" w:hAnsi="Arial"/>
          <w:sz w:val="16"/>
          <w:szCs w:val="16"/>
          <w:color w:val="auto"/>
        </w:rPr>
      </w:pPr>
    </w:p>
    <w:p>
      <w:pPr>
        <w:ind w:left="880" w:hanging="440"/>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We have a limited operating history and no history of commercializing products, which may make it difficult to evaluate our business and prospects.</w:t>
      </w:r>
    </w:p>
    <w:p>
      <w:pPr>
        <w:spacing w:after="0" w:line="284" w:lineRule="exact"/>
        <w:rPr>
          <w:rFonts w:ascii="Arial" w:cs="Arial" w:eastAsia="Arial" w:hAnsi="Arial"/>
          <w:sz w:val="14"/>
          <w:szCs w:val="14"/>
          <w:color w:val="auto"/>
        </w:rPr>
      </w:pPr>
    </w:p>
    <w:p>
      <w:pPr>
        <w:ind w:left="880" w:right="580" w:hanging="440"/>
        <w:spacing w:after="0" w:line="328" w:lineRule="auto"/>
        <w:tabs>
          <w:tab w:leader="none" w:pos="88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49" w:lineRule="exact"/>
        <w:rPr>
          <w:rFonts w:ascii="Arial" w:cs="Arial" w:eastAsia="Arial" w:hAnsi="Arial"/>
          <w:sz w:val="15"/>
          <w:szCs w:val="15"/>
          <w:color w:val="auto"/>
        </w:rPr>
      </w:pPr>
    </w:p>
    <w:p>
      <w:pPr>
        <w:ind w:left="880" w:right="20" w:hanging="440"/>
        <w:spacing w:after="0" w:line="335" w:lineRule="auto"/>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49" w:lineRule="exact"/>
        <w:rPr>
          <w:rFonts w:ascii="Arial" w:cs="Arial" w:eastAsia="Arial" w:hAnsi="Arial"/>
          <w:sz w:val="14"/>
          <w:szCs w:val="14"/>
          <w:color w:val="auto"/>
        </w:rPr>
      </w:pPr>
    </w:p>
    <w:p>
      <w:pPr>
        <w:ind w:left="880" w:hanging="440"/>
        <w:spacing w:after="0" w:line="273"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Although Breakthrough Therapy, Fast Track, and other designations are designed to expedite the development and review of drugs, Breakthrough Therapy designation by the FDA for AXS-05 for the treatment of MDD and for the treatment of AD agitation, and AXS-12 for the treatment of cataplexy in patients with narcolepsy, for example, may not ultimately lead to a faster development or regulatory review or approval process, and it will not increase the likelihood that these product candidates will receive marketing approval.</w:t>
      </w:r>
    </w:p>
    <w:p>
      <w:pPr>
        <w:spacing w:after="0" w:line="188" w:lineRule="exact"/>
        <w:rPr>
          <w:rFonts w:ascii="Arial" w:cs="Arial" w:eastAsia="Arial" w:hAnsi="Arial"/>
          <w:sz w:val="16"/>
          <w:szCs w:val="16"/>
          <w:color w:val="auto"/>
        </w:rPr>
      </w:pPr>
    </w:p>
    <w:p>
      <w:pPr>
        <w:ind w:left="880" w:right="80" w:hanging="440"/>
        <w:spacing w:after="0" w:line="293"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71" w:lineRule="exact"/>
        <w:rPr>
          <w:rFonts w:ascii="Arial" w:cs="Arial" w:eastAsia="Arial" w:hAnsi="Arial"/>
          <w:sz w:val="16"/>
          <w:szCs w:val="16"/>
          <w:color w:val="auto"/>
        </w:rPr>
      </w:pPr>
    </w:p>
    <w:p>
      <w:pPr>
        <w:ind w:left="880" w:right="780" w:hanging="440"/>
        <w:spacing w:after="0" w:line="293"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If any of our current or future product candidates do not achieve broad market acceptance, the revenues that we generate from their sales will be limited.</w:t>
      </w:r>
    </w:p>
    <w:p>
      <w:pPr>
        <w:spacing w:after="0" w:line="284" w:lineRule="exact"/>
        <w:rPr>
          <w:rFonts w:ascii="Arial" w:cs="Arial" w:eastAsia="Arial" w:hAnsi="Arial"/>
          <w:sz w:val="14"/>
          <w:szCs w:val="14"/>
          <w:color w:val="auto"/>
        </w:rPr>
      </w:pPr>
    </w:p>
    <w:p>
      <w:pPr>
        <w:ind w:left="880" w:hanging="440"/>
        <w:spacing w:after="0" w:line="416" w:lineRule="auto"/>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02" w:lineRule="exact"/>
        <w:rPr>
          <w:rFonts w:ascii="Arial" w:cs="Arial" w:eastAsia="Arial" w:hAnsi="Arial"/>
          <w:sz w:val="13"/>
          <w:szCs w:val="13"/>
          <w:color w:val="auto"/>
        </w:rPr>
      </w:pPr>
    </w:p>
    <w:p>
      <w:pPr>
        <w:ind w:left="880" w:right="80" w:hanging="440"/>
        <w:spacing w:after="0" w:line="278"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84" w:lineRule="exact"/>
        <w:rPr>
          <w:rFonts w:ascii="Arial" w:cs="Arial" w:eastAsia="Arial" w:hAnsi="Arial"/>
          <w:sz w:val="16"/>
          <w:szCs w:val="16"/>
          <w:color w:val="auto"/>
        </w:rPr>
      </w:pPr>
    </w:p>
    <w:p>
      <w:pPr>
        <w:ind w:left="880" w:right="40" w:hanging="440"/>
        <w:spacing w:after="0" w:line="293"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Our business operations, financial condition, results of operations and cash flows may be adversely affected by the effects of health epidemics, pandemics, or outbreaks of infectious diseases, including the recent COVID-19 pandemic.</w:t>
      </w:r>
    </w:p>
    <w:p>
      <w:pPr>
        <w:spacing w:after="0" w:line="171" w:lineRule="exact"/>
        <w:rPr>
          <w:rFonts w:ascii="Arial" w:cs="Arial" w:eastAsia="Arial" w:hAnsi="Arial"/>
          <w:sz w:val="16"/>
          <w:szCs w:val="16"/>
          <w:color w:val="auto"/>
        </w:rPr>
      </w:pPr>
    </w:p>
    <w:p>
      <w:pPr>
        <w:ind w:left="880" w:right="260" w:hanging="440"/>
        <w:spacing w:after="0" w:line="324" w:lineRule="auto"/>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6" w:lineRule="exact"/>
        <w:rPr>
          <w:rFonts w:ascii="Arial" w:cs="Arial" w:eastAsia="Arial" w:hAnsi="Arial"/>
          <w:sz w:val="14"/>
          <w:szCs w:val="14"/>
          <w:color w:val="auto"/>
        </w:rPr>
      </w:pPr>
    </w:p>
    <w:p>
      <w:pPr>
        <w:ind w:left="880" w:right="60" w:hanging="440"/>
        <w:spacing w:after="0" w:line="293"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We are dependent on third parties to decide to utilize our product candidates to make them readily available at the point of care throughout their networks of pharmacies.</w:t>
      </w:r>
    </w:p>
    <w:p>
      <w:pPr>
        <w:spacing w:after="0" w:line="171" w:lineRule="exact"/>
        <w:rPr>
          <w:rFonts w:ascii="Arial" w:cs="Arial" w:eastAsia="Arial" w:hAnsi="Arial"/>
          <w:sz w:val="16"/>
          <w:szCs w:val="16"/>
          <w:color w:val="auto"/>
        </w:rPr>
      </w:pPr>
    </w:p>
    <w:p>
      <w:pPr>
        <w:ind w:left="880" w:right="20" w:hanging="440"/>
        <w:spacing w:after="0" w:line="293"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1" w:lineRule="exact"/>
        <w:rPr>
          <w:rFonts w:ascii="Arial" w:cs="Arial" w:eastAsia="Arial" w:hAnsi="Arial"/>
          <w:sz w:val="16"/>
          <w:szCs w:val="16"/>
          <w:color w:val="auto"/>
        </w:rPr>
      </w:pPr>
    </w:p>
    <w:p>
      <w:pPr>
        <w:ind w:left="880" w:right="220" w:hanging="440"/>
        <w:spacing w:after="0" w:line="369" w:lineRule="auto"/>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We have licensed and may need to license certain intellectual property from third parties in the future, such licenses may not be available or may not be available on commercially reasonable terms, and if the licenses are terminated for any reason our business may be materially harmed.</w:t>
      </w:r>
    </w:p>
    <w:p>
      <w:pPr>
        <w:spacing w:after="0" w:line="125" w:lineRule="exact"/>
        <w:rPr>
          <w:rFonts w:ascii="Arial" w:cs="Arial" w:eastAsia="Arial" w:hAnsi="Arial"/>
          <w:sz w:val="14"/>
          <w:szCs w:val="14"/>
          <w:color w:val="auto"/>
        </w:rPr>
      </w:pPr>
    </w:p>
    <w:p>
      <w:pPr>
        <w:ind w:left="880" w:right="20" w:hanging="440"/>
        <w:spacing w:after="0" w:line="278"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If we fail to comply with federal state, and foreign healthcare laws, including fraud and abuse and transparency and health and other information privacy and security laws, we could face substantial penalties and our business, financial condition, results of operations, and prospects could be adversely affected.</w:t>
      </w:r>
    </w:p>
    <w:p>
      <w:pPr>
        <w:spacing w:after="0" w:line="184" w:lineRule="exact"/>
        <w:rPr>
          <w:rFonts w:ascii="Arial" w:cs="Arial" w:eastAsia="Arial" w:hAnsi="Arial"/>
          <w:sz w:val="16"/>
          <w:szCs w:val="16"/>
          <w:color w:val="auto"/>
        </w:rPr>
      </w:pPr>
    </w:p>
    <w:p>
      <w:pPr>
        <w:ind w:left="880" w:right="360" w:hanging="440"/>
        <w:spacing w:after="0" w:line="369" w:lineRule="auto"/>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If the government or third-party payors fail to provide adequate coverage and payment rates for any of our current or future product candidates, or if HMOs or long-term care facilities choose to use therapies that are less expensive, our revenue and prospects for profitability will be limited.</w:t>
      </w:r>
    </w:p>
    <w:p>
      <w:pPr>
        <w:spacing w:after="0" w:line="125" w:lineRule="exact"/>
        <w:rPr>
          <w:rFonts w:ascii="Arial" w:cs="Arial" w:eastAsia="Arial" w:hAnsi="Arial"/>
          <w:sz w:val="14"/>
          <w:szCs w:val="14"/>
          <w:color w:val="auto"/>
        </w:rPr>
      </w:pPr>
    </w:p>
    <w:p>
      <w:pPr>
        <w:ind w:left="880" w:right="100" w:hanging="440"/>
        <w:spacing w:after="0" w:line="328" w:lineRule="auto"/>
        <w:tabs>
          <w:tab w:leader="none" w:pos="8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We will need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49" w:lineRule="exact"/>
        <w:rPr>
          <w:rFonts w:ascii="Arial" w:cs="Arial" w:eastAsia="Arial" w:hAnsi="Arial"/>
          <w:sz w:val="15"/>
          <w:szCs w:val="15"/>
          <w:color w:val="auto"/>
        </w:rPr>
      </w:pPr>
    </w:p>
    <w:p>
      <w:pPr>
        <w:ind w:left="880" w:right="460" w:hanging="440"/>
        <w:spacing w:after="0" w:line="293"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71" w:lineRule="exact"/>
        <w:rPr>
          <w:rFonts w:ascii="Arial" w:cs="Arial" w:eastAsia="Arial" w:hAnsi="Arial"/>
          <w:sz w:val="16"/>
          <w:szCs w:val="16"/>
          <w:color w:val="auto"/>
        </w:rPr>
      </w:pPr>
    </w:p>
    <w:p>
      <w:pPr>
        <w:ind w:left="880" w:right="220" w:hanging="440"/>
        <w:spacing w:after="0" w:line="369" w:lineRule="auto"/>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25" w:lineRule="exact"/>
        <w:rPr>
          <w:rFonts w:ascii="Arial" w:cs="Arial" w:eastAsia="Arial" w:hAnsi="Arial"/>
          <w:sz w:val="14"/>
          <w:szCs w:val="14"/>
          <w:color w:val="auto"/>
        </w:rPr>
      </w:pPr>
    </w:p>
    <w:p>
      <w:pPr>
        <w:ind w:left="880" w:right="80" w:hanging="440"/>
        <w:spacing w:after="0" w:line="293"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Our principal stockholders and management own a significant percentage of our stock and will be able to exert significant control over matters subject to stockholder approval.</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The use of our net operating loss carryforwards and research tax credits may be limited.</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FINANCIAL CONDITION AND CAPITAL REQUIREMENTS</w:t>
      </w:r>
    </w:p>
    <w:p>
      <w:pPr>
        <w:spacing w:after="0" w:line="23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72" w:lineRule="exact"/>
        <w:rPr>
          <w:sz w:val="20"/>
          <w:szCs w:val="20"/>
          <w:color w:val="auto"/>
        </w:rPr>
      </w:pPr>
    </w:p>
    <w:p>
      <w:pPr>
        <w:ind w:firstLine="777"/>
        <w:spacing w:after="0" w:line="287" w:lineRule="auto"/>
        <w:rPr>
          <w:sz w:val="20"/>
          <w:szCs w:val="20"/>
          <w:color w:val="auto"/>
        </w:rPr>
      </w:pPr>
      <w:r>
        <w:rPr>
          <w:rFonts w:ascii="Arial" w:cs="Arial" w:eastAsia="Arial" w:hAnsi="Arial"/>
          <w:sz w:val="15"/>
          <w:szCs w:val="15"/>
          <w:color w:val="auto"/>
        </w:rPr>
        <w:t>We are a biopharmaceutical company with a limited operating history. For the last several years, we have focused our efforts primarily on developing CNS product candidates, AXS-05, AXS-07, AXS-09, AXS-12, and AXS-14, which we refer to herein as our product candidates, with the goal of achieving regulatory approval and commercialization. Since inception, we have incurred significant operating losses. Our net losses were $29.3 million and $32.5 million for the three months ended March 31, 2021 and three months ended March 31, 2020, respectively. As of March 31, 2021, we had an accumulated deficit of $308.1 million. To date, we have not received regulatory approvals for any of our product candidates or generated any revenue from the sale of products, and we do not expect to generate any revenue in the foreseeable future. We expect to continue to incur substantial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82" w:lineRule="exact"/>
        <w:rPr>
          <w:sz w:val="20"/>
          <w:szCs w:val="20"/>
          <w:color w:val="auto"/>
        </w:rPr>
      </w:pPr>
    </w:p>
    <w:p>
      <w:pPr>
        <w:ind w:left="880" w:hanging="440"/>
        <w:spacing w:after="0" w:line="184" w:lineRule="exact"/>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seek regulatory approval for any product candidates that successfully complete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hire additional commercial, clinical, medical, quality control, and scientific personnel;</w:t>
      </w:r>
    </w:p>
    <w:p>
      <w:pPr>
        <w:spacing w:after="0" w:line="261" w:lineRule="exact"/>
        <w:rPr>
          <w:rFonts w:ascii="Arial" w:cs="Arial" w:eastAsia="Arial" w:hAnsi="Arial"/>
          <w:sz w:val="16"/>
          <w:szCs w:val="16"/>
          <w:color w:val="auto"/>
        </w:rPr>
      </w:pPr>
    </w:p>
    <w:p>
      <w:pPr>
        <w:ind w:left="880" w:hanging="440"/>
        <w:spacing w:after="0" w:line="293"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candidate development and planned future commercialization efforts;</w:t>
      </w:r>
    </w:p>
    <w:p>
      <w:pPr>
        <w:spacing w:after="0" w:line="171" w:lineRule="exact"/>
        <w:rPr>
          <w:rFonts w:ascii="Arial" w:cs="Arial" w:eastAsia="Arial" w:hAnsi="Arial"/>
          <w:sz w:val="16"/>
          <w:szCs w:val="16"/>
          <w:color w:val="auto"/>
        </w:rPr>
      </w:pPr>
    </w:p>
    <w:p>
      <w:pPr>
        <w:ind w:left="880" w:right="480" w:hanging="440"/>
        <w:spacing w:after="0" w:line="293"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further establish a sales, marketing, and distribution infrastructure, and expand external manufacturing capabilities and production to commercialize any products for which we may obtain regulatory approval and that we choose not to license to a third party;</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undertake additional manufacturing activities of our product candidates to satisfy FDA requirements for marketing application submissions;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continue to conduct our Phase 2 clinical trial with AXS-05 in TRD;</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continue to conduct our Phase 3 clinical trial with AXS</w:t>
      </w:r>
      <w:r>
        <w:rPr>
          <w:rFonts w:ascii="MS PGothic" w:cs="MS PGothic" w:eastAsia="MS PGothic" w:hAnsi="MS PGothic"/>
          <w:sz w:val="16"/>
          <w:szCs w:val="16"/>
          <w:color w:val="auto"/>
        </w:rPr>
        <w:t>‑</w:t>
      </w:r>
      <w:r>
        <w:rPr>
          <w:rFonts w:ascii="Arial" w:cs="Arial" w:eastAsia="Arial" w:hAnsi="Arial"/>
          <w:sz w:val="16"/>
          <w:szCs w:val="16"/>
          <w:color w:val="auto"/>
        </w:rPr>
        <w:t>05 in AD agitation;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conduct our planned Phase 3 clinical trial with AXS-12 in narcolepsy;</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continue to evaluate, plan for, and conduct, clinical trials for AXS-05 as an aid to smoking cessation treatment and AXS-09 for the treatment of CNS disorders;</w:t>
      </w:r>
    </w:p>
    <w:p>
      <w:pPr>
        <w:spacing w:after="0" w:line="284" w:lineRule="exact"/>
        <w:rPr>
          <w:rFonts w:ascii="Arial" w:cs="Arial" w:eastAsia="Arial" w:hAnsi="Arial"/>
          <w:sz w:val="14"/>
          <w:szCs w:val="14"/>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continue to evaluate, plan for, and potentially conduct clinical trials for AXS-14 in fibromyalgia;</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 in</w:t>
      </w:r>
      <w:r>
        <w:rPr>
          <w:rFonts w:ascii="MS PGothic" w:cs="MS PGothic" w:eastAsia="MS PGothic" w:hAnsi="MS PGothic"/>
          <w:sz w:val="16"/>
          <w:szCs w:val="16"/>
          <w:color w:val="auto"/>
        </w:rPr>
        <w:t>‑</w:t>
      </w:r>
      <w:r>
        <w:rPr>
          <w:rFonts w:ascii="Arial" w:cs="Arial" w:eastAsia="Arial" w:hAnsi="Arial"/>
          <w:sz w:val="16"/>
          <w:szCs w:val="16"/>
          <w:color w:val="auto"/>
        </w:rPr>
        <w:t>license, or acquire additional product candidates;</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conduct additional non</w:t>
      </w:r>
      <w:r>
        <w:rPr>
          <w:rFonts w:ascii="MS PGothic" w:cs="MS PGothic" w:eastAsia="MS PGothic" w:hAnsi="MS PGothic"/>
          <w:sz w:val="16"/>
          <w:szCs w:val="16"/>
          <w:color w:val="auto"/>
        </w:rPr>
        <w:t>‑</w:t>
      </w:r>
      <w:r>
        <w:rPr>
          <w:rFonts w:ascii="Arial" w:cs="Arial" w:eastAsia="Arial" w:hAnsi="Arial"/>
          <w:sz w:val="16"/>
          <w:szCs w:val="16"/>
          <w:color w:val="auto"/>
        </w:rPr>
        <w:t>clinical studies with any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conduct clinical studies with any additional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require larger quantities of product;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777"/>
        <w:spacing w:after="0" w:line="289" w:lineRule="auto"/>
        <w:rPr>
          <w:sz w:val="20"/>
          <w:szCs w:val="20"/>
          <w:color w:val="auto"/>
        </w:rPr>
      </w:pPr>
      <w:r>
        <w:rPr>
          <w:rFonts w:ascii="Arial" w:cs="Arial" w:eastAsia="Arial" w:hAnsi="Arial"/>
          <w:sz w:val="15"/>
          <w:szCs w:val="15"/>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 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80" w:lineRule="exact"/>
        <w:rPr>
          <w:sz w:val="20"/>
          <w:szCs w:val="20"/>
          <w:color w:val="auto"/>
        </w:rPr>
      </w:pPr>
    </w:p>
    <w:p>
      <w:pPr>
        <w:ind w:right="60" w:firstLine="777"/>
        <w:spacing w:after="0" w:line="273"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9" w:lineRule="exact"/>
        <w:rPr>
          <w:sz w:val="20"/>
          <w:szCs w:val="20"/>
          <w:color w:val="auto"/>
        </w:rPr>
      </w:pPr>
    </w:p>
    <w:p>
      <w:pPr>
        <w:ind w:right="380" w:firstLine="777"/>
        <w:spacing w:after="0" w:line="335" w:lineRule="auto"/>
        <w:rPr>
          <w:sz w:val="20"/>
          <w:szCs w:val="20"/>
          <w:color w:val="auto"/>
        </w:rPr>
      </w:pPr>
      <w:r>
        <w:rPr>
          <w:rFonts w:ascii="Arial" w:cs="Arial" w:eastAsia="Arial" w:hAnsi="Arial"/>
          <w:sz w:val="14"/>
          <w:szCs w:val="14"/>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49" w:lineRule="exact"/>
        <w:rPr>
          <w:sz w:val="20"/>
          <w:szCs w:val="20"/>
          <w:color w:val="auto"/>
        </w:rPr>
      </w:pPr>
    </w:p>
    <w:p>
      <w:pPr>
        <w:spacing w:after="0" w:line="328" w:lineRule="auto"/>
        <w:rPr>
          <w:sz w:val="20"/>
          <w:szCs w:val="20"/>
          <w:color w:val="auto"/>
        </w:rPr>
      </w:pPr>
      <w:r>
        <w:rPr>
          <w:rFonts w:ascii="Arial" w:cs="Arial" w:eastAsia="Arial" w:hAnsi="Arial"/>
          <w:sz w:val="15"/>
          <w:szCs w:val="15"/>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50" w:lineRule="exact"/>
        <w:rPr>
          <w:sz w:val="20"/>
          <w:szCs w:val="20"/>
          <w:color w:val="auto"/>
        </w:rPr>
      </w:pPr>
    </w:p>
    <w:p>
      <w:pPr>
        <w:ind w:right="560" w:firstLine="864"/>
        <w:spacing w:after="0" w:line="204" w:lineRule="exact"/>
        <w:rPr>
          <w:sz w:val="20"/>
          <w:szCs w:val="20"/>
          <w:color w:val="auto"/>
        </w:rPr>
      </w:pPr>
      <w:r>
        <w:rPr>
          <w:rFonts w:ascii="Arial" w:cs="Arial" w:eastAsia="Arial" w:hAnsi="Arial"/>
          <w:sz w:val="16"/>
          <w:szCs w:val="16"/>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years to complete. We will need to raise additional capital to:</w:t>
      </w:r>
    </w:p>
    <w:p>
      <w:pPr>
        <w:spacing w:after="0" w:line="214" w:lineRule="exact"/>
        <w:rPr>
          <w:sz w:val="20"/>
          <w:szCs w:val="20"/>
          <w:color w:val="auto"/>
        </w:rPr>
      </w:pPr>
    </w:p>
    <w:p>
      <w:pPr>
        <w:ind w:left="880" w:right="200" w:hanging="440"/>
        <w:spacing w:after="0" w:line="293"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fund our future clinical trials for our current product candidates, especially if we encounter any unforeseen delays or difficulties in our planned development activities;</w:t>
      </w:r>
    </w:p>
    <w:p>
      <w:pPr>
        <w:spacing w:after="0" w:line="171" w:lineRule="exact"/>
        <w:rPr>
          <w:rFonts w:ascii="Arial" w:cs="Arial" w:eastAsia="Arial" w:hAnsi="Arial"/>
          <w:sz w:val="16"/>
          <w:szCs w:val="16"/>
          <w:color w:val="auto"/>
        </w:rPr>
      </w:pPr>
    </w:p>
    <w:p>
      <w:pPr>
        <w:ind w:left="880" w:right="340" w:hanging="440"/>
        <w:spacing w:after="0" w:line="293"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7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qualify and outsource the commercial</w:t>
      </w:r>
      <w:r>
        <w:rPr>
          <w:rFonts w:ascii="MS PGothic" w:cs="MS PGothic" w:eastAsia="MS PGothic" w:hAnsi="MS PGothic"/>
          <w:sz w:val="16"/>
          <w:szCs w:val="16"/>
          <w:color w:val="auto"/>
        </w:rPr>
        <w:t>‑</w:t>
      </w:r>
      <w:r>
        <w:rPr>
          <w:rFonts w:ascii="Arial" w:cs="Arial" w:eastAsia="Arial" w:hAnsi="Arial"/>
          <w:sz w:val="16"/>
          <w:szCs w:val="16"/>
          <w:color w:val="auto"/>
        </w:rPr>
        <w:t>scale manufacturing of our products under current good manufacturing practices, or cGMP;</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develop additional product candidates; and</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license other product candidates.</w:t>
      </w:r>
    </w:p>
    <w:p>
      <w:pPr>
        <w:spacing w:after="0" w:line="262" w:lineRule="exact"/>
        <w:rPr>
          <w:sz w:val="20"/>
          <w:szCs w:val="20"/>
          <w:color w:val="auto"/>
        </w:rPr>
      </w:pPr>
    </w:p>
    <w:p>
      <w:pPr>
        <w:ind w:firstLine="864"/>
        <w:spacing w:after="0" w:line="271" w:lineRule="auto"/>
        <w:rPr>
          <w:sz w:val="20"/>
          <w:szCs w:val="20"/>
          <w:color w:val="auto"/>
        </w:rPr>
      </w:pPr>
      <w:r>
        <w:rPr>
          <w:rFonts w:ascii="Arial" w:cs="Arial" w:eastAsia="Arial" w:hAnsi="Arial"/>
          <w:sz w:val="16"/>
          <w:szCs w:val="16"/>
          <w:color w:val="auto"/>
        </w:rPr>
        <w:t>We believe our currently available cash along with the committed capital from the term loan facility will be sufficient to fund our anticipated operating cash requirements into at least 2024.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90" w:lineRule="exact"/>
        <w:rPr>
          <w:sz w:val="20"/>
          <w:szCs w:val="20"/>
          <w:color w:val="auto"/>
        </w:rPr>
      </w:pPr>
    </w:p>
    <w:p>
      <w:pPr>
        <w:ind w:left="880" w:hanging="440"/>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rate of progress and costs related to the development of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associated with conducting additional clinical and non-clinical studies with any of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potential for delays in our efforts to seek regulatory approval for our product candidates, and any costs associated with such delays;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of establishing a commercial organization to sell, market, and distribute our product candidates;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right="60" w:hanging="440"/>
        <w:spacing w:after="0" w:line="204" w:lineRule="exact"/>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rate of progress and costs of our efforts to prepare for the submission of a new drug application, or NDA, for any product candidates that we may in</w:t>
      </w:r>
      <w:r>
        <w:rPr>
          <w:rFonts w:ascii="MS PGothic" w:cs="MS PGothic" w:eastAsia="MS PGothic" w:hAnsi="MS PGothic"/>
          <w:sz w:val="14"/>
          <w:szCs w:val="14"/>
          <w:color w:val="auto"/>
        </w:rPr>
        <w:t>‑</w:t>
      </w:r>
      <w:r>
        <w:rPr>
          <w:rFonts w:ascii="Arial" w:cs="Arial" w:eastAsia="Arial" w:hAnsi="Arial"/>
          <w:sz w:val="14"/>
          <w:szCs w:val="14"/>
          <w:color w:val="auto"/>
        </w:rPr>
        <w:t>license or acquire in the future, and the potential that we may need to conduct additional clinical or preclinical trials to support applications for regulatory approval;</w:t>
      </w:r>
    </w:p>
    <w:p>
      <w:pPr>
        <w:spacing w:after="0" w:line="213" w:lineRule="exact"/>
        <w:rPr>
          <w:rFonts w:ascii="Arial" w:cs="Arial" w:eastAsia="Arial" w:hAnsi="Arial"/>
          <w:sz w:val="14"/>
          <w:szCs w:val="14"/>
          <w:color w:val="auto"/>
        </w:rPr>
      </w:pPr>
    </w:p>
    <w:p>
      <w:pPr>
        <w:ind w:left="880" w:hanging="440"/>
        <w:spacing w:after="0"/>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costs of filing, prosecuting, defending, and enforcing any patent claims and other intellectual property rights associated with our product candidates;</w:t>
      </w:r>
    </w:p>
    <w:p>
      <w:pPr>
        <w:spacing w:after="0" w:line="273" w:lineRule="exact"/>
        <w:rPr>
          <w:rFonts w:ascii="Arial" w:cs="Arial" w:eastAsia="Arial" w:hAnsi="Arial"/>
          <w:sz w:val="15"/>
          <w:szCs w:val="15"/>
          <w:color w:val="auto"/>
        </w:rPr>
      </w:pPr>
    </w:p>
    <w:p>
      <w:pPr>
        <w:ind w:left="880" w:hanging="440"/>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 and timing of manufacturing sufficient supplies of our product candidates in preparation for commercialization;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effect of competing technological and market developments;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 if any, received from commercial sales of our product candidates, subject to the receipt of regulatory approval;</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co</w:t>
      </w:r>
      <w:r>
        <w:rPr>
          <w:rFonts w:ascii="MS PGothic" w:cs="MS PGothic" w:eastAsia="MS PGothic" w:hAnsi="MS PGothic"/>
          <w:sz w:val="16"/>
          <w:szCs w:val="16"/>
          <w:color w:val="auto"/>
        </w:rPr>
        <w:t>‑</w:t>
      </w:r>
      <w:r>
        <w:rPr>
          <w:rFonts w:ascii="Arial" w:cs="Arial" w:eastAsia="Arial" w:hAnsi="Arial"/>
          <w:sz w:val="16"/>
          <w:szCs w:val="16"/>
          <w:color w:val="auto"/>
        </w:rPr>
        <w:t>promotion, or other arrangements that we may establish;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success of the commercialization of any of our current or future product candidates.</w:t>
      </w:r>
    </w:p>
    <w:p>
      <w:pPr>
        <w:spacing w:after="0" w:line="262" w:lineRule="exact"/>
        <w:rPr>
          <w:sz w:val="20"/>
          <w:szCs w:val="20"/>
          <w:color w:val="auto"/>
        </w:rPr>
      </w:pPr>
    </w:p>
    <w:p>
      <w:pPr>
        <w:ind w:right="40" w:firstLine="864"/>
        <w:spacing w:after="0" w:line="271"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90" w:lineRule="exact"/>
        <w:rPr>
          <w:sz w:val="20"/>
          <w:szCs w:val="20"/>
          <w:color w:val="auto"/>
        </w:rPr>
      </w:pPr>
    </w:p>
    <w:p>
      <w:pPr>
        <w:ind w:right="100"/>
        <w:spacing w:after="0" w:line="369" w:lineRule="auto"/>
        <w:rPr>
          <w:sz w:val="20"/>
          <w:szCs w:val="20"/>
          <w:color w:val="auto"/>
        </w:rPr>
      </w:pPr>
      <w:r>
        <w:rPr>
          <w:rFonts w:ascii="Arial" w:cs="Arial" w:eastAsia="Arial" w:hAnsi="Arial"/>
          <w:sz w:val="14"/>
          <w:szCs w:val="14"/>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26" w:lineRule="exact"/>
        <w:rPr>
          <w:sz w:val="20"/>
          <w:szCs w:val="20"/>
          <w:color w:val="auto"/>
        </w:rPr>
      </w:pPr>
    </w:p>
    <w:p>
      <w:pPr>
        <w:ind w:firstLine="864"/>
        <w:spacing w:after="0" w:line="289" w:lineRule="auto"/>
        <w:rPr>
          <w:sz w:val="20"/>
          <w:szCs w:val="20"/>
          <w:color w:val="auto"/>
        </w:rPr>
      </w:pPr>
      <w:r>
        <w:rPr>
          <w:rFonts w:ascii="Arial" w:cs="Arial" w:eastAsia="Arial" w:hAnsi="Arial"/>
          <w:sz w:val="15"/>
          <w:szCs w:val="15"/>
          <w:color w:val="auto"/>
        </w:rPr>
        <w:t>In September 2020, we entered into a Loan and Security Agreement, or the Loan Agreement, for a term loan of up to $225.0 million,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The Loan and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80" w:lineRule="exact"/>
        <w:rPr>
          <w:sz w:val="20"/>
          <w:szCs w:val="20"/>
          <w:color w:val="auto"/>
        </w:rPr>
      </w:pPr>
    </w:p>
    <w:p>
      <w:pPr>
        <w:ind w:right="20" w:firstLine="864"/>
        <w:spacing w:after="0" w:line="285" w:lineRule="auto"/>
        <w:rPr>
          <w:sz w:val="20"/>
          <w:szCs w:val="20"/>
          <w:color w:val="auto"/>
        </w:rPr>
      </w:pPr>
      <w:r>
        <w:rPr>
          <w:rFonts w:ascii="Arial" w:cs="Arial" w:eastAsia="Arial" w:hAnsi="Arial"/>
          <w:sz w:val="15"/>
          <w:szCs w:val="15"/>
          <w:color w:val="auto"/>
        </w:rPr>
        <w:t>The covenants also include, to the extent the principal amount of the advances under the Loan Agreement equals or exceeds $55.0 million, maintaining cash in an account or accounts in which the Lenders have a first priority security interest, in an aggregate amount greater than or equal to $15.0 million, plus the amount of our accounts payable under U.S generally accepted accounting principles not paid after the 180th day following the invoice for such account payable, which we refer to as the Qualified Cash A/P Account. Further, effective upon the later of (i) the last calendar month of the calendar quarter that is twelve months following the earlier of (x) the date of approval of our NDA for our AXS-05 product candidate for the treatment of major depressive disorder reasonably satisfactory to the Lenders, and (y) the date of approval of our NDA for our AXS-07 product candidate for the treatment of migraine, or (ii) the date on which the outstanding principal amount of the term loan advances under the Loan Agreement is equal to or greater than $65.0 million, we are obligated to (A) ensure that at all times our market capitalization exceeds $2.0 billion, and that we maintain cash in an account in which the Lenders have a first priority security interest in an amount not less than 65% of the sum of the outstanding principal amount of the term loan advances plus the Qualified Cash A/P Amount, (B) ensure that at all times that we maintain cash in an account in which the Lenders have a first priority security interest in an amount not less than 100% of the sum of the outstanding principal amount of the term loan advances plus the Qualified Cash A/P Amount, or (C) achieve at least 60% of the net product revenue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our most recent quarterly financial statement, included in the projections we delivered to Hercules on September 9, 2020, as updated from time to time, determined on a quarterly basis.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right="180" w:firstLine="864"/>
        <w:spacing w:after="0" w:line="335" w:lineRule="auto"/>
        <w:rPr>
          <w:sz w:val="20"/>
          <w:szCs w:val="20"/>
          <w:color w:val="auto"/>
        </w:rPr>
      </w:pPr>
      <w:r>
        <w:rPr>
          <w:rFonts w:ascii="Arial" w:cs="Arial" w:eastAsia="Arial" w:hAnsi="Arial"/>
          <w:sz w:val="14"/>
          <w:szCs w:val="14"/>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and no history of commercializing products, which may make it difficult to evaluate our business and prospects.</w:t>
      </w:r>
    </w:p>
    <w:p>
      <w:pPr>
        <w:spacing w:after="0" w:line="246" w:lineRule="exact"/>
        <w:rPr>
          <w:sz w:val="20"/>
          <w:szCs w:val="20"/>
          <w:color w:val="auto"/>
        </w:rPr>
      </w:pPr>
    </w:p>
    <w:p>
      <w:pPr>
        <w:ind w:firstLine="864"/>
        <w:spacing w:after="0" w:line="291" w:lineRule="auto"/>
        <w:rPr>
          <w:sz w:val="20"/>
          <w:szCs w:val="20"/>
          <w:color w:val="auto"/>
        </w:rPr>
      </w:pPr>
      <w:r>
        <w:rPr>
          <w:rFonts w:ascii="Arial" w:cs="Arial" w:eastAsia="Arial" w:hAnsi="Arial"/>
          <w:sz w:val="15"/>
          <w:szCs w:val="15"/>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THE DEVELOPMENT OF OUR PRODUCT CANDIDATES</w:t>
      </w:r>
    </w:p>
    <w:p>
      <w:pPr>
        <w:spacing w:after="0" w:line="239" w:lineRule="exact"/>
        <w:rPr>
          <w:sz w:val="20"/>
          <w:szCs w:val="20"/>
          <w:color w:val="auto"/>
        </w:rPr>
      </w:pPr>
    </w:p>
    <w:p>
      <w:pPr>
        <w:ind w:right="520"/>
        <w:spacing w:after="0" w:line="293"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72" w:lineRule="exact"/>
        <w:rPr>
          <w:sz w:val="20"/>
          <w:szCs w:val="20"/>
          <w:color w:val="auto"/>
        </w:rPr>
      </w:pPr>
    </w:p>
    <w:p>
      <w:pPr>
        <w:ind w:right="120" w:firstLine="864"/>
        <w:spacing w:after="0" w:line="287" w:lineRule="auto"/>
        <w:rPr>
          <w:sz w:val="20"/>
          <w:szCs w:val="20"/>
          <w:color w:val="auto"/>
        </w:rPr>
      </w:pPr>
      <w:r>
        <w:rPr>
          <w:rFonts w:ascii="Arial" w:cs="Arial" w:eastAsia="Arial" w:hAnsi="Arial"/>
          <w:sz w:val="15"/>
          <w:szCs w:val="15"/>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182" w:lineRule="exact"/>
        <w:rPr>
          <w:sz w:val="20"/>
          <w:szCs w:val="20"/>
          <w:color w:val="auto"/>
        </w:rPr>
      </w:pPr>
    </w:p>
    <w:p>
      <w:pPr>
        <w:ind w:right="100" w:firstLine="864"/>
        <w:spacing w:after="0" w:line="273"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A Phase 3 trial with AXS-05 in AD agitation is ongoing and a Phase 3 AXS-12 in narcolepsy is planned. As a result of one or more risks discussed in this section, we cannot assure you that we will meet projected timelines related to these trials.</w:t>
      </w:r>
    </w:p>
    <w:p>
      <w:pPr>
        <w:spacing w:after="0" w:line="189" w:lineRule="exact"/>
        <w:rPr>
          <w:sz w:val="20"/>
          <w:szCs w:val="20"/>
          <w:color w:val="auto"/>
        </w:rPr>
      </w:pPr>
    </w:p>
    <w:p>
      <w:pPr>
        <w:ind w:firstLine="864"/>
        <w:spacing w:after="0" w:line="288" w:lineRule="auto"/>
        <w:rPr>
          <w:sz w:val="20"/>
          <w:szCs w:val="20"/>
          <w:color w:val="auto"/>
        </w:rPr>
      </w:pPr>
      <w:r>
        <w:rPr>
          <w:rFonts w:ascii="Arial" w:cs="Arial" w:eastAsia="Arial" w:hAnsi="Arial"/>
          <w:sz w:val="15"/>
          <w:szCs w:val="15"/>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80" w:lineRule="exact"/>
        <w:rPr>
          <w:sz w:val="20"/>
          <w:szCs w:val="20"/>
          <w:color w:val="auto"/>
        </w:rPr>
      </w:pPr>
    </w:p>
    <w:p>
      <w:pPr>
        <w:jc w:val="both"/>
        <w:ind w:right="80" w:firstLine="864"/>
        <w:spacing w:after="0" w:line="278" w:lineRule="auto"/>
        <w:rPr>
          <w:sz w:val="20"/>
          <w:szCs w:val="20"/>
          <w:color w:val="auto"/>
        </w:rPr>
      </w:pPr>
      <w:r>
        <w:rPr>
          <w:rFonts w:ascii="Arial" w:cs="Arial" w:eastAsia="Arial" w:hAnsi="Arial"/>
          <w:sz w:val="16"/>
          <w:szCs w:val="16"/>
          <w:color w:val="auto"/>
        </w:rPr>
        <w:t>Although we recently submitted an NDA with the FDA, 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84" w:lineRule="exact"/>
        <w:rPr>
          <w:sz w:val="20"/>
          <w:szCs w:val="20"/>
          <w:color w:val="auto"/>
        </w:rPr>
      </w:pPr>
    </w:p>
    <w:p>
      <w:pPr>
        <w:ind w:right="20" w:firstLine="864"/>
        <w:spacing w:after="0" w:line="269" w:lineRule="auto"/>
        <w:rPr>
          <w:sz w:val="20"/>
          <w:szCs w:val="20"/>
          <w:color w:val="auto"/>
        </w:rPr>
      </w:pPr>
      <w:r>
        <w:rPr>
          <w:rFonts w:ascii="Arial" w:cs="Arial" w:eastAsia="Arial" w:hAnsi="Arial"/>
          <w:sz w:val="16"/>
          <w:szCs w:val="16"/>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If approved for marketing by applicable regulatory authorities, our ability to generate revenues from our product candidates depend on our ability to:</w:t>
      </w:r>
    </w:p>
    <w:p>
      <w:pPr>
        <w:spacing w:after="0" w:line="246" w:lineRule="exact"/>
        <w:rPr>
          <w:sz w:val="20"/>
          <w:szCs w:val="20"/>
          <w:color w:val="auto"/>
        </w:rPr>
      </w:pPr>
    </w:p>
    <w:p>
      <w:pPr>
        <w:ind w:left="880" w:right="580" w:hanging="440"/>
        <w:spacing w:after="0" w:line="293"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create market demand for our product candidates through our own marketing and sales activities, and any other arrangements to promote these product candidates that we may otherwise establish;</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receive regulatory approval for claims that are necessary or desirable for successful marketing;</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hire, train, and deploy a sales force to commercialize our product candidates in the United States;</w:t>
      </w:r>
    </w:p>
    <w:p>
      <w:pPr>
        <w:spacing w:after="0" w:line="261" w:lineRule="exact"/>
        <w:rPr>
          <w:rFonts w:ascii="Arial" w:cs="Arial" w:eastAsia="Arial" w:hAnsi="Arial"/>
          <w:sz w:val="16"/>
          <w:szCs w:val="16"/>
          <w:color w:val="auto"/>
        </w:rPr>
      </w:pPr>
    </w:p>
    <w:p>
      <w:pPr>
        <w:ind w:left="880" w:right="560" w:hanging="440"/>
        <w:spacing w:after="0" w:line="293"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manufacture our product candidates in sufficient quantities and at acceptable quality and manufacturing cost to meet commercial demand at launch and thereafter;</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 and maintain agreements with wholesalers, distributors, and group purchasing organizations on commercially reasonable terms;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create partnerships with, or offer licenses to, third parties to promote and sell our product candidates in foreign markets where we receive marketing approval:</w:t>
      </w:r>
    </w:p>
    <w:p>
      <w:pPr>
        <w:spacing w:after="0" w:line="284" w:lineRule="exact"/>
        <w:rPr>
          <w:rFonts w:ascii="Arial" w:cs="Arial" w:eastAsia="Arial" w:hAnsi="Arial"/>
          <w:sz w:val="14"/>
          <w:szCs w:val="14"/>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maintain patent and trade secret protection and regulatory exclusivity for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launch commercial sales of our product candidates, whether alone or in collaboration with others;</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achieve market acceptance of our product candidates by patients, the medical community, and government and private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achieve appropriate reimbursement for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effectively compete with other therapies;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maintain a continued acceptable safety profile of our product candidates following launch.</w:t>
      </w:r>
    </w:p>
    <w:p>
      <w:pPr>
        <w:spacing w:after="0" w:line="2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72" w:lineRule="exact"/>
        <w:rPr>
          <w:sz w:val="20"/>
          <w:szCs w:val="20"/>
          <w:color w:val="auto"/>
        </w:rPr>
      </w:pPr>
    </w:p>
    <w:p>
      <w:pPr>
        <w:ind w:firstLine="864"/>
        <w:spacing w:after="0" w:line="308" w:lineRule="auto"/>
        <w:rPr>
          <w:sz w:val="20"/>
          <w:szCs w:val="20"/>
          <w:color w:val="auto"/>
        </w:rPr>
      </w:pPr>
      <w:r>
        <w:rPr>
          <w:rFonts w:ascii="Arial" w:cs="Arial" w:eastAsia="Arial" w:hAnsi="Arial"/>
          <w:sz w:val="14"/>
          <w:szCs w:val="14"/>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2" w:lineRule="exact"/>
        <w:rPr>
          <w:sz w:val="20"/>
          <w:szCs w:val="20"/>
          <w:color w:val="auto"/>
        </w:rPr>
      </w:pPr>
    </w:p>
    <w:p>
      <w:pPr>
        <w:ind w:right="20" w:firstLine="864"/>
        <w:spacing w:after="0" w:line="286" w:lineRule="auto"/>
        <w:rPr>
          <w:sz w:val="20"/>
          <w:szCs w:val="20"/>
          <w:color w:val="auto"/>
        </w:rPr>
      </w:pPr>
      <w:r>
        <w:rPr>
          <w:rFonts w:ascii="Arial" w:cs="Arial" w:eastAsia="Arial" w:hAnsi="Arial"/>
          <w:sz w:val="15"/>
          <w:szCs w:val="15"/>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AXS-05 for the treatment of depression, agitation associated with AD, and smoking cessation, AXS-07 for the acute treatment of migraine,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AXS-05, as well as two product candidates that are not currently in active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9" w:lineRule="exact"/>
        <w:rPr>
          <w:sz w:val="20"/>
          <w:szCs w:val="20"/>
          <w:color w:val="auto"/>
        </w:rPr>
      </w:pPr>
    </w:p>
    <w:p>
      <w:pPr>
        <w:ind w:right="520"/>
        <w:spacing w:after="0" w:line="293" w:lineRule="auto"/>
        <w:rPr>
          <w:sz w:val="20"/>
          <w:szCs w:val="20"/>
          <w:color w:val="auto"/>
        </w:rPr>
      </w:pPr>
      <w:r>
        <w:rPr>
          <w:rFonts w:ascii="Arial" w:cs="Arial" w:eastAsia="Arial" w:hAnsi="Arial"/>
          <w:sz w:val="16"/>
          <w:szCs w:val="16"/>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72" w:lineRule="exact"/>
        <w:rPr>
          <w:sz w:val="20"/>
          <w:szCs w:val="20"/>
          <w:color w:val="auto"/>
        </w:rPr>
      </w:pPr>
    </w:p>
    <w:p>
      <w:pPr>
        <w:ind w:right="120" w:firstLine="864"/>
        <w:spacing w:after="0" w:line="328" w:lineRule="auto"/>
        <w:rPr>
          <w:sz w:val="20"/>
          <w:szCs w:val="20"/>
          <w:color w:val="auto"/>
        </w:rPr>
      </w:pPr>
      <w:r>
        <w:rPr>
          <w:rFonts w:ascii="Arial" w:cs="Arial" w:eastAsia="Arial" w:hAnsi="Arial"/>
          <w:sz w:val="15"/>
          <w:szCs w:val="15"/>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50"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difficulty or inability to secure financing to fund business activities for such development;</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disruption of our business and diversion of our management’s time and attention;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higher than expected development costs;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exposure to unknown liabilities;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difficulty in managing multiple product development programs;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inability to successfully develop new products or clinical failure.</w:t>
      </w:r>
    </w:p>
    <w:p>
      <w:pPr>
        <w:spacing w:after="0" w:line="262" w:lineRule="exact"/>
        <w:rPr>
          <w:sz w:val="20"/>
          <w:szCs w:val="20"/>
          <w:color w:val="auto"/>
        </w:rPr>
      </w:pPr>
    </w:p>
    <w:p>
      <w:pPr>
        <w:ind w:right="120" w:firstLine="864"/>
        <w:spacing w:after="0" w:line="273" w:lineRule="auto"/>
        <w:rPr>
          <w:sz w:val="20"/>
          <w:szCs w:val="20"/>
          <w:color w:val="auto"/>
        </w:rPr>
      </w:pPr>
      <w:r>
        <w:rPr>
          <w:rFonts w:ascii="Arial" w:cs="Arial" w:eastAsia="Arial" w:hAnsi="Arial"/>
          <w:sz w:val="16"/>
          <w:szCs w:val="16"/>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89"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66" w:lineRule="exact"/>
        <w:rPr>
          <w:sz w:val="20"/>
          <w:szCs w:val="20"/>
          <w:color w:val="auto"/>
        </w:rPr>
      </w:pPr>
    </w:p>
    <w:p>
      <w:pPr>
        <w:ind w:right="320" w:firstLine="864"/>
        <w:spacing w:after="0" w:line="293" w:lineRule="auto"/>
        <w:rPr>
          <w:sz w:val="20"/>
          <w:szCs w:val="20"/>
          <w:color w:val="auto"/>
        </w:rPr>
      </w:pPr>
      <w:r>
        <w:rPr>
          <w:rFonts w:ascii="Arial" w:cs="Arial" w:eastAsia="Arial" w:hAnsi="Arial"/>
          <w:sz w:val="16"/>
          <w:szCs w:val="16"/>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72" w:lineRule="exact"/>
        <w:rPr>
          <w:sz w:val="20"/>
          <w:szCs w:val="20"/>
          <w:color w:val="auto"/>
        </w:rPr>
      </w:pPr>
    </w:p>
    <w:p>
      <w:pPr>
        <w:ind w:right="100" w:firstLine="864"/>
        <w:spacing w:after="0" w:line="271" w:lineRule="auto"/>
        <w:rPr>
          <w:sz w:val="20"/>
          <w:szCs w:val="20"/>
          <w:color w:val="auto"/>
        </w:rPr>
      </w:pPr>
      <w:r>
        <w:rPr>
          <w:rFonts w:ascii="Arial" w:cs="Arial" w:eastAsia="Arial" w:hAnsi="Arial"/>
          <w:sz w:val="16"/>
          <w:szCs w:val="16"/>
          <w:color w:val="auto"/>
        </w:rPr>
        <w:t>In the United States, we currently plan to, at least initially, seek approval of most of our product candidates using the 505(b)(2) pathway, with the exception of AXS-12 and AXS-14.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40" w:firstLine="864"/>
        <w:spacing w:after="0" w:line="204" w:lineRule="exact"/>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6"/>
          <w:szCs w:val="16"/>
          <w:color w:val="auto"/>
        </w:rPr>
        <w:t>‑</w:t>
      </w:r>
      <w:r>
        <w:rPr>
          <w:rFonts w:ascii="Arial" w:cs="Arial" w:eastAsia="Arial" w:hAnsi="Arial"/>
          <w:sz w:val="16"/>
          <w:szCs w:val="16"/>
          <w:color w:val="auto"/>
        </w:rPr>
        <w:t>wide warnings. For instance, antidepressants, including bupropion, include a class</w:t>
      </w:r>
      <w:r>
        <w:rPr>
          <w:rFonts w:ascii="MS PGothic" w:cs="MS PGothic" w:eastAsia="MS PGothic" w:hAnsi="MS PGothic"/>
          <w:sz w:val="16"/>
          <w:szCs w:val="16"/>
          <w:color w:val="auto"/>
        </w:rPr>
        <w:t>‑</w:t>
      </w:r>
      <w:r>
        <w:rPr>
          <w:rFonts w:ascii="Arial" w:cs="Arial" w:eastAsia="Arial" w:hAnsi="Arial"/>
          <w:sz w:val="16"/>
          <w:szCs w:val="16"/>
          <w:color w:val="auto"/>
        </w:rPr>
        <w:t>wide black box warning regarding the increased risk of suicidal thoughts and behavior.</w:t>
      </w:r>
    </w:p>
    <w:p>
      <w:pPr>
        <w:spacing w:after="0" w:line="213" w:lineRule="exact"/>
        <w:rPr>
          <w:sz w:val="20"/>
          <w:szCs w:val="20"/>
          <w:color w:val="auto"/>
        </w:rPr>
      </w:pPr>
    </w:p>
    <w:p>
      <w:pPr>
        <w:ind w:right="100" w:firstLine="864"/>
        <w:spacing w:after="0" w:line="203" w:lineRule="exact"/>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w:t>
      </w:r>
      <w:r>
        <w:rPr>
          <w:rFonts w:ascii="MS PGothic" w:cs="MS PGothic" w:eastAsia="MS PGothic" w:hAnsi="MS PGothic"/>
          <w:sz w:val="16"/>
          <w:szCs w:val="16"/>
          <w:color w:val="auto"/>
        </w:rPr>
        <w:t>‑</w:t>
      </w:r>
      <w:r>
        <w:rPr>
          <w:rFonts w:ascii="Arial" w:cs="Arial" w:eastAsia="Arial" w:hAnsi="Arial"/>
          <w:sz w:val="16"/>
          <w:szCs w:val="16"/>
          <w:color w:val="auto"/>
        </w:rPr>
        <w:t>05 may result in dry mouth, nausea, insomnia, dizziness, pharyngitis, abdominal pain, agitation, anxiety, tremor, seizure, increase in blood pressure and heart rate, hepatoxicity, hypoglycemia, thrombocytopenia or other hypersensitivity reactions, QT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6"/>
          <w:szCs w:val="16"/>
          <w:color w:val="auto"/>
        </w:rPr>
        <w:t>‑</w:t>
      </w:r>
      <w:r>
        <w:rPr>
          <w:rFonts w:ascii="Arial" w:cs="Arial" w:eastAsia="Arial" w:hAnsi="Arial"/>
          <w:sz w:val="16"/>
          <w:szCs w:val="16"/>
          <w:color w:val="auto"/>
        </w:rPr>
        <w:t>glutamyl transferase, flatulence, or other adverse events or potential adverse events reported or discussed in the product labels for bupropion</w:t>
      </w:r>
      <w:r>
        <w:rPr>
          <w:rFonts w:ascii="MS PGothic" w:cs="MS PGothic" w:eastAsia="MS PGothic" w:hAnsi="MS PGothic"/>
          <w:sz w:val="16"/>
          <w:szCs w:val="16"/>
          <w:color w:val="auto"/>
        </w:rPr>
        <w:t>‑</w:t>
      </w:r>
      <w:r>
        <w:rPr>
          <w:rFonts w:ascii="Arial" w:cs="Arial" w:eastAsia="Arial" w:hAnsi="Arial"/>
          <w:sz w:val="16"/>
          <w:szCs w:val="16"/>
          <w:color w:val="auto"/>
        </w:rPr>
        <w:t>containing products or dextromethorphan</w:t>
      </w:r>
      <w:r>
        <w:rPr>
          <w:rFonts w:ascii="MS PGothic" w:cs="MS PGothic" w:eastAsia="MS PGothic" w:hAnsi="MS PGothic"/>
          <w:sz w:val="16"/>
          <w:szCs w:val="16"/>
          <w:color w:val="auto"/>
        </w:rPr>
        <w:t>‑</w:t>
      </w:r>
      <w:r>
        <w:rPr>
          <w:rFonts w:ascii="Arial" w:cs="Arial" w:eastAsia="Arial" w:hAnsi="Arial"/>
          <w:sz w:val="16"/>
          <w:szCs w:val="16"/>
          <w:color w:val="auto"/>
        </w:rPr>
        <w:t>containing products including Wellbutrin, Wellbutrin SR, Wellbutrin XL, Aplenzin, Forfivo, Zyban, Contrave, and Nuedexta.</w:t>
      </w:r>
    </w:p>
    <w:p>
      <w:pPr>
        <w:spacing w:after="0" w:line="217" w:lineRule="exact"/>
        <w:rPr>
          <w:sz w:val="20"/>
          <w:szCs w:val="20"/>
          <w:color w:val="auto"/>
        </w:rPr>
      </w:pPr>
    </w:p>
    <w:p>
      <w:pPr>
        <w:ind w:firstLine="864"/>
        <w:spacing w:after="0" w:line="203" w:lineRule="exact"/>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w:t>
      </w:r>
      <w:r>
        <w:rPr>
          <w:rFonts w:ascii="MS PGothic" w:cs="MS PGothic" w:eastAsia="MS PGothic" w:hAnsi="MS PGothic"/>
          <w:sz w:val="16"/>
          <w:szCs w:val="16"/>
          <w:color w:val="auto"/>
        </w:rPr>
        <w:t>‑</w:t>
      </w:r>
      <w:r>
        <w:rPr>
          <w:rFonts w:ascii="Arial" w:cs="Arial" w:eastAsia="Arial" w:hAnsi="Arial"/>
          <w:sz w:val="16"/>
          <w:szCs w:val="16"/>
          <w:color w:val="auto"/>
        </w:rPr>
        <w:t>containing or rizatriptan-containing products including Anjeso, Vivlodex, Mobic, and Maxalt.</w:t>
      </w:r>
    </w:p>
    <w:p>
      <w:pPr>
        <w:spacing w:after="0" w:line="217" w:lineRule="exact"/>
        <w:rPr>
          <w:sz w:val="20"/>
          <w:szCs w:val="20"/>
          <w:color w:val="auto"/>
        </w:rPr>
      </w:pPr>
    </w:p>
    <w:p>
      <w:pPr>
        <w:ind w:firstLine="864"/>
        <w:spacing w:after="0" w:line="271" w:lineRule="auto"/>
        <w:rPr>
          <w:sz w:val="20"/>
          <w:szCs w:val="20"/>
          <w:color w:val="auto"/>
        </w:rPr>
      </w:pPr>
      <w:r>
        <w:rPr>
          <w:rFonts w:ascii="Arial" w:cs="Arial" w:eastAsia="Arial" w:hAnsi="Arial"/>
          <w:sz w:val="16"/>
          <w:szCs w:val="16"/>
          <w:color w:val="auto"/>
        </w:rPr>
        <w:t>Based on the side effects disclosed in EMA product label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90" w:lineRule="exact"/>
        <w:rPr>
          <w:sz w:val="20"/>
          <w:szCs w:val="20"/>
          <w:color w:val="auto"/>
        </w:rPr>
      </w:pPr>
    </w:p>
    <w:p>
      <w:pPr>
        <w:ind w:right="20" w:firstLine="864"/>
        <w:spacing w:after="0" w:line="287" w:lineRule="auto"/>
        <w:rPr>
          <w:sz w:val="20"/>
          <w:szCs w:val="20"/>
          <w:color w:val="auto"/>
        </w:rPr>
      </w:pPr>
      <w:r>
        <w:rPr>
          <w:rFonts w:ascii="Arial" w:cs="Arial" w:eastAsia="Arial" w:hAnsi="Arial"/>
          <w:sz w:val="15"/>
          <w:szCs w:val="15"/>
          <w:color w:val="auto"/>
        </w:rPr>
        <w:t>In addition, because we plan to file most of our product candidates under an NDA submitted pursuant to 505(b)(2), we will rely, at least in part, upon a reference drug and published literature. For example, we intend to rely on data collected in certain investigator initiated Phase 2 clinical trials and other third party studies in the published literature as well as FDA findings of safety and efficacy for approved drug products containing the same active molecules in AXS 05 and AXS-07.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an NDA for AXS-05 and plan to submit NDAs for AXS 07 pursuant to the 505(b)(2) process, we have not conducted certain additional clinical trials for these product candidates and, as such, we will have less experience with actual testing of the product candidate.</w:t>
      </w:r>
    </w:p>
    <w:p>
      <w:pPr>
        <w:spacing w:after="0" w:line="182" w:lineRule="exact"/>
        <w:rPr>
          <w:sz w:val="20"/>
          <w:szCs w:val="20"/>
          <w:color w:val="auto"/>
        </w:rPr>
      </w:pPr>
    </w:p>
    <w:p>
      <w:pPr>
        <w:ind w:right="80" w:firstLine="864"/>
        <w:spacing w:after="0" w:line="271" w:lineRule="auto"/>
        <w:rPr>
          <w:sz w:val="20"/>
          <w:szCs w:val="20"/>
          <w:color w:val="auto"/>
        </w:rPr>
      </w:pPr>
      <w:r>
        <w:rPr>
          <w:rFonts w:ascii="Arial" w:cs="Arial" w:eastAsia="Arial" w:hAnsi="Arial"/>
          <w:sz w:val="16"/>
          <w:szCs w:val="16"/>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90" w:lineRule="exact"/>
        <w:rPr>
          <w:sz w:val="20"/>
          <w:szCs w:val="20"/>
          <w:color w:val="auto"/>
        </w:rPr>
      </w:pPr>
    </w:p>
    <w:p>
      <w:pPr>
        <w:ind w:firstLine="864"/>
        <w:spacing w:after="0" w:line="271" w:lineRule="auto"/>
        <w:rPr>
          <w:sz w:val="20"/>
          <w:szCs w:val="20"/>
          <w:color w:val="auto"/>
        </w:rPr>
      </w:pPr>
      <w:r>
        <w:rPr>
          <w:rFonts w:ascii="Arial" w:cs="Arial" w:eastAsia="Arial" w:hAnsi="Arial"/>
          <w:sz w:val="16"/>
          <w:szCs w:val="16"/>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00" w:firstLine="864"/>
        <w:spacing w:after="0" w:line="203" w:lineRule="exact"/>
        <w:rPr>
          <w:sz w:val="20"/>
          <w:szCs w:val="20"/>
          <w:color w:val="auto"/>
        </w:rPr>
      </w:pPr>
      <w:r>
        <w:rPr>
          <w:rFonts w:ascii="Arial" w:cs="Arial" w:eastAsia="Arial" w:hAnsi="Arial"/>
          <w:sz w:val="16"/>
          <w:szCs w:val="16"/>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217"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72" w:lineRule="exact"/>
        <w:rPr>
          <w:sz w:val="20"/>
          <w:szCs w:val="20"/>
          <w:color w:val="auto"/>
        </w:rPr>
      </w:pPr>
    </w:p>
    <w:p>
      <w:pPr>
        <w:ind w:right="20" w:firstLine="864"/>
        <w:spacing w:after="0" w:line="287" w:lineRule="auto"/>
        <w:rPr>
          <w:sz w:val="20"/>
          <w:szCs w:val="20"/>
          <w:color w:val="auto"/>
        </w:rPr>
      </w:pPr>
      <w:r>
        <w:rPr>
          <w:rFonts w:ascii="Arial" w:cs="Arial" w:eastAsia="Arial" w:hAnsi="Arial"/>
          <w:sz w:val="15"/>
          <w:szCs w:val="15"/>
          <w:color w:val="auto"/>
        </w:rPr>
        <w:t>Under the Hatch 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82" w:lineRule="exact"/>
        <w:rPr>
          <w:sz w:val="20"/>
          <w:szCs w:val="20"/>
          <w:color w:val="auto"/>
        </w:rPr>
      </w:pPr>
    </w:p>
    <w:p>
      <w:pPr>
        <w:ind w:firstLine="864"/>
        <w:spacing w:after="0" w:line="287" w:lineRule="auto"/>
        <w:rPr>
          <w:sz w:val="20"/>
          <w:szCs w:val="20"/>
          <w:color w:val="auto"/>
        </w:rPr>
      </w:pPr>
      <w:r>
        <w:rPr>
          <w:rFonts w:ascii="Arial" w:cs="Arial" w:eastAsia="Arial" w:hAnsi="Arial"/>
          <w:sz w:val="15"/>
          <w:szCs w:val="15"/>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178" w:lineRule="exact"/>
        <w:rPr>
          <w:sz w:val="20"/>
          <w:szCs w:val="20"/>
          <w:color w:val="auto"/>
        </w:rPr>
      </w:pPr>
    </w:p>
    <w:p>
      <w:pPr>
        <w:jc w:val="both"/>
        <w:ind w:right="340"/>
        <w:spacing w:after="0" w:line="278"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84" w:lineRule="exact"/>
        <w:rPr>
          <w:sz w:val="20"/>
          <w:szCs w:val="20"/>
          <w:color w:val="auto"/>
        </w:rPr>
      </w:pPr>
    </w:p>
    <w:p>
      <w:pPr>
        <w:ind w:right="20" w:firstLine="864"/>
        <w:spacing w:after="0" w:line="267"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Even though we have recently submitted our first NDA to the FDA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80" w:firstLine="864"/>
        <w:spacing w:after="0" w:line="203" w:lineRule="exact"/>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6"/>
          <w:szCs w:val="16"/>
          <w:color w:val="auto"/>
        </w:rPr>
        <w:t>‑</w:t>
      </w:r>
      <w:r>
        <w:rPr>
          <w:rFonts w:ascii="Arial" w:cs="Arial" w:eastAsia="Arial" w:hAnsi="Arial"/>
          <w:sz w:val="16"/>
          <w:szCs w:val="16"/>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217" w:lineRule="exact"/>
        <w:rPr>
          <w:sz w:val="20"/>
          <w:szCs w:val="20"/>
          <w:color w:val="auto"/>
        </w:rPr>
      </w:pPr>
    </w:p>
    <w:p>
      <w:pPr>
        <w:ind w:firstLine="864"/>
        <w:spacing w:after="0" w:line="203" w:lineRule="exact"/>
        <w:rPr>
          <w:sz w:val="20"/>
          <w:szCs w:val="20"/>
          <w:color w:val="auto"/>
        </w:rPr>
      </w:pPr>
      <w:r>
        <w:rPr>
          <w:rFonts w:ascii="Arial" w:cs="Arial" w:eastAsia="Arial" w:hAnsi="Arial"/>
          <w:sz w:val="14"/>
          <w:szCs w:val="14"/>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4"/>
          <w:szCs w:val="14"/>
          <w:color w:val="auto"/>
        </w:rPr>
        <w:t>‑</w:t>
      </w:r>
      <w:r>
        <w:rPr>
          <w:rFonts w:ascii="Arial" w:cs="Arial" w:eastAsia="Arial" w:hAnsi="Arial"/>
          <w:sz w:val="14"/>
          <w:szCs w:val="14"/>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21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 may also experience numerous unforeseen events during, or as a result of, clinical trials and in the course of our preparation, submission, and review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NDA filings that could delay or prevent our ability to receive marketing approval or commercialize our product candidates, including:</w:t>
      </w:r>
    </w:p>
    <w:p>
      <w:pPr>
        <w:spacing w:after="0" w:line="231" w:lineRule="exact"/>
        <w:rPr>
          <w:sz w:val="20"/>
          <w:szCs w:val="20"/>
          <w:color w:val="auto"/>
        </w:rPr>
      </w:pPr>
    </w:p>
    <w:p>
      <w:pPr>
        <w:ind w:left="880" w:right="380" w:hanging="440"/>
        <w:spacing w:after="0" w:line="293"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regulators or IRBs may not authorize us or our investigators to commence a clinical trial or conduct a clinical trial at a prospective trial site or amend trial protocols;</w:t>
      </w:r>
    </w:p>
    <w:p>
      <w:pPr>
        <w:spacing w:after="0" w:line="171" w:lineRule="exact"/>
        <w:rPr>
          <w:rFonts w:ascii="Arial" w:cs="Arial" w:eastAsia="Arial" w:hAnsi="Arial"/>
          <w:sz w:val="16"/>
          <w:szCs w:val="16"/>
          <w:color w:val="auto"/>
        </w:rPr>
      </w:pPr>
    </w:p>
    <w:p>
      <w:pPr>
        <w:ind w:left="880" w:right="60" w:hanging="440"/>
        <w:spacing w:after="0" w:line="293"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clinical trial contracts or clinical trial protocols with prospective trial sites and our CROs;</w:t>
      </w:r>
    </w:p>
    <w:p>
      <w:pPr>
        <w:spacing w:after="0" w:line="171" w:lineRule="exact"/>
        <w:rPr>
          <w:rFonts w:ascii="Arial" w:cs="Arial" w:eastAsia="Arial" w:hAnsi="Arial"/>
          <w:sz w:val="16"/>
          <w:szCs w:val="16"/>
          <w:color w:val="auto"/>
        </w:rPr>
      </w:pPr>
    </w:p>
    <w:p>
      <w:pPr>
        <w:ind w:left="880" w:right="480" w:hanging="440"/>
        <w:spacing w:after="0" w:line="369" w:lineRule="auto"/>
        <w:tabs>
          <w:tab w:leader="none" w:pos="8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25" w:lineRule="exact"/>
        <w:rPr>
          <w:rFonts w:ascii="Arial" w:cs="Arial" w:eastAsia="Arial" w:hAnsi="Arial"/>
          <w:sz w:val="14"/>
          <w:szCs w:val="14"/>
          <w:color w:val="auto"/>
        </w:rPr>
      </w:pPr>
    </w:p>
    <w:p>
      <w:pPr>
        <w:ind w:left="880" w:right="40" w:hanging="440"/>
        <w:spacing w:after="0" w:line="293"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71" w:lineRule="exact"/>
        <w:rPr>
          <w:rFonts w:ascii="Arial" w:cs="Arial" w:eastAsia="Arial" w:hAnsi="Arial"/>
          <w:sz w:val="16"/>
          <w:szCs w:val="16"/>
          <w:color w:val="auto"/>
        </w:rPr>
      </w:pPr>
    </w:p>
    <w:p>
      <w:pPr>
        <w:ind w:left="880" w:right="180" w:hanging="440"/>
        <w:spacing w:after="0" w:line="293"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71" w:lineRule="exact"/>
        <w:rPr>
          <w:rFonts w:ascii="Arial" w:cs="Arial" w:eastAsia="Arial" w:hAnsi="Arial"/>
          <w:sz w:val="16"/>
          <w:szCs w:val="16"/>
          <w:color w:val="auto"/>
        </w:rPr>
      </w:pPr>
    </w:p>
    <w:p>
      <w:pPr>
        <w:ind w:left="880" w:right="120" w:hanging="440"/>
        <w:spacing w:after="0" w:line="204" w:lineRule="exact"/>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third</w:t>
      </w:r>
      <w:r>
        <w:rPr>
          <w:rFonts w:ascii="MS PGothic" w:cs="MS PGothic" w:eastAsia="MS PGothic" w:hAnsi="MS PGothic"/>
          <w:sz w:val="16"/>
          <w:szCs w:val="16"/>
          <w:color w:val="auto"/>
        </w:rPr>
        <w:t>‑</w:t>
      </w:r>
      <w:r>
        <w:rPr>
          <w:rFonts w:ascii="Arial" w:cs="Arial" w:eastAsia="Arial" w:hAnsi="Arial"/>
          <w:sz w:val="16"/>
          <w:szCs w:val="16"/>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213" w:lineRule="exact"/>
        <w:rPr>
          <w:rFonts w:ascii="Arial" w:cs="Arial" w:eastAsia="Arial" w:hAnsi="Arial"/>
          <w:sz w:val="16"/>
          <w:szCs w:val="16"/>
          <w:color w:val="auto"/>
        </w:rPr>
      </w:pPr>
    </w:p>
    <w:p>
      <w:pPr>
        <w:ind w:left="880" w:right="80" w:hanging="440"/>
        <w:spacing w:after="0" w:line="273"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88" w:lineRule="exact"/>
        <w:rPr>
          <w:rFonts w:ascii="Arial" w:cs="Arial" w:eastAsia="Arial" w:hAnsi="Arial"/>
          <w:sz w:val="16"/>
          <w:szCs w:val="16"/>
          <w:color w:val="auto"/>
        </w:rPr>
      </w:pPr>
    </w:p>
    <w:p>
      <w:pPr>
        <w:ind w:left="880" w:hanging="440"/>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marketing approval policies during the development period rendering our data insufficient to obtain marketing approval;</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or the enactment of additional statutes or regulations;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regulatory review for each submitted product application;</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right="640" w:hanging="440"/>
        <w:spacing w:after="0" w:line="293"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71" w:lineRule="exact"/>
        <w:rPr>
          <w:rFonts w:ascii="Arial" w:cs="Arial" w:eastAsia="Arial" w:hAnsi="Arial"/>
          <w:sz w:val="16"/>
          <w:szCs w:val="16"/>
          <w:color w:val="auto"/>
        </w:rPr>
      </w:pPr>
    </w:p>
    <w:p>
      <w:pPr>
        <w:ind w:left="880" w:right="740" w:hanging="440"/>
        <w:spacing w:after="0" w:line="293"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supply or quality of our product candidates or other materials necessary to conduct clinical trials of our product candidates may be insufficient or inadequate;</w:t>
      </w:r>
    </w:p>
    <w:p>
      <w:pPr>
        <w:spacing w:after="0" w:line="171" w:lineRule="exact"/>
        <w:rPr>
          <w:rFonts w:ascii="Arial" w:cs="Arial" w:eastAsia="Arial" w:hAnsi="Arial"/>
          <w:sz w:val="16"/>
          <w:szCs w:val="16"/>
          <w:color w:val="auto"/>
        </w:rPr>
      </w:pPr>
    </w:p>
    <w:p>
      <w:pPr>
        <w:ind w:left="880" w:right="120" w:hanging="440"/>
        <w:spacing w:after="0" w:line="289"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completed Phase 2 ASCEND trial and Phase 3 GEMINI trial in MDD to support an NDA for AXS-05 for the treatment of MDD; the Phase 3 MOMENTUM trial, conducted pursuant to a Special Protocol Assessment, or SPA, and the Phase 3 INTERCEPT trial to support an NDA for AXS-07 for the acute treatment of migraine; and the Phase 3 ADVANCE-1 trial and the ongoing ACCORD trial to support an NDA for AXS-05 for the treatment of AD agitation, the FDA could still require additional studies to support the approval of an NDA for these product candidates. Finally, for AXS-12, we will need to conduct a Phase 3 clinical trial in order to file an NDA for this product candidate. The outcome of our studies may further necessitate additional clinical or preclinical work;</w:t>
      </w:r>
    </w:p>
    <w:p>
      <w:pPr>
        <w:spacing w:after="0" w:line="179" w:lineRule="exact"/>
        <w:rPr>
          <w:rFonts w:ascii="Arial" w:cs="Arial" w:eastAsia="Arial" w:hAnsi="Arial"/>
          <w:sz w:val="15"/>
          <w:szCs w:val="15"/>
          <w:color w:val="auto"/>
        </w:rPr>
      </w:pPr>
    </w:p>
    <w:p>
      <w:pPr>
        <w:ind w:left="880" w:hanging="440"/>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fail to reach an agreement with regulators regarding the scope or design of our clinical trials;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have delays in adding new investigators or clinical trial sites, or we may experience a withdrawal of clinical trial sites;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experience delays in our clinical trials due to the ongoing COVID-19 pandemic;</w:t>
      </w:r>
    </w:p>
    <w:p>
      <w:pPr>
        <w:spacing w:after="0" w:line="261" w:lineRule="exact"/>
        <w:rPr>
          <w:rFonts w:ascii="Arial" w:cs="Arial" w:eastAsia="Arial" w:hAnsi="Arial"/>
          <w:sz w:val="16"/>
          <w:szCs w:val="16"/>
          <w:color w:val="auto"/>
        </w:rPr>
      </w:pPr>
    </w:p>
    <w:p>
      <w:pPr>
        <w:ind w:left="880" w:hanging="440"/>
        <w:spacing w:after="0" w:line="328"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49" w:lineRule="exact"/>
        <w:rPr>
          <w:rFonts w:ascii="Arial" w:cs="Arial" w:eastAsia="Arial" w:hAnsi="Arial"/>
          <w:sz w:val="15"/>
          <w:szCs w:val="15"/>
          <w:color w:val="auto"/>
        </w:rPr>
      </w:pPr>
    </w:p>
    <w:p>
      <w:pPr>
        <w:ind w:left="880" w:hanging="440"/>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there may be regulatory questions regarding interpretations of data and results, or new information may emerge regarding our product candidates;</w:t>
      </w:r>
    </w:p>
    <w:p>
      <w:pPr>
        <w:spacing w:after="0" w:line="261" w:lineRule="exact"/>
        <w:rPr>
          <w:rFonts w:ascii="Arial" w:cs="Arial" w:eastAsia="Arial" w:hAnsi="Arial"/>
          <w:sz w:val="16"/>
          <w:szCs w:val="16"/>
          <w:color w:val="auto"/>
        </w:rPr>
      </w:pPr>
    </w:p>
    <w:p>
      <w:pPr>
        <w:ind w:left="880" w:right="80" w:hanging="440"/>
        <w:spacing w:after="0" w:line="271"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189" w:lineRule="exact"/>
        <w:rPr>
          <w:rFonts w:ascii="Arial" w:cs="Arial" w:eastAsia="Arial" w:hAnsi="Arial"/>
          <w:sz w:val="16"/>
          <w:szCs w:val="16"/>
          <w:color w:val="auto"/>
        </w:rPr>
      </w:pPr>
    </w:p>
    <w:p>
      <w:pPr>
        <w:ind w:left="880" w:right="20" w:hanging="440"/>
        <w:spacing w:after="0" w:line="297"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72" w:lineRule="exact"/>
        <w:rPr>
          <w:rFonts w:ascii="Arial" w:cs="Arial" w:eastAsia="Arial" w:hAnsi="Arial"/>
          <w:sz w:val="15"/>
          <w:szCs w:val="15"/>
          <w:color w:val="auto"/>
        </w:rPr>
      </w:pPr>
    </w:p>
    <w:p>
      <w:pPr>
        <w:ind w:left="880" w:hanging="440"/>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not accept data from studies with clinical trial sites in foreign countries;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intended indications;</w:t>
      </w:r>
    </w:p>
    <w:p>
      <w:pPr>
        <w:spacing w:after="0" w:line="261" w:lineRule="exact"/>
        <w:rPr>
          <w:rFonts w:ascii="Arial" w:cs="Arial" w:eastAsia="Arial" w:hAnsi="Arial"/>
          <w:sz w:val="16"/>
          <w:szCs w:val="16"/>
          <w:color w:val="auto"/>
        </w:rPr>
      </w:pPr>
    </w:p>
    <w:p>
      <w:pPr>
        <w:ind w:left="880" w:right="260" w:hanging="440"/>
        <w:spacing w:after="0" w:line="293"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or subsequently find fault with the manufacturing processes or our manufacturing facilities for clinical and future commercial supplies;</w:t>
      </w:r>
    </w:p>
    <w:p>
      <w:pPr>
        <w:spacing w:after="0" w:line="171" w:lineRule="exact"/>
        <w:rPr>
          <w:rFonts w:ascii="Arial" w:cs="Arial" w:eastAsia="Arial" w:hAnsi="Arial"/>
          <w:sz w:val="16"/>
          <w:szCs w:val="16"/>
          <w:color w:val="auto"/>
        </w:rPr>
      </w:pPr>
    </w:p>
    <w:p>
      <w:pPr>
        <w:ind w:left="880" w:right="40" w:hanging="440"/>
        <w:spacing w:after="0" w:line="293"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connection with the chemistry, manufacturing, and controls (CMC) data necessary for our NDA filing and approval, we will need to conduct stability studies and provide stability data to establish appropriate retest or expiration dating period;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80" w:right="120" w:hanging="440"/>
        <w:spacing w:after="0" w:line="273"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Our product candidates may not demonstrate sufficient long-term stability to support an NDA filing or obtain approval, or the product shelf life may be limited by stability results;</w:t>
      </w:r>
    </w:p>
    <w:p>
      <w:pPr>
        <w:spacing w:after="0" w:line="188" w:lineRule="exact"/>
        <w:rPr>
          <w:rFonts w:ascii="Arial" w:cs="Arial" w:eastAsia="Arial" w:hAnsi="Arial"/>
          <w:sz w:val="16"/>
          <w:szCs w:val="16"/>
          <w:color w:val="auto"/>
        </w:rPr>
      </w:pPr>
    </w:p>
    <w:p>
      <w:pPr>
        <w:jc w:val="both"/>
        <w:ind w:left="880" w:right="260" w:hanging="440"/>
        <w:spacing w:after="0" w:line="369" w:lineRule="auto"/>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there may be delays in the FDA’s ability to conduct necessary Pre-Approval Inspections, or PAIs, due to the COVID-19 pandemic or for other reasons, and more generally the FDA or comparable foreign regulatory authorities may take longer than we anticipate to make a decision on our product candidates; and</w:t>
      </w:r>
    </w:p>
    <w:p>
      <w:pPr>
        <w:spacing w:after="0" w:line="125" w:lineRule="exact"/>
        <w:rPr>
          <w:rFonts w:ascii="Arial" w:cs="Arial" w:eastAsia="Arial" w:hAnsi="Arial"/>
          <w:sz w:val="14"/>
          <w:szCs w:val="14"/>
          <w:color w:val="auto"/>
        </w:rPr>
      </w:pPr>
    </w:p>
    <w:p>
      <w:pPr>
        <w:ind w:left="880" w:right="160" w:hanging="440"/>
        <w:spacing w:after="0" w:line="293"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not be able to demonstrate that a product candidate provides an advantage over current standards of care or current or future competitive therapies in development.</w:t>
      </w:r>
    </w:p>
    <w:p>
      <w:pPr>
        <w:spacing w:after="0" w:line="172" w:lineRule="exact"/>
        <w:rPr>
          <w:sz w:val="20"/>
          <w:szCs w:val="20"/>
          <w:color w:val="auto"/>
        </w:rPr>
      </w:pPr>
    </w:p>
    <w:p>
      <w:pPr>
        <w:ind w:firstLine="864"/>
        <w:spacing w:after="0" w:line="278" w:lineRule="auto"/>
        <w:rPr>
          <w:sz w:val="20"/>
          <w:szCs w:val="20"/>
          <w:color w:val="auto"/>
        </w:rPr>
      </w:pPr>
      <w:r>
        <w:rPr>
          <w:rFonts w:ascii="Arial" w:cs="Arial" w:eastAsia="Arial" w:hAnsi="Arial"/>
          <w:sz w:val="16"/>
          <w:szCs w:val="16"/>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84" w:lineRule="exact"/>
        <w:rPr>
          <w:sz w:val="20"/>
          <w:szCs w:val="20"/>
          <w:color w:val="auto"/>
        </w:rPr>
      </w:pPr>
    </w:p>
    <w:p>
      <w:pPr>
        <w:ind w:left="880" w:hanging="440"/>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 delayed in obtaining marketing approval for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not obtain marketing approval at all;</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 approval for indications or patient populations that are not as broad as intended or desired or are not covered by our intellectual property;</w:t>
      </w:r>
    </w:p>
    <w:p>
      <w:pPr>
        <w:spacing w:after="0" w:line="261" w:lineRule="exact"/>
        <w:rPr>
          <w:rFonts w:ascii="Arial" w:cs="Arial" w:eastAsia="Arial" w:hAnsi="Arial"/>
          <w:sz w:val="16"/>
          <w:szCs w:val="16"/>
          <w:color w:val="auto"/>
        </w:rPr>
      </w:pPr>
    </w:p>
    <w:p>
      <w:pPr>
        <w:ind w:left="880" w:right="520" w:hanging="440"/>
        <w:spacing w:after="0" w:line="278" w:lineRule="auto"/>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84"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 subject to additional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requirements, including REMS; or</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have the product removed from the market after obtaining marketing approval.</w:t>
      </w:r>
    </w:p>
    <w:p>
      <w:pPr>
        <w:spacing w:after="0" w:line="262" w:lineRule="exact"/>
        <w:rPr>
          <w:sz w:val="20"/>
          <w:szCs w:val="20"/>
          <w:color w:val="auto"/>
        </w:rPr>
      </w:pPr>
    </w:p>
    <w:p>
      <w:pPr>
        <w:ind w:right="40" w:firstLine="864"/>
        <w:spacing w:after="0" w:line="288" w:lineRule="auto"/>
        <w:rPr>
          <w:sz w:val="20"/>
          <w:szCs w:val="20"/>
          <w:color w:val="auto"/>
        </w:rPr>
      </w:pPr>
      <w:r>
        <w:rPr>
          <w:rFonts w:ascii="Arial" w:cs="Arial" w:eastAsia="Arial" w:hAnsi="Arial"/>
          <w:sz w:val="15"/>
          <w:szCs w:val="15"/>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80" w:lineRule="exact"/>
        <w:rPr>
          <w:sz w:val="20"/>
          <w:szCs w:val="20"/>
          <w:color w:val="auto"/>
        </w:rPr>
      </w:pPr>
    </w:p>
    <w:p>
      <w:pPr>
        <w:ind w:right="60" w:firstLine="864"/>
        <w:spacing w:after="0" w:line="291" w:lineRule="auto"/>
        <w:rPr>
          <w:sz w:val="20"/>
          <w:szCs w:val="20"/>
          <w:color w:val="auto"/>
        </w:rPr>
      </w:pPr>
      <w:r>
        <w:rPr>
          <w:rFonts w:ascii="Arial" w:cs="Arial" w:eastAsia="Arial" w:hAnsi="Arial"/>
          <w:sz w:val="15"/>
          <w:szCs w:val="15"/>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Furthermore, there is the possibility that the FDA or comparable foreign regulatory authorities have not previously reviewed product candidates for the indications we are pursuing, such as smoking cessation. As a result, we may experience delays in regulatory approval due to uncertainties in the approval process.</w:t>
      </w:r>
    </w:p>
    <w:p>
      <w:pPr>
        <w:spacing w:after="0" w:line="176" w:lineRule="exact"/>
        <w:rPr>
          <w:sz w:val="20"/>
          <w:szCs w:val="20"/>
          <w:color w:val="auto"/>
        </w:rPr>
      </w:pPr>
    </w:p>
    <w:p>
      <w:pPr>
        <w:ind w:firstLine="864"/>
        <w:spacing w:after="0" w:line="204" w:lineRule="exact"/>
        <w:rPr>
          <w:sz w:val="20"/>
          <w:szCs w:val="20"/>
          <w:color w:val="auto"/>
        </w:rPr>
      </w:pPr>
      <w:r>
        <w:rPr>
          <w:rFonts w:ascii="Arial" w:cs="Arial" w:eastAsia="Arial" w:hAnsi="Arial"/>
          <w:sz w:val="16"/>
          <w:szCs w:val="16"/>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6"/>
          <w:szCs w:val="16"/>
          <w:color w:val="auto"/>
        </w:rPr>
        <w:t>‑</w:t>
      </w:r>
      <w:r>
        <w:rPr>
          <w:rFonts w:ascii="Arial" w:cs="Arial" w:eastAsia="Arial" w:hAnsi="Arial"/>
          <w:sz w:val="16"/>
          <w:szCs w:val="16"/>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60" w:firstLine="864"/>
        <w:spacing w:after="0" w:line="278" w:lineRule="auto"/>
        <w:rPr>
          <w:sz w:val="20"/>
          <w:szCs w:val="20"/>
          <w:color w:val="auto"/>
        </w:rPr>
      </w:pPr>
      <w:r>
        <w:rPr>
          <w:rFonts w:ascii="Arial" w:cs="Arial" w:eastAsia="Arial" w:hAnsi="Arial"/>
          <w:sz w:val="16"/>
          <w:szCs w:val="16"/>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72" w:lineRule="exact"/>
        <w:rPr>
          <w:sz w:val="20"/>
          <w:szCs w:val="20"/>
          <w:color w:val="auto"/>
        </w:rPr>
      </w:pPr>
    </w:p>
    <w:p>
      <w:pPr>
        <w:ind w:right="60" w:firstLine="864"/>
        <w:spacing w:after="0" w:line="269" w:lineRule="auto"/>
        <w:rPr>
          <w:sz w:val="20"/>
          <w:szCs w:val="20"/>
          <w:color w:val="auto"/>
        </w:rPr>
      </w:pPr>
      <w:r>
        <w:rPr>
          <w:rFonts w:ascii="Arial" w:cs="Arial" w:eastAsia="Arial" w:hAnsi="Arial"/>
          <w:sz w:val="16"/>
          <w:szCs w:val="16"/>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94" w:lineRule="exact"/>
        <w:rPr>
          <w:sz w:val="20"/>
          <w:szCs w:val="20"/>
          <w:color w:val="auto"/>
        </w:rPr>
      </w:pPr>
    </w:p>
    <w:p>
      <w:pPr>
        <w:ind w:left="880" w:right="160" w:hanging="440"/>
        <w:spacing w:after="0" w:line="293"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preclinical or nonclinical testing may produce inconclusive or negative safety results, which may require us to conduct additional nonclinical testing or to abandon product candidates;</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product candidates may have unfavorable pharmacology or toxicity characteristics or suggest possible drug-drug interaction;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FDA or other regulatory authorities may determine that additional safety testing is required.</w:t>
      </w:r>
    </w:p>
    <w:p>
      <w:pPr>
        <w:spacing w:after="0" w:line="262" w:lineRule="exact"/>
        <w:rPr>
          <w:sz w:val="20"/>
          <w:szCs w:val="20"/>
          <w:color w:val="auto"/>
        </w:rPr>
      </w:pPr>
    </w:p>
    <w:p>
      <w:pPr>
        <w:ind w:right="220" w:firstLine="864"/>
        <w:spacing w:after="0" w:line="293" w:lineRule="auto"/>
        <w:rPr>
          <w:sz w:val="20"/>
          <w:szCs w:val="20"/>
          <w:color w:val="auto"/>
        </w:rPr>
      </w:pPr>
      <w:r>
        <w:rPr>
          <w:rFonts w:ascii="Arial" w:cs="Arial" w:eastAsia="Arial" w:hAnsi="Arial"/>
          <w:sz w:val="16"/>
          <w:szCs w:val="16"/>
          <w:color w:val="auto"/>
        </w:rPr>
        <w:t>Any such events would increase our costs and could delay or prevent our ability to commercialize our product candidates, which could adversely impact our business, financial condition and results of operation.</w:t>
      </w:r>
    </w:p>
    <w:p>
      <w:pPr>
        <w:spacing w:after="0" w:line="172"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72" w:lineRule="exact"/>
        <w:rPr>
          <w:sz w:val="20"/>
          <w:szCs w:val="20"/>
          <w:color w:val="auto"/>
        </w:rPr>
      </w:pPr>
    </w:p>
    <w:p>
      <w:pPr>
        <w:ind w:right="40" w:firstLine="864"/>
        <w:spacing w:after="0" w:line="271" w:lineRule="auto"/>
        <w:rPr>
          <w:sz w:val="20"/>
          <w:szCs w:val="20"/>
          <w:color w:val="auto"/>
        </w:rPr>
      </w:pPr>
      <w:r>
        <w:rPr>
          <w:rFonts w:ascii="Arial" w:cs="Arial" w:eastAsia="Arial" w:hAnsi="Arial"/>
          <w:sz w:val="16"/>
          <w:szCs w:val="16"/>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90" w:lineRule="exact"/>
        <w:rPr>
          <w:sz w:val="20"/>
          <w:szCs w:val="20"/>
          <w:color w:val="auto"/>
        </w:rPr>
      </w:pPr>
    </w:p>
    <w:p>
      <w:pPr>
        <w:ind w:firstLine="864"/>
        <w:spacing w:after="0" w:line="203" w:lineRule="exact"/>
        <w:rPr>
          <w:sz w:val="20"/>
          <w:szCs w:val="20"/>
          <w:color w:val="auto"/>
        </w:rPr>
      </w:pPr>
      <w:r>
        <w:rPr>
          <w:rFonts w:ascii="Arial" w:cs="Arial" w:eastAsia="Arial" w:hAnsi="Arial"/>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217" w:lineRule="exact"/>
        <w:rPr>
          <w:sz w:val="20"/>
          <w:szCs w:val="20"/>
          <w:color w:val="auto"/>
        </w:rPr>
      </w:pPr>
    </w:p>
    <w:p>
      <w:pPr>
        <w:ind w:right="120" w:firstLine="864"/>
        <w:spacing w:after="0" w:line="324" w:lineRule="auto"/>
        <w:rPr>
          <w:sz w:val="20"/>
          <w:szCs w:val="20"/>
          <w:color w:val="auto"/>
        </w:rPr>
      </w:pPr>
      <w:r>
        <w:rPr>
          <w:rFonts w:ascii="Arial" w:cs="Arial" w:eastAsia="Arial" w:hAnsi="Arial"/>
          <w:sz w:val="14"/>
          <w:szCs w:val="14"/>
          <w:color w:val="auto"/>
        </w:rPr>
        <w:t>To date, the most commonly reported adverse events (incidence of ≥5% of subjects) observed in the completed clinical trials of AXS-05 include dizziness, nausea, headache, dry mouth, and decreased appetite. Some reported adverse events resulted in discontinuations from our trials of AXS-05. The most frequent adverse events (incidence of ≥1% of subjects) resulting in discontinuation included dizziness, nausea, and headache. AXS-05 consists of dextromethorphan and bupropion, and this combination may exacerbate any known adverse events for each individual component, or may result in new toxicities as compared to those of the individual components.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firstLine="864"/>
        <w:spacing w:after="0" w:line="278" w:lineRule="auto"/>
        <w:rPr>
          <w:sz w:val="20"/>
          <w:szCs w:val="20"/>
          <w:color w:val="auto"/>
        </w:rPr>
      </w:pPr>
      <w:r>
        <w:rPr>
          <w:rFonts w:ascii="Arial" w:cs="Arial" w:eastAsia="Arial" w:hAnsi="Arial"/>
          <w:sz w:val="16"/>
          <w:szCs w:val="16"/>
          <w:color w:val="auto"/>
        </w:rPr>
        <w:t>To date, the most commonly reported adverse events observed in the completed clinical trials of AXS-07 include nausea, dizziness, somnolence, and paresthesia. AXS-07 consists of meloxicam and rizatriptan, and this combination may exacerbate any known adverse events for each individual component, or may result in new toxicities as compared to those of the individual components.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To date, the most commonly reported adverse events observed in the completed clinical trial of AXS-12 include anxiety, constipation, and insomnia.</w:t>
      </w:r>
    </w:p>
    <w:p>
      <w:pPr>
        <w:spacing w:after="0" w:line="246" w:lineRule="exact"/>
        <w:rPr>
          <w:sz w:val="20"/>
          <w:szCs w:val="20"/>
          <w:color w:val="auto"/>
        </w:rPr>
      </w:pPr>
    </w:p>
    <w:p>
      <w:pPr>
        <w:ind w:right="120" w:firstLine="864"/>
        <w:spacing w:after="0" w:line="204" w:lineRule="exact"/>
        <w:rPr>
          <w:sz w:val="20"/>
          <w:szCs w:val="20"/>
          <w:color w:val="auto"/>
        </w:rPr>
      </w:pPr>
      <w:r>
        <w:rPr>
          <w:rFonts w:ascii="Arial" w:cs="Arial" w:eastAsia="Arial" w:hAnsi="Arial"/>
          <w:sz w:val="16"/>
          <w:szCs w:val="16"/>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our receipt of necessary regulatory approvals could be delayed or prevented.</w:t>
      </w:r>
    </w:p>
    <w:p>
      <w:pPr>
        <w:spacing w:after="0" w:line="258" w:lineRule="exact"/>
        <w:rPr>
          <w:sz w:val="20"/>
          <w:szCs w:val="20"/>
          <w:color w:val="auto"/>
        </w:rPr>
      </w:pPr>
    </w:p>
    <w:p>
      <w:pPr>
        <w:ind w:firstLine="864"/>
        <w:spacing w:after="0" w:line="273" w:lineRule="auto"/>
        <w:rPr>
          <w:sz w:val="20"/>
          <w:szCs w:val="20"/>
          <w:color w:val="auto"/>
        </w:rPr>
      </w:pPr>
      <w:r>
        <w:rPr>
          <w:rFonts w:ascii="Arial" w:cs="Arial" w:eastAsia="Arial" w:hAnsi="Arial"/>
          <w:sz w:val="16"/>
          <w:szCs w:val="16"/>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9" w:lineRule="exact"/>
        <w:rPr>
          <w:sz w:val="20"/>
          <w:szCs w:val="20"/>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size and nature of the patient population;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severity of the disease under investigation;</w:t>
      </w:r>
    </w:p>
    <w:p>
      <w:pPr>
        <w:spacing w:after="0" w:line="261" w:lineRule="exact"/>
        <w:rPr>
          <w:rFonts w:ascii="Arial" w:cs="Arial" w:eastAsia="Arial" w:hAnsi="Arial"/>
          <w:sz w:val="16"/>
          <w:szCs w:val="16"/>
          <w:color w:val="auto"/>
        </w:rPr>
      </w:pPr>
    </w:p>
    <w:p>
      <w:pPr>
        <w:ind w:left="880" w:right="380" w:hanging="440"/>
        <w:spacing w:after="0" w:line="293"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eligibility criteria for, and design of, the clinical trial in question, including factors such as frequency of required assessments, length of the study, and ongoing monitoring requirements;</w:t>
      </w:r>
    </w:p>
    <w:p>
      <w:pPr>
        <w:spacing w:after="0" w:line="171" w:lineRule="exact"/>
        <w:rPr>
          <w:rFonts w:ascii="Arial" w:cs="Arial" w:eastAsia="Arial" w:hAnsi="Arial"/>
          <w:sz w:val="16"/>
          <w:szCs w:val="16"/>
          <w:color w:val="auto"/>
        </w:rPr>
      </w:pPr>
    </w:p>
    <w:p>
      <w:pPr>
        <w:ind w:left="880" w:right="440" w:hanging="440"/>
        <w:spacing w:after="0" w:line="293"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competition in recruiting and enrolling patients in clinical trials;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efforts to facilitate timely enrollment in clinical trials;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patient referral practices of physicians;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effectiveness of publicity created by clinical trial sites regarding the trial;</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patients’ ability to comply with the specific instructions related to the trial protocol, proper documentation, and use of the drug product;</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inability to obtain or maintain patient informed consents;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risk that enrolled patients will drop out before completion;</w:t>
      </w:r>
    </w:p>
    <w:p>
      <w:pPr>
        <w:spacing w:after="0" w:line="261" w:lineRule="exact"/>
        <w:rPr>
          <w:rFonts w:ascii="Arial" w:cs="Arial" w:eastAsia="Arial" w:hAnsi="Arial"/>
          <w:sz w:val="16"/>
          <w:szCs w:val="16"/>
          <w:color w:val="auto"/>
        </w:rPr>
      </w:pPr>
    </w:p>
    <w:p>
      <w:pPr>
        <w:ind w:left="880" w:right="540" w:hanging="440"/>
        <w:spacing w:after="0" w:line="293"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to identify patients for enrollment and maintain a sufficient level of patient participants in our clinical studies due to the ongoing COVID-19 pandemic;</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to monitor patients adequately during and after treatment;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proximity and availability of clinical trial sites for prospective patients.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864"/>
        <w:spacing w:after="0" w:line="291" w:lineRule="auto"/>
        <w:rPr>
          <w:sz w:val="20"/>
          <w:szCs w:val="20"/>
          <w:color w:val="auto"/>
        </w:rPr>
      </w:pPr>
      <w:r>
        <w:rPr>
          <w:rFonts w:ascii="Arial" w:cs="Arial" w:eastAsia="Arial" w:hAnsi="Arial"/>
          <w:sz w:val="15"/>
          <w:szCs w:val="15"/>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76" w:lineRule="exact"/>
        <w:rPr>
          <w:sz w:val="20"/>
          <w:szCs w:val="20"/>
          <w:color w:val="auto"/>
        </w:rPr>
      </w:pPr>
    </w:p>
    <w:p>
      <w:pPr>
        <w:ind w:right="20" w:firstLine="864"/>
        <w:spacing w:after="0" w:line="278" w:lineRule="auto"/>
        <w:rPr>
          <w:sz w:val="20"/>
          <w:szCs w:val="20"/>
          <w:color w:val="auto"/>
        </w:rPr>
      </w:pPr>
      <w:r>
        <w:rPr>
          <w:rFonts w:ascii="Arial" w:cs="Arial" w:eastAsia="Arial" w:hAnsi="Arial"/>
          <w:sz w:val="16"/>
          <w:szCs w:val="16"/>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84"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b w:val="1"/>
          <w:bCs w:val="1"/>
          <w:i w:val="1"/>
          <w:iCs w:val="1"/>
          <w:color w:val="auto"/>
        </w:rPr>
        <w:t>Currently approved products containing bupropion and meloxicam are subject to restrictive marketing and distribution regulations, which if applied to our product candidates could restrict their use and potentially reduce our ability to generate profits.</w:t>
      </w:r>
    </w:p>
    <w:p>
      <w:pPr>
        <w:spacing w:after="0" w:line="172" w:lineRule="exact"/>
        <w:rPr>
          <w:sz w:val="20"/>
          <w:szCs w:val="20"/>
          <w:color w:val="auto"/>
        </w:rPr>
      </w:pPr>
    </w:p>
    <w:p>
      <w:pPr>
        <w:ind w:right="40" w:firstLine="864"/>
        <w:spacing w:after="0" w:line="287" w:lineRule="auto"/>
        <w:rPr>
          <w:sz w:val="20"/>
          <w:szCs w:val="20"/>
          <w:color w:val="auto"/>
        </w:rPr>
      </w:pPr>
      <w:r>
        <w:rPr>
          <w:rFonts w:ascii="Arial" w:cs="Arial" w:eastAsia="Arial" w:hAnsi="Arial"/>
          <w:sz w:val="15"/>
          <w:szCs w:val="15"/>
          <w:color w:val="auto"/>
        </w:rPr>
        <w:t>Currently approved products containing bupropion and meloxicam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our product candidates will require a REMS program in addition to a medication guide. We cannot predict whether what will be required as part of the FDA’s approval of our product candidates.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Development of combination product candidates may present more or different challenges than development of single agent product candidates.</w:t>
      </w:r>
    </w:p>
    <w:p>
      <w:pPr>
        <w:spacing w:after="0" w:line="235" w:lineRule="exact"/>
        <w:rPr>
          <w:sz w:val="20"/>
          <w:szCs w:val="20"/>
          <w:color w:val="auto"/>
        </w:rPr>
      </w:pPr>
    </w:p>
    <w:p>
      <w:pPr>
        <w:ind w:firstLine="864"/>
        <w:spacing w:after="0" w:line="291" w:lineRule="auto"/>
        <w:rPr>
          <w:sz w:val="20"/>
          <w:szCs w:val="20"/>
          <w:color w:val="auto"/>
        </w:rPr>
      </w:pPr>
      <w:r>
        <w:rPr>
          <w:rFonts w:ascii="Arial" w:cs="Arial" w:eastAsia="Arial" w:hAnsi="Arial"/>
          <w:sz w:val="15"/>
          <w:szCs w:val="15"/>
          <w:color w:val="auto"/>
        </w:rPr>
        <w:t>Certain of our product candidates, including AXS-05, AXS-07, and AXS-09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product candidate manufacturing or formulation may result in additional costs or delay.</w:t>
      </w:r>
    </w:p>
    <w:p>
      <w:pPr>
        <w:spacing w:after="0" w:line="235" w:lineRule="exact"/>
        <w:rPr>
          <w:sz w:val="20"/>
          <w:szCs w:val="20"/>
          <w:color w:val="auto"/>
        </w:rPr>
      </w:pPr>
    </w:p>
    <w:p>
      <w:pPr>
        <w:ind w:right="20" w:firstLine="864"/>
        <w:spacing w:after="0" w:line="289" w:lineRule="auto"/>
        <w:rPr>
          <w:sz w:val="20"/>
          <w:szCs w:val="20"/>
          <w:color w:val="auto"/>
        </w:rPr>
      </w:pPr>
      <w:r>
        <w:rPr>
          <w:rFonts w:ascii="Arial" w:cs="Arial" w:eastAsia="Arial" w:hAnsi="Arial"/>
          <w:sz w:val="15"/>
          <w:szCs w:val="15"/>
          <w:color w:val="auto"/>
        </w:rPr>
        <w:t>As product candidates are developed through preclinical studies to late 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marketing approval in international jurisdictions would prevent our product candidates from being marketed abroad.</w:t>
      </w:r>
    </w:p>
    <w:p>
      <w:pPr>
        <w:spacing w:after="0" w:line="235"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In order to market and sell our products in the European Union, or EU, and many other jurisdictions, we or our third</w:t>
      </w:r>
      <w:r>
        <w:rPr>
          <w:rFonts w:ascii="MS PGothic" w:cs="MS PGothic" w:eastAsia="MS PGothic" w:hAnsi="MS PGothic"/>
          <w:sz w:val="15"/>
          <w:szCs w:val="15"/>
          <w:color w:val="auto"/>
        </w:rPr>
        <w:t>‑</w:t>
      </w:r>
      <w:r>
        <w:rPr>
          <w:rFonts w:ascii="Arial" w:cs="Arial" w:eastAsia="Arial" w:hAnsi="Arial"/>
          <w:sz w:val="15"/>
          <w:szCs w:val="15"/>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21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72" w:lineRule="exact"/>
        <w:rPr>
          <w:sz w:val="20"/>
          <w:szCs w:val="20"/>
          <w:color w:val="auto"/>
        </w:rPr>
      </w:pPr>
    </w:p>
    <w:p>
      <w:pPr>
        <w:ind w:right="20" w:firstLine="864"/>
        <w:spacing w:after="0" w:line="269" w:lineRule="auto"/>
        <w:rPr>
          <w:sz w:val="20"/>
          <w:szCs w:val="20"/>
          <w:color w:val="auto"/>
        </w:rPr>
      </w:pPr>
      <w:r>
        <w:rPr>
          <w:rFonts w:ascii="Arial" w:cs="Arial" w:eastAsia="Arial" w:hAnsi="Arial"/>
          <w:sz w:val="16"/>
          <w:szCs w:val="16"/>
          <w:color w:val="auto"/>
        </w:rPr>
        <w:t>We have received a Fast Track product designation for AXS-05 for both the treatment of TRD as well as for the treatment of AD agitation, and we may seek Fast Track designation for other of our current or future product candidates. Receipt of a designation to facilitate expedited review for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94" w:lineRule="exact"/>
        <w:rPr>
          <w:sz w:val="20"/>
          <w:szCs w:val="20"/>
          <w:color w:val="auto"/>
        </w:rPr>
      </w:pPr>
    </w:p>
    <w:p>
      <w:pPr>
        <w:spacing w:after="0" w:line="335" w:lineRule="auto"/>
        <w:rPr>
          <w:sz w:val="20"/>
          <w:szCs w:val="20"/>
          <w:color w:val="auto"/>
        </w:rPr>
      </w:pPr>
      <w:r>
        <w:rPr>
          <w:rFonts w:ascii="Arial" w:cs="Arial" w:eastAsia="Arial" w:hAnsi="Arial"/>
          <w:sz w:val="14"/>
          <w:szCs w:val="14"/>
          <w:b w:val="1"/>
          <w:bCs w:val="1"/>
          <w:i w:val="1"/>
          <w:iCs w:val="1"/>
          <w:color w:val="auto"/>
        </w:rPr>
        <w:t>Although the breakthrough therapy process is designed to expedite the review and development of drugs, Breakthrough Therapy designation by the FDA for AXS-05 for the treatment of MDD and for the treatment of AD agitation, and AXS-12 for the treatment of cataplexy in patients with narcolepsy may not ultimately lead to a faster development or regulatory review or approval process, and it will not increase the likelihood that these product candidates will receive marketing approval.</w:t>
      </w:r>
    </w:p>
    <w:p>
      <w:pPr>
        <w:spacing w:after="0" w:line="149" w:lineRule="exact"/>
        <w:rPr>
          <w:sz w:val="20"/>
          <w:szCs w:val="20"/>
          <w:color w:val="auto"/>
        </w:rPr>
      </w:pPr>
    </w:p>
    <w:p>
      <w:pPr>
        <w:ind w:right="20" w:firstLine="864"/>
        <w:spacing w:after="0" w:line="267" w:lineRule="auto"/>
        <w:rPr>
          <w:sz w:val="20"/>
          <w:szCs w:val="20"/>
          <w:color w:val="auto"/>
        </w:rPr>
      </w:pPr>
      <w:r>
        <w:rPr>
          <w:rFonts w:ascii="Arial" w:cs="Arial" w:eastAsia="Arial" w:hAnsi="Arial"/>
          <w:sz w:val="16"/>
          <w:szCs w:val="16"/>
          <w:color w:val="auto"/>
        </w:rPr>
        <w:t>We received Breakthrough Therapy designation for AXS-05 for both the treatment of MDD and the treatment of AD agitation, and for AXS-12 for the treatment of cataplexy in patients with narcolepsy.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96" w:lineRule="exact"/>
        <w:rPr>
          <w:sz w:val="20"/>
          <w:szCs w:val="20"/>
          <w:color w:val="auto"/>
        </w:rPr>
      </w:pPr>
    </w:p>
    <w:p>
      <w:pPr>
        <w:ind w:right="60" w:firstLine="864"/>
        <w:spacing w:after="0" w:line="273" w:lineRule="auto"/>
        <w:rPr>
          <w:sz w:val="20"/>
          <w:szCs w:val="20"/>
          <w:color w:val="auto"/>
        </w:rPr>
      </w:pPr>
      <w:r>
        <w:rPr>
          <w:rFonts w:ascii="Arial" w:cs="Arial" w:eastAsia="Arial" w:hAnsi="Arial"/>
          <w:sz w:val="16"/>
          <w:szCs w:val="16"/>
          <w:color w:val="auto"/>
        </w:rPr>
        <w:t>Designation as a breakthrough therapy is within the discretion of the FDA. The receipt of a Breakthrough Therapy designation for a product candidate may not ultimately result in a faster development process or review, and it does not in any way assure approval of product candidates by the FDA. In addition, the FDA may later decide to rescind the Breakthrough Therapy designation for one or more of our applicable product candidates if such product candidates no longer meet the conditions for qualification of this program.</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40"/>
        <w:spacing w:after="0" w:line="204" w:lineRule="exact"/>
        <w:rPr>
          <w:sz w:val="20"/>
          <w:szCs w:val="20"/>
          <w:color w:val="auto"/>
        </w:rPr>
      </w:pPr>
      <w:r>
        <w:rPr>
          <w:rFonts w:ascii="Arial" w:cs="Arial" w:eastAsia="Arial" w:hAnsi="Arial"/>
          <w:sz w:val="16"/>
          <w:szCs w:val="16"/>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label” uses, resulting in damage to our reputation and business.</w:t>
      </w:r>
    </w:p>
    <w:p>
      <w:pPr>
        <w:spacing w:after="0" w:line="214" w:lineRule="exact"/>
        <w:rPr>
          <w:sz w:val="20"/>
          <w:szCs w:val="20"/>
          <w:color w:val="auto"/>
        </w:rPr>
      </w:pPr>
    </w:p>
    <w:p>
      <w:pPr>
        <w:jc w:val="both"/>
        <w:ind w:right="20" w:firstLine="864"/>
        <w:spacing w:after="0" w:line="303" w:lineRule="auto"/>
        <w:rPr>
          <w:sz w:val="20"/>
          <w:szCs w:val="20"/>
          <w:color w:val="auto"/>
        </w:rPr>
      </w:pPr>
      <w:r>
        <w:rPr>
          <w:rFonts w:ascii="Arial" w:cs="Arial" w:eastAsia="Arial" w:hAnsi="Arial"/>
          <w:sz w:val="14"/>
          <w:szCs w:val="14"/>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w:t>
      </w:r>
    </w:p>
    <w:p>
      <w:pPr>
        <w:spacing w:after="0" w:line="2" w:lineRule="exact"/>
        <w:rPr>
          <w:sz w:val="20"/>
          <w:szCs w:val="20"/>
          <w:color w:val="auto"/>
        </w:rPr>
      </w:pPr>
    </w:p>
    <w:p>
      <w:pPr>
        <w:ind w:right="160"/>
        <w:spacing w:after="0" w:line="202" w:lineRule="exact"/>
        <w:rPr>
          <w:sz w:val="20"/>
          <w:szCs w:val="20"/>
          <w:color w:val="auto"/>
        </w:rPr>
      </w:pPr>
      <w:r>
        <w:rPr>
          <w:rFonts w:ascii="Arial" w:cs="Arial" w:eastAsia="Arial" w:hAnsi="Arial"/>
          <w:sz w:val="15"/>
          <w:szCs w:val="15"/>
          <w:color w:val="auto"/>
        </w:rPr>
        <w:t>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5"/>
          <w:szCs w:val="15"/>
          <w:color w:val="auto"/>
        </w:rPr>
        <w:t>‑</w:t>
      </w:r>
      <w:r>
        <w:rPr>
          <w:rFonts w:ascii="Arial" w:cs="Arial" w:eastAsia="Arial" w:hAnsi="Arial"/>
          <w:sz w:val="15"/>
          <w:szCs w:val="15"/>
          <w:color w:val="auto"/>
        </w:rPr>
        <w:t>label uses, and our business may be adversely affected. We further must be able to sufficiently substantiate any claims that we make for our products including claims comparing our products to other companies’ products.</w:t>
      </w:r>
    </w:p>
    <w:p>
      <w:pPr>
        <w:spacing w:after="0" w:line="214" w:lineRule="exact"/>
        <w:rPr>
          <w:sz w:val="20"/>
          <w:szCs w:val="20"/>
          <w:color w:val="auto"/>
        </w:rPr>
      </w:pPr>
    </w:p>
    <w:p>
      <w:pPr>
        <w:ind w:right="60" w:firstLine="864"/>
        <w:spacing w:after="0" w:line="203" w:lineRule="exact"/>
        <w:rPr>
          <w:sz w:val="20"/>
          <w:szCs w:val="20"/>
          <w:color w:val="auto"/>
        </w:rPr>
      </w:pPr>
      <w:r>
        <w:rPr>
          <w:rFonts w:ascii="Arial" w:cs="Arial" w:eastAsia="Arial" w:hAnsi="Arial"/>
          <w:sz w:val="16"/>
          <w:szCs w:val="16"/>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6"/>
          <w:szCs w:val="16"/>
          <w:color w:val="auto"/>
        </w:rPr>
        <w:t>‑</w:t>
      </w:r>
      <w:r>
        <w:rPr>
          <w:rFonts w:ascii="Arial" w:cs="Arial" w:eastAsia="Arial" w:hAnsi="Arial"/>
          <w:sz w:val="16"/>
          <w:szCs w:val="16"/>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6"/>
          <w:szCs w:val="16"/>
          <w:color w:val="auto"/>
        </w:rPr>
        <w:t>‑</w:t>
      </w:r>
      <w:r>
        <w:rPr>
          <w:rFonts w:ascii="Arial" w:cs="Arial" w:eastAsia="Arial" w:hAnsi="Arial"/>
          <w:sz w:val="16"/>
          <w:szCs w:val="16"/>
          <w:color w:val="auto"/>
        </w:rPr>
        <w:t>label use.</w:t>
      </w:r>
    </w:p>
    <w:p>
      <w:pPr>
        <w:spacing w:after="0" w:line="217" w:lineRule="exact"/>
        <w:rPr>
          <w:sz w:val="20"/>
          <w:szCs w:val="20"/>
          <w:color w:val="auto"/>
        </w:rPr>
      </w:pPr>
    </w:p>
    <w:p>
      <w:pPr>
        <w:ind w:right="60" w:firstLine="864"/>
        <w:spacing w:after="0" w:line="203" w:lineRule="exact"/>
        <w:rPr>
          <w:sz w:val="20"/>
          <w:szCs w:val="20"/>
          <w:color w:val="auto"/>
        </w:rPr>
      </w:pPr>
      <w:r>
        <w:rPr>
          <w:rFonts w:ascii="Arial" w:cs="Arial" w:eastAsia="Arial" w:hAnsi="Arial"/>
          <w:sz w:val="16"/>
          <w:szCs w:val="16"/>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Arial" w:cs="Arial" w:eastAsia="Arial" w:hAnsi="Arial"/>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217" w:lineRule="exact"/>
        <w:rPr>
          <w:sz w:val="20"/>
          <w:szCs w:val="20"/>
          <w:color w:val="auto"/>
        </w:rPr>
      </w:pPr>
    </w:p>
    <w:p>
      <w:pPr>
        <w:ind w:firstLine="864"/>
        <w:spacing w:after="0" w:line="203" w:lineRule="exact"/>
        <w:rPr>
          <w:sz w:val="20"/>
          <w:szCs w:val="20"/>
          <w:color w:val="auto"/>
        </w:rPr>
      </w:pPr>
      <w:r>
        <w:rPr>
          <w:rFonts w:ascii="Arial" w:cs="Arial" w:eastAsia="Arial" w:hAnsi="Arial"/>
          <w:sz w:val="14"/>
          <w:szCs w:val="14"/>
          <w:color w:val="auto"/>
        </w:rPr>
        <w:t>In the United States, engaging in the impermissible promotion of our products, following approval, for off</w:t>
      </w:r>
      <w:r>
        <w:rPr>
          <w:rFonts w:ascii="MS PGothic" w:cs="MS PGothic" w:eastAsia="MS PGothic" w:hAnsi="MS PGothic"/>
          <w:sz w:val="14"/>
          <w:szCs w:val="14"/>
          <w:color w:val="auto"/>
        </w:rPr>
        <w:t>‑</w:t>
      </w:r>
      <w:r>
        <w:rPr>
          <w:rFonts w:ascii="Arial" w:cs="Arial" w:eastAsia="Arial" w:hAnsi="Arial"/>
          <w:sz w:val="14"/>
          <w:szCs w:val="14"/>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4"/>
          <w:szCs w:val="14"/>
          <w:color w:val="auto"/>
        </w:rPr>
        <w:t>‑</w:t>
      </w:r>
      <w:r>
        <w:rPr>
          <w:rFonts w:ascii="Arial" w:cs="Arial" w:eastAsia="Arial" w:hAnsi="Arial"/>
          <w:sz w:val="14"/>
          <w:szCs w:val="14"/>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215" w:lineRule="exact"/>
        <w:rPr>
          <w:sz w:val="20"/>
          <w:szCs w:val="20"/>
          <w:color w:val="auto"/>
        </w:rPr>
      </w:pPr>
    </w:p>
    <w:p>
      <w:pPr>
        <w:ind w:right="20" w:firstLine="864"/>
        <w:spacing w:after="0" w:line="293" w:lineRule="auto"/>
        <w:rPr>
          <w:sz w:val="20"/>
          <w:szCs w:val="20"/>
          <w:color w:val="auto"/>
        </w:rPr>
      </w:pPr>
      <w:r>
        <w:rPr>
          <w:rFonts w:ascii="Arial" w:cs="Arial" w:eastAsia="Arial" w:hAnsi="Arial"/>
          <w:sz w:val="15"/>
          <w:szCs w:val="15"/>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spacing w:after="0" w:line="335" w:lineRule="auto"/>
        <w:rPr>
          <w:sz w:val="20"/>
          <w:szCs w:val="20"/>
          <w:color w:val="auto"/>
        </w:rPr>
      </w:pPr>
      <w:r>
        <w:rPr>
          <w:rFonts w:ascii="Arial" w:cs="Arial" w:eastAsia="Arial" w:hAnsi="Arial"/>
          <w:sz w:val="14"/>
          <w:szCs w:val="14"/>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49" w:lineRule="exact"/>
        <w:rPr>
          <w:sz w:val="20"/>
          <w:szCs w:val="20"/>
          <w:color w:val="auto"/>
        </w:rPr>
      </w:pPr>
    </w:p>
    <w:p>
      <w:pPr>
        <w:ind w:firstLine="864"/>
        <w:spacing w:after="0" w:line="287" w:lineRule="auto"/>
        <w:rPr>
          <w:sz w:val="20"/>
          <w:szCs w:val="20"/>
          <w:color w:val="auto"/>
        </w:rPr>
      </w:pPr>
      <w:r>
        <w:rPr>
          <w:rFonts w:ascii="Arial" w:cs="Arial" w:eastAsia="Arial" w:hAnsi="Arial"/>
          <w:sz w:val="15"/>
          <w:szCs w:val="15"/>
          <w:color w:val="auto"/>
        </w:rPr>
        <w:t>Any product candidate for which we obtain marketing approval will be subject to extensive and ongoing requirements of and review by the FDA and other regulatory authorities, including requirements related to the manufacturing processes, post approval clinical data, labeling, packaging, distribution, adverse event reporting, storage, recordkeeping, export, import, advertising, marketing, and promotional activities for such product. These requirements further include submissions of safety and other post 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good clinical practice, or GCP, for any clinical trials that we conduct post 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 market requirements or restrictions. Any such restrictions could limit sales of the product.</w:t>
      </w:r>
    </w:p>
    <w:p>
      <w:pPr>
        <w:spacing w:after="0" w:line="178" w:lineRule="exact"/>
        <w:rPr>
          <w:sz w:val="20"/>
          <w:szCs w:val="20"/>
          <w:color w:val="auto"/>
        </w:rPr>
      </w:pPr>
    </w:p>
    <w:p>
      <w:pPr>
        <w:ind w:firstLine="864"/>
        <w:spacing w:after="0" w:line="278" w:lineRule="auto"/>
        <w:rPr>
          <w:sz w:val="20"/>
          <w:szCs w:val="20"/>
          <w:color w:val="auto"/>
        </w:rPr>
      </w:pPr>
      <w:r>
        <w:rPr>
          <w:rFonts w:ascii="Arial" w:cs="Arial" w:eastAsia="Arial" w:hAnsi="Arial"/>
          <w:sz w:val="16"/>
          <w:szCs w:val="16"/>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 approval for product and manufacturing changes. Application fees may apply to certain changes.</w:t>
      </w:r>
    </w:p>
    <w:p>
      <w:pPr>
        <w:spacing w:after="0" w:line="184" w:lineRule="exact"/>
        <w:rPr>
          <w:sz w:val="20"/>
          <w:szCs w:val="20"/>
          <w:color w:val="auto"/>
        </w:rPr>
      </w:pPr>
    </w:p>
    <w:p>
      <w:pPr>
        <w:ind w:right="20" w:firstLine="864"/>
        <w:spacing w:after="0" w:line="369" w:lineRule="auto"/>
        <w:rPr>
          <w:sz w:val="20"/>
          <w:szCs w:val="20"/>
          <w:color w:val="auto"/>
        </w:rPr>
      </w:pPr>
      <w:r>
        <w:rPr>
          <w:rFonts w:ascii="Arial" w:cs="Arial" w:eastAsia="Arial" w:hAnsi="Arial"/>
          <w:sz w:val="14"/>
          <w:szCs w:val="14"/>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26"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restrictions on manufacturing or distribution, or marketing of such products;</w:t>
      </w:r>
    </w:p>
    <w:p>
      <w:pPr>
        <w:spacing w:after="0" w:line="261" w:lineRule="exact"/>
        <w:rPr>
          <w:rFonts w:ascii="Arial" w:cs="Arial" w:eastAsia="Arial" w:hAnsi="Arial"/>
          <w:sz w:val="16"/>
          <w:szCs w:val="16"/>
          <w:color w:val="auto"/>
        </w:rPr>
      </w:pPr>
    </w:p>
    <w:p>
      <w:pPr>
        <w:ind w:left="880" w:hanging="440"/>
        <w:spacing w:after="0" w:line="293"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restrictions on the labeling, including required additional warnings, such as black box warnings, contraindications, precautions, and restrictions on the approved indication or use;</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modifications to promotional pieces;</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requirements to conduct post</w:t>
      </w:r>
      <w:r>
        <w:rPr>
          <w:rFonts w:ascii="MS PGothic" w:cs="MS PGothic" w:eastAsia="MS PGothic" w:hAnsi="MS PGothic"/>
          <w:sz w:val="16"/>
          <w:szCs w:val="16"/>
          <w:color w:val="auto"/>
        </w:rPr>
        <w:t>‑</w:t>
      </w:r>
      <w:r>
        <w:rPr>
          <w:rFonts w:ascii="Arial" w:cs="Arial" w:eastAsia="Arial" w:hAnsi="Arial"/>
          <w:sz w:val="16"/>
          <w:szCs w:val="16"/>
          <w:color w:val="auto"/>
        </w:rPr>
        <w:t>marketing studies or clinical trials; clinical holds or termination of clinical trials;</w:t>
      </w:r>
    </w:p>
    <w:p>
      <w:pPr>
        <w:spacing w:after="0" w:line="261" w:lineRule="exact"/>
        <w:rPr>
          <w:rFonts w:ascii="Arial" w:cs="Arial" w:eastAsia="Arial" w:hAnsi="Arial"/>
          <w:sz w:val="16"/>
          <w:szCs w:val="16"/>
          <w:color w:val="auto"/>
        </w:rPr>
      </w:pPr>
    </w:p>
    <w:p>
      <w:pPr>
        <w:ind w:left="880" w:right="180" w:hanging="440"/>
        <w:spacing w:after="0" w:line="278"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84"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to the way the drug is administered;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liability for harm caused to patients or subjects;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reputational harm;</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drug becoming less competitive;</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warning; or untitled letters;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suspension of marketing or withdrawal of the products from the market;</w:t>
      </w:r>
    </w:p>
    <w:p>
      <w:pPr>
        <w:spacing w:after="0" w:line="261" w:lineRule="exact"/>
        <w:rPr>
          <w:rFonts w:ascii="Arial" w:cs="Arial" w:eastAsia="Arial" w:hAnsi="Arial"/>
          <w:sz w:val="16"/>
          <w:szCs w:val="16"/>
          <w:color w:val="auto"/>
        </w:rPr>
      </w:pPr>
    </w:p>
    <w:p>
      <w:pPr>
        <w:ind w:left="880" w:right="320" w:hanging="440"/>
        <w:spacing w:after="0" w:line="293"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regulatory authority issuance of safety alerts, Dear Healthcare Provider letters, press releases, or other communications containing warnings or other safety information about the drug;</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refusal to approve pending applications or supplements to approved applications that we submit;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recall of products;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fines, damages, restitution, or disgorgement of profits or revenues;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suspension or withdrawal of marketing approvals;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refusal to permit the import or export of our products;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product seizure or detention;</w:t>
      </w:r>
    </w:p>
    <w:p>
      <w:pPr>
        <w:spacing w:after="0" w:line="261" w:lineRule="exact"/>
        <w:rPr>
          <w:rFonts w:ascii="Arial" w:cs="Arial" w:eastAsia="Arial" w:hAnsi="Arial"/>
          <w:sz w:val="16"/>
          <w:szCs w:val="16"/>
          <w:color w:val="auto"/>
        </w:rPr>
      </w:pPr>
    </w:p>
    <w:p>
      <w:pPr>
        <w:ind w:left="880" w:right="320" w:hanging="440"/>
        <w:spacing w:after="0" w:line="293"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 including imprisonment.</w:t>
      </w:r>
    </w:p>
    <w:p>
      <w:pPr>
        <w:spacing w:after="0" w:line="262" w:lineRule="exact"/>
        <w:rPr>
          <w:sz w:val="20"/>
          <w:szCs w:val="20"/>
          <w:color w:val="auto"/>
        </w:rPr>
      </w:pPr>
    </w:p>
    <w:p>
      <w:pPr>
        <w:ind w:right="80" w:firstLine="864"/>
        <w:spacing w:after="0" w:line="273"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9" w:lineRule="exact"/>
        <w:rPr>
          <w:sz w:val="20"/>
          <w:szCs w:val="20"/>
          <w:color w:val="auto"/>
        </w:rPr>
      </w:pPr>
    </w:p>
    <w:p>
      <w:pPr>
        <w:ind w:right="160" w:firstLine="864"/>
        <w:spacing w:after="0" w:line="273"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89" w:lineRule="exact"/>
        <w:rPr>
          <w:sz w:val="20"/>
          <w:szCs w:val="20"/>
          <w:color w:val="auto"/>
        </w:rPr>
      </w:pPr>
    </w:p>
    <w:p>
      <w:pPr>
        <w:ind w:right="400" w:firstLine="864"/>
        <w:spacing w:after="0" w:line="204" w:lineRule="exact"/>
        <w:rPr>
          <w:sz w:val="20"/>
          <w:szCs w:val="20"/>
          <w:color w:val="auto"/>
        </w:rPr>
      </w:pPr>
      <w:r>
        <w:rPr>
          <w:rFonts w:ascii="Arial" w:cs="Arial" w:eastAsia="Arial" w:hAnsi="Arial"/>
          <w:sz w:val="16"/>
          <w:szCs w:val="16"/>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6"/>
          <w:szCs w:val="16"/>
          <w:color w:val="auto"/>
        </w:rPr>
        <w:t>‑</w:t>
      </w:r>
      <w:r>
        <w:rPr>
          <w:rFonts w:ascii="Arial" w:cs="Arial" w:eastAsia="Arial" w:hAnsi="Arial"/>
          <w:sz w:val="16"/>
          <w:szCs w:val="16"/>
          <w:color w:val="auto"/>
        </w:rPr>
        <w:t>approval regulations may have a negative effect on our operating results and financial condition.</w:t>
      </w:r>
    </w:p>
    <w:p>
      <w:pPr>
        <w:spacing w:after="0" w:line="21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72" w:lineRule="exact"/>
        <w:rPr>
          <w:sz w:val="20"/>
          <w:szCs w:val="20"/>
          <w:color w:val="auto"/>
        </w:rPr>
      </w:pPr>
    </w:p>
    <w:p>
      <w:pPr>
        <w:ind w:right="100" w:firstLine="864"/>
        <w:spacing w:after="0" w:line="328" w:lineRule="auto"/>
        <w:rPr>
          <w:sz w:val="20"/>
          <w:szCs w:val="20"/>
          <w:color w:val="auto"/>
        </w:rPr>
      </w:pPr>
      <w:r>
        <w:rPr>
          <w:rFonts w:ascii="Arial" w:cs="Arial" w:eastAsia="Arial" w:hAnsi="Arial"/>
          <w:sz w:val="15"/>
          <w:szCs w:val="15"/>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50"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different regulatory requirements for approval of drugs in foreign countries;</w:t>
      </w:r>
    </w:p>
    <w:p>
      <w:pPr>
        <w:spacing w:after="0" w:line="261" w:lineRule="exact"/>
        <w:rPr>
          <w:rFonts w:ascii="Arial" w:cs="Arial" w:eastAsia="Arial" w:hAnsi="Arial"/>
          <w:sz w:val="16"/>
          <w:szCs w:val="16"/>
          <w:color w:val="auto"/>
        </w:rPr>
      </w:pPr>
    </w:p>
    <w:p>
      <w:pPr>
        <w:ind w:left="880" w:hanging="440"/>
        <w:spacing w:after="0" w:line="204" w:lineRule="exact"/>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potential for so</w:t>
      </w:r>
      <w:r>
        <w:rPr>
          <w:rFonts w:ascii="MS PGothic" w:cs="MS PGothic" w:eastAsia="MS PGothic" w:hAnsi="MS PGothic"/>
          <w:sz w:val="16"/>
          <w:szCs w:val="16"/>
          <w:color w:val="auto"/>
        </w:rPr>
        <w:t>‑</w:t>
      </w:r>
      <w:r>
        <w:rPr>
          <w:rFonts w:ascii="Arial" w:cs="Arial" w:eastAsia="Arial" w:hAnsi="Arial"/>
          <w:sz w:val="16"/>
          <w:szCs w:val="16"/>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214" w:lineRule="exact"/>
        <w:rPr>
          <w:rFonts w:ascii="Arial" w:cs="Arial" w:eastAsia="Arial" w:hAnsi="Arial"/>
          <w:sz w:val="16"/>
          <w:szCs w:val="16"/>
          <w:color w:val="auto"/>
        </w:rPr>
      </w:pPr>
    </w:p>
    <w:p>
      <w:pPr>
        <w:ind w:left="880" w:right="60" w:hanging="440"/>
        <w:spacing w:after="0" w:line="293"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71" w:lineRule="exact"/>
        <w:rPr>
          <w:rFonts w:ascii="Arial" w:cs="Arial" w:eastAsia="Arial" w:hAnsi="Arial"/>
          <w:sz w:val="16"/>
          <w:szCs w:val="16"/>
          <w:color w:val="auto"/>
        </w:rPr>
      </w:pPr>
    </w:p>
    <w:p>
      <w:pPr>
        <w:ind w:left="880" w:right="140" w:hanging="440"/>
        <w:spacing w:after="0" w:line="293"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unexpected changes in tariffs, trade barriers, and regulatory requirements and in the health care policies of foreign jurisdictions;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foreign taxes, including withholding of payroll taxes;</w:t>
      </w:r>
    </w:p>
    <w:p>
      <w:pPr>
        <w:spacing w:after="0" w:line="261" w:lineRule="exact"/>
        <w:rPr>
          <w:rFonts w:ascii="Arial" w:cs="Arial" w:eastAsia="Arial" w:hAnsi="Arial"/>
          <w:sz w:val="16"/>
          <w:szCs w:val="16"/>
          <w:color w:val="auto"/>
        </w:rPr>
      </w:pPr>
    </w:p>
    <w:p>
      <w:pPr>
        <w:ind w:left="880" w:right="300" w:hanging="440"/>
        <w:spacing w:after="0" w:line="293"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foreign currency fluctuations, which could result in increased operating expenses and reduced revenues, and other obligations incident to doing business in another country;</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difficulties staffing and managing foreign operations;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the United States and worker rights tend to be stronger;</w:t>
      </w:r>
    </w:p>
    <w:p>
      <w:pPr>
        <w:spacing w:after="0" w:line="261" w:lineRule="exact"/>
        <w:rPr>
          <w:rFonts w:ascii="Arial" w:cs="Arial" w:eastAsia="Arial" w:hAnsi="Arial"/>
          <w:sz w:val="16"/>
          <w:szCs w:val="16"/>
          <w:color w:val="auto"/>
        </w:rPr>
      </w:pPr>
    </w:p>
    <w:p>
      <w:pPr>
        <w:ind w:left="880" w:right="100" w:hanging="440"/>
        <w:spacing w:after="0" w:line="293"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costs of compliance with U.S. laws and regulations for foreign operations, including the Foreign Corrupt Practices Act or comparable foreign regulations, and the risks and costs of noncompliance;</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business interruptions resulting from geopolitical actions, including war and terrorism, or natural disasters including earthquakes, typhoons, floods, and fires.</w:t>
      </w:r>
    </w:p>
    <w:p>
      <w:pPr>
        <w:spacing w:after="0" w:line="273"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These and other risks associated with our international operations may materially adversely affect our ability to attain or maintain profitable operations.</w:t>
      </w:r>
    </w:p>
    <w:p>
      <w:pPr>
        <w:spacing w:after="0" w:line="24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72" w:lineRule="exact"/>
        <w:rPr>
          <w:sz w:val="20"/>
          <w:szCs w:val="20"/>
          <w:color w:val="auto"/>
        </w:rPr>
      </w:pPr>
    </w:p>
    <w:p>
      <w:pPr>
        <w:ind w:right="120" w:firstLine="864"/>
        <w:spacing w:after="0" w:line="268"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COMMERCIALIZATION OF OUR PRODUCT CANDIDATES</w:t>
      </w:r>
    </w:p>
    <w:p>
      <w:pPr>
        <w:spacing w:after="0" w:line="239" w:lineRule="exact"/>
        <w:rPr>
          <w:sz w:val="20"/>
          <w:szCs w:val="20"/>
          <w:color w:val="auto"/>
        </w:rPr>
      </w:pPr>
    </w:p>
    <w:p>
      <w:pPr>
        <w:ind w:right="920"/>
        <w:spacing w:after="0" w:line="293" w:lineRule="auto"/>
        <w:rPr>
          <w:sz w:val="20"/>
          <w:szCs w:val="20"/>
          <w:color w:val="auto"/>
        </w:rPr>
      </w:pPr>
      <w:r>
        <w:rPr>
          <w:rFonts w:ascii="Arial" w:cs="Arial" w:eastAsia="Arial" w:hAnsi="Arial"/>
          <w:sz w:val="16"/>
          <w:szCs w:val="16"/>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72" w:lineRule="exact"/>
        <w:rPr>
          <w:sz w:val="20"/>
          <w:szCs w:val="20"/>
          <w:color w:val="auto"/>
        </w:rPr>
      </w:pPr>
    </w:p>
    <w:p>
      <w:pPr>
        <w:ind w:right="40" w:firstLine="864"/>
        <w:spacing w:after="0" w:line="269"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4" w:lineRule="exact"/>
        <w:rPr>
          <w:sz w:val="20"/>
          <w:szCs w:val="20"/>
          <w:color w:val="auto"/>
        </w:rPr>
      </w:pPr>
    </w:p>
    <w:p>
      <w:pPr>
        <w:ind w:firstLine="864"/>
        <w:spacing w:after="0" w:line="271" w:lineRule="auto"/>
        <w:rPr>
          <w:sz w:val="20"/>
          <w:szCs w:val="20"/>
          <w:color w:val="auto"/>
        </w:rPr>
      </w:pPr>
      <w:r>
        <w:rPr>
          <w:rFonts w:ascii="Arial" w:cs="Arial" w:eastAsia="Arial" w:hAnsi="Arial"/>
          <w:sz w:val="16"/>
          <w:szCs w:val="16"/>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Biohaven Pharmaceutical Holding Company Ltd.; Eli Lilly and Company; H. Lundbeck A/S; Harmony Biosciences; Intra-Cellular Therapies, Inc.; Janssen Research &amp; Development, LLC; Jazz Pharmaceuticals plc; Otsuka Pharmaceutical Co. Ltd.;; Relmada Therapeutics Inc.; Sage Therapeutics, Inc; and Takeda Pharmaceutical Company Limited.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firstLine="864"/>
        <w:spacing w:after="0" w:line="203" w:lineRule="exact"/>
        <w:rPr>
          <w:sz w:val="20"/>
          <w:szCs w:val="20"/>
          <w:color w:val="auto"/>
        </w:rPr>
      </w:pPr>
      <w:r>
        <w:rPr>
          <w:rFonts w:ascii="Arial" w:cs="Arial" w:eastAsia="Arial" w:hAnsi="Arial"/>
          <w:sz w:val="15"/>
          <w:szCs w:val="15"/>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5"/>
          <w:szCs w:val="15"/>
          <w:color w:val="auto"/>
        </w:rPr>
        <w:t>‑</w:t>
      </w:r>
      <w:r>
        <w:rPr>
          <w:rFonts w:ascii="Arial" w:cs="Arial" w:eastAsia="Arial" w:hAnsi="Arial"/>
          <w:sz w:val="15"/>
          <w:szCs w:val="15"/>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215" w:lineRule="exact"/>
        <w:rPr>
          <w:sz w:val="20"/>
          <w:szCs w:val="20"/>
          <w:color w:val="auto"/>
        </w:rPr>
      </w:pPr>
    </w:p>
    <w:p>
      <w:pPr>
        <w:ind w:right="60" w:firstLine="864"/>
        <w:spacing w:after="0" w:line="271" w:lineRule="auto"/>
        <w:rPr>
          <w:sz w:val="20"/>
          <w:szCs w:val="20"/>
          <w:color w:val="auto"/>
        </w:rPr>
      </w:pPr>
      <w:r>
        <w:rPr>
          <w:rFonts w:ascii="Arial" w:cs="Arial" w:eastAsia="Arial" w:hAnsi="Arial"/>
          <w:sz w:val="16"/>
          <w:szCs w:val="16"/>
          <w:color w:val="auto"/>
        </w:rPr>
        <w:t>Generic forms of the active ingredients of our product candidates, including zoledronic acid, dextromethorphan, bupropion, meloxicam, rizatripan, reboxetine, and esomeprazole, are available in the United States and abroad and could be used off label. Any such off 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90" w:lineRule="exact"/>
        <w:rPr>
          <w:sz w:val="20"/>
          <w:szCs w:val="20"/>
          <w:color w:val="auto"/>
        </w:rPr>
      </w:pPr>
    </w:p>
    <w:p>
      <w:pPr>
        <w:ind w:right="40" w:firstLine="864"/>
        <w:spacing w:after="0" w:line="291"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6"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84"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5"/>
          <w:szCs w:val="15"/>
          <w:color w:val="auto"/>
        </w:rPr>
        <w:t>‑</w:t>
      </w:r>
      <w:r>
        <w:rPr>
          <w:rFonts w:ascii="Arial" w:cs="Arial" w:eastAsia="Arial" w:hAnsi="Arial"/>
          <w:sz w:val="15"/>
          <w:szCs w:val="15"/>
          <w:color w:val="auto"/>
        </w:rPr>
        <w:t>party payors. Thus, following the introduction of a generic drug, a significant percentage of the sales of any branded product or reference listed drug is typically lost to the generic product.</w:t>
      </w:r>
    </w:p>
    <w:p>
      <w:pPr>
        <w:spacing w:after="0" w:line="215" w:lineRule="exact"/>
        <w:rPr>
          <w:sz w:val="20"/>
          <w:szCs w:val="20"/>
          <w:color w:val="auto"/>
        </w:rPr>
      </w:pPr>
    </w:p>
    <w:p>
      <w:pPr>
        <w:ind w:right="20" w:firstLine="864"/>
        <w:spacing w:after="0" w:line="305" w:lineRule="auto"/>
        <w:rPr>
          <w:sz w:val="20"/>
          <w:szCs w:val="20"/>
          <w:color w:val="auto"/>
        </w:rPr>
      </w:pPr>
      <w:r>
        <w:rPr>
          <w:rFonts w:ascii="Arial" w:cs="Arial" w:eastAsia="Arial" w:hAnsi="Arial"/>
          <w:sz w:val="15"/>
          <w:szCs w:val="15"/>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66" w:lineRule="exact"/>
        <w:rPr>
          <w:sz w:val="20"/>
          <w:szCs w:val="20"/>
          <w:color w:val="auto"/>
        </w:rPr>
      </w:pPr>
    </w:p>
    <w:p>
      <w:pPr>
        <w:ind w:right="20" w:firstLine="864"/>
        <w:spacing w:after="0" w:line="203" w:lineRule="exact"/>
        <w:rPr>
          <w:sz w:val="20"/>
          <w:szCs w:val="20"/>
          <w:color w:val="auto"/>
        </w:rPr>
      </w:pPr>
      <w:r>
        <w:rPr>
          <w:rFonts w:ascii="Arial" w:cs="Arial" w:eastAsia="Arial" w:hAnsi="Arial"/>
          <w:sz w:val="15"/>
          <w:szCs w:val="15"/>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5"/>
          <w:szCs w:val="15"/>
          <w:color w:val="auto"/>
        </w:rPr>
        <w:t>‑</w:t>
      </w:r>
      <w:r>
        <w:rPr>
          <w:rFonts w:ascii="Arial" w:cs="Arial" w:eastAsia="Arial" w:hAnsi="Arial"/>
          <w:sz w:val="15"/>
          <w:szCs w:val="15"/>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215" w:lineRule="exact"/>
        <w:rPr>
          <w:sz w:val="20"/>
          <w:szCs w:val="20"/>
          <w:color w:val="auto"/>
        </w:rPr>
      </w:pPr>
    </w:p>
    <w:p>
      <w:pPr>
        <w:ind w:firstLine="864"/>
        <w:spacing w:after="0" w:line="269" w:lineRule="auto"/>
        <w:rPr>
          <w:sz w:val="20"/>
          <w:szCs w:val="20"/>
          <w:color w:val="auto"/>
        </w:rPr>
      </w:pPr>
      <w:r>
        <w:rPr>
          <w:rFonts w:ascii="Arial" w:cs="Arial" w:eastAsia="Arial" w:hAnsi="Arial"/>
          <w:sz w:val="16"/>
          <w:szCs w:val="16"/>
          <w:color w:val="auto"/>
        </w:rPr>
        <w:t>We currently anticipate that we may be eligible for three years of non-patent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 party payors from reimbursing for them, since providers are not prohibited from prescribing medications for indications other than the approved indications listed on the label. Moreover, a 505(b)(2) applicant could rely on a reference listed drug that is not one of our product candidates, or published literature, in which case any periods of patent or non-patent protection may not prevent FDA making an approval effective.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864"/>
        <w:spacing w:after="0" w:line="293" w:lineRule="auto"/>
        <w:rPr>
          <w:sz w:val="20"/>
          <w:szCs w:val="20"/>
          <w:color w:val="auto"/>
        </w:rPr>
      </w:pPr>
      <w:r>
        <w:rPr>
          <w:rFonts w:ascii="Arial" w:cs="Arial" w:eastAsia="Arial" w:hAnsi="Arial"/>
          <w:sz w:val="16"/>
          <w:szCs w:val="16"/>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7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84" w:lineRule="exact"/>
        <w:rPr>
          <w:sz w:val="20"/>
          <w:szCs w:val="20"/>
          <w:color w:val="auto"/>
        </w:rPr>
      </w:pPr>
    </w:p>
    <w:p>
      <w:pPr>
        <w:ind w:right="400" w:firstLine="864"/>
        <w:spacing w:after="0" w:line="293" w:lineRule="auto"/>
        <w:rPr>
          <w:sz w:val="20"/>
          <w:szCs w:val="20"/>
          <w:color w:val="auto"/>
        </w:rPr>
      </w:pPr>
      <w:r>
        <w:rPr>
          <w:rFonts w:ascii="Arial" w:cs="Arial" w:eastAsia="Arial" w:hAnsi="Arial"/>
          <w:sz w:val="16"/>
          <w:szCs w:val="16"/>
          <w:color w:val="auto"/>
        </w:rPr>
        <w:t>AXS-12 received Orphan Drug Designation from FDA for the treatment of narcolepsy. We may also seek Orphan Drug Designation for our other product candidates, as appropriate.</w:t>
      </w:r>
    </w:p>
    <w:p>
      <w:pPr>
        <w:spacing w:after="0" w:line="172" w:lineRule="exact"/>
        <w:rPr>
          <w:sz w:val="20"/>
          <w:szCs w:val="20"/>
          <w:color w:val="auto"/>
        </w:rPr>
      </w:pPr>
    </w:p>
    <w:p>
      <w:pPr>
        <w:ind w:right="60" w:firstLine="864"/>
        <w:spacing w:after="0" w:line="269" w:lineRule="auto"/>
        <w:rPr>
          <w:sz w:val="20"/>
          <w:szCs w:val="20"/>
          <w:color w:val="auto"/>
        </w:rPr>
      </w:pPr>
      <w:r>
        <w:rPr>
          <w:rFonts w:ascii="Arial" w:cs="Arial" w:eastAsia="Arial" w:hAnsi="Arial"/>
          <w:sz w:val="16"/>
          <w:szCs w:val="16"/>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90" w:lineRule="exact"/>
        <w:rPr>
          <w:sz w:val="20"/>
          <w:szCs w:val="20"/>
          <w:color w:val="auto"/>
        </w:rPr>
      </w:pPr>
    </w:p>
    <w:p>
      <w:pPr>
        <w:ind w:right="80" w:firstLine="864"/>
        <w:spacing w:after="0" w:line="203" w:lineRule="exact"/>
        <w:rPr>
          <w:sz w:val="20"/>
          <w:szCs w:val="20"/>
          <w:color w:val="auto"/>
        </w:rPr>
      </w:pPr>
      <w:r>
        <w:rPr>
          <w:rFonts w:ascii="Arial" w:cs="Arial" w:eastAsia="Arial" w:hAnsi="Arial"/>
          <w:sz w:val="15"/>
          <w:szCs w:val="15"/>
          <w:color w:val="auto"/>
        </w:rPr>
        <w:t>The FDA or the EMA may grant orphan exclusivity to two different sponsors for the same compound or active molecule and for the same indication. For example, if another sponsor had received FDA approval for a reboxetine</w:t>
      </w:r>
      <w:r>
        <w:rPr>
          <w:rFonts w:ascii="MS PGothic" w:cs="MS PGothic" w:eastAsia="MS PGothic" w:hAnsi="MS PGothic"/>
          <w:sz w:val="15"/>
          <w:szCs w:val="15"/>
          <w:color w:val="auto"/>
        </w:rPr>
        <w:t>‑</w:t>
      </w:r>
      <w:r>
        <w:rPr>
          <w:rFonts w:ascii="Arial" w:cs="Arial" w:eastAsia="Arial" w:hAnsi="Arial"/>
          <w:sz w:val="15"/>
          <w:szCs w:val="15"/>
          <w:color w:val="auto"/>
        </w:rPr>
        <w:t>containing product for the treatment of narcolepsy before we had obtained FDA approval for AXS</w:t>
      </w:r>
      <w:r>
        <w:rPr>
          <w:rFonts w:ascii="MS PGothic" w:cs="MS PGothic" w:eastAsia="MS PGothic" w:hAnsi="MS PGothic"/>
          <w:sz w:val="15"/>
          <w:szCs w:val="15"/>
          <w:color w:val="auto"/>
        </w:rPr>
        <w:t>‑</w:t>
      </w:r>
      <w:r>
        <w:rPr>
          <w:rFonts w:ascii="Arial" w:cs="Arial" w:eastAsia="Arial" w:hAnsi="Arial"/>
          <w:sz w:val="15"/>
          <w:szCs w:val="15"/>
          <w:color w:val="auto"/>
        </w:rPr>
        <w:t>12 for the treatment of narcolepsy, we would have been prevented from launching our product in the United States for this indication for a period of at least 7 years. If another sponsor had received EMA approval for a reboxetine</w:t>
      </w:r>
      <w:r>
        <w:rPr>
          <w:rFonts w:ascii="MS PGothic" w:cs="MS PGothic" w:eastAsia="MS PGothic" w:hAnsi="MS PGothic"/>
          <w:sz w:val="15"/>
          <w:szCs w:val="15"/>
          <w:color w:val="auto"/>
        </w:rPr>
        <w:t>‑</w:t>
      </w:r>
      <w:r>
        <w:rPr>
          <w:rFonts w:ascii="Arial" w:cs="Arial" w:eastAsia="Arial" w:hAnsi="Arial"/>
          <w:sz w:val="15"/>
          <w:szCs w:val="15"/>
          <w:color w:val="auto"/>
        </w:rPr>
        <w:t>containing product for the treatment of narcolepsy before we had obtained EMA approval for AXS</w:t>
      </w:r>
      <w:r>
        <w:rPr>
          <w:rFonts w:ascii="MS PGothic" w:cs="MS PGothic" w:eastAsia="MS PGothic" w:hAnsi="MS PGothic"/>
          <w:sz w:val="15"/>
          <w:szCs w:val="15"/>
          <w:color w:val="auto"/>
        </w:rPr>
        <w:t>‑</w:t>
      </w:r>
      <w:r>
        <w:rPr>
          <w:rFonts w:ascii="Arial" w:cs="Arial" w:eastAsia="Arial" w:hAnsi="Arial"/>
          <w:sz w:val="15"/>
          <w:szCs w:val="15"/>
          <w:color w:val="auto"/>
        </w:rPr>
        <w:t>12 for the treatment of narcolepsy, we would have been prevented from launching our product in the EU for this indication for a period of at least 10 to 12 years.</w:t>
      </w:r>
    </w:p>
    <w:p>
      <w:pPr>
        <w:spacing w:after="0" w:line="215" w:lineRule="exact"/>
        <w:rPr>
          <w:sz w:val="20"/>
          <w:szCs w:val="20"/>
          <w:color w:val="auto"/>
        </w:rPr>
      </w:pPr>
    </w:p>
    <w:p>
      <w:pPr>
        <w:ind w:right="120" w:firstLine="864"/>
        <w:spacing w:after="0" w:line="273" w:lineRule="auto"/>
        <w:rPr>
          <w:sz w:val="20"/>
          <w:szCs w:val="20"/>
          <w:color w:val="auto"/>
        </w:rPr>
      </w:pPr>
      <w:r>
        <w:rPr>
          <w:rFonts w:ascii="Arial" w:cs="Arial" w:eastAsia="Arial" w:hAnsi="Arial"/>
          <w:sz w:val="16"/>
          <w:szCs w:val="16"/>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8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72" w:lineRule="exact"/>
        <w:rPr>
          <w:sz w:val="20"/>
          <w:szCs w:val="20"/>
          <w:color w:val="auto"/>
        </w:rPr>
      </w:pPr>
    </w:p>
    <w:p>
      <w:pPr>
        <w:ind w:right="160" w:firstLine="864"/>
        <w:spacing w:after="0" w:line="278" w:lineRule="auto"/>
        <w:rPr>
          <w:sz w:val="20"/>
          <w:szCs w:val="20"/>
          <w:color w:val="auto"/>
        </w:rPr>
      </w:pPr>
      <w:r>
        <w:rPr>
          <w:rFonts w:ascii="Arial" w:cs="Arial" w:eastAsia="Arial" w:hAnsi="Arial"/>
          <w:sz w:val="16"/>
          <w:szCs w:val="16"/>
          <w:color w:val="auto"/>
        </w:rPr>
        <w:t>We are currently building a commercial infrastructure for the marketing, sale, and distribution of pharmaceutical products. We plan to build a commercial infrastructure, including the creation of a sales force to launch that product candidate throughout the United States. If we commercialize our product candidates outside the United States, we intend to partner with marketing and sales collaborators , rather than with our own sales force.</w:t>
      </w:r>
    </w:p>
    <w:p>
      <w:pPr>
        <w:spacing w:after="0" w:line="184" w:lineRule="exact"/>
        <w:rPr>
          <w:sz w:val="20"/>
          <w:szCs w:val="20"/>
          <w:color w:val="auto"/>
        </w:rPr>
      </w:pPr>
    </w:p>
    <w:p>
      <w:pPr>
        <w:ind w:right="140" w:firstLine="864"/>
        <w:spacing w:after="0" w:line="291" w:lineRule="auto"/>
        <w:rPr>
          <w:sz w:val="20"/>
          <w:szCs w:val="20"/>
          <w:color w:val="auto"/>
        </w:rPr>
      </w:pPr>
      <w:r>
        <w:rPr>
          <w:rFonts w:ascii="Arial" w:cs="Arial" w:eastAsia="Arial" w:hAnsi="Arial"/>
          <w:sz w:val="15"/>
          <w:szCs w:val="15"/>
          <w:color w:val="auto"/>
        </w:rPr>
        <w:t>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76" w:lineRule="exact"/>
        <w:rPr>
          <w:sz w:val="20"/>
          <w:szCs w:val="20"/>
          <w:color w:val="auto"/>
        </w:rPr>
      </w:pPr>
    </w:p>
    <w:p>
      <w:pPr>
        <w:ind w:left="5540" w:right="3220" w:hanging="5100"/>
        <w:spacing w:after="0" w:line="610" w:lineRule="auto"/>
        <w:tabs>
          <w:tab w:leader="none" w:pos="869"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inability to recruit, train, manage, and retain adequate numbers of effective sales and marketing personnel;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right="360" w:hanging="440"/>
        <w:spacing w:after="0" w:line="293"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of our current or future product candidates;</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inability of sales personnel to travel and/or arrange in-person meetings with physicians due to the ongoing COVID-19 pandemic;</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inability to effectively oversee a geographically dispersed sales and marketing team;</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costs associated with training sales and marketing personnel on legal and regulatory compliance matters and monitoring their actions;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inability to secure adequate coverage and reimbursement by government and private health plans;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clinical indications and labeled claims for which the product is approved;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limitations or warnings, including distribution or use restrictions, contained in the product’s approved labeling;</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distribution and use restrictions imposed by the FDA or to which we agree as part of a mandatory REMS or voluntary risk management plan;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liability for sales or marketing personnel who fail to comply with the applicable legal and regulatory requirements;</w:t>
      </w:r>
    </w:p>
    <w:p>
      <w:pPr>
        <w:spacing w:after="0" w:line="261" w:lineRule="exact"/>
        <w:rPr>
          <w:rFonts w:ascii="Arial" w:cs="Arial" w:eastAsia="Arial" w:hAnsi="Arial"/>
          <w:sz w:val="16"/>
          <w:szCs w:val="16"/>
          <w:color w:val="auto"/>
        </w:rPr>
      </w:pPr>
    </w:p>
    <w:p>
      <w:pPr>
        <w:ind w:left="880" w:right="600" w:hanging="440"/>
        <w:spacing w:after="0" w:line="293"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lack of complementary products to be offered by sales personnel, which may put us at a competitive disadvantage relative to companies with more extensive product lines; and</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 or engaging a contract sales organization.</w:t>
      </w:r>
    </w:p>
    <w:p>
      <w:pPr>
        <w:spacing w:after="0" w:line="273" w:lineRule="exact"/>
        <w:rPr>
          <w:sz w:val="20"/>
          <w:szCs w:val="20"/>
          <w:color w:val="auto"/>
        </w:rPr>
      </w:pPr>
    </w:p>
    <w:p>
      <w:pPr>
        <w:ind w:firstLine="864"/>
        <w:spacing w:after="0" w:line="271" w:lineRule="auto"/>
        <w:rPr>
          <w:sz w:val="20"/>
          <w:szCs w:val="20"/>
          <w:color w:val="auto"/>
        </w:rPr>
      </w:pPr>
      <w:r>
        <w:rPr>
          <w:rFonts w:ascii="Arial" w:cs="Arial" w:eastAsia="Arial" w:hAnsi="Arial"/>
          <w:sz w:val="16"/>
          <w:szCs w:val="16"/>
          <w:color w:val="auto"/>
        </w:rPr>
        <w:t>As we build our commercial infrastructure prior to approval of a product candidate being approved by the FDA, we will incur expenses prior to product launch in recruiting this sales force and developing a compliant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any of our current or future product candidates do not achieve broad market acceptance, the revenues that we generate from their sales will be limited.</w:t>
      </w:r>
    </w:p>
    <w:p>
      <w:pPr>
        <w:spacing w:after="0" w:line="246" w:lineRule="exact"/>
        <w:rPr>
          <w:sz w:val="20"/>
          <w:szCs w:val="20"/>
          <w:color w:val="auto"/>
        </w:rPr>
      </w:pPr>
    </w:p>
    <w:p>
      <w:pPr>
        <w:ind w:firstLine="864"/>
        <w:spacing w:after="0" w:line="310" w:lineRule="auto"/>
        <w:rPr>
          <w:sz w:val="20"/>
          <w:szCs w:val="20"/>
          <w:color w:val="auto"/>
        </w:rPr>
      </w:pPr>
      <w:r>
        <w:rPr>
          <w:rFonts w:ascii="Arial" w:cs="Arial" w:eastAsia="Arial" w:hAnsi="Arial"/>
          <w:sz w:val="14"/>
          <w:szCs w:val="14"/>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 party payors may not consider them cost effective without a significant price concession, which could negatively impact our revenue. Third party payors may also implement onerous access controls, which could further impede our efforts to effectively transition eligible patients to our therapies.</w:t>
      </w:r>
    </w:p>
    <w:p>
      <w:pPr>
        <w:spacing w:after="0" w:line="167" w:lineRule="exact"/>
        <w:rPr>
          <w:sz w:val="20"/>
          <w:szCs w:val="20"/>
          <w:color w:val="auto"/>
        </w:rPr>
      </w:pPr>
    </w:p>
    <w:p>
      <w:pPr>
        <w:ind w:right="60" w:firstLine="864"/>
        <w:spacing w:after="0" w:line="305" w:lineRule="auto"/>
        <w:rPr>
          <w:sz w:val="20"/>
          <w:szCs w:val="20"/>
          <w:color w:val="auto"/>
        </w:rPr>
      </w:pPr>
      <w:r>
        <w:rPr>
          <w:rFonts w:ascii="Arial" w:cs="Arial" w:eastAsia="Arial" w:hAnsi="Arial"/>
          <w:sz w:val="15"/>
          <w:szCs w:val="15"/>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66" w:lineRule="exact"/>
        <w:rPr>
          <w:sz w:val="20"/>
          <w:szCs w:val="20"/>
          <w:color w:val="auto"/>
        </w:rPr>
      </w:pPr>
    </w:p>
    <w:p>
      <w:pPr>
        <w:ind w:left="880" w:hanging="440"/>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efficacy of our product candidates;</w:t>
      </w:r>
    </w:p>
    <w:p>
      <w:pPr>
        <w:spacing w:after="0" w:line="261" w:lineRule="exact"/>
        <w:rPr>
          <w:rFonts w:ascii="Arial" w:cs="Arial" w:eastAsia="Arial" w:hAnsi="Arial"/>
          <w:sz w:val="16"/>
          <w:szCs w:val="16"/>
          <w:color w:val="auto"/>
        </w:rPr>
      </w:pPr>
    </w:p>
    <w:p>
      <w:pPr>
        <w:ind w:left="5540" w:right="4800" w:hanging="5100"/>
        <w:spacing w:after="0" w:line="731" w:lineRule="auto"/>
        <w:tabs>
          <w:tab w:leader="none" w:pos="869"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prevalence and severity of adverse events associated with such product candidate;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clinical indications for which the product is approved and the approved claims that we may make for the product;</w:t>
      </w:r>
    </w:p>
    <w:p>
      <w:pPr>
        <w:spacing w:after="0" w:line="261" w:lineRule="exact"/>
        <w:rPr>
          <w:rFonts w:ascii="Arial" w:cs="Arial" w:eastAsia="Arial" w:hAnsi="Arial"/>
          <w:sz w:val="16"/>
          <w:szCs w:val="16"/>
          <w:color w:val="auto"/>
        </w:rPr>
      </w:pPr>
    </w:p>
    <w:p>
      <w:pPr>
        <w:ind w:left="880" w:right="100" w:hanging="440"/>
        <w:spacing w:after="0" w:line="204" w:lineRule="exact"/>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limitations or warnings contained in the product’s FDA</w:t>
      </w:r>
      <w:r>
        <w:rPr>
          <w:rFonts w:ascii="MS PGothic" w:cs="MS PGothic" w:eastAsia="MS PGothic" w:hAnsi="MS PGothic"/>
          <w:sz w:val="16"/>
          <w:szCs w:val="16"/>
          <w:color w:val="auto"/>
        </w:rPr>
        <w:t>‑</w:t>
      </w:r>
      <w:r>
        <w:rPr>
          <w:rFonts w:ascii="Arial" w:cs="Arial" w:eastAsia="Arial" w:hAnsi="Arial"/>
          <w:sz w:val="16"/>
          <w:szCs w:val="16"/>
          <w:color w:val="auto"/>
        </w:rPr>
        <w:t>approved labeling, including potential limitations or warnings for such product candidate, that may be more restrictive than other competitive products;</w:t>
      </w:r>
    </w:p>
    <w:p>
      <w:pPr>
        <w:spacing w:after="0" w:line="213" w:lineRule="exact"/>
        <w:rPr>
          <w:rFonts w:ascii="Arial" w:cs="Arial" w:eastAsia="Arial" w:hAnsi="Arial"/>
          <w:sz w:val="16"/>
          <w:szCs w:val="16"/>
          <w:color w:val="auto"/>
        </w:rPr>
      </w:pPr>
    </w:p>
    <w:p>
      <w:pPr>
        <w:ind w:left="880" w:right="220" w:hanging="440"/>
        <w:spacing w:after="0" w:line="293"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the standard of care for the targeted indications for such product candidate, which could reduce the marketing impact of any claims that we could make following FDA approval, if obtained;</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relative convenience and ease of administration of such product candidate;</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cost of treatment versus economic and clinical benefit in relation to alternative treatments or therapies;</w:t>
      </w:r>
    </w:p>
    <w:p>
      <w:pPr>
        <w:spacing w:after="0" w:line="261" w:lineRule="exact"/>
        <w:rPr>
          <w:rFonts w:ascii="Arial" w:cs="Arial" w:eastAsia="Arial" w:hAnsi="Arial"/>
          <w:sz w:val="16"/>
          <w:szCs w:val="16"/>
          <w:color w:val="auto"/>
        </w:rPr>
      </w:pPr>
    </w:p>
    <w:p>
      <w:pPr>
        <w:ind w:left="880" w:right="640" w:hanging="440"/>
        <w:spacing w:after="0" w:line="293"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availability of adequate coverage or reimbursement by third parties, such as insurance companies and other healthcare payors, and by government healthcare programs, including Medicare and Medicaid;</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willingness of third party payors to prefer similar but less expensive products even if not approved for our product’s indication;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extent and strength of our marketing and distribution of such product candidate;</w:t>
      </w:r>
    </w:p>
    <w:p>
      <w:pPr>
        <w:spacing w:after="0" w:line="261" w:lineRule="exact"/>
        <w:rPr>
          <w:rFonts w:ascii="Arial" w:cs="Arial" w:eastAsia="Arial" w:hAnsi="Arial"/>
          <w:sz w:val="16"/>
          <w:szCs w:val="16"/>
          <w:color w:val="auto"/>
        </w:rPr>
      </w:pPr>
    </w:p>
    <w:p>
      <w:pPr>
        <w:ind w:left="880" w:right="300" w:hanging="440"/>
        <w:spacing w:after="0" w:line="293"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safety, efficacy, and other potential advantages over, and availability of, alternative treatments already used or that may later be approved for any of our intended indications;</w:t>
      </w:r>
    </w:p>
    <w:p>
      <w:pPr>
        <w:spacing w:after="0" w:line="171" w:lineRule="exact"/>
        <w:rPr>
          <w:rFonts w:ascii="Arial" w:cs="Arial" w:eastAsia="Arial" w:hAnsi="Arial"/>
          <w:sz w:val="16"/>
          <w:szCs w:val="16"/>
          <w:color w:val="auto"/>
        </w:rPr>
      </w:pPr>
    </w:p>
    <w:p>
      <w:pPr>
        <w:ind w:left="880" w:right="220" w:hanging="440"/>
        <w:spacing w:after="0" w:line="293"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distribution and use restrictions imposed by the FDA with respect to such product candidate or to which we agree as part of a mandatory risk evaluation and mitigation strategy or voluntary risk management plan;</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timing of market introduction of such product candidate, as well as competitive products;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offer such product candidate for sale at competitive prices, including prices that are competitive with generic products;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261" w:lineRule="exact"/>
        <w:rPr>
          <w:rFonts w:ascii="Arial" w:cs="Arial" w:eastAsia="Arial" w:hAnsi="Arial"/>
          <w:sz w:val="16"/>
          <w:szCs w:val="16"/>
          <w:color w:val="auto"/>
        </w:rPr>
      </w:pPr>
    </w:p>
    <w:p>
      <w:pPr>
        <w:ind w:left="880" w:hanging="440"/>
        <w:spacing w:after="0" w:line="184" w:lineRule="exact"/>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extent and strength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 and supplier support;</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approval of other new products for the same indications;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adverse publicity about the product or favorable publicity about competitive products;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potential product liability claims.</w:t>
      </w:r>
    </w:p>
    <w:p>
      <w:pPr>
        <w:spacing w:after="0" w:line="262" w:lineRule="exact"/>
        <w:rPr>
          <w:sz w:val="20"/>
          <w:szCs w:val="20"/>
          <w:color w:val="auto"/>
        </w:rPr>
      </w:pPr>
    </w:p>
    <w:p>
      <w:pPr>
        <w:ind w:firstLine="864"/>
        <w:spacing w:after="0" w:line="203" w:lineRule="exact"/>
        <w:rPr>
          <w:sz w:val="20"/>
          <w:szCs w:val="20"/>
          <w:color w:val="auto"/>
        </w:rPr>
      </w:pPr>
      <w:r>
        <w:rPr>
          <w:rFonts w:ascii="Arial" w:cs="Arial" w:eastAsia="Arial" w:hAnsi="Arial"/>
          <w:sz w:val="16"/>
          <w:szCs w:val="16"/>
          <w:color w:val="auto"/>
        </w:rPr>
        <w:t>Our efforts to educate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we may not generate meaningful revenues from our product candidates, and we may not become profitable.</w:t>
      </w:r>
    </w:p>
    <w:p>
      <w:pPr>
        <w:spacing w:after="0" w:line="217" w:lineRule="exact"/>
        <w:rPr>
          <w:sz w:val="20"/>
          <w:szCs w:val="20"/>
          <w:color w:val="auto"/>
        </w:rPr>
      </w:pPr>
    </w:p>
    <w:p>
      <w:pPr>
        <w:ind w:right="80" w:firstLine="864"/>
        <w:spacing w:after="0" w:line="204" w:lineRule="exact"/>
        <w:rPr>
          <w:sz w:val="20"/>
          <w:szCs w:val="20"/>
          <w:color w:val="auto"/>
        </w:rPr>
      </w:pPr>
      <w:r>
        <w:rPr>
          <w:rFonts w:ascii="Arial" w:cs="Arial" w:eastAsia="Arial" w:hAnsi="Arial"/>
          <w:sz w:val="16"/>
          <w:szCs w:val="16"/>
          <w:color w:val="auto"/>
        </w:rPr>
        <w:t>The ability of patients to purchase certain of the active ingredients of our product candidates in generic form could put us at a competitive disadvantage. For example, in some foreign jurisdictions, generic oral forms of dextromethorphan and bupropion are currently available individually for consumer purchase. In addition, physicians may prescribe generic zoledronic acid for the treatment of pain off</w:t>
      </w:r>
      <w:r>
        <w:rPr>
          <w:rFonts w:ascii="MS PGothic" w:cs="MS PGothic" w:eastAsia="MS PGothic" w:hAnsi="MS PGothic"/>
          <w:sz w:val="16"/>
          <w:szCs w:val="16"/>
          <w:color w:val="auto"/>
        </w:rPr>
        <w:t>‑</w:t>
      </w:r>
      <w:r>
        <w:rPr>
          <w:rFonts w:ascii="Arial" w:cs="Arial" w:eastAsia="Arial" w:hAnsi="Arial"/>
          <w:sz w:val="16"/>
          <w:szCs w:val="16"/>
          <w:color w:val="auto"/>
        </w:rPr>
        <w:t>label. Any use of these generic forms of the active molecules of our product candidates could adversely affect our business and our results of operations.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80" w:firstLine="864"/>
        <w:spacing w:after="0" w:line="204" w:lineRule="exact"/>
        <w:rPr>
          <w:sz w:val="20"/>
          <w:szCs w:val="20"/>
          <w:color w:val="auto"/>
        </w:rPr>
      </w:pPr>
      <w:r>
        <w:rPr>
          <w:rFonts w:ascii="Arial" w:cs="Arial" w:eastAsia="Arial" w:hAnsi="Arial"/>
          <w:sz w:val="16"/>
          <w:szCs w:val="16"/>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6"/>
          <w:szCs w:val="16"/>
          <w:color w:val="auto"/>
        </w:rPr>
        <w:t>‑</w:t>
      </w:r>
      <w:r>
        <w:rPr>
          <w:rFonts w:ascii="Arial" w:cs="Arial" w:eastAsia="Arial" w:hAnsi="Arial"/>
          <w:sz w:val="16"/>
          <w:szCs w:val="16"/>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21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72" w:lineRule="exact"/>
        <w:rPr>
          <w:sz w:val="20"/>
          <w:szCs w:val="20"/>
          <w:color w:val="auto"/>
        </w:rPr>
      </w:pPr>
    </w:p>
    <w:p>
      <w:pPr>
        <w:ind w:right="160" w:firstLine="864"/>
        <w:spacing w:after="0" w:line="287" w:lineRule="auto"/>
        <w:rPr>
          <w:sz w:val="20"/>
          <w:szCs w:val="20"/>
          <w:color w:val="auto"/>
        </w:rPr>
      </w:pPr>
      <w:r>
        <w:rPr>
          <w:rFonts w:ascii="Arial" w:cs="Arial" w:eastAsia="Arial" w:hAnsi="Arial"/>
          <w:sz w:val="15"/>
          <w:szCs w:val="15"/>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 loss of revenue from decreased demand for our products and/or product candidates;</w:t>
      </w:r>
    </w:p>
    <w:p>
      <w:pPr>
        <w:spacing w:after="0" w:line="182" w:lineRule="exact"/>
        <w:rPr>
          <w:sz w:val="20"/>
          <w:szCs w:val="20"/>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impairment of our business reputation or financial stability;</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costs of related litigation;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substantial monetary awards to patients or other claimants;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diversion of management attention;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loss of revenues;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withdrawal of clinical trial participants and potential termination of clinical trial sites or entire clinical programs;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inability to commercialize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significant negative media attention;</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decrease in our stock price;</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initiation of investigations and enforcement actions by regulators;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product recalls, withdrawals, or labeling, marketing, or promotional restrictions.</w:t>
      </w:r>
    </w:p>
    <w:p>
      <w:pPr>
        <w:spacing w:after="0" w:line="262" w:lineRule="exact"/>
        <w:rPr>
          <w:sz w:val="20"/>
          <w:szCs w:val="20"/>
          <w:color w:val="auto"/>
        </w:rPr>
      </w:pPr>
    </w:p>
    <w:p>
      <w:pPr>
        <w:ind w:firstLine="864"/>
        <w:spacing w:after="0" w:line="288" w:lineRule="auto"/>
        <w:rPr>
          <w:sz w:val="20"/>
          <w:szCs w:val="20"/>
          <w:color w:val="auto"/>
        </w:rPr>
      </w:pPr>
      <w:r>
        <w:rPr>
          <w:rFonts w:ascii="Arial" w:cs="Arial" w:eastAsia="Arial" w:hAnsi="Arial"/>
          <w:sz w:val="15"/>
          <w:szCs w:val="15"/>
          <w:color w:val="auto"/>
        </w:rPr>
        <w:t>We have obtained limited product liability insurance coverage for our products and our clinical trials with a $8.0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239" w:lineRule="exact"/>
        <w:rPr>
          <w:sz w:val="20"/>
          <w:szCs w:val="20"/>
          <w:color w:val="auto"/>
        </w:rPr>
      </w:pPr>
    </w:p>
    <w:p>
      <w:pPr>
        <w:ind w:right="360"/>
        <w:spacing w:after="0" w:line="369" w:lineRule="auto"/>
        <w:rPr>
          <w:sz w:val="20"/>
          <w:szCs w:val="20"/>
          <w:color w:val="auto"/>
        </w:rPr>
      </w:pPr>
      <w:r>
        <w:rPr>
          <w:rFonts w:ascii="Arial" w:cs="Arial" w:eastAsia="Arial" w:hAnsi="Arial"/>
          <w:sz w:val="14"/>
          <w:szCs w:val="14"/>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26"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We rely on third</w:t>
      </w:r>
      <w:r>
        <w:rPr>
          <w:rFonts w:ascii="MS PGothic" w:cs="MS PGothic" w:eastAsia="MS PGothic" w:hAnsi="MS PGothic"/>
          <w:sz w:val="15"/>
          <w:szCs w:val="15"/>
          <w:color w:val="auto"/>
        </w:rPr>
        <w:t>‑</w:t>
      </w:r>
      <w:r>
        <w:rPr>
          <w:rFonts w:ascii="Arial" w:cs="Arial" w:eastAsia="Arial" w:hAnsi="Arial"/>
          <w:sz w:val="15"/>
          <w:szCs w:val="15"/>
          <w:color w:val="auto"/>
        </w:rPr>
        <w:t>party CROs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215" w:lineRule="exact"/>
        <w:rPr>
          <w:sz w:val="20"/>
          <w:szCs w:val="20"/>
          <w:color w:val="auto"/>
        </w:rPr>
      </w:pPr>
    </w:p>
    <w:p>
      <w:pPr>
        <w:ind w:right="40" w:firstLine="864"/>
        <w:spacing w:after="0" w:line="287" w:lineRule="auto"/>
        <w:rPr>
          <w:sz w:val="20"/>
          <w:szCs w:val="20"/>
          <w:color w:val="auto"/>
        </w:rPr>
      </w:pPr>
      <w:r>
        <w:rPr>
          <w:rFonts w:ascii="Arial" w:cs="Arial" w:eastAsia="Arial" w:hAnsi="Arial"/>
          <w:sz w:val="15"/>
          <w:szCs w:val="15"/>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 or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78" w:lineRule="exact"/>
        <w:rPr>
          <w:sz w:val="20"/>
          <w:szCs w:val="20"/>
          <w:color w:val="auto"/>
        </w:rPr>
      </w:pPr>
    </w:p>
    <w:p>
      <w:pPr>
        <w:ind w:right="20" w:firstLine="864"/>
        <w:spacing w:after="0" w:line="204" w:lineRule="exact"/>
        <w:rPr>
          <w:sz w:val="20"/>
          <w:szCs w:val="20"/>
          <w:color w:val="auto"/>
        </w:rPr>
      </w:pPr>
      <w:r>
        <w:rPr>
          <w:rFonts w:ascii="Arial" w:cs="Arial" w:eastAsia="Arial" w:hAnsi="Arial"/>
          <w:sz w:val="16"/>
          <w:szCs w:val="16"/>
          <w:color w:val="auto"/>
        </w:rPr>
        <w:t>In addition, once we have an approved product, we will be required to report certain financial interests of our third</w:t>
      </w:r>
      <w:r>
        <w:rPr>
          <w:rFonts w:ascii="MS PGothic" w:cs="MS PGothic" w:eastAsia="MS PGothic" w:hAnsi="MS PGothic"/>
          <w:sz w:val="16"/>
          <w:szCs w:val="16"/>
          <w:color w:val="auto"/>
        </w:rPr>
        <w:t>‑</w:t>
      </w:r>
      <w:r>
        <w:rPr>
          <w:rFonts w:ascii="Arial" w:cs="Arial" w:eastAsia="Arial" w:hAnsi="Arial"/>
          <w:sz w:val="16"/>
          <w:szCs w:val="16"/>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213" w:lineRule="exact"/>
        <w:rPr>
          <w:sz w:val="20"/>
          <w:szCs w:val="20"/>
          <w:color w:val="auto"/>
        </w:rPr>
      </w:pPr>
    </w:p>
    <w:p>
      <w:pPr>
        <w:ind w:right="40" w:firstLine="864"/>
        <w:spacing w:after="0" w:line="204" w:lineRule="exact"/>
        <w:rPr>
          <w:sz w:val="20"/>
          <w:szCs w:val="20"/>
          <w:color w:val="auto"/>
        </w:rPr>
      </w:pPr>
      <w:r>
        <w:rPr>
          <w:rFonts w:ascii="Arial" w:cs="Arial" w:eastAsia="Arial" w:hAnsi="Arial"/>
          <w:sz w:val="16"/>
          <w:szCs w:val="16"/>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sponsored database, ClinicalTrials.gov, within specified timeframes. Failure to do so can result in enforcement actions and adverse publicity.</w:t>
      </w:r>
    </w:p>
    <w:p>
      <w:pPr>
        <w:spacing w:after="0" w:line="213" w:lineRule="exact"/>
        <w:rPr>
          <w:sz w:val="20"/>
          <w:szCs w:val="20"/>
          <w:color w:val="auto"/>
        </w:rPr>
      </w:pPr>
    </w:p>
    <w:p>
      <w:pPr>
        <w:ind w:right="20" w:firstLine="864"/>
        <w:spacing w:after="0" w:line="203" w:lineRule="exact"/>
        <w:rPr>
          <w:sz w:val="20"/>
          <w:szCs w:val="20"/>
          <w:color w:val="auto"/>
        </w:rPr>
      </w:pPr>
      <w:r>
        <w:rPr>
          <w:rFonts w:ascii="Arial" w:cs="Arial" w:eastAsia="Arial" w:hAnsi="Arial"/>
          <w:sz w:val="15"/>
          <w:szCs w:val="15"/>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5"/>
          <w:szCs w:val="15"/>
          <w:color w:val="auto"/>
        </w:rPr>
        <w:t>‑</w:t>
      </w:r>
      <w:r>
        <w:rPr>
          <w:rFonts w:ascii="Arial" w:cs="Arial" w:eastAsia="Arial" w:hAnsi="Arial"/>
          <w:sz w:val="15"/>
          <w:szCs w:val="15"/>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5"/>
          <w:szCs w:val="15"/>
          <w:color w:val="auto"/>
        </w:rPr>
        <w:t>‑</w:t>
      </w:r>
      <w:r>
        <w:rPr>
          <w:rFonts w:ascii="Arial" w:cs="Arial" w:eastAsia="Arial" w:hAnsi="Arial"/>
          <w:sz w:val="15"/>
          <w:szCs w:val="15"/>
          <w:color w:val="auto"/>
        </w:rPr>
        <w:t>party service providers in the future, our business may be materially and adversely affected.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20" w:firstLine="864"/>
        <w:spacing w:after="0" w:line="203" w:lineRule="exact"/>
        <w:rPr>
          <w:sz w:val="20"/>
          <w:szCs w:val="20"/>
          <w:color w:val="auto"/>
        </w:rPr>
      </w:pPr>
      <w:r>
        <w:rPr>
          <w:rFonts w:ascii="Arial" w:cs="Arial" w:eastAsia="Arial" w:hAnsi="Arial"/>
          <w:sz w:val="15"/>
          <w:szCs w:val="15"/>
          <w:color w:val="auto"/>
        </w:rPr>
        <w:t>If any of our relationships with these third</w:t>
      </w:r>
      <w:r>
        <w:rPr>
          <w:rFonts w:ascii="MS PGothic" w:cs="MS PGothic" w:eastAsia="MS PGothic" w:hAnsi="MS PGothic"/>
          <w:sz w:val="15"/>
          <w:szCs w:val="15"/>
          <w:color w:val="auto"/>
        </w:rPr>
        <w:t>‑</w:t>
      </w:r>
      <w:r>
        <w:rPr>
          <w:rFonts w:ascii="Arial" w:cs="Arial" w:eastAsia="Arial" w:hAnsi="Arial"/>
          <w:sz w:val="15"/>
          <w:szCs w:val="15"/>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215"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84" w:lineRule="exact"/>
        <w:rPr>
          <w:sz w:val="20"/>
          <w:szCs w:val="20"/>
          <w:color w:val="auto"/>
        </w:rPr>
      </w:pPr>
    </w:p>
    <w:p>
      <w:pPr>
        <w:ind w:right="40" w:firstLine="864"/>
        <w:spacing w:after="0" w:line="318" w:lineRule="auto"/>
        <w:rPr>
          <w:sz w:val="20"/>
          <w:szCs w:val="20"/>
          <w:color w:val="auto"/>
        </w:rPr>
      </w:pPr>
      <w:r>
        <w:rPr>
          <w:rFonts w:ascii="Arial" w:cs="Arial" w:eastAsia="Arial" w:hAnsi="Arial"/>
          <w:sz w:val="14"/>
          <w:szCs w:val="14"/>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62"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5"/>
          <w:szCs w:val="15"/>
          <w:color w:val="auto"/>
        </w:rPr>
        <w:t>‑</w:t>
      </w:r>
      <w:r>
        <w:rPr>
          <w:rFonts w:ascii="Arial" w:cs="Arial" w:eastAsia="Arial" w:hAnsi="Arial"/>
          <w:sz w:val="15"/>
          <w:szCs w:val="15"/>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5"/>
          <w:szCs w:val="15"/>
          <w:color w:val="auto"/>
        </w:rPr>
        <w:t>‑</w:t>
      </w:r>
      <w:r>
        <w:rPr>
          <w:rFonts w:ascii="Arial" w:cs="Arial" w:eastAsia="Arial" w:hAnsi="Arial"/>
          <w:sz w:val="15"/>
          <w:szCs w:val="15"/>
          <w:color w:val="auto"/>
        </w:rPr>
        <w:t>party manufacturers may breach, terminate, or not renew these agreements.</w:t>
      </w:r>
    </w:p>
    <w:p>
      <w:pPr>
        <w:spacing w:after="0" w:line="215" w:lineRule="exact"/>
        <w:rPr>
          <w:sz w:val="20"/>
          <w:szCs w:val="20"/>
          <w:color w:val="auto"/>
        </w:rPr>
      </w:pPr>
    </w:p>
    <w:p>
      <w:pPr>
        <w:ind w:right="80" w:firstLine="864"/>
        <w:spacing w:after="0" w:line="203" w:lineRule="exact"/>
        <w:rPr>
          <w:sz w:val="20"/>
          <w:szCs w:val="20"/>
          <w:color w:val="auto"/>
        </w:rPr>
      </w:pPr>
      <w:r>
        <w:rPr>
          <w:rFonts w:ascii="Arial" w:cs="Arial" w:eastAsia="Arial" w:hAnsi="Arial"/>
          <w:sz w:val="15"/>
          <w:szCs w:val="15"/>
          <w:color w:val="auto"/>
        </w:rPr>
        <w:t>Any problems or delays we experience in preparing for commercial</w:t>
      </w:r>
      <w:r>
        <w:rPr>
          <w:rFonts w:ascii="MS PGothic" w:cs="MS PGothic" w:eastAsia="MS PGothic" w:hAnsi="MS PGothic"/>
          <w:sz w:val="15"/>
          <w:szCs w:val="15"/>
          <w:color w:val="auto"/>
        </w:rPr>
        <w:t>‑</w:t>
      </w:r>
      <w:r>
        <w:rPr>
          <w:rFonts w:ascii="Arial" w:cs="Arial" w:eastAsia="Arial" w:hAnsi="Arial"/>
          <w:sz w:val="15"/>
          <w:szCs w:val="15"/>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215"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5"/>
          <w:szCs w:val="15"/>
          <w:color w:val="auto"/>
        </w:rPr>
        <w:t>‑</w:t>
      </w:r>
      <w:r>
        <w:rPr>
          <w:rFonts w:ascii="Arial" w:cs="Arial" w:eastAsia="Arial" w:hAnsi="Arial"/>
          <w:sz w:val="15"/>
          <w:szCs w:val="15"/>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firstLine="864"/>
        <w:spacing w:after="0" w:line="284" w:lineRule="auto"/>
        <w:rPr>
          <w:sz w:val="20"/>
          <w:szCs w:val="20"/>
          <w:color w:val="auto"/>
        </w:rPr>
      </w:pPr>
      <w:r>
        <w:rPr>
          <w:rFonts w:ascii="Arial" w:cs="Arial" w:eastAsia="Arial" w:hAnsi="Arial"/>
          <w:sz w:val="15"/>
          <w:szCs w:val="15"/>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189" w:lineRule="exact"/>
        <w:rPr>
          <w:sz w:val="20"/>
          <w:szCs w:val="20"/>
          <w:color w:val="auto"/>
        </w:rPr>
      </w:pPr>
    </w:p>
    <w:p>
      <w:pPr>
        <w:ind w:firstLine="864"/>
        <w:spacing w:after="0" w:line="305" w:lineRule="auto"/>
        <w:rPr>
          <w:sz w:val="20"/>
          <w:szCs w:val="20"/>
          <w:color w:val="auto"/>
        </w:rPr>
      </w:pPr>
      <w:r>
        <w:rPr>
          <w:rFonts w:ascii="Arial" w:cs="Arial" w:eastAsia="Arial" w:hAnsi="Arial"/>
          <w:sz w:val="15"/>
          <w:szCs w:val="15"/>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6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i w:val="1"/>
          <w:iCs w:val="1"/>
          <w:color w:val="auto"/>
        </w:rPr>
        <w:t>Our business operations, financial condition, results of operations and cash flows may be adversely affected by the effects of health epidemics, pandemics, or outbreaks of infectious diseases, including the recent COVID-19 pandemic.</w:t>
      </w:r>
    </w:p>
    <w:p>
      <w:pPr>
        <w:spacing w:after="0" w:line="172" w:lineRule="exact"/>
        <w:rPr>
          <w:sz w:val="20"/>
          <w:szCs w:val="20"/>
          <w:color w:val="auto"/>
        </w:rPr>
      </w:pPr>
    </w:p>
    <w:p>
      <w:pPr>
        <w:ind w:right="180" w:firstLine="864"/>
        <w:spacing w:after="0" w:line="293" w:lineRule="auto"/>
        <w:rPr>
          <w:sz w:val="20"/>
          <w:szCs w:val="20"/>
          <w:color w:val="auto"/>
        </w:rPr>
      </w:pPr>
      <w:r>
        <w:rPr>
          <w:rFonts w:ascii="Arial" w:cs="Arial" w:eastAsia="Arial" w:hAnsi="Arial"/>
          <w:sz w:val="16"/>
          <w:szCs w:val="16"/>
          <w:color w:val="auto"/>
        </w:rPr>
        <w:t>Our business could be adversely affected by health epidemics in regions where we have concentrations of clinical trial sites or other business operations, and could cause significant disruption in the operations of third-party manufacturers and CROs upon whom we rely.</w:t>
      </w:r>
    </w:p>
    <w:p>
      <w:pPr>
        <w:spacing w:after="0" w:line="172" w:lineRule="exact"/>
        <w:rPr>
          <w:sz w:val="20"/>
          <w:szCs w:val="20"/>
          <w:color w:val="auto"/>
        </w:rPr>
      </w:pPr>
    </w:p>
    <w:p>
      <w:pPr>
        <w:ind w:firstLine="864"/>
        <w:spacing w:after="0" w:line="287" w:lineRule="auto"/>
        <w:rPr>
          <w:sz w:val="20"/>
          <w:szCs w:val="20"/>
          <w:color w:val="auto"/>
        </w:rPr>
      </w:pPr>
      <w:r>
        <w:rPr>
          <w:rFonts w:ascii="Arial" w:cs="Arial" w:eastAsia="Arial" w:hAnsi="Arial"/>
          <w:sz w:val="15"/>
          <w:szCs w:val="15"/>
          <w:color w:val="auto"/>
        </w:rPr>
        <w:t>For example, in December 2019, a novel strain of coronavirus, COVID-19, was identified in Wuhan, China. This virus continues to spread globally and in March 2020, the World Health Organization declared COVID-19 a pandemic. The COVID-19 pandemic has negatively impacted the global economy, disrupted global supply chains and created significant volatility and disruption of financial markets. Currently, the COVID-19 pandemic is having a significant adverse impact on the conduct of oncology clinical trials in the US. The evolving COVID-19 pandemic has impacted the pace of enrollment in clinical trials and we may be affected by similar delays as patients may avoid or may not be able to travel to healthcare facilities and physicians’ offices unless due to a health emergency and clinical trial staff can no longer get to the clinic. Such facilities and offices have been and may continue to be required to focus limited resources on non-clinical trial matters, including treatment of COVID-19 patients, thereby decreasing availability, in whole or in part, for clinical trial services. In addition, employee disruptions and remote working environments related to the COVID-19 pandemic and the federal, state and local responses to such virus, has impacted and could continue to impact the efficiency and pace with which we work and develop our product candidates and our manufacturing capabilities. In addition, the COVID-19 pandemic has affected and may continue to affect the operations of the FDA and other health authorities, which could result in delays of reviews and approvals.</w:t>
      </w:r>
    </w:p>
    <w:p>
      <w:pPr>
        <w:spacing w:after="0" w:line="178" w:lineRule="exact"/>
        <w:rPr>
          <w:sz w:val="20"/>
          <w:szCs w:val="20"/>
          <w:color w:val="auto"/>
        </w:rPr>
      </w:pPr>
    </w:p>
    <w:p>
      <w:pPr>
        <w:ind w:right="40" w:firstLine="864"/>
        <w:spacing w:after="0" w:line="268" w:lineRule="auto"/>
        <w:rPr>
          <w:sz w:val="20"/>
          <w:szCs w:val="20"/>
          <w:color w:val="auto"/>
        </w:rPr>
      </w:pPr>
      <w:r>
        <w:rPr>
          <w:rFonts w:ascii="Arial" w:cs="Arial" w:eastAsia="Arial" w:hAnsi="Arial"/>
          <w:sz w:val="16"/>
          <w:szCs w:val="16"/>
          <w:color w:val="auto"/>
        </w:rPr>
        <w:t>We may utilize contract manufacturers to manufacture our investigational products and plan to utilize contract manufacturers if and when we obtain FDA approval. The FDA announced it would resume domestic facility inspections, after a previous temporary delay. Although the agency continues its general suspension of foreign facility inspections (although “mission-critical” inspections may be considered on a case-by-case basis). Because of the global pandemic, decision-making around facility inspections by the FDA (including Pre-Approval and for cause inspections) continues to evolve. Depending on the length of the COVID-19 pandemic and FDA’s related internal policies, this could impact future applications and product candidates. The FDA has indicated that it will utilize interim measures such as reviewing a firm’s previous compliance history, using information shared from foreign governments as part of mutual recognition and confidentiality agreements and requesting records “in advance of or in lieu of” on-site drug inspections. Nevertheless, we cannot predict at this time whether this or other developments will cause delays or cause other situations that may impact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864"/>
        <w:spacing w:after="0" w:line="268" w:lineRule="auto"/>
        <w:rPr>
          <w:sz w:val="20"/>
          <w:szCs w:val="20"/>
          <w:color w:val="auto"/>
        </w:rPr>
      </w:pPr>
      <w:r>
        <w:rPr>
          <w:rFonts w:ascii="Arial" w:cs="Arial" w:eastAsia="Arial" w:hAnsi="Arial"/>
          <w:sz w:val="16"/>
          <w:szCs w:val="16"/>
          <w:color w:val="auto"/>
        </w:rPr>
        <w:t>The FDA continues to update its guidance, Conduct of Clinical Trials of Medical Products During the COVID-19 Public Health Emergency, which was implemented to assist sponsors in assuring the safety of trial participants, maintaining compliance with GCP, and minimizing risks to trial integrity during the COVID-19 Pandemic, or the COVID-19 Guidelines. The policy is intended to remain in effect only for the duration of the public health emergency related to COVID-19 declared by the Department of Health and Human Services on January 31, 2020. We have implemented several procedures in accordance with the COVID-19 Guidelines to address patient safety and clinical trial conduct during the COVID-19 pandemic, including remote monitoring of patients through telemedical visits, remote monitoring of sites by our clinical trial monitors, remote data entry, and follow-up visits at sites other than the site where the patient was initially treated. Our implementation of the COVID-19 Guidelines and potential disruptions to patient follow up, site monitoring or the timely completion of our trials may have a negative effect on our ability to complete trials and associated regulatory filings.</w:t>
      </w:r>
    </w:p>
    <w:p>
      <w:pPr>
        <w:spacing w:after="0" w:line="192" w:lineRule="exact"/>
        <w:rPr>
          <w:sz w:val="20"/>
          <w:szCs w:val="20"/>
          <w:color w:val="auto"/>
        </w:rPr>
      </w:pPr>
    </w:p>
    <w:p>
      <w:pPr>
        <w:ind w:right="20" w:firstLine="864"/>
        <w:spacing w:after="0" w:line="297" w:lineRule="auto"/>
        <w:rPr>
          <w:sz w:val="20"/>
          <w:szCs w:val="20"/>
          <w:color w:val="auto"/>
        </w:rPr>
      </w:pPr>
      <w:r>
        <w:rPr>
          <w:rFonts w:ascii="Arial" w:cs="Arial" w:eastAsia="Arial" w:hAnsi="Arial"/>
          <w:sz w:val="15"/>
          <w:szCs w:val="15"/>
          <w:color w:val="auto"/>
        </w:rPr>
        <w:t>The ultimate impact of the COVID-19 pandemic is highly uncertain and subject to change. We do not yet know the full extent of potential delays or impacts on our business, financing or clinical trial activities or on healthcare systems or the global economy as a whole. However, these effects may have a material impact on our liquidity, capital resources, operations and business and those of the third parties on which we rely and a recession or market correction resulting from the spread of COVID-19 could materially affect our business and the value of our common stock. We will continue to monitor the COVID-19 situation closely.</w:t>
      </w:r>
    </w:p>
    <w:p>
      <w:pPr>
        <w:spacing w:after="0" w:line="17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89" w:lineRule="exact"/>
        <w:rPr>
          <w:sz w:val="20"/>
          <w:szCs w:val="20"/>
          <w:color w:val="auto"/>
        </w:rPr>
      </w:pPr>
    </w:p>
    <w:p>
      <w:pPr>
        <w:ind w:right="100" w:firstLine="864"/>
        <w:spacing w:after="0" w:line="203" w:lineRule="exact"/>
        <w:rPr>
          <w:sz w:val="20"/>
          <w:szCs w:val="20"/>
          <w:color w:val="auto"/>
        </w:rPr>
      </w:pPr>
      <w:r>
        <w:rPr>
          <w:rFonts w:ascii="Arial" w:cs="Arial" w:eastAsia="Arial" w:hAnsi="Arial"/>
          <w:sz w:val="15"/>
          <w:szCs w:val="15"/>
          <w:color w:val="auto"/>
        </w:rPr>
        <w:t>We may retain third</w:t>
      </w:r>
      <w:r>
        <w:rPr>
          <w:rFonts w:ascii="MS PGothic" w:cs="MS PGothic" w:eastAsia="MS PGothic" w:hAnsi="MS PGothic"/>
          <w:sz w:val="15"/>
          <w:szCs w:val="15"/>
          <w:color w:val="auto"/>
        </w:rPr>
        <w:t>‑</w:t>
      </w:r>
      <w:r>
        <w:rPr>
          <w:rFonts w:ascii="Arial" w:cs="Arial" w:eastAsia="Arial" w:hAnsi="Arial"/>
          <w:sz w:val="15"/>
          <w:szCs w:val="15"/>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5"/>
          <w:szCs w:val="15"/>
          <w:color w:val="auto"/>
        </w:rPr>
        <w:t>‑</w:t>
      </w:r>
      <w:r>
        <w:rPr>
          <w:rFonts w:ascii="Arial" w:cs="Arial" w:eastAsia="Arial" w:hAnsi="Arial"/>
          <w:sz w:val="15"/>
          <w:szCs w:val="15"/>
          <w:color w:val="auto"/>
        </w:rPr>
        <w:t>party providers that perform services for us, including entrusting our inventories of products to their care and handling. If these third</w:t>
      </w:r>
      <w:r>
        <w:rPr>
          <w:rFonts w:ascii="MS PGothic" w:cs="MS PGothic" w:eastAsia="MS PGothic" w:hAnsi="MS PGothic"/>
          <w:sz w:val="15"/>
          <w:szCs w:val="15"/>
          <w:color w:val="auto"/>
        </w:rPr>
        <w:t>‑</w:t>
      </w:r>
      <w:r>
        <w:rPr>
          <w:rFonts w:ascii="Arial" w:cs="Arial" w:eastAsia="Arial" w:hAnsi="Arial"/>
          <w:sz w:val="15"/>
          <w:szCs w:val="15"/>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215" w:lineRule="exact"/>
        <w:rPr>
          <w:sz w:val="20"/>
          <w:szCs w:val="20"/>
          <w:color w:val="auto"/>
        </w:rPr>
      </w:pPr>
    </w:p>
    <w:p>
      <w:pPr>
        <w:ind w:right="20" w:firstLine="864"/>
        <w:spacing w:after="0" w:line="335" w:lineRule="auto"/>
        <w:rPr>
          <w:sz w:val="20"/>
          <w:szCs w:val="20"/>
          <w:color w:val="auto"/>
        </w:rPr>
      </w:pPr>
      <w:r>
        <w:rPr>
          <w:rFonts w:ascii="Arial" w:cs="Arial" w:eastAsia="Arial" w:hAnsi="Arial"/>
          <w:sz w:val="14"/>
          <w:szCs w:val="14"/>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49" w:lineRule="exact"/>
        <w:rPr>
          <w:sz w:val="20"/>
          <w:szCs w:val="20"/>
          <w:color w:val="auto"/>
        </w:rPr>
      </w:pPr>
    </w:p>
    <w:p>
      <w:pPr>
        <w:jc w:val="both"/>
        <w:ind w:right="240" w:firstLine="864"/>
        <w:spacing w:after="0" w:line="278" w:lineRule="auto"/>
        <w:rPr>
          <w:sz w:val="20"/>
          <w:szCs w:val="20"/>
          <w:color w:val="auto"/>
        </w:rPr>
      </w:pPr>
      <w:r>
        <w:rPr>
          <w:rFonts w:ascii="Arial" w:cs="Arial" w:eastAsia="Arial" w:hAnsi="Arial"/>
          <w:sz w:val="16"/>
          <w:szCs w:val="16"/>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184"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72" w:lineRule="exact"/>
        <w:rPr>
          <w:sz w:val="20"/>
          <w:szCs w:val="20"/>
          <w:color w:val="auto"/>
        </w:rPr>
      </w:pPr>
    </w:p>
    <w:p>
      <w:pPr>
        <w:ind w:right="40" w:firstLine="864"/>
        <w:spacing w:after="0" w:line="203" w:lineRule="exact"/>
        <w:rPr>
          <w:sz w:val="20"/>
          <w:szCs w:val="20"/>
          <w:color w:val="auto"/>
        </w:rPr>
      </w:pPr>
      <w:r>
        <w:rPr>
          <w:rFonts w:ascii="Arial" w:cs="Arial" w:eastAsia="Arial" w:hAnsi="Arial"/>
          <w:sz w:val="14"/>
          <w:szCs w:val="14"/>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 treatment, which was completed in April 2019. We currently have not entered into any sub</w:t>
      </w:r>
      <w:r>
        <w:rPr>
          <w:rFonts w:ascii="MS PGothic" w:cs="MS PGothic" w:eastAsia="MS PGothic" w:hAnsi="MS PGothic"/>
          <w:sz w:val="14"/>
          <w:szCs w:val="14"/>
          <w:color w:val="auto"/>
        </w:rPr>
        <w:t>‑</w:t>
      </w:r>
      <w:r>
        <w:rPr>
          <w:rFonts w:ascii="Arial" w:cs="Arial" w:eastAsia="Arial" w:hAnsi="Arial"/>
          <w:sz w:val="14"/>
          <w:szCs w:val="14"/>
          <w:color w:val="auto"/>
        </w:rPr>
        <w:t>license agreements.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40" w:firstLine="864"/>
        <w:spacing w:after="0" w:line="278" w:lineRule="auto"/>
        <w:rPr>
          <w:sz w:val="20"/>
          <w:szCs w:val="20"/>
          <w:color w:val="auto"/>
        </w:rPr>
      </w:pPr>
      <w:r>
        <w:rPr>
          <w:rFonts w:ascii="Arial" w:cs="Arial" w:eastAsia="Arial" w:hAnsi="Arial"/>
          <w:sz w:val="16"/>
          <w:szCs w:val="16"/>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184" w:lineRule="exact"/>
        <w:rPr>
          <w:sz w:val="20"/>
          <w:szCs w:val="20"/>
          <w:color w:val="auto"/>
        </w:rPr>
      </w:pPr>
    </w:p>
    <w:p>
      <w:pPr>
        <w:ind w:right="300" w:firstLine="864"/>
        <w:spacing w:after="0" w:line="278" w:lineRule="auto"/>
        <w:rPr>
          <w:sz w:val="20"/>
          <w:szCs w:val="20"/>
          <w:color w:val="auto"/>
        </w:rPr>
      </w:pPr>
      <w:r>
        <w:rPr>
          <w:rFonts w:ascii="Arial" w:cs="Arial" w:eastAsia="Arial" w:hAnsi="Arial"/>
          <w:sz w:val="16"/>
          <w:szCs w:val="16"/>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84"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perform their obligations as expected;</w:t>
      </w:r>
    </w:p>
    <w:p>
      <w:pPr>
        <w:spacing w:after="0" w:line="261" w:lineRule="exact"/>
        <w:rPr>
          <w:rFonts w:ascii="Arial" w:cs="Arial" w:eastAsia="Arial" w:hAnsi="Arial"/>
          <w:sz w:val="16"/>
          <w:szCs w:val="16"/>
          <w:color w:val="auto"/>
        </w:rPr>
      </w:pPr>
    </w:p>
    <w:p>
      <w:pPr>
        <w:ind w:left="880" w:right="40" w:hanging="440"/>
        <w:spacing w:after="0" w:line="278"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84" w:lineRule="exact"/>
        <w:rPr>
          <w:rFonts w:ascii="Arial" w:cs="Arial" w:eastAsia="Arial" w:hAnsi="Arial"/>
          <w:sz w:val="16"/>
          <w:szCs w:val="16"/>
          <w:color w:val="auto"/>
        </w:rPr>
      </w:pPr>
    </w:p>
    <w:p>
      <w:pPr>
        <w:ind w:left="880" w:right="240" w:hanging="440"/>
        <w:spacing w:after="0" w:line="293"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could fail to make timely regulatory submissions for a product candidate;</w:t>
      </w:r>
    </w:p>
    <w:p>
      <w:pPr>
        <w:spacing w:after="0" w:line="261" w:lineRule="exact"/>
        <w:rPr>
          <w:rFonts w:ascii="Arial" w:cs="Arial" w:eastAsia="Arial" w:hAnsi="Arial"/>
          <w:sz w:val="16"/>
          <w:szCs w:val="16"/>
          <w:color w:val="auto"/>
        </w:rPr>
      </w:pPr>
    </w:p>
    <w:p>
      <w:pPr>
        <w:ind w:left="880" w:right="600" w:hanging="440"/>
        <w:spacing w:after="0" w:line="293"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comply with all applicable regulatory requirements or may fail to report safety data in accordance with all applicable regulatory requirements;</w:t>
      </w:r>
    </w:p>
    <w:p>
      <w:pPr>
        <w:spacing w:after="0" w:line="171" w:lineRule="exact"/>
        <w:rPr>
          <w:rFonts w:ascii="Arial" w:cs="Arial" w:eastAsia="Arial" w:hAnsi="Arial"/>
          <w:sz w:val="16"/>
          <w:szCs w:val="16"/>
          <w:color w:val="auto"/>
        </w:rPr>
      </w:pPr>
    </w:p>
    <w:p>
      <w:pPr>
        <w:ind w:left="880" w:right="20" w:hanging="440"/>
        <w:spacing w:after="0" w:line="278"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4" w:lineRule="exact"/>
        <w:rPr>
          <w:rFonts w:ascii="Arial" w:cs="Arial" w:eastAsia="Arial" w:hAnsi="Arial"/>
          <w:sz w:val="16"/>
          <w:szCs w:val="16"/>
          <w:color w:val="auto"/>
        </w:rPr>
      </w:pPr>
    </w:p>
    <w:p>
      <w:pPr>
        <w:ind w:left="880" w:right="380" w:hanging="440"/>
        <w:spacing w:after="0" w:line="293"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71" w:lineRule="exact"/>
        <w:rPr>
          <w:rFonts w:ascii="Arial" w:cs="Arial" w:eastAsia="Arial" w:hAnsi="Arial"/>
          <w:sz w:val="16"/>
          <w:szCs w:val="16"/>
          <w:color w:val="auto"/>
        </w:rPr>
      </w:pPr>
    </w:p>
    <w:p>
      <w:pPr>
        <w:ind w:left="880" w:right="380" w:hanging="440"/>
        <w:spacing w:after="0" w:line="293"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71" w:lineRule="exact"/>
        <w:rPr>
          <w:rFonts w:ascii="Arial" w:cs="Arial" w:eastAsia="Arial" w:hAnsi="Arial"/>
          <w:sz w:val="16"/>
          <w:szCs w:val="16"/>
          <w:color w:val="auto"/>
        </w:rPr>
      </w:pPr>
    </w:p>
    <w:p>
      <w:pPr>
        <w:jc w:val="both"/>
        <w:ind w:left="880" w:right="40" w:hanging="440"/>
        <w:spacing w:after="0" w:line="305" w:lineRule="auto"/>
        <w:tabs>
          <w:tab w:leader="none" w:pos="8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65" w:lineRule="exact"/>
        <w:rPr>
          <w:rFonts w:ascii="Arial" w:cs="Arial" w:eastAsia="Arial" w:hAnsi="Arial"/>
          <w:sz w:val="15"/>
          <w:szCs w:val="15"/>
          <w:color w:val="auto"/>
        </w:rPr>
      </w:pPr>
    </w:p>
    <w:p>
      <w:pPr>
        <w:ind w:left="880" w:right="160" w:hanging="440"/>
        <w:spacing w:after="0" w:line="293"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infringe the intellectual property rights of third parties, which may expose us to litigation and potential liability.</w:t>
      </w:r>
    </w:p>
    <w:p>
      <w:pPr>
        <w:spacing w:after="0" w:line="262" w:lineRule="exact"/>
        <w:rPr>
          <w:sz w:val="20"/>
          <w:szCs w:val="20"/>
          <w:color w:val="auto"/>
        </w:rPr>
      </w:pPr>
    </w:p>
    <w:p>
      <w:pPr>
        <w:ind w:firstLine="864"/>
        <w:spacing w:after="0" w:line="273" w:lineRule="auto"/>
        <w:rPr>
          <w:sz w:val="20"/>
          <w:szCs w:val="20"/>
          <w:color w:val="auto"/>
        </w:rPr>
      </w:pPr>
      <w:r>
        <w:rPr>
          <w:rFonts w:ascii="Arial" w:cs="Arial" w:eastAsia="Arial" w:hAnsi="Arial"/>
          <w:sz w:val="16"/>
          <w:szCs w:val="16"/>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89" w:lineRule="exact"/>
        <w:rPr>
          <w:sz w:val="20"/>
          <w:szCs w:val="20"/>
          <w:color w:val="auto"/>
        </w:rPr>
      </w:pPr>
    </w:p>
    <w:p>
      <w:pPr>
        <w:ind w:right="300" w:firstLine="864"/>
        <w:spacing w:after="0" w:line="278" w:lineRule="auto"/>
        <w:rPr>
          <w:sz w:val="20"/>
          <w:szCs w:val="20"/>
          <w:color w:val="auto"/>
        </w:rPr>
      </w:pPr>
      <w:r>
        <w:rPr>
          <w:rFonts w:ascii="Arial" w:cs="Arial" w:eastAsia="Arial" w:hAnsi="Arial"/>
          <w:sz w:val="16"/>
          <w:szCs w:val="16"/>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864"/>
        <w:spacing w:after="0" w:line="287" w:lineRule="auto"/>
        <w:rPr>
          <w:sz w:val="20"/>
          <w:szCs w:val="20"/>
          <w:color w:val="auto"/>
        </w:rPr>
      </w:pPr>
      <w:r>
        <w:rPr>
          <w:rFonts w:ascii="Arial" w:cs="Arial" w:eastAsia="Arial" w:hAnsi="Arial"/>
          <w:sz w:val="15"/>
          <w:szCs w:val="15"/>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78" w:lineRule="exact"/>
        <w:rPr>
          <w:sz w:val="20"/>
          <w:szCs w:val="20"/>
          <w:color w:val="auto"/>
        </w:rPr>
      </w:pPr>
    </w:p>
    <w:p>
      <w:pPr>
        <w:ind w:right="780"/>
        <w:spacing w:after="0" w:line="293" w:lineRule="auto"/>
        <w:rPr>
          <w:sz w:val="20"/>
          <w:szCs w:val="20"/>
          <w:color w:val="auto"/>
        </w:rPr>
      </w:pPr>
      <w:r>
        <w:rPr>
          <w:rFonts w:ascii="Arial" w:cs="Arial" w:eastAsia="Arial" w:hAnsi="Arial"/>
          <w:sz w:val="16"/>
          <w:szCs w:val="16"/>
          <w:b w:val="1"/>
          <w:bCs w:val="1"/>
          <w:i w:val="1"/>
          <w:iCs w:val="1"/>
          <w:color w:val="auto"/>
        </w:rPr>
        <w:t>We are dependent on third parties to decide to utilize our product candidates to make them readily available at the point of care throughout their networks of pharmacies.</w:t>
      </w:r>
    </w:p>
    <w:p>
      <w:pPr>
        <w:spacing w:after="0" w:line="172" w:lineRule="exact"/>
        <w:rPr>
          <w:sz w:val="20"/>
          <w:szCs w:val="20"/>
          <w:color w:val="auto"/>
        </w:rPr>
      </w:pPr>
    </w:p>
    <w:p>
      <w:pPr>
        <w:ind w:right="40" w:firstLine="864"/>
        <w:spacing w:after="0" w:line="307" w:lineRule="auto"/>
        <w:rPr>
          <w:sz w:val="20"/>
          <w:szCs w:val="20"/>
          <w:color w:val="auto"/>
        </w:rPr>
      </w:pPr>
      <w:r>
        <w:rPr>
          <w:rFonts w:ascii="Arial" w:cs="Arial" w:eastAsia="Arial" w:hAnsi="Arial"/>
          <w:sz w:val="14"/>
          <w:szCs w:val="14"/>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 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239"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72" w:lineRule="exact"/>
        <w:rPr>
          <w:sz w:val="20"/>
          <w:szCs w:val="20"/>
          <w:color w:val="auto"/>
        </w:rPr>
      </w:pPr>
    </w:p>
    <w:p>
      <w:pPr>
        <w:ind w:right="80" w:firstLine="864"/>
        <w:spacing w:after="0" w:line="204" w:lineRule="exact"/>
        <w:rPr>
          <w:sz w:val="20"/>
          <w:szCs w:val="20"/>
          <w:color w:val="auto"/>
        </w:rPr>
      </w:pPr>
      <w:r>
        <w:rPr>
          <w:rFonts w:ascii="Arial" w:cs="Arial" w:eastAsia="Arial" w:hAnsi="Arial"/>
          <w:sz w:val="16"/>
          <w:szCs w:val="16"/>
          <w:color w:val="auto"/>
        </w:rPr>
        <w:t>Market exclusivity awarded by the FDA upon the approval of an NDA is limited in scope and duration. Our commercial success will depend in part on obtaining, maintaining, enforcing, and defending against third</w:t>
      </w:r>
      <w:r>
        <w:rPr>
          <w:rFonts w:ascii="MS PGothic" w:cs="MS PGothic" w:eastAsia="MS PGothic" w:hAnsi="MS PGothic"/>
          <w:sz w:val="16"/>
          <w:szCs w:val="16"/>
          <w:color w:val="auto"/>
        </w:rPr>
        <w:t>‑</w:t>
      </w:r>
      <w:r>
        <w:rPr>
          <w:rFonts w:ascii="Arial" w:cs="Arial" w:eastAsia="Arial" w:hAnsi="Arial"/>
          <w:sz w:val="16"/>
          <w:szCs w:val="16"/>
          <w:color w:val="auto"/>
        </w:rPr>
        <w:t>party challenges, patent and trade secret protection for our current and future product candidates that we may develop, license, or acquire, as well as the related manufacturing methods. We will be able to protect our technologies from unauthorized use by third parties to the extent that the technologies are covered by valid and enforceable patents or trade secrets.</w:t>
      </w:r>
    </w:p>
    <w:p>
      <w:pPr>
        <w:spacing w:after="0" w:line="213"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r>
      <w:r>
        <w:rPr>
          <w:rFonts w:ascii="MS PGothic" w:cs="MS PGothic" w:eastAsia="MS PGothic" w:hAnsi="MS PGothic"/>
          <w:sz w:val="15"/>
          <w:szCs w:val="15"/>
          <w:color w:val="auto"/>
        </w:rPr>
        <w:t>‑</w:t>
      </w:r>
      <w:r>
        <w:rPr>
          <w:rFonts w:ascii="Arial" w:cs="Arial" w:eastAsia="Arial" w:hAnsi="Arial"/>
          <w:sz w:val="15"/>
          <w:szCs w:val="15"/>
          <w:color w:val="auto"/>
        </w:rPr>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214" w:lineRule="exact"/>
        <w:rPr>
          <w:sz w:val="20"/>
          <w:szCs w:val="20"/>
          <w:color w:val="auto"/>
        </w:rPr>
      </w:pPr>
    </w:p>
    <w:p>
      <w:pPr>
        <w:jc w:val="center"/>
        <w:ind w:left="5540" w:right="360" w:hanging="5100"/>
        <w:spacing w:after="0" w:line="610" w:lineRule="auto"/>
        <w:tabs>
          <w:tab w:leader="none" w:pos="869"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not have been the first to conceive of and reduce to practice the inventions covered by each of our pending patent applications and issued patents;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not have been the first to file patent applications for these inventions;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technologies or duplicate any of our product candidates or technologies;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it is possible that none of the pending patent applications will result in issued patents;</w:t>
      </w:r>
    </w:p>
    <w:p>
      <w:pPr>
        <w:spacing w:after="0" w:line="261" w:lineRule="exact"/>
        <w:rPr>
          <w:rFonts w:ascii="Arial" w:cs="Arial" w:eastAsia="Arial" w:hAnsi="Arial"/>
          <w:sz w:val="16"/>
          <w:szCs w:val="16"/>
          <w:color w:val="auto"/>
        </w:rPr>
      </w:pPr>
    </w:p>
    <w:p>
      <w:pPr>
        <w:ind w:left="880" w:hanging="440"/>
        <w:spacing w:after="0" w:line="293"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issued patents may not cover commercially viable active products, may not provide us with any competitive advantages, or may be successfully challenged by third parties;</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not develop additional proprietary technologies that are patentable;</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patents of others may have an adverse effect on our business;</w:t>
      </w:r>
    </w:p>
    <w:p>
      <w:pPr>
        <w:spacing w:after="0" w:line="261" w:lineRule="exact"/>
        <w:rPr>
          <w:rFonts w:ascii="Arial" w:cs="Arial" w:eastAsia="Arial" w:hAnsi="Arial"/>
          <w:sz w:val="16"/>
          <w:szCs w:val="16"/>
          <w:color w:val="auto"/>
        </w:rPr>
      </w:pPr>
    </w:p>
    <w:p>
      <w:pPr>
        <w:ind w:left="880" w:right="20" w:hanging="440"/>
        <w:spacing w:after="0" w:line="369" w:lineRule="auto"/>
        <w:tabs>
          <w:tab w:leader="none" w:pos="8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25" w:lineRule="exact"/>
        <w:rPr>
          <w:rFonts w:ascii="Arial" w:cs="Arial" w:eastAsia="Arial" w:hAnsi="Arial"/>
          <w:sz w:val="14"/>
          <w:szCs w:val="14"/>
          <w:color w:val="auto"/>
        </w:rPr>
      </w:pPr>
    </w:p>
    <w:p>
      <w:pPr>
        <w:ind w:left="880" w:right="60" w:hanging="440"/>
        <w:spacing w:after="0" w:line="278"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84" w:lineRule="exact"/>
        <w:rPr>
          <w:rFonts w:ascii="Arial" w:cs="Arial" w:eastAsia="Arial" w:hAnsi="Arial"/>
          <w:sz w:val="16"/>
          <w:szCs w:val="16"/>
          <w:color w:val="auto"/>
        </w:rPr>
      </w:pPr>
    </w:p>
    <w:p>
      <w:pPr>
        <w:ind w:left="880" w:right="200" w:hanging="440"/>
        <w:spacing w:after="0" w:line="328" w:lineRule="auto"/>
        <w:tabs>
          <w:tab w:leader="none" w:pos="8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50"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5"/>
          <w:szCs w:val="15"/>
          <w:color w:val="auto"/>
        </w:rPr>
        <w:t>‑</w:t>
      </w:r>
      <w:r>
        <w:rPr>
          <w:rFonts w:ascii="Arial" w:cs="Arial" w:eastAsia="Arial" w:hAnsi="Arial"/>
          <w:sz w:val="15"/>
          <w:szCs w:val="15"/>
          <w:color w:val="auto"/>
        </w:rPr>
        <w:t>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21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2" w:lineRule="exact"/>
        <w:rPr>
          <w:sz w:val="20"/>
          <w:szCs w:val="20"/>
          <w:color w:val="auto"/>
        </w:rPr>
      </w:pPr>
    </w:p>
    <w:p>
      <w:pPr>
        <w:ind w:right="40" w:firstLine="864"/>
        <w:spacing w:after="0" w:line="269"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firstLine="864"/>
        <w:spacing w:after="0" w:line="307" w:lineRule="auto"/>
        <w:rPr>
          <w:sz w:val="20"/>
          <w:szCs w:val="20"/>
          <w:color w:val="auto"/>
        </w:rPr>
      </w:pPr>
      <w:r>
        <w:rPr>
          <w:rFonts w:ascii="Arial" w:cs="Arial" w:eastAsia="Arial" w:hAnsi="Arial"/>
          <w:sz w:val="14"/>
          <w:szCs w:val="14"/>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may allow third parties to commercialize our technology or products and compete directly with us, without payment to us, or may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374"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6"/>
          <w:szCs w:val="16"/>
          <w:color w:val="auto"/>
        </w:rPr>
        <w:t>In addition, the patentability of claims in pending patent applications covering any of our current or future product candidates can be challenged by third parties during prosecution before the USPTO, for example by third-party observations and derivation proceedings, and the validity of claims in issued patents can be challenged by third parties in various post-grant proceedings such as post-grant review, reexamination, and inter-partes review proceedings. We may incur increased expenses related to the growth of our intellectual property portfolio and to its defense.</w:t>
      </w:r>
    </w:p>
    <w:p>
      <w:pPr>
        <w:spacing w:after="0" w:line="189" w:lineRule="exact"/>
        <w:rPr>
          <w:sz w:val="20"/>
          <w:szCs w:val="20"/>
          <w:color w:val="auto"/>
        </w:rPr>
      </w:pPr>
    </w:p>
    <w:p>
      <w:pPr>
        <w:ind w:right="20" w:firstLine="864"/>
        <w:spacing w:after="0" w:line="271" w:lineRule="auto"/>
        <w:rPr>
          <w:sz w:val="20"/>
          <w:szCs w:val="20"/>
          <w:color w:val="auto"/>
        </w:rPr>
      </w:pPr>
      <w:r>
        <w:rPr>
          <w:rFonts w:ascii="Arial" w:cs="Arial" w:eastAsia="Arial" w:hAnsi="Arial"/>
          <w:sz w:val="16"/>
          <w:szCs w:val="16"/>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90" w:lineRule="exact"/>
        <w:rPr>
          <w:sz w:val="20"/>
          <w:szCs w:val="20"/>
          <w:color w:val="auto"/>
        </w:rPr>
      </w:pPr>
    </w:p>
    <w:p>
      <w:pPr>
        <w:ind w:right="20" w:firstLine="864"/>
        <w:spacing w:after="0" w:line="293" w:lineRule="auto"/>
        <w:rPr>
          <w:sz w:val="20"/>
          <w:szCs w:val="20"/>
          <w:color w:val="auto"/>
        </w:rPr>
      </w:pPr>
      <w:r>
        <w:rPr>
          <w:rFonts w:ascii="Arial" w:cs="Arial" w:eastAsia="Arial" w:hAnsi="Arial"/>
          <w:sz w:val="15"/>
          <w:szCs w:val="15"/>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76" w:lineRule="exact"/>
        <w:rPr>
          <w:sz w:val="20"/>
          <w:szCs w:val="20"/>
          <w:color w:val="auto"/>
        </w:rPr>
      </w:pPr>
    </w:p>
    <w:p>
      <w:pPr>
        <w:ind w:right="460"/>
        <w:spacing w:after="0" w:line="328"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50" w:lineRule="exact"/>
        <w:rPr>
          <w:sz w:val="20"/>
          <w:szCs w:val="20"/>
          <w:color w:val="auto"/>
        </w:rPr>
      </w:pPr>
    </w:p>
    <w:p>
      <w:pPr>
        <w:ind w:right="100" w:firstLine="864"/>
        <w:spacing w:after="0" w:line="203" w:lineRule="exact"/>
        <w:rPr>
          <w:sz w:val="20"/>
          <w:szCs w:val="20"/>
          <w:color w:val="auto"/>
        </w:rPr>
      </w:pPr>
      <w:r>
        <w:rPr>
          <w:rFonts w:ascii="Arial" w:cs="Arial" w:eastAsia="Arial" w:hAnsi="Arial"/>
          <w:sz w:val="14"/>
          <w:szCs w:val="14"/>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4"/>
          <w:szCs w:val="14"/>
          <w:color w:val="auto"/>
        </w:rPr>
        <w:t>‑</w:t>
      </w:r>
      <w:r>
        <w:rPr>
          <w:rFonts w:ascii="Arial" w:cs="Arial" w:eastAsia="Arial" w:hAnsi="Arial"/>
          <w:sz w:val="14"/>
          <w:szCs w:val="14"/>
          <w:color w:val="auto"/>
        </w:rPr>
        <w:t>U.S. patent agencies for the patents and patent applications we own and those that we in</w:t>
      </w:r>
      <w:r>
        <w:rPr>
          <w:rFonts w:ascii="MS PGothic" w:cs="MS PGothic" w:eastAsia="MS PGothic" w:hAnsi="MS PGothic"/>
          <w:sz w:val="14"/>
          <w:szCs w:val="14"/>
          <w:color w:val="auto"/>
        </w:rPr>
        <w:t>‑</w:t>
      </w:r>
      <w:r>
        <w:rPr>
          <w:rFonts w:ascii="Arial" w:cs="Arial" w:eastAsia="Arial" w:hAnsi="Arial"/>
          <w:sz w:val="14"/>
          <w:szCs w:val="14"/>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4"/>
          <w:szCs w:val="14"/>
          <w:color w:val="auto"/>
        </w:rPr>
        <w:t>‑</w:t>
      </w:r>
      <w:r>
        <w:rPr>
          <w:rFonts w:ascii="Arial" w:cs="Arial" w:eastAsia="Arial" w:hAnsi="Arial"/>
          <w:sz w:val="14"/>
          <w:szCs w:val="14"/>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72" w:lineRule="exact"/>
        <w:rPr>
          <w:sz w:val="20"/>
          <w:szCs w:val="20"/>
          <w:color w:val="auto"/>
        </w:rPr>
      </w:pPr>
    </w:p>
    <w:p>
      <w:pPr>
        <w:ind w:firstLine="864"/>
        <w:spacing w:after="0" w:line="286" w:lineRule="auto"/>
        <w:rPr>
          <w:sz w:val="20"/>
          <w:szCs w:val="20"/>
          <w:color w:val="auto"/>
        </w:rPr>
      </w:pPr>
      <w:r>
        <w:rPr>
          <w:rFonts w:ascii="Arial" w:cs="Arial" w:eastAsia="Arial" w:hAnsi="Arial"/>
          <w:sz w:val="15"/>
          <w:szCs w:val="15"/>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If a third party claims that we infringe their intellectual property rights, we could face a number of issues, including:</w:t>
      </w:r>
    </w:p>
    <w:p>
      <w:pPr>
        <w:spacing w:after="0" w:line="235" w:lineRule="exact"/>
        <w:rPr>
          <w:sz w:val="20"/>
          <w:szCs w:val="20"/>
          <w:color w:val="auto"/>
        </w:rPr>
      </w:pPr>
    </w:p>
    <w:p>
      <w:pPr>
        <w:ind w:left="880" w:right="640" w:hanging="440"/>
        <w:spacing w:after="0" w:line="293"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infringement and other intellectual property claims which, whether meritorious or not, can be expensive and time consuming to litigate and can divert management’s attention from our core business;</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substantial damages for past infringement which we may have to pay if a court decides that our product infringes on a competitor’s patent;</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court prohibiting us from selling or licensing our product unless the patent holder licenses the patent to us, which it would not be required to do;</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 license is available from a patent holder, we may have to pay substantial royalties or grant cross licenses to our patents;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redesigning our product candidates and processes so they do not infringe, which may not be possible or could require substantial funds and time.</w:t>
      </w:r>
    </w:p>
    <w:p>
      <w:pPr>
        <w:spacing w:after="0" w:line="262" w:lineRule="exact"/>
        <w:rPr>
          <w:sz w:val="20"/>
          <w:szCs w:val="20"/>
          <w:color w:val="auto"/>
        </w:rPr>
      </w:pPr>
    </w:p>
    <w:p>
      <w:pPr>
        <w:ind w:right="40" w:firstLine="864"/>
        <w:spacing w:after="0" w:line="203" w:lineRule="exact"/>
        <w:rPr>
          <w:sz w:val="20"/>
          <w:szCs w:val="20"/>
          <w:color w:val="auto"/>
        </w:rPr>
      </w:pPr>
      <w:r>
        <w:rPr>
          <w:rFonts w:ascii="Arial" w:cs="Arial" w:eastAsia="Arial" w:hAnsi="Arial"/>
          <w:sz w:val="15"/>
          <w:szCs w:val="15"/>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5"/>
          <w:szCs w:val="15"/>
          <w:color w:val="auto"/>
        </w:rPr>
        <w:t>‑</w:t>
      </w:r>
      <w:r>
        <w:rPr>
          <w:rFonts w:ascii="Arial" w:cs="Arial" w:eastAsia="Arial" w:hAnsi="Arial"/>
          <w:sz w:val="15"/>
          <w:szCs w:val="15"/>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 consuming, and unsuccessful.</w:t>
      </w:r>
    </w:p>
    <w:p>
      <w:pPr>
        <w:spacing w:after="0" w:line="258" w:lineRule="exact"/>
        <w:rPr>
          <w:sz w:val="20"/>
          <w:szCs w:val="20"/>
          <w:color w:val="auto"/>
        </w:rPr>
      </w:pPr>
    </w:p>
    <w:p>
      <w:pPr>
        <w:ind w:right="40" w:firstLine="864"/>
        <w:spacing w:after="0" w:line="288" w:lineRule="auto"/>
        <w:rPr>
          <w:sz w:val="20"/>
          <w:szCs w:val="20"/>
          <w:color w:val="auto"/>
        </w:rPr>
      </w:pPr>
      <w:r>
        <w:rPr>
          <w:rFonts w:ascii="Arial" w:cs="Arial" w:eastAsia="Arial" w:hAnsi="Arial"/>
          <w:sz w:val="15"/>
          <w:szCs w:val="15"/>
          <w:color w:val="auto"/>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00" w:firstLine="864"/>
        <w:spacing w:after="0" w:line="273" w:lineRule="auto"/>
        <w:rPr>
          <w:sz w:val="20"/>
          <w:szCs w:val="20"/>
          <w:color w:val="auto"/>
        </w:rPr>
      </w:pPr>
      <w:r>
        <w:rPr>
          <w:rFonts w:ascii="Arial" w:cs="Arial" w:eastAsia="Arial" w:hAnsi="Arial"/>
          <w:sz w:val="16"/>
          <w:szCs w:val="16"/>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89" w:lineRule="exact"/>
        <w:rPr>
          <w:sz w:val="20"/>
          <w:szCs w:val="20"/>
          <w:color w:val="auto"/>
        </w:rPr>
      </w:pPr>
    </w:p>
    <w:p>
      <w:pPr>
        <w:ind w:right="280"/>
        <w:spacing w:after="0" w:line="328" w:lineRule="auto"/>
        <w:rPr>
          <w:sz w:val="20"/>
          <w:szCs w:val="20"/>
          <w:color w:val="auto"/>
        </w:rPr>
      </w:pPr>
      <w:r>
        <w:rPr>
          <w:rFonts w:ascii="Arial" w:cs="Arial" w:eastAsia="Arial" w:hAnsi="Arial"/>
          <w:sz w:val="15"/>
          <w:szCs w:val="15"/>
          <w:b w:val="1"/>
          <w:bCs w:val="1"/>
          <w:i w:val="1"/>
          <w:iCs w:val="1"/>
          <w:color w:val="auto"/>
        </w:rPr>
        <w:t>We have licensed and may need to license certain intellectual property from third parties in the future, such licenses may not be available or may not be available on commercially reasonable terms, and if the licenses are terminated for any reason our business may be materially harmed.</w:t>
      </w:r>
    </w:p>
    <w:p>
      <w:pPr>
        <w:spacing w:after="0" w:line="150" w:lineRule="exact"/>
        <w:rPr>
          <w:sz w:val="20"/>
          <w:szCs w:val="20"/>
          <w:color w:val="auto"/>
        </w:rPr>
      </w:pPr>
    </w:p>
    <w:p>
      <w:pPr>
        <w:ind w:right="100" w:firstLine="864"/>
        <w:spacing w:after="0" w:line="289" w:lineRule="auto"/>
        <w:rPr>
          <w:sz w:val="20"/>
          <w:szCs w:val="20"/>
          <w:color w:val="auto"/>
        </w:rPr>
      </w:pPr>
      <w:r>
        <w:rPr>
          <w:rFonts w:ascii="Arial" w:cs="Arial" w:eastAsia="Arial" w:hAnsi="Arial"/>
          <w:sz w:val="15"/>
          <w:szCs w:val="15"/>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180" w:lineRule="exact"/>
        <w:rPr>
          <w:sz w:val="20"/>
          <w:szCs w:val="20"/>
          <w:color w:val="auto"/>
        </w:rPr>
      </w:pPr>
    </w:p>
    <w:p>
      <w:pPr>
        <w:jc w:val="both"/>
        <w:ind w:right="60" w:firstLine="864"/>
        <w:spacing w:after="0" w:line="303" w:lineRule="auto"/>
        <w:rPr>
          <w:sz w:val="20"/>
          <w:szCs w:val="20"/>
          <w:color w:val="auto"/>
        </w:rPr>
      </w:pPr>
      <w:r>
        <w:rPr>
          <w:rFonts w:ascii="Arial" w:cs="Arial" w:eastAsia="Arial" w:hAnsi="Arial"/>
          <w:sz w:val="14"/>
          <w:szCs w:val="14"/>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w:t>
      </w:r>
    </w:p>
    <w:p>
      <w:pPr>
        <w:spacing w:after="0" w:line="2"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190"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w:t>
      </w:r>
      <w:r>
        <w:rPr>
          <w:rFonts w:ascii="MS PGothic" w:cs="MS PGothic" w:eastAsia="MS PGothic" w:hAnsi="MS PGothic"/>
          <w:sz w:val="15"/>
          <w:szCs w:val="15"/>
          <w:color w:val="auto"/>
        </w:rPr>
        <w:t>‑</w:t>
      </w:r>
      <w:r>
        <w:rPr>
          <w:rFonts w:ascii="Arial" w:cs="Arial" w:eastAsia="Arial" w:hAnsi="Arial"/>
          <w:sz w:val="15"/>
          <w:szCs w:val="15"/>
          <w:color w:val="auto"/>
        </w:rPr>
        <w:t>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 We are dependent upon the license agreements with Antecip and if any of the license agreements with Antecip are terminated for any reason, our business, financial condition, results of operations, and prospects will be materially harmed.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72" w:lineRule="exact"/>
        <w:rPr>
          <w:sz w:val="20"/>
          <w:szCs w:val="20"/>
          <w:color w:val="auto"/>
        </w:rPr>
      </w:pPr>
    </w:p>
    <w:p>
      <w:pPr>
        <w:ind w:right="120" w:firstLine="864"/>
        <w:spacing w:after="0" w:line="324" w:lineRule="auto"/>
        <w:rPr>
          <w:sz w:val="20"/>
          <w:szCs w:val="20"/>
          <w:color w:val="auto"/>
        </w:rPr>
      </w:pPr>
      <w:r>
        <w:rPr>
          <w:rFonts w:ascii="Arial" w:cs="Arial" w:eastAsia="Arial" w:hAnsi="Arial"/>
          <w:sz w:val="14"/>
          <w:szCs w:val="14"/>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prevent disclosure of trade secrets and other proprietary information.</w:t>
      </w:r>
    </w:p>
    <w:p>
      <w:pPr>
        <w:spacing w:after="0" w:line="235" w:lineRule="exact"/>
        <w:rPr>
          <w:sz w:val="20"/>
          <w:szCs w:val="20"/>
          <w:color w:val="auto"/>
        </w:rPr>
      </w:pPr>
    </w:p>
    <w:p>
      <w:pPr>
        <w:ind w:firstLine="864"/>
        <w:spacing w:after="0" w:line="203" w:lineRule="exact"/>
        <w:rPr>
          <w:sz w:val="20"/>
          <w:szCs w:val="20"/>
          <w:color w:val="auto"/>
        </w:rPr>
      </w:pPr>
      <w:r>
        <w:rPr>
          <w:rFonts w:ascii="Arial" w:cs="Arial" w:eastAsia="Arial" w:hAnsi="Arial"/>
          <w:sz w:val="15"/>
          <w:szCs w:val="15"/>
          <w:color w:val="auto"/>
        </w:rPr>
        <w:t>We rely on trade secrets to protect our proprietary technological advances and know</w:t>
      </w:r>
      <w:r>
        <w:rPr>
          <w:rFonts w:ascii="MS PGothic" w:cs="MS PGothic" w:eastAsia="MS PGothic" w:hAnsi="MS PGothic"/>
          <w:sz w:val="15"/>
          <w:szCs w:val="15"/>
          <w:color w:val="auto"/>
        </w:rPr>
        <w:t>‑</w:t>
      </w:r>
      <w:r>
        <w:rPr>
          <w:rFonts w:ascii="Arial" w:cs="Arial" w:eastAsia="Arial" w:hAnsi="Arial"/>
          <w:sz w:val="15"/>
          <w:szCs w:val="15"/>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5"/>
          <w:szCs w:val="15"/>
          <w:color w:val="auto"/>
        </w:rPr>
        <w:t>‑</w:t>
      </w:r>
      <w:r>
        <w:rPr>
          <w:rFonts w:ascii="Arial" w:cs="Arial" w:eastAsia="Arial" w:hAnsi="Arial"/>
          <w:sz w:val="15"/>
          <w:szCs w:val="15"/>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our licensors may not be able to protect our intellectual property rights throughout the world.</w:t>
      </w:r>
    </w:p>
    <w:p>
      <w:pPr>
        <w:spacing w:after="0" w:line="235" w:lineRule="exact"/>
        <w:rPr>
          <w:sz w:val="20"/>
          <w:szCs w:val="20"/>
          <w:color w:val="auto"/>
        </w:rPr>
      </w:pPr>
    </w:p>
    <w:p>
      <w:pPr>
        <w:ind w:right="40" w:firstLine="864"/>
        <w:spacing w:after="0" w:line="313" w:lineRule="auto"/>
        <w:rPr>
          <w:sz w:val="20"/>
          <w:szCs w:val="20"/>
          <w:color w:val="auto"/>
        </w:rPr>
      </w:pPr>
      <w:r>
        <w:rPr>
          <w:rFonts w:ascii="Arial" w:cs="Arial" w:eastAsia="Arial" w:hAnsi="Arial"/>
          <w:sz w:val="14"/>
          <w:szCs w:val="14"/>
          <w:color w:val="auto"/>
        </w:rPr>
        <w:t>Filing, prosecuting, and defending patent applications and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64" w:lineRule="exact"/>
        <w:rPr>
          <w:sz w:val="20"/>
          <w:szCs w:val="20"/>
          <w:color w:val="auto"/>
        </w:rPr>
      </w:pPr>
    </w:p>
    <w:p>
      <w:pPr>
        <w:ind w:right="160" w:firstLine="864"/>
        <w:spacing w:after="0" w:line="26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LEGAL AND COMPLIANCE MATTERS</w:t>
      </w:r>
    </w:p>
    <w:p>
      <w:pPr>
        <w:spacing w:after="0" w:line="239" w:lineRule="exact"/>
        <w:rPr>
          <w:sz w:val="20"/>
          <w:szCs w:val="20"/>
          <w:color w:val="auto"/>
        </w:rPr>
      </w:pPr>
    </w:p>
    <w:p>
      <w:pPr>
        <w:ind w:right="100"/>
        <w:spacing w:after="0" w:line="369" w:lineRule="auto"/>
        <w:rPr>
          <w:sz w:val="20"/>
          <w:szCs w:val="20"/>
          <w:color w:val="auto"/>
        </w:rPr>
      </w:pPr>
      <w:r>
        <w:rPr>
          <w:rFonts w:ascii="Arial" w:cs="Arial" w:eastAsia="Arial" w:hAnsi="Arial"/>
          <w:sz w:val="14"/>
          <w:szCs w:val="14"/>
          <w:b w:val="1"/>
          <w:bCs w:val="1"/>
          <w:i w:val="1"/>
          <w:iCs w:val="1"/>
          <w:color w:val="auto"/>
        </w:rPr>
        <w:t>If we fail to comply with federal state, and foreign healthcare laws, including fraud and abuse and transparency and health and other information privacy and security laws, we could face substantial penalties and our business, financial condition, results of operations, and prospects could be adversely affected.</w:t>
      </w:r>
    </w:p>
    <w:p>
      <w:pPr>
        <w:spacing w:after="0" w:line="126" w:lineRule="exact"/>
        <w:rPr>
          <w:sz w:val="20"/>
          <w:szCs w:val="20"/>
          <w:color w:val="auto"/>
        </w:rPr>
      </w:pPr>
    </w:p>
    <w:p>
      <w:pPr>
        <w:ind w:right="20" w:firstLine="864"/>
        <w:spacing w:after="0" w:line="203" w:lineRule="exact"/>
        <w:rPr>
          <w:sz w:val="20"/>
          <w:szCs w:val="20"/>
          <w:color w:val="auto"/>
        </w:rPr>
      </w:pPr>
      <w:r>
        <w:rPr>
          <w:rFonts w:ascii="Arial" w:cs="Arial" w:eastAsia="Arial" w:hAnsi="Arial"/>
          <w:sz w:val="16"/>
          <w:szCs w:val="16"/>
          <w:color w:val="auto"/>
        </w:rPr>
        <w:t>As a pharmaceutical company, we are subject to many federal and state healthcare laws, including those described in the “Business—Government Regulation and Product Approval” section of the filed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such as the federal Anti-Kickback Statute, the federal civil and criminal False Claims Act, the civil monetary penalties statute, the Medicaid Drug Rebate statute and other price reporting requirements, the Veterans Health Care Act of 1992, the Physician Payments Sunshine Act, the Foreign Corrupt Practices Act of 1977, the Patient Protection and Affordable Care Act of 2010, and similar state and foreign laws. Even though we do not and will not control referrals of healthcare services or bill directly to Medicare, Medicaid, or other third party payors, certain federal and state healthcare laws and regulations pertaining to fraud and abuse and patients’ rights are and will be applicable to our business. We would be subject to healthcare fraud and abuse laws by both the federal government and the states in which we conduct our business.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80" w:firstLine="864"/>
        <w:spacing w:after="0" w:line="315" w:lineRule="auto"/>
        <w:rPr>
          <w:sz w:val="20"/>
          <w:szCs w:val="20"/>
          <w:color w:val="auto"/>
        </w:rPr>
      </w:pPr>
      <w:r>
        <w:rPr>
          <w:rFonts w:ascii="Arial" w:cs="Arial" w:eastAsia="Arial" w:hAnsi="Arial"/>
          <w:sz w:val="14"/>
          <w:szCs w:val="14"/>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63" w:lineRule="exact"/>
        <w:rPr>
          <w:sz w:val="20"/>
          <w:szCs w:val="20"/>
          <w:color w:val="auto"/>
        </w:rPr>
      </w:pPr>
    </w:p>
    <w:p>
      <w:pPr>
        <w:ind w:right="60" w:firstLine="864"/>
        <w:spacing w:after="0" w:line="335" w:lineRule="auto"/>
        <w:rPr>
          <w:sz w:val="20"/>
          <w:szCs w:val="20"/>
          <w:color w:val="auto"/>
        </w:rPr>
      </w:pPr>
      <w:r>
        <w:rPr>
          <w:rFonts w:ascii="Arial" w:cs="Arial" w:eastAsia="Arial" w:hAnsi="Arial"/>
          <w:sz w:val="14"/>
          <w:szCs w:val="14"/>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49" w:lineRule="exact"/>
        <w:rPr>
          <w:sz w:val="20"/>
          <w:szCs w:val="20"/>
          <w:color w:val="auto"/>
        </w:rPr>
      </w:pPr>
    </w:p>
    <w:p>
      <w:pPr>
        <w:ind w:right="560"/>
        <w:spacing w:after="0" w:line="205" w:lineRule="exact"/>
        <w:rPr>
          <w:sz w:val="20"/>
          <w:szCs w:val="20"/>
          <w:color w:val="auto"/>
        </w:rPr>
      </w:pPr>
      <w:r>
        <w:rPr>
          <w:rFonts w:ascii="Arial" w:cs="Arial" w:eastAsia="Arial" w:hAnsi="Arial"/>
          <w:sz w:val="15"/>
          <w:szCs w:val="15"/>
          <w:b w:val="1"/>
          <w:bCs w:val="1"/>
          <w:i w:val="1"/>
          <w:iCs w:val="1"/>
          <w:color w:val="auto"/>
        </w:rPr>
        <w:t>If the government or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payors fail to provide adequate coverage and payment rates for any of our current or future product candidates, or if HMOs or long</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term care facilities choose to use therapies that are less expensive, our revenue and prospects for profitability will be limited.</w:t>
      </w:r>
    </w:p>
    <w:p>
      <w:pPr>
        <w:spacing w:after="0" w:line="213" w:lineRule="exact"/>
        <w:rPr>
          <w:sz w:val="20"/>
          <w:szCs w:val="20"/>
          <w:color w:val="auto"/>
        </w:rPr>
      </w:pPr>
    </w:p>
    <w:p>
      <w:pPr>
        <w:ind w:firstLine="864"/>
        <w:spacing w:after="0" w:line="267" w:lineRule="auto"/>
        <w:rPr>
          <w:sz w:val="20"/>
          <w:szCs w:val="20"/>
          <w:color w:val="auto"/>
        </w:rPr>
      </w:pPr>
      <w:r>
        <w:rPr>
          <w:rFonts w:ascii="Arial" w:cs="Arial" w:eastAsia="Arial" w:hAnsi="Arial"/>
          <w:sz w:val="16"/>
          <w:szCs w:val="16"/>
          <w:color w:val="auto"/>
        </w:rPr>
        <w:t>In both domestic and foreign markets, sales of our future products will depend in part upon the availability of coverage and reimbursement from third party payors. Such third 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194" w:lineRule="exact"/>
        <w:rPr>
          <w:sz w:val="20"/>
          <w:szCs w:val="20"/>
          <w:color w:val="auto"/>
        </w:rPr>
      </w:pPr>
    </w:p>
    <w:p>
      <w:pPr>
        <w:ind w:firstLine="864"/>
        <w:spacing w:after="0" w:line="284" w:lineRule="auto"/>
        <w:rPr>
          <w:sz w:val="20"/>
          <w:szCs w:val="20"/>
          <w:color w:val="auto"/>
        </w:rPr>
      </w:pPr>
      <w:r>
        <w:rPr>
          <w:rFonts w:ascii="Arial" w:cs="Arial" w:eastAsia="Arial" w:hAnsi="Arial"/>
          <w:sz w:val="15"/>
          <w:szCs w:val="15"/>
          <w:color w:val="auto"/>
        </w:rPr>
        <w:t>There is significant uncertainty related to third 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 Several third 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87" w:lineRule="exact"/>
        <w:rPr>
          <w:sz w:val="20"/>
          <w:szCs w:val="20"/>
          <w:color w:val="auto"/>
        </w:rPr>
      </w:pPr>
    </w:p>
    <w:p>
      <w:pPr>
        <w:ind w:right="40" w:firstLine="864"/>
        <w:spacing w:after="0" w:line="269" w:lineRule="auto"/>
        <w:rPr>
          <w:sz w:val="20"/>
          <w:szCs w:val="20"/>
          <w:color w:val="auto"/>
        </w:rPr>
      </w:pPr>
      <w:r>
        <w:rPr>
          <w:rFonts w:ascii="Arial" w:cs="Arial" w:eastAsia="Arial" w:hAnsi="Arial"/>
          <w:sz w:val="16"/>
          <w:szCs w:val="16"/>
          <w:color w:val="auto"/>
        </w:rPr>
        <w:t>Third party payors, whether foreign or domestic, or governmental or commercial, are developing increasingly sophisticated methods of controlling healthcare costs. In addition, in the United States, no uniform policy of coverage and reimbursement for drug products exists among third 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 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firstLine="864"/>
        <w:spacing w:after="0" w:line="289" w:lineRule="auto"/>
        <w:rPr>
          <w:sz w:val="20"/>
          <w:szCs w:val="20"/>
          <w:color w:val="auto"/>
        </w:rPr>
      </w:pPr>
      <w:r>
        <w:rPr>
          <w:rFonts w:ascii="Arial" w:cs="Arial" w:eastAsia="Arial" w:hAnsi="Arial"/>
          <w:sz w:val="15"/>
          <w:szCs w:val="15"/>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 marketing studies in order to demonstrate the cost effectiveness of any future products to the satisfaction of hospitals and other target customers and their third party payors. Such studies might require us to commit a significant amount of management time and financial and other resources. Our future products might not ultimately be considered cost effective. Adequate third party coverage and reimbursement might not be available to enable us to maintain price levels sufficient to realize an appropriate return on investment in product development.</w:t>
      </w:r>
    </w:p>
    <w:p>
      <w:pPr>
        <w:spacing w:after="0" w:line="180" w:lineRule="exact"/>
        <w:rPr>
          <w:sz w:val="20"/>
          <w:szCs w:val="20"/>
          <w:color w:val="auto"/>
        </w:rPr>
      </w:pPr>
    </w:p>
    <w:p>
      <w:pPr>
        <w:ind w:right="100" w:firstLine="864"/>
        <w:spacing w:after="0" w:line="311" w:lineRule="auto"/>
        <w:rPr>
          <w:sz w:val="20"/>
          <w:szCs w:val="20"/>
          <w:color w:val="auto"/>
        </w:rPr>
      </w:pPr>
      <w:r>
        <w:rPr>
          <w:rFonts w:ascii="Arial" w:cs="Arial" w:eastAsia="Arial" w:hAnsi="Arial"/>
          <w:sz w:val="14"/>
          <w:szCs w:val="14"/>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 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 party payors do not provide adequate coverage or reimbursement, our prospects for revenue and profitability will suffer.</w:t>
      </w:r>
    </w:p>
    <w:p>
      <w:pPr>
        <w:spacing w:after="0" w:line="167" w:lineRule="exact"/>
        <w:rPr>
          <w:sz w:val="20"/>
          <w:szCs w:val="20"/>
          <w:color w:val="auto"/>
        </w:rPr>
      </w:pPr>
    </w:p>
    <w:p>
      <w:pPr>
        <w:ind w:right="40" w:firstLine="864"/>
        <w:spacing w:after="0" w:line="269" w:lineRule="auto"/>
        <w:rPr>
          <w:sz w:val="20"/>
          <w:szCs w:val="20"/>
          <w:color w:val="auto"/>
        </w:rPr>
      </w:pPr>
      <w:r>
        <w:rPr>
          <w:rFonts w:ascii="Arial" w:cs="Arial" w:eastAsia="Arial" w:hAnsi="Arial"/>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94" w:lineRule="exact"/>
        <w:rPr>
          <w:sz w:val="20"/>
          <w:szCs w:val="20"/>
          <w:color w:val="auto"/>
        </w:rPr>
      </w:pPr>
    </w:p>
    <w:p>
      <w:pPr>
        <w:ind w:firstLine="864"/>
        <w:spacing w:after="0" w:line="269"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94" w:lineRule="exact"/>
        <w:rPr>
          <w:sz w:val="20"/>
          <w:szCs w:val="20"/>
          <w:color w:val="auto"/>
        </w:rPr>
      </w:pPr>
    </w:p>
    <w:p>
      <w:pPr>
        <w:ind w:right="200" w:firstLine="864"/>
        <w:spacing w:after="0" w:line="291" w:lineRule="auto"/>
        <w:rPr>
          <w:sz w:val="20"/>
          <w:szCs w:val="20"/>
          <w:color w:val="auto"/>
        </w:rPr>
      </w:pPr>
      <w:r>
        <w:rPr>
          <w:rFonts w:ascii="Arial" w:cs="Arial" w:eastAsia="Arial" w:hAnsi="Arial"/>
          <w:sz w:val="15"/>
          <w:szCs w:val="15"/>
          <w:color w:val="auto"/>
        </w:rPr>
        <w:t>In addition, increasingly, third 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7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72" w:lineRule="exact"/>
        <w:rPr>
          <w:sz w:val="20"/>
          <w:szCs w:val="20"/>
          <w:color w:val="auto"/>
        </w:rPr>
      </w:pPr>
    </w:p>
    <w:p>
      <w:pPr>
        <w:ind w:right="120" w:firstLine="864"/>
        <w:spacing w:after="0" w:line="204" w:lineRule="exact"/>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6"/>
          <w:szCs w:val="16"/>
          <w:color w:val="auto"/>
        </w:rPr>
        <w:t>‑</w:t>
      </w:r>
      <w:r>
        <w:rPr>
          <w:rFonts w:ascii="Arial" w:cs="Arial" w:eastAsia="Arial" w:hAnsi="Arial"/>
          <w:sz w:val="16"/>
          <w:szCs w:val="16"/>
          <w:color w:val="auto"/>
        </w:rPr>
        <w: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864"/>
        <w:spacing w:after="0" w:line="284" w:lineRule="auto"/>
        <w:rPr>
          <w:sz w:val="20"/>
          <w:szCs w:val="20"/>
          <w:color w:val="auto"/>
        </w:rPr>
      </w:pPr>
      <w:r>
        <w:rPr>
          <w:rFonts w:ascii="Arial" w:cs="Arial" w:eastAsia="Arial" w:hAnsi="Arial"/>
          <w:sz w:val="15"/>
          <w:szCs w:val="15"/>
          <w:color w:val="auto"/>
        </w:rPr>
        <w:t>For example, there have been numerous attempts by Congress and the former Trump Administration, through legislation and executive orders, to repeal or materially modify various aspects of ACA. In addition, there have been multiple lawsuits challenging the constitutionality of the ACA as well as various components of the ACA, and it is unclear what impact these various efforts have and will have on our business operations and resulting financial condition. For example, on December 15, 2019, a federal district court in Texas struck down the ACA in its entirety, finding that the Tax Cuts and Jobs Act of 2017, or TCJA, rendered the individual mandate unconstitutional. The judge further concluded in Texas v. Azar that since the individual mandate is “essential” to the ACA, it could not be severed from the rest of the ACA and therefore, the entire ACA was unconstitutional. Despite its decision, however, the court did not issue an injunction and therefore, immediate compliance is not required. Following appeal of the Fifth Circuit’s decision, the Supreme Court heard oral arguments in California v. Texas (formerly Texas v. Azar) on November 2, 2020. Thereafter, the Department of Justice under the new Biden Administration did submit a new amicus brief in February 2021 following the oral hearings asserting that they now believe the ACA is constitutional, and the mandate is severable from the rest of the ACA. The Court has yet to issue its opinion, and we cannot say for certain what the decision will be or what impact, if any, it may have on our business. It is unclear how regulations and sub-regulatory policy, which fluctuate continually, may affect interpretation and implementation of the ACA and its practical effects on our business, particularly entering an election year. We are unable to predict the future course of federal or state healthcare legislation in the United States directed at broadening the availability of healthcare and containing or lowering the cost of healthcare, including drugs and biologics. The fate of the ACA and any further changes in the law or regulatory framework that reduce our revenue or increase our costs could also have a material and adverse effect on our business, financial condition and results of operations. Furthermore, federal and state elections in 2020 have changed which persons and parties occupy the Office of the President of the United States and control both chambers of Congress and many states’ governors and legislatures. These changes will likely result in new agency priorities, rulemakings, and legislation. We anticipate that the new Biden Administration will issue a number of Executive Orders, which may alter the policies of the previous administration. Additionally, certain agency rules and policy statements of the prior four years may be rescinded. Further, the Biden Administration may propose substantial changes to the U.S. healthcare system, including expanding government-funded health insurance options. We are uncertain of the impact or outcome of these potential Executive Orders, rescission of rules and policy statements, or new legislation, especially any relative impact on the healthcare regulatory and policy landscape, or the impact they may have on our business.</w:t>
      </w:r>
    </w:p>
    <w:p>
      <w:pPr>
        <w:spacing w:after="0" w:line="184" w:lineRule="exact"/>
        <w:rPr>
          <w:sz w:val="20"/>
          <w:szCs w:val="20"/>
          <w:color w:val="auto"/>
        </w:rPr>
      </w:pPr>
    </w:p>
    <w:p>
      <w:pPr>
        <w:jc w:val="both"/>
        <w:ind w:right="60" w:firstLine="864"/>
        <w:spacing w:after="0" w:line="303" w:lineRule="auto"/>
        <w:rPr>
          <w:sz w:val="20"/>
          <w:szCs w:val="20"/>
          <w:color w:val="auto"/>
        </w:rPr>
      </w:pPr>
      <w:r>
        <w:rPr>
          <w:rFonts w:ascii="Arial" w:cs="Arial" w:eastAsia="Arial" w:hAnsi="Arial"/>
          <w:sz w:val="14"/>
          <w:szCs w:val="14"/>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w:t>
      </w:r>
    </w:p>
    <w:p>
      <w:pPr>
        <w:spacing w:after="0" w:line="2"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color w:val="auto"/>
        </w:rPr>
        <w:t>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and with the change 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77" w:lineRule="exact"/>
        <w:rPr>
          <w:sz w:val="20"/>
          <w:szCs w:val="20"/>
          <w:color w:val="auto"/>
        </w:rPr>
      </w:pPr>
    </w:p>
    <w:p>
      <w:pPr>
        <w:ind w:right="60" w:firstLine="864"/>
        <w:spacing w:after="0" w:line="324" w:lineRule="auto"/>
        <w:rPr>
          <w:sz w:val="20"/>
          <w:szCs w:val="20"/>
          <w:color w:val="auto"/>
        </w:rPr>
      </w:pPr>
      <w:r>
        <w:rPr>
          <w:rFonts w:ascii="Arial" w:cs="Arial" w:eastAsia="Arial" w:hAnsi="Arial"/>
          <w:sz w:val="14"/>
          <w:szCs w:val="14"/>
          <w:color w:val="auto"/>
        </w:rPr>
        <w:t>Legislative and regulatory proposals may also be made to expand post 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 marketing testing and other requirements.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864"/>
        <w:spacing w:after="0" w:line="310" w:lineRule="auto"/>
        <w:rPr>
          <w:sz w:val="20"/>
          <w:szCs w:val="20"/>
          <w:color w:val="auto"/>
        </w:rPr>
      </w:pPr>
      <w:r>
        <w:rPr>
          <w:rFonts w:ascii="Arial" w:cs="Arial" w:eastAsia="Arial" w:hAnsi="Arial"/>
          <w:sz w:val="14"/>
          <w:szCs w:val="14"/>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enforcement discretion on certain aspects due to the COVID-19 pandemic. The distribution of product samples continues to be regulated under the PDMA, and some states also impose regulations on drug sample distribution.</w:t>
      </w:r>
    </w:p>
    <w:p>
      <w:pPr>
        <w:spacing w:after="0" w:line="167" w:lineRule="exact"/>
        <w:rPr>
          <w:sz w:val="20"/>
          <w:szCs w:val="20"/>
          <w:color w:val="auto"/>
        </w:rPr>
      </w:pPr>
    </w:p>
    <w:p>
      <w:pPr>
        <w:ind w:right="40" w:firstLine="864"/>
        <w:spacing w:after="0" w:line="278" w:lineRule="auto"/>
        <w:rPr>
          <w:sz w:val="20"/>
          <w:szCs w:val="20"/>
          <w:color w:val="auto"/>
        </w:rPr>
      </w:pPr>
      <w:r>
        <w:rPr>
          <w:rFonts w:ascii="Arial" w:cs="Arial" w:eastAsia="Arial" w:hAnsi="Arial"/>
          <w:sz w:val="16"/>
          <w:szCs w:val="16"/>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Governments outside the United States tend to impose strict price controls, which may adversely affect our revenues, if any.</w:t>
      </w:r>
    </w:p>
    <w:p>
      <w:pPr>
        <w:spacing w:after="0" w:line="235" w:lineRule="exact"/>
        <w:rPr>
          <w:sz w:val="20"/>
          <w:szCs w:val="20"/>
          <w:color w:val="auto"/>
        </w:rPr>
      </w:pPr>
    </w:p>
    <w:p>
      <w:pPr>
        <w:ind w:right="140" w:firstLine="864"/>
        <w:spacing w:after="0" w:line="203" w:lineRule="exact"/>
        <w:rPr>
          <w:sz w:val="20"/>
          <w:szCs w:val="20"/>
          <w:color w:val="auto"/>
        </w:rPr>
      </w:pPr>
      <w:r>
        <w:rPr>
          <w:rFonts w:ascii="Arial" w:cs="Arial" w:eastAsia="Arial" w:hAnsi="Arial"/>
          <w:sz w:val="14"/>
          <w:szCs w:val="14"/>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4"/>
          <w:szCs w:val="14"/>
          <w:color w:val="auto"/>
        </w:rPr>
        <w:t>‑</w:t>
      </w:r>
      <w:r>
        <w:rPr>
          <w:rFonts w:ascii="Arial" w:cs="Arial" w:eastAsia="Arial" w:hAnsi="Arial"/>
          <w:sz w:val="14"/>
          <w:szCs w:val="14"/>
          <w:color w:val="auto"/>
        </w:rPr>
        <w:t>effectiveness of our product candidate to other available therapies. There can be no assurance that our products will be considered cost</w:t>
      </w:r>
      <w:r>
        <w:rPr>
          <w:rFonts w:ascii="MS PGothic" w:cs="MS PGothic" w:eastAsia="MS PGothic" w:hAnsi="MS PGothic"/>
          <w:sz w:val="14"/>
          <w:szCs w:val="14"/>
          <w:color w:val="auto"/>
        </w:rPr>
        <w:t>‑</w:t>
      </w:r>
      <w:r>
        <w:rPr>
          <w:rFonts w:ascii="Arial" w:cs="Arial" w:eastAsia="Arial" w:hAnsi="Arial"/>
          <w:sz w:val="14"/>
          <w:szCs w:val="14"/>
          <w:color w:val="auto"/>
        </w:rPr>
        <w:t>effective by third</w:t>
      </w:r>
      <w:r>
        <w:rPr>
          <w:rFonts w:ascii="MS PGothic" w:cs="MS PGothic" w:eastAsia="MS PGothic" w:hAnsi="MS PGothic"/>
          <w:sz w:val="14"/>
          <w:szCs w:val="14"/>
          <w:color w:val="auto"/>
        </w:rPr>
        <w:t>‑</w:t>
      </w:r>
      <w:r>
        <w:rPr>
          <w:rFonts w:ascii="Arial" w:cs="Arial" w:eastAsia="Arial" w:hAnsi="Arial"/>
          <w:sz w:val="14"/>
          <w:szCs w:val="14"/>
          <w:color w:val="auto"/>
        </w:rPr>
        <w:t>party payors, that an adequate level of reimbursement will be available, or that the third</w:t>
      </w:r>
      <w:r>
        <w:rPr>
          <w:rFonts w:ascii="MS PGothic" w:cs="MS PGothic" w:eastAsia="MS PGothic" w:hAnsi="MS PGothic"/>
          <w:sz w:val="14"/>
          <w:szCs w:val="14"/>
          <w:color w:val="auto"/>
        </w:rPr>
        <w:t>‑</w:t>
      </w:r>
      <w:r>
        <w:rPr>
          <w:rFonts w:ascii="Arial" w:cs="Arial" w:eastAsia="Arial" w:hAnsi="Arial"/>
          <w:sz w:val="14"/>
          <w:szCs w:val="14"/>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215" w:lineRule="exact"/>
        <w:rPr>
          <w:sz w:val="20"/>
          <w:szCs w:val="20"/>
          <w:color w:val="auto"/>
        </w:rPr>
      </w:pPr>
    </w:p>
    <w:p>
      <w:pPr>
        <w:ind w:right="280"/>
        <w:spacing w:after="0" w:line="328"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50" w:lineRule="exact"/>
        <w:rPr>
          <w:sz w:val="20"/>
          <w:szCs w:val="20"/>
          <w:color w:val="auto"/>
        </w:rPr>
      </w:pPr>
    </w:p>
    <w:p>
      <w:pPr>
        <w:ind w:firstLine="864"/>
        <w:spacing w:after="0" w:line="309" w:lineRule="auto"/>
        <w:rPr>
          <w:sz w:val="20"/>
          <w:szCs w:val="20"/>
          <w:color w:val="auto"/>
        </w:rPr>
      </w:pPr>
      <w:r>
        <w:rPr>
          <w:rFonts w:ascii="Arial" w:cs="Arial" w:eastAsia="Arial" w:hAnsi="Arial"/>
          <w:sz w:val="14"/>
          <w:szCs w:val="14"/>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380"/>
        <w:spacing w:after="0" w:line="204" w:lineRule="exact"/>
        <w:rPr>
          <w:sz w:val="20"/>
          <w:szCs w:val="20"/>
          <w:color w:val="auto"/>
        </w:rPr>
      </w:pPr>
      <w:r>
        <w:rPr>
          <w:rFonts w:ascii="Arial" w:cs="Arial" w:eastAsia="Arial" w:hAnsi="Arial"/>
          <w:sz w:val="16"/>
          <w:szCs w:val="16"/>
          <w:b w:val="1"/>
          <w:bCs w:val="1"/>
          <w:i w:val="1"/>
          <w:iCs w:val="1"/>
          <w:color w:val="auto"/>
        </w:rPr>
        <w:t>Our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213" w:lineRule="exact"/>
        <w:rPr>
          <w:sz w:val="20"/>
          <w:szCs w:val="20"/>
          <w:color w:val="auto"/>
        </w:rPr>
      </w:pPr>
    </w:p>
    <w:p>
      <w:pPr>
        <w:ind w:right="20" w:firstLine="864"/>
        <w:spacing w:after="0" w:line="203" w:lineRule="exact"/>
        <w:rPr>
          <w:sz w:val="20"/>
          <w:szCs w:val="20"/>
          <w:color w:val="auto"/>
        </w:rPr>
      </w:pPr>
      <w:r>
        <w:rPr>
          <w:rFonts w:ascii="Arial" w:cs="Arial" w:eastAsia="Arial" w:hAnsi="Arial"/>
          <w:sz w:val="14"/>
          <w:szCs w:val="14"/>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4"/>
          <w:szCs w:val="14"/>
          <w:color w:val="auto"/>
        </w:rPr>
        <w:t>‑</w:t>
      </w:r>
      <w:r>
        <w:rPr>
          <w:rFonts w:ascii="Arial" w:cs="Arial" w:eastAsia="Arial" w:hAnsi="Arial"/>
          <w:sz w:val="14"/>
          <w:szCs w:val="14"/>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4"/>
          <w:szCs w:val="14"/>
          <w:color w:val="auto"/>
        </w:rPr>
        <w:t>‑</w:t>
      </w:r>
      <w:r>
        <w:rPr>
          <w:rFonts w:ascii="Arial" w:cs="Arial" w:eastAsia="Arial" w:hAnsi="Arial"/>
          <w:sz w:val="14"/>
          <w:szCs w:val="14"/>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215" w:lineRule="exact"/>
        <w:rPr>
          <w:sz w:val="20"/>
          <w:szCs w:val="20"/>
          <w:color w:val="auto"/>
        </w:rPr>
      </w:pPr>
    </w:p>
    <w:p>
      <w:pPr>
        <w:jc w:val="both"/>
        <w:ind w:right="100" w:firstLine="864"/>
        <w:spacing w:after="0" w:line="305"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6" w:lineRule="exact"/>
        <w:rPr>
          <w:sz w:val="20"/>
          <w:szCs w:val="20"/>
          <w:color w:val="auto"/>
        </w:rPr>
      </w:pPr>
    </w:p>
    <w:p>
      <w:pPr>
        <w:ind w:firstLine="864"/>
        <w:spacing w:after="0" w:line="278"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significantly increase the size of our organization, and we may experience difficulties in managing growth.</w:t>
      </w:r>
    </w:p>
    <w:p>
      <w:pPr>
        <w:spacing w:after="0" w:line="235" w:lineRule="exact"/>
        <w:rPr>
          <w:sz w:val="20"/>
          <w:szCs w:val="20"/>
          <w:color w:val="auto"/>
        </w:rPr>
      </w:pPr>
    </w:p>
    <w:p>
      <w:pPr>
        <w:ind w:right="80" w:firstLine="864"/>
        <w:spacing w:after="0" w:line="203" w:lineRule="exact"/>
        <w:rPr>
          <w:sz w:val="20"/>
          <w:szCs w:val="20"/>
          <w:color w:val="auto"/>
        </w:rPr>
      </w:pPr>
      <w:r>
        <w:rPr>
          <w:rFonts w:ascii="Arial" w:cs="Arial" w:eastAsia="Arial" w:hAnsi="Arial"/>
          <w:sz w:val="15"/>
          <w:szCs w:val="15"/>
          <w:color w:val="auto"/>
        </w:rPr>
        <w:t>As of May 3, 2021, we had 70 full</w:t>
      </w:r>
      <w:r>
        <w:rPr>
          <w:rFonts w:ascii="MS PGothic" w:cs="MS PGothic" w:eastAsia="MS PGothic" w:hAnsi="MS PGothic"/>
          <w:sz w:val="15"/>
          <w:szCs w:val="15"/>
          <w:color w:val="auto"/>
        </w:rPr>
        <w:t>‑</w:t>
      </w:r>
      <w:r>
        <w:rPr>
          <w:rFonts w:ascii="Arial" w:cs="Arial" w:eastAsia="Arial" w:hAnsi="Arial"/>
          <w:sz w:val="15"/>
          <w:szCs w:val="15"/>
          <w:color w:val="auto"/>
        </w:rPr>
        <w:t>time employees.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15" w:lineRule="exact"/>
        <w:rPr>
          <w:sz w:val="20"/>
          <w:szCs w:val="20"/>
          <w:color w:val="auto"/>
        </w:rPr>
      </w:pPr>
    </w:p>
    <w:p>
      <w:pPr>
        <w:ind w:left="880" w:right="160" w:hanging="440"/>
        <w:spacing w:after="0" w:line="293"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71" w:lineRule="exact"/>
        <w:rPr>
          <w:rFonts w:ascii="Arial" w:cs="Arial" w:eastAsia="Arial" w:hAnsi="Arial"/>
          <w:sz w:val="16"/>
          <w:szCs w:val="16"/>
          <w:color w:val="auto"/>
        </w:rPr>
      </w:pPr>
    </w:p>
    <w:p>
      <w:pPr>
        <w:ind w:left="880" w:right="340" w:hanging="440"/>
        <w:spacing w:after="0" w:line="293"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ensure that our consultants and other service providers successfully carry out their contractual obligations, provide high quality results, and meet expected deadlines;</w:t>
      </w:r>
    </w:p>
    <w:p>
      <w:pPr>
        <w:spacing w:after="0" w:line="171" w:lineRule="exact"/>
        <w:rPr>
          <w:rFonts w:ascii="Arial" w:cs="Arial" w:eastAsia="Arial" w:hAnsi="Arial"/>
          <w:sz w:val="16"/>
          <w:szCs w:val="16"/>
          <w:color w:val="auto"/>
        </w:rPr>
      </w:pPr>
    </w:p>
    <w:p>
      <w:pPr>
        <w:ind w:left="880" w:hanging="440"/>
        <w:spacing w:after="0"/>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continue to carry out our own contractual obligations to our licensors and other third parties;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continue to improve our operational, financial, and management controls, reporting systems, and procedures.</w:t>
      </w:r>
    </w:p>
    <w:p>
      <w:pPr>
        <w:spacing w:after="0" w:line="2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We may be unable to successfully implement these tasks on a larger scale and, accordingly, may not achieve our development and commercialization goals.</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72" w:lineRule="exact"/>
        <w:rPr>
          <w:sz w:val="20"/>
          <w:szCs w:val="20"/>
          <w:color w:val="auto"/>
        </w:rPr>
      </w:pPr>
    </w:p>
    <w:p>
      <w:pPr>
        <w:ind w:firstLine="864"/>
        <w:spacing w:after="0" w:line="291" w:lineRule="auto"/>
        <w:rPr>
          <w:sz w:val="20"/>
          <w:szCs w:val="20"/>
          <w:color w:val="auto"/>
        </w:rPr>
      </w:pPr>
      <w:r>
        <w:rPr>
          <w:rFonts w:ascii="Arial" w:cs="Arial" w:eastAsia="Arial" w:hAnsi="Arial"/>
          <w:sz w:val="15"/>
          <w:szCs w:val="15"/>
          <w:color w:val="auto"/>
        </w:rPr>
        <w:t>As we continue to complete our clinical trials and prepare for commercialization of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246" w:lineRule="exact"/>
        <w:rPr>
          <w:sz w:val="20"/>
          <w:szCs w:val="20"/>
          <w:color w:val="auto"/>
        </w:rPr>
      </w:pPr>
    </w:p>
    <w:p>
      <w:pPr>
        <w:ind w:right="20" w:firstLine="864"/>
        <w:spacing w:after="0" w:line="293" w:lineRule="auto"/>
        <w:rPr>
          <w:sz w:val="20"/>
          <w:szCs w:val="20"/>
          <w:color w:val="auto"/>
        </w:rPr>
      </w:pPr>
      <w:r>
        <w:rPr>
          <w:rFonts w:ascii="Arial" w:cs="Arial" w:eastAsia="Arial" w:hAnsi="Arial"/>
          <w:sz w:val="15"/>
          <w:szCs w:val="15"/>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manage our business effectively if we are unable to attract and retain key personnel.</w:t>
      </w:r>
    </w:p>
    <w:p>
      <w:pPr>
        <w:spacing w:after="0" w:line="235" w:lineRule="exact"/>
        <w:rPr>
          <w:sz w:val="20"/>
          <w:szCs w:val="20"/>
          <w:color w:val="auto"/>
        </w:rPr>
      </w:pPr>
    </w:p>
    <w:p>
      <w:pPr>
        <w:ind w:right="60" w:firstLine="864"/>
        <w:spacing w:after="0" w:line="273" w:lineRule="auto"/>
        <w:rPr>
          <w:sz w:val="20"/>
          <w:szCs w:val="20"/>
          <w:color w:val="auto"/>
        </w:rPr>
      </w:pPr>
      <w:r>
        <w:rPr>
          <w:rFonts w:ascii="Arial" w:cs="Arial" w:eastAsia="Arial" w:hAnsi="Arial"/>
          <w:sz w:val="16"/>
          <w:szCs w:val="16"/>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9" w:lineRule="exact"/>
        <w:rPr>
          <w:sz w:val="20"/>
          <w:szCs w:val="20"/>
          <w:color w:val="auto"/>
        </w:rPr>
      </w:pPr>
    </w:p>
    <w:p>
      <w:pPr>
        <w:ind w:right="40" w:firstLine="864"/>
        <w:spacing w:after="0" w:line="313" w:lineRule="auto"/>
        <w:rPr>
          <w:sz w:val="20"/>
          <w:szCs w:val="20"/>
          <w:color w:val="auto"/>
        </w:rPr>
      </w:pPr>
      <w:r>
        <w:rPr>
          <w:rFonts w:ascii="Arial" w:cs="Arial" w:eastAsia="Arial" w:hAnsi="Arial"/>
          <w:sz w:val="14"/>
          <w:szCs w:val="14"/>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4" w:lineRule="exact"/>
        <w:rPr>
          <w:sz w:val="20"/>
          <w:szCs w:val="20"/>
          <w:color w:val="auto"/>
        </w:rPr>
      </w:pPr>
    </w:p>
    <w:p>
      <w:pPr>
        <w:jc w:val="both"/>
        <w:ind w:right="400"/>
        <w:spacing w:after="0" w:line="335"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securities. Further, we continue to incur significant increased costs as a result of operating as a public company, and our management is required to devote substantial time to compliance initiatives.</w:t>
      </w:r>
    </w:p>
    <w:p>
      <w:pPr>
        <w:spacing w:after="0" w:line="149" w:lineRule="exact"/>
        <w:rPr>
          <w:sz w:val="20"/>
          <w:szCs w:val="20"/>
          <w:color w:val="auto"/>
        </w:rPr>
      </w:pPr>
    </w:p>
    <w:p>
      <w:pPr>
        <w:ind w:right="220" w:firstLine="864"/>
        <w:spacing w:after="0" w:line="293" w:lineRule="auto"/>
        <w:rPr>
          <w:sz w:val="20"/>
          <w:szCs w:val="20"/>
          <w:color w:val="auto"/>
        </w:rPr>
      </w:pPr>
      <w:r>
        <w:rPr>
          <w:rFonts w:ascii="Arial" w:cs="Arial" w:eastAsia="Arial" w:hAnsi="Arial"/>
          <w:sz w:val="15"/>
          <w:szCs w:val="15"/>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firstLine="864"/>
        <w:spacing w:after="0" w:line="287" w:lineRule="auto"/>
        <w:rPr>
          <w:sz w:val="20"/>
          <w:szCs w:val="20"/>
          <w:color w:val="auto"/>
        </w:rPr>
      </w:pPr>
      <w:r>
        <w:rPr>
          <w:rFonts w:ascii="Arial" w:cs="Arial" w:eastAsia="Arial" w:hAnsi="Arial"/>
          <w:sz w:val="15"/>
          <w:szCs w:val="15"/>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78" w:lineRule="exact"/>
        <w:rPr>
          <w:sz w:val="20"/>
          <w:szCs w:val="20"/>
          <w:color w:val="auto"/>
        </w:rPr>
      </w:pPr>
    </w:p>
    <w:p>
      <w:pPr>
        <w:ind w:firstLine="864"/>
        <w:spacing w:after="0" w:line="288" w:lineRule="auto"/>
        <w:rPr>
          <w:sz w:val="20"/>
          <w:szCs w:val="20"/>
          <w:color w:val="auto"/>
        </w:rPr>
      </w:pPr>
      <w:r>
        <w:rPr>
          <w:rFonts w:ascii="Arial" w:cs="Arial" w:eastAsia="Arial" w:hAnsi="Arial"/>
          <w:sz w:val="15"/>
          <w:szCs w:val="15"/>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 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80" w:lineRule="exact"/>
        <w:rPr>
          <w:sz w:val="20"/>
          <w:szCs w:val="20"/>
          <w:color w:val="auto"/>
        </w:rPr>
      </w:pPr>
    </w:p>
    <w:p>
      <w:pPr>
        <w:ind w:right="100" w:firstLine="864"/>
        <w:spacing w:after="0" w:line="318" w:lineRule="auto"/>
        <w:rPr>
          <w:sz w:val="20"/>
          <w:szCs w:val="20"/>
          <w:color w:val="auto"/>
        </w:rPr>
      </w:pPr>
      <w:r>
        <w:rPr>
          <w:rFonts w:ascii="Arial" w:cs="Arial" w:eastAsia="Arial" w:hAnsi="Arial"/>
          <w:sz w:val="14"/>
          <w:szCs w:val="14"/>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the Nasdaq Global Market,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35" w:lineRule="exact"/>
        <w:rPr>
          <w:sz w:val="20"/>
          <w:szCs w:val="20"/>
          <w:color w:val="auto"/>
        </w:rPr>
      </w:pPr>
    </w:p>
    <w:p>
      <w:pPr>
        <w:ind w:right="20" w:firstLine="864"/>
        <w:spacing w:after="0" w:line="271"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90" w:lineRule="exact"/>
        <w:rPr>
          <w:sz w:val="20"/>
          <w:szCs w:val="20"/>
          <w:color w:val="auto"/>
        </w:rPr>
      </w:pPr>
    </w:p>
    <w:p>
      <w:pPr>
        <w:ind w:right="20" w:firstLine="864"/>
        <w:spacing w:after="0" w:line="267" w:lineRule="auto"/>
        <w:rPr>
          <w:sz w:val="20"/>
          <w:szCs w:val="20"/>
          <w:color w:val="auto"/>
        </w:rPr>
      </w:pPr>
      <w:r>
        <w:rPr>
          <w:rFonts w:ascii="Arial" w:cs="Arial" w:eastAsia="Arial" w:hAnsi="Arial"/>
          <w:sz w:val="16"/>
          <w:szCs w:val="16"/>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96" w:lineRule="exact"/>
        <w:rPr>
          <w:sz w:val="20"/>
          <w:szCs w:val="20"/>
          <w:color w:val="auto"/>
        </w:rPr>
      </w:pPr>
    </w:p>
    <w:p>
      <w:pPr>
        <w:ind w:right="400" w:firstLine="864"/>
        <w:spacing w:after="0" w:line="273"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system failures.</w:t>
      </w:r>
    </w:p>
    <w:p>
      <w:pPr>
        <w:spacing w:after="0" w:line="235" w:lineRule="exact"/>
        <w:rPr>
          <w:sz w:val="20"/>
          <w:szCs w:val="20"/>
          <w:color w:val="auto"/>
        </w:rPr>
      </w:pPr>
    </w:p>
    <w:p>
      <w:pPr>
        <w:ind w:right="20" w:firstLine="864"/>
        <w:spacing w:after="0" w:line="287" w:lineRule="auto"/>
        <w:rPr>
          <w:sz w:val="20"/>
          <w:szCs w:val="20"/>
          <w:color w:val="auto"/>
        </w:rPr>
      </w:pPr>
      <w:r>
        <w:rPr>
          <w:rFonts w:ascii="Arial" w:cs="Arial" w:eastAsia="Arial" w:hAnsi="Arial"/>
          <w:sz w:val="15"/>
          <w:szCs w:val="15"/>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8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72" w:lineRule="exact"/>
        <w:rPr>
          <w:sz w:val="20"/>
          <w:szCs w:val="20"/>
          <w:color w:val="auto"/>
        </w:rPr>
      </w:pPr>
    </w:p>
    <w:p>
      <w:pPr>
        <w:ind w:firstLine="864"/>
        <w:spacing w:after="0" w:line="285" w:lineRule="auto"/>
        <w:rPr>
          <w:sz w:val="20"/>
          <w:szCs w:val="20"/>
          <w:color w:val="auto"/>
        </w:rPr>
      </w:pPr>
      <w:r>
        <w:rPr>
          <w:rFonts w:ascii="Arial" w:cs="Arial" w:eastAsia="Arial" w:hAnsi="Arial"/>
          <w:sz w:val="15"/>
          <w:szCs w:val="15"/>
          <w:color w:val="auto"/>
        </w:rPr>
        <w:t>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86"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72" w:lineRule="exact"/>
        <w:rPr>
          <w:sz w:val="20"/>
          <w:szCs w:val="20"/>
          <w:color w:val="auto"/>
        </w:rPr>
      </w:pPr>
    </w:p>
    <w:p>
      <w:pPr>
        <w:ind w:right="20" w:firstLine="864"/>
        <w:spacing w:after="0" w:line="268"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recently enacted legislation – the California Consumer Privacy Act, or CCPA – effective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OWNERSHIP OF OUR 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common stock may not be sustained.</w:t>
      </w:r>
    </w:p>
    <w:p>
      <w:pPr>
        <w:spacing w:after="0" w:line="235" w:lineRule="exact"/>
        <w:rPr>
          <w:sz w:val="20"/>
          <w:szCs w:val="20"/>
          <w:color w:val="auto"/>
        </w:rPr>
      </w:pPr>
    </w:p>
    <w:p>
      <w:pPr>
        <w:ind w:right="120" w:firstLine="864"/>
        <w:spacing w:after="0" w:line="293" w:lineRule="auto"/>
        <w:rPr>
          <w:sz w:val="20"/>
          <w:szCs w:val="20"/>
          <w:color w:val="auto"/>
        </w:rPr>
      </w:pPr>
      <w:r>
        <w:rPr>
          <w:rFonts w:ascii="Arial" w:cs="Arial" w:eastAsia="Arial" w:hAnsi="Arial"/>
          <w:sz w:val="15"/>
          <w:szCs w:val="15"/>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w:t>
      </w:r>
    </w:p>
    <w:p>
      <w:pPr>
        <w:spacing w:after="0" w:line="235" w:lineRule="exact"/>
        <w:rPr>
          <w:sz w:val="20"/>
          <w:szCs w:val="20"/>
          <w:color w:val="auto"/>
        </w:rPr>
      </w:pPr>
    </w:p>
    <w:p>
      <w:pPr>
        <w:ind w:firstLine="864"/>
        <w:spacing w:after="0" w:line="273" w:lineRule="auto"/>
        <w:rPr>
          <w:sz w:val="20"/>
          <w:szCs w:val="20"/>
          <w:color w:val="auto"/>
        </w:rPr>
      </w:pPr>
      <w:r>
        <w:rPr>
          <w:rFonts w:ascii="Arial" w:cs="Arial" w:eastAsia="Arial" w:hAnsi="Arial"/>
          <w:sz w:val="16"/>
          <w:szCs w:val="16"/>
          <w:color w:val="auto"/>
        </w:rPr>
        <w:t>The trading price of our common stock is likely to be highly volatile. For example, in 2019, we experienced an extraordinary level of appreciation in our stock price. Such levels of gain are unlikely to continue in the future. For example, throughout the course of fiscal year 2020 and already during the first quarter of 2021,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9" w:lineRule="exact"/>
        <w:rPr>
          <w:sz w:val="20"/>
          <w:szCs w:val="20"/>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delays in the commencement, enrollment, and ultimate completion, of our planned and ongoing Phase 3 clinical trials for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delay or refusal on the part of the FDA in approving an NDA for any of our current and future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commercial success of any of our current and future product candidates, if approved by the FDA;</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operating and stock price performance of other companies that investors deem comparable to ours;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recommendations by securities analysts;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news relating to our industry as a whole and news relating to trends in our markets;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results of clinical trials of any of our current and future product candidates or those of our competitors;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actual or anticipated variations in quarterly or annual operating results;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failure to meet or exceed financial projections we provide to the public, if any;</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failure to meet or exceed the estimates and projections of the investment community, including securities analysts;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introduction of competitive products or technologies;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or developments in laws or regulations applicable to our product candidates;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perception of the pharmaceutical industry by the public, legislatures, regulators, and the investment community;</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general economic and market conditions and overall fluctuations in U.S. equity markets;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data or security breaches;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developments concerning our sources of manufacturing supply, warehousing, and inventory control;</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disputes or other developments relating to patents or other proprietary rights;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additions or departures of key scientific or management personnel;</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announcements of investigations or regulatory scrutiny of our operations or lawsuits filed against us;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capital commitments;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investors’ general perception of our company and our business;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announcements and expectations of additional financing efforts, including the issuance of debt, equity or convertible securities;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sales of our common stock, including sales by our directors and officers or significant stockholders;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the market valuations of companies similar to us;</w:t>
      </w: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or divestitures;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general conditions or trends in our industry; and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other factors described in this “Risk Factors” section.</w:t>
      </w:r>
    </w:p>
    <w:p>
      <w:pPr>
        <w:spacing w:after="0" w:line="262" w:lineRule="exact"/>
        <w:rPr>
          <w:sz w:val="20"/>
          <w:szCs w:val="20"/>
          <w:color w:val="auto"/>
        </w:rPr>
      </w:pPr>
    </w:p>
    <w:p>
      <w:pPr>
        <w:ind w:right="20" w:firstLine="864"/>
        <w:spacing w:after="0" w:line="278" w:lineRule="auto"/>
        <w:rPr>
          <w:sz w:val="20"/>
          <w:szCs w:val="20"/>
          <w:color w:val="auto"/>
        </w:rPr>
      </w:pPr>
      <w:r>
        <w:rPr>
          <w:rFonts w:ascii="Arial" w:cs="Arial" w:eastAsia="Arial" w:hAnsi="Arial"/>
          <w:sz w:val="16"/>
          <w:szCs w:val="16"/>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84" w:lineRule="exact"/>
        <w:rPr>
          <w:sz w:val="20"/>
          <w:szCs w:val="20"/>
          <w:color w:val="auto"/>
        </w:rPr>
      </w:pPr>
    </w:p>
    <w:p>
      <w:pPr>
        <w:ind w:right="80" w:firstLine="864"/>
        <w:spacing w:after="0" w:line="278" w:lineRule="auto"/>
        <w:rPr>
          <w:sz w:val="20"/>
          <w:szCs w:val="20"/>
          <w:color w:val="auto"/>
        </w:rPr>
      </w:pPr>
      <w:r>
        <w:rPr>
          <w:rFonts w:ascii="Arial" w:cs="Arial" w:eastAsia="Arial" w:hAnsi="Arial"/>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84"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2" w:lineRule="exact"/>
        <w:rPr>
          <w:sz w:val="20"/>
          <w:szCs w:val="20"/>
          <w:color w:val="auto"/>
        </w:rPr>
      </w:pPr>
    </w:p>
    <w:p>
      <w:pPr>
        <w:ind w:right="20" w:firstLine="864"/>
        <w:spacing w:after="0" w:line="271"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operating results may fluctuate significantly.</w:t>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We expect our operating results to be subject to quarterly fluctuations. Our net loss and other operating results will be affected by numerous factors, including:</w:t>
      </w:r>
    </w:p>
    <w:p>
      <w:pPr>
        <w:spacing w:after="0" w:line="258" w:lineRule="exact"/>
        <w:rPr>
          <w:sz w:val="20"/>
          <w:szCs w:val="20"/>
          <w:color w:val="auto"/>
        </w:rPr>
      </w:pPr>
    </w:p>
    <w:p>
      <w:pPr>
        <w:ind w:left="880" w:right="320" w:hanging="440"/>
        <w:spacing w:after="0" w:line="293"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171" w:lineRule="exact"/>
        <w:rPr>
          <w:rFonts w:ascii="Arial" w:cs="Arial" w:eastAsia="Arial" w:hAnsi="Arial"/>
          <w:sz w:val="16"/>
          <w:szCs w:val="16"/>
          <w:color w:val="auto"/>
        </w:rPr>
      </w:pPr>
    </w:p>
    <w:p>
      <w:pPr>
        <w:ind w:left="880" w:right="80" w:hanging="440"/>
        <w:spacing w:after="0" w:line="278"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84" w:lineRule="exact"/>
        <w:rPr>
          <w:rFonts w:ascii="Arial" w:cs="Arial" w:eastAsia="Arial" w:hAnsi="Arial"/>
          <w:sz w:val="16"/>
          <w:szCs w:val="16"/>
          <w:color w:val="auto"/>
        </w:rPr>
      </w:pPr>
    </w:p>
    <w:p>
      <w:pPr>
        <w:ind w:left="880" w:right="500" w:hanging="440"/>
        <w:spacing w:after="0" w:line="204" w:lineRule="exact"/>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ability to identify and enter into third</w:t>
      </w:r>
      <w:r>
        <w:rPr>
          <w:rFonts w:ascii="MS PGothic" w:cs="MS PGothic" w:eastAsia="MS PGothic" w:hAnsi="MS PGothic"/>
          <w:sz w:val="16"/>
          <w:szCs w:val="16"/>
          <w:color w:val="auto"/>
        </w:rPr>
        <w:t>‑</w:t>
      </w:r>
      <w:r>
        <w:rPr>
          <w:rFonts w:ascii="Arial" w:cs="Arial" w:eastAsia="Arial" w:hAnsi="Arial"/>
          <w:sz w:val="16"/>
          <w:szCs w:val="16"/>
          <w:color w:val="auto"/>
        </w:rPr>
        <w:t>party manufacturing arrangements capable of manufacturing any of our current or future product candidates in commercial quantities;</w:t>
      </w:r>
    </w:p>
    <w:p>
      <w:pPr>
        <w:spacing w:after="0" w:line="213" w:lineRule="exact"/>
        <w:rPr>
          <w:rFonts w:ascii="Arial" w:cs="Arial" w:eastAsia="Arial" w:hAnsi="Arial"/>
          <w:sz w:val="16"/>
          <w:szCs w:val="16"/>
          <w:color w:val="auto"/>
        </w:rPr>
      </w:pPr>
    </w:p>
    <w:p>
      <w:pPr>
        <w:ind w:left="880" w:hanging="440"/>
        <w:spacing w:after="0"/>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execution of other collaborative, licensing, or similar arrangements and the timing of payments we may make or receive under these arrangements;</w:t>
      </w:r>
    </w:p>
    <w:p>
      <w:pPr>
        <w:spacing w:after="0" w:line="273" w:lineRule="exact"/>
        <w:rPr>
          <w:rFonts w:ascii="Arial" w:cs="Arial" w:eastAsia="Arial" w:hAnsi="Arial"/>
          <w:sz w:val="15"/>
          <w:szCs w:val="15"/>
          <w:color w:val="auto"/>
        </w:rPr>
      </w:pPr>
    </w:p>
    <w:p>
      <w:pPr>
        <w:ind w:left="880" w:hanging="440"/>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variations in the level of expenses related to our future development programs;</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product liability or intellectual property infringement lawsuit in which we may become involved;</w:t>
      </w:r>
    </w:p>
    <w:p>
      <w:pPr>
        <w:spacing w:after="0" w:line="261" w:lineRule="exact"/>
        <w:rPr>
          <w:rFonts w:ascii="Arial" w:cs="Arial" w:eastAsia="Arial" w:hAnsi="Arial"/>
          <w:sz w:val="16"/>
          <w:szCs w:val="16"/>
          <w:color w:val="auto"/>
        </w:rPr>
      </w:pPr>
    </w:p>
    <w:p>
      <w:pPr>
        <w:ind w:left="880" w:hanging="440"/>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regulatory developments affecting our current and future product candidates, or the product candidates of our competitors; and</w:t>
      </w:r>
    </w:p>
    <w:p>
      <w:pPr>
        <w:spacing w:after="0" w:line="261" w:lineRule="exact"/>
        <w:rPr>
          <w:rFonts w:ascii="Arial" w:cs="Arial" w:eastAsia="Arial" w:hAnsi="Arial"/>
          <w:sz w:val="16"/>
          <w:szCs w:val="16"/>
          <w:color w:val="auto"/>
        </w:rPr>
      </w:pPr>
    </w:p>
    <w:p>
      <w:pPr>
        <w:ind w:left="880" w:hanging="440"/>
        <w:spacing w:after="0" w:line="293"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any of our current or future product candidates receive regulatory approval, the level of underlying demand for such product candidate and wholesaler buying patterns.</w:t>
      </w:r>
    </w:p>
    <w:p>
      <w:pPr>
        <w:spacing w:after="0" w:line="172" w:lineRule="exact"/>
        <w:rPr>
          <w:sz w:val="20"/>
          <w:szCs w:val="20"/>
          <w:color w:val="auto"/>
        </w:rPr>
      </w:pPr>
    </w:p>
    <w:p>
      <w:pPr>
        <w:ind w:right="220" w:firstLine="864"/>
        <w:spacing w:after="0" w:line="305" w:lineRule="auto"/>
        <w:rPr>
          <w:sz w:val="20"/>
          <w:szCs w:val="20"/>
          <w:color w:val="auto"/>
        </w:rPr>
      </w:pPr>
      <w:r>
        <w:rPr>
          <w:rFonts w:ascii="Arial" w:cs="Arial" w:eastAsia="Arial" w:hAnsi="Arial"/>
          <w:sz w:val="15"/>
          <w:szCs w:val="15"/>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72" w:lineRule="exact"/>
        <w:rPr>
          <w:sz w:val="20"/>
          <w:szCs w:val="20"/>
          <w:color w:val="auto"/>
        </w:rPr>
      </w:pPr>
    </w:p>
    <w:p>
      <w:pPr>
        <w:ind w:right="40" w:firstLine="864"/>
        <w:spacing w:after="0" w:line="293" w:lineRule="auto"/>
        <w:rPr>
          <w:sz w:val="20"/>
          <w:szCs w:val="20"/>
          <w:color w:val="auto"/>
        </w:rPr>
      </w:pPr>
      <w:r>
        <w:rPr>
          <w:rFonts w:ascii="Arial" w:cs="Arial" w:eastAsia="Arial" w:hAnsi="Arial"/>
          <w:sz w:val="15"/>
          <w:szCs w:val="15"/>
          <w:color w:val="auto"/>
        </w:rPr>
        <w:t>Until such time, if ever, as we can generate substantial product revenues, we expect to finance our cash needs through a combination of equity offerings, debt financings, grants, and license and development agreements in connection with any collaborations.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6" w:lineRule="exact"/>
        <w:rPr>
          <w:sz w:val="20"/>
          <w:szCs w:val="20"/>
          <w:color w:val="auto"/>
        </w:rPr>
      </w:pPr>
    </w:p>
    <w:p>
      <w:pPr>
        <w:ind w:right="120" w:firstLine="864"/>
        <w:spacing w:after="0" w:line="315" w:lineRule="auto"/>
        <w:rPr>
          <w:sz w:val="20"/>
          <w:szCs w:val="20"/>
          <w:color w:val="auto"/>
        </w:rPr>
      </w:pPr>
      <w:r>
        <w:rPr>
          <w:rFonts w:ascii="Arial" w:cs="Arial" w:eastAsia="Arial" w:hAnsi="Arial"/>
          <w:sz w:val="14"/>
          <w:szCs w:val="14"/>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and will be able to exert significant control over matters subject to stockholder approval.</w:t>
      </w:r>
    </w:p>
    <w:p>
      <w:pPr>
        <w:spacing w:after="0" w:line="172" w:lineRule="exact"/>
        <w:rPr>
          <w:sz w:val="20"/>
          <w:szCs w:val="20"/>
          <w:color w:val="auto"/>
        </w:rPr>
      </w:pPr>
    </w:p>
    <w:p>
      <w:pPr>
        <w:ind w:right="40" w:firstLine="864"/>
        <w:spacing w:after="0" w:line="271" w:lineRule="auto"/>
        <w:rPr>
          <w:sz w:val="20"/>
          <w:szCs w:val="20"/>
          <w:color w:val="auto"/>
        </w:rPr>
      </w:pPr>
      <w:r>
        <w:rPr>
          <w:rFonts w:ascii="Arial" w:cs="Arial" w:eastAsia="Arial" w:hAnsi="Arial"/>
          <w:sz w:val="16"/>
          <w:szCs w:val="16"/>
          <w:color w:val="auto"/>
        </w:rPr>
        <w:t>As of May 3, 2021, our executive officers, directors, and 5% stockholders and their affiliates beneficially owned an aggregate of approximately 43%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90" w:lineRule="exact"/>
        <w:rPr>
          <w:sz w:val="20"/>
          <w:szCs w:val="20"/>
          <w:color w:val="auto"/>
        </w:rPr>
      </w:pPr>
    </w:p>
    <w:p>
      <w:pPr>
        <w:ind w:right="60" w:firstLine="864"/>
        <w:spacing w:after="0" w:line="291" w:lineRule="auto"/>
        <w:rPr>
          <w:sz w:val="20"/>
          <w:szCs w:val="20"/>
          <w:color w:val="auto"/>
        </w:rPr>
      </w:pPr>
      <w:r>
        <w:rPr>
          <w:rFonts w:ascii="Arial" w:cs="Arial" w:eastAsia="Arial" w:hAnsi="Arial"/>
          <w:sz w:val="15"/>
          <w:szCs w:val="15"/>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235" w:lineRule="exact"/>
        <w:rPr>
          <w:sz w:val="20"/>
          <w:szCs w:val="20"/>
          <w:color w:val="auto"/>
        </w:rPr>
      </w:pPr>
    </w:p>
    <w:p>
      <w:pPr>
        <w:jc w:val="both"/>
        <w:ind w:right="20" w:firstLine="864"/>
        <w:spacing w:after="0" w:line="278"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84" w:lineRule="exact"/>
        <w:rPr>
          <w:sz w:val="20"/>
          <w:szCs w:val="20"/>
          <w:color w:val="auto"/>
        </w:rPr>
      </w:pPr>
    </w:p>
    <w:p>
      <w:pPr>
        <w:ind w:firstLine="864"/>
        <w:spacing w:after="0" w:line="271" w:lineRule="auto"/>
        <w:rPr>
          <w:sz w:val="20"/>
          <w:szCs w:val="20"/>
          <w:color w:val="auto"/>
        </w:rPr>
      </w:pPr>
      <w:r>
        <w:rPr>
          <w:rFonts w:ascii="Arial" w:cs="Arial" w:eastAsia="Arial" w:hAnsi="Arial"/>
          <w:sz w:val="16"/>
          <w:szCs w:val="16"/>
          <w:color w:val="auto"/>
        </w:rPr>
        <w:t>As of May 3, 2021, we have outstanding 37,570,390 shares of common stock and 4,780,112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29,597,866 are freely tradable. The remainder of the outstanding shares of common stock are held by our affiliates and may be considered “control securities” for purposes of Rule 144 under the Securities Act.</w:t>
      </w:r>
    </w:p>
    <w:p>
      <w:pPr>
        <w:spacing w:after="0" w:line="190" w:lineRule="exact"/>
        <w:rPr>
          <w:sz w:val="20"/>
          <w:szCs w:val="20"/>
          <w:color w:val="auto"/>
        </w:rPr>
      </w:pPr>
    </w:p>
    <w:p>
      <w:pPr>
        <w:ind w:right="20" w:firstLine="864"/>
        <w:spacing w:after="0" w:line="204" w:lineRule="exact"/>
        <w:rPr>
          <w:sz w:val="20"/>
          <w:szCs w:val="20"/>
          <w:color w:val="auto"/>
        </w:rPr>
      </w:pPr>
      <w:r>
        <w:rPr>
          <w:rFonts w:ascii="Arial" w:cs="Arial" w:eastAsia="Arial" w:hAnsi="Arial"/>
          <w:sz w:val="16"/>
          <w:szCs w:val="16"/>
          <w:color w:val="auto"/>
        </w:rPr>
        <w:t>In addition, we have filed one or more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registering the issuance of an aggregate of 7,481,050 shares of common stock subject to options or other equity awards issued or reserved for future issuance under our 2015 Omnibus Incentive Compensation Plan, or the Plan. Shares registered under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will be available for sale in the public market subject to vesting arrangements and exercise of options, the lock</w:t>
      </w:r>
      <w:r>
        <w:rPr>
          <w:rFonts w:ascii="MS PGothic" w:cs="MS PGothic" w:eastAsia="MS PGothic" w:hAnsi="MS PGothic"/>
          <w:sz w:val="16"/>
          <w:szCs w:val="16"/>
          <w:color w:val="auto"/>
        </w:rPr>
        <w:t>‑</w:t>
      </w:r>
      <w:r>
        <w:rPr>
          <w:rFonts w:ascii="Arial" w:cs="Arial" w:eastAsia="Arial" w:hAnsi="Arial"/>
          <w:sz w:val="16"/>
          <w:szCs w:val="16"/>
          <w:color w:val="auto"/>
        </w:rPr>
        <w:t>up agreements described above and the restrictions of Rule 144 in the case of our affiliates.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our capital raises, including our December 2019 public offering and the proceeds from sales pursuant to our Sales Agreement, and may not use them effectively.</w:t>
      </w:r>
    </w:p>
    <w:p>
      <w:pPr>
        <w:spacing w:after="0" w:line="172" w:lineRule="exact"/>
        <w:rPr>
          <w:sz w:val="20"/>
          <w:szCs w:val="20"/>
          <w:color w:val="auto"/>
        </w:rPr>
      </w:pPr>
    </w:p>
    <w:p>
      <w:pPr>
        <w:ind w:firstLine="864"/>
        <w:spacing w:after="0" w:line="310" w:lineRule="auto"/>
        <w:rPr>
          <w:sz w:val="20"/>
          <w:szCs w:val="20"/>
          <w:color w:val="auto"/>
        </w:rPr>
      </w:pPr>
      <w:r>
        <w:rPr>
          <w:rFonts w:ascii="Arial" w:cs="Arial" w:eastAsia="Arial" w:hAnsi="Arial"/>
          <w:sz w:val="14"/>
          <w:szCs w:val="14"/>
          <w:color w:val="auto"/>
        </w:rPr>
        <w:t>Our management will have broad discretion in the application of the net proceeds from our capital raises, which we refer to as our Capital Raises, including our December 2019 public offering and the proceeds from sales pursuant to our December 2019 “at-the-market” sales agreement with SVB Leerink, which provides for the sale of up to $80.0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use of our net operating loss carryforwards and research tax credits may be limited.</w:t>
      </w:r>
    </w:p>
    <w:p>
      <w:pPr>
        <w:spacing w:after="0" w:line="235" w:lineRule="exact"/>
        <w:rPr>
          <w:sz w:val="20"/>
          <w:szCs w:val="20"/>
          <w:color w:val="auto"/>
        </w:rPr>
      </w:pPr>
    </w:p>
    <w:p>
      <w:pPr>
        <w:ind w:right="60" w:firstLine="864"/>
        <w:spacing w:after="0" w:line="285" w:lineRule="auto"/>
        <w:rPr>
          <w:sz w:val="20"/>
          <w:szCs w:val="20"/>
          <w:color w:val="auto"/>
        </w:rPr>
      </w:pPr>
      <w:r>
        <w:rPr>
          <w:rFonts w:ascii="Arial" w:cs="Arial" w:eastAsia="Arial" w:hAnsi="Arial"/>
          <w:sz w:val="15"/>
          <w:szCs w:val="15"/>
          <w:color w:val="auto"/>
        </w:rPr>
        <w:t>Our net operating loss carryforwards and any future research and development tax credits may expire and not be used. As of December 31, 2020, we had U.S. federal net operating loss, NOL, carryforwards of approximately $249 million. Net operating loss carry forwards amounting to $60 million generated before the 2018 tax year will start expiring beginning 2032, if we have not used them prior to that time, and the net operating losses of approximately $189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other public and private Capital Raises, and other transactions that have occurred, may trigger, or may have already triggered, such an ownership change. In addition, since we may need to raise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83" w:lineRule="exact"/>
        <w:rPr>
          <w:sz w:val="20"/>
          <w:szCs w:val="20"/>
          <w:color w:val="auto"/>
        </w:rPr>
      </w:pPr>
    </w:p>
    <w:p>
      <w:pPr>
        <w:ind w:right="40" w:firstLine="864"/>
        <w:spacing w:after="0" w:line="289" w:lineRule="auto"/>
        <w:rPr>
          <w:sz w:val="20"/>
          <w:szCs w:val="20"/>
          <w:color w:val="auto"/>
        </w:rPr>
      </w:pPr>
      <w:r>
        <w:rPr>
          <w:rFonts w:ascii="Arial" w:cs="Arial" w:eastAsia="Arial" w:hAnsi="Arial"/>
          <w:sz w:val="15"/>
          <w:szCs w:val="15"/>
          <w:color w:val="auto"/>
        </w:rPr>
        <w:t>On March 27, 2020, the Coronavirus Aid, Relief, and Economic Security Act, or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have evaluated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do not intend to pay dividends on our common stock, returns for our stockholders will be limited to any increase in the value of our stock.</w:t>
      </w:r>
    </w:p>
    <w:p>
      <w:pPr>
        <w:spacing w:after="0" w:line="246" w:lineRule="exact"/>
        <w:rPr>
          <w:sz w:val="20"/>
          <w:szCs w:val="20"/>
          <w:color w:val="auto"/>
        </w:rPr>
      </w:pPr>
    </w:p>
    <w:p>
      <w:pPr>
        <w:ind w:right="100" w:firstLine="864"/>
        <w:spacing w:after="0" w:line="297" w:lineRule="auto"/>
        <w:rPr>
          <w:sz w:val="20"/>
          <w:szCs w:val="20"/>
          <w:color w:val="auto"/>
        </w:rPr>
      </w:pPr>
      <w:r>
        <w:rPr>
          <w:rFonts w:ascii="Arial" w:cs="Arial" w:eastAsia="Arial" w:hAnsi="Arial"/>
          <w:sz w:val="15"/>
          <w:szCs w:val="15"/>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72" w:lineRule="exact"/>
        <w:rPr>
          <w:sz w:val="20"/>
          <w:szCs w:val="20"/>
          <w:color w:val="auto"/>
        </w:rPr>
      </w:pPr>
    </w:p>
    <w:p>
      <w:pPr>
        <w:ind w:right="60" w:firstLine="864"/>
        <w:spacing w:after="0" w:line="291" w:lineRule="auto"/>
        <w:rPr>
          <w:sz w:val="20"/>
          <w:szCs w:val="20"/>
          <w:color w:val="auto"/>
        </w:rPr>
      </w:pPr>
      <w:r>
        <w:rPr>
          <w:rFonts w:ascii="Arial" w:cs="Arial" w:eastAsia="Arial" w:hAnsi="Arial"/>
          <w:sz w:val="15"/>
          <w:szCs w:val="15"/>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6" w:lineRule="exact"/>
        <w:rPr>
          <w:sz w:val="20"/>
          <w:szCs w:val="20"/>
          <w:color w:val="auto"/>
        </w:rPr>
      </w:pPr>
    </w:p>
    <w:p>
      <w:pPr>
        <w:ind w:right="20" w:firstLine="864"/>
        <w:spacing w:after="0" w:line="204" w:lineRule="exact"/>
        <w:rPr>
          <w:sz w:val="20"/>
          <w:szCs w:val="20"/>
          <w:color w:val="auto"/>
        </w:rPr>
      </w:pPr>
      <w:r>
        <w:rPr>
          <w:rFonts w:ascii="Arial" w:cs="Arial" w:eastAsia="Arial" w:hAnsi="Arial"/>
          <w:sz w:val="16"/>
          <w:szCs w:val="16"/>
          <w:color w:val="auto"/>
        </w:rPr>
        <w:t>In addition, we are subject to the anti</w:t>
      </w:r>
      <w:r>
        <w:rPr>
          <w:rFonts w:ascii="MS PGothic" w:cs="MS PGothic" w:eastAsia="MS PGothic" w:hAnsi="MS PGothic"/>
          <w:sz w:val="16"/>
          <w:szCs w:val="16"/>
          <w:color w:val="auto"/>
        </w:rPr>
        <w:t>‑</w:t>
      </w:r>
      <w:r>
        <w:rPr>
          <w:rFonts w:ascii="Arial" w:cs="Arial" w:eastAsia="Arial" w:hAnsi="Arial"/>
          <w:sz w:val="16"/>
          <w:szCs w:val="16"/>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13"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firstLine="864"/>
        <w:spacing w:after="0" w:line="271"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90" w:lineRule="exact"/>
        <w:rPr>
          <w:sz w:val="20"/>
          <w:szCs w:val="20"/>
          <w:color w:val="auto"/>
        </w:rPr>
      </w:pPr>
    </w:p>
    <w:p>
      <w:pPr>
        <w:ind w:firstLine="864"/>
        <w:spacing w:after="0" w:line="308" w:lineRule="auto"/>
        <w:rPr>
          <w:sz w:val="20"/>
          <w:szCs w:val="20"/>
          <w:color w:val="auto"/>
        </w:rPr>
      </w:pPr>
      <w:r>
        <w:rPr>
          <w:rFonts w:ascii="Arial" w:cs="Arial" w:eastAsia="Arial" w:hAnsi="Arial"/>
          <w:sz w:val="14"/>
          <w:szCs w:val="14"/>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71" w:lineRule="exact"/>
        <w:rPr>
          <w:sz w:val="20"/>
          <w:szCs w:val="20"/>
          <w:color w:val="auto"/>
        </w:rPr>
      </w:pPr>
    </w:p>
    <w:p>
      <w:pPr>
        <w:ind w:firstLine="777"/>
        <w:spacing w:after="0" w:line="273" w:lineRule="auto"/>
        <w:rPr>
          <w:sz w:val="20"/>
          <w:szCs w:val="20"/>
          <w:color w:val="auto"/>
        </w:rPr>
      </w:pPr>
      <w:r>
        <w:rPr>
          <w:rFonts w:ascii="Arial" w:cs="Arial" w:eastAsia="Arial" w:hAnsi="Arial"/>
          <w:sz w:val="16"/>
          <w:szCs w:val="16"/>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exhibits filed as part of this Quarterly Report on Form 10-Q are set forth on the Exhibit Index, which is incorporated herein by reference.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40" w:type="dxa"/>
            <w:vAlign w:val="bottom"/>
            <w:gridSpan w:val="5"/>
          </w:tcPr>
          <w:p>
            <w:pPr>
              <w:ind w:left="3020"/>
              <w:spacing w:after="0"/>
              <w:rPr>
                <w:sz w:val="20"/>
                <w:szCs w:val="20"/>
                <w:color w:val="auto"/>
              </w:rPr>
            </w:pPr>
            <w:r>
              <w:rPr>
                <w:rFonts w:ascii="Arial" w:cs="Arial" w:eastAsia="Arial" w:hAnsi="Arial"/>
                <w:sz w:val="16"/>
                <w:szCs w:val="16"/>
                <w:b w:val="1"/>
                <w:bCs w:val="1"/>
                <w:color w:val="auto"/>
              </w:rPr>
              <w:t>INDEX OF EXHIBITS</w:t>
            </w:r>
          </w:p>
        </w:tc>
      </w:tr>
      <w:tr>
        <w:trPr>
          <w:trHeight w:val="366"/>
        </w:trPr>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Exhibit</w:t>
            </w:r>
          </w:p>
        </w:tc>
        <w:tc>
          <w:tcPr>
            <w:tcW w:w="66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3"/>
        </w:trPr>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Number</w:t>
            </w:r>
          </w:p>
        </w:tc>
        <w:tc>
          <w:tcPr>
            <w:tcW w:w="660" w:type="dxa"/>
            <w:vAlign w:val="bottom"/>
          </w:tcPr>
          <w:p>
            <w:pPr>
              <w:spacing w:after="0"/>
              <w:rPr>
                <w:sz w:val="13"/>
                <w:szCs w:val="13"/>
                <w:color w:val="auto"/>
              </w:rPr>
            </w:pPr>
          </w:p>
        </w:tc>
        <w:tc>
          <w:tcPr>
            <w:tcW w:w="9440" w:type="dxa"/>
            <w:vAlign w:val="bottom"/>
            <w:gridSpan w:val="5"/>
          </w:tcPr>
          <w:p>
            <w:pPr>
              <w:ind w:left="4080"/>
              <w:spacing w:after="0"/>
              <w:rPr>
                <w:sz w:val="20"/>
                <w:szCs w:val="20"/>
                <w:color w:val="auto"/>
              </w:rPr>
            </w:pPr>
            <w:r>
              <w:rPr>
                <w:rFonts w:ascii="Arial" w:cs="Arial" w:eastAsia="Arial" w:hAnsi="Arial"/>
                <w:sz w:val="13"/>
                <w:szCs w:val="13"/>
                <w:b w:val="1"/>
                <w:bCs w:val="1"/>
                <w:color w:val="auto"/>
              </w:rPr>
              <w:t>Description</w:t>
            </w:r>
          </w:p>
        </w:tc>
      </w:tr>
      <w:tr>
        <w:trPr>
          <w:trHeight w:val="277"/>
        </w:trPr>
        <w:tc>
          <w:tcPr>
            <w:tcW w:w="1020" w:type="dxa"/>
            <w:vAlign w:val="bottom"/>
            <w:tcBorders>
              <w:top w:val="single" w:sz="8" w:color="auto"/>
            </w:tcBorders>
          </w:tcPr>
          <w:p>
            <w:pPr>
              <w:jc w:val="center"/>
              <w:ind w:right="322"/>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10100" w:type="dxa"/>
            <w:vAlign w:val="bottom"/>
            <w:tcBorders>
              <w:top w:val="single" w:sz="8" w:color="auto"/>
            </w:tcBorders>
            <w:gridSpan w:val="6"/>
          </w:tcPr>
          <w:p>
            <w:pPr>
              <w:spacing w:after="0"/>
              <w:rPr>
                <w:rFonts w:ascii="Arial" w:cs="Arial" w:eastAsia="Arial" w:hAnsi="Arial"/>
                <w:sz w:val="16"/>
                <w:szCs w:val="16"/>
                <w:color w:val="0000EE"/>
                <w:w w:val="93"/>
              </w:rPr>
            </w:pPr>
            <w:hyperlink w:anchor="page87">
              <w:r>
                <w:rPr>
                  <w:rFonts w:ascii="Arial" w:cs="Arial" w:eastAsia="Arial" w:hAnsi="Arial"/>
                  <w:sz w:val="16"/>
                  <w:szCs w:val="16"/>
                  <w:color w:val="0000EE"/>
                  <w:w w:val="93"/>
                </w:rPr>
                <w:t>Certification of Principal Executive Officer pursuant to Rule 13a-14(a)/15d-14(a), as adopted pursuant to Section 302 of the Sarbanes-Oxley Act of 2002.</w:t>
              </w:r>
            </w:hyperlink>
          </w:p>
        </w:tc>
      </w:tr>
      <w:tr>
        <w:trPr>
          <w:trHeight w:val="344"/>
        </w:trPr>
        <w:tc>
          <w:tcPr>
            <w:tcW w:w="1020" w:type="dxa"/>
            <w:vAlign w:val="bottom"/>
          </w:tcPr>
          <w:p>
            <w:pPr>
              <w:jc w:val="center"/>
              <w:ind w:right="322"/>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4"/>
                <w:szCs w:val="24"/>
                <w:color w:val="auto"/>
              </w:rPr>
            </w:pPr>
          </w:p>
        </w:tc>
        <w:tc>
          <w:tcPr>
            <w:tcW w:w="9960" w:type="dxa"/>
            <w:vAlign w:val="bottom"/>
            <w:tcBorders>
              <w:top w:val="single" w:sz="8" w:color="0000EE"/>
            </w:tcBorders>
            <w:gridSpan w:val="3"/>
          </w:tcPr>
          <w:p>
            <w:pPr>
              <w:spacing w:after="0"/>
              <w:rPr>
                <w:rFonts w:ascii="Arial" w:cs="Arial" w:eastAsia="Arial" w:hAnsi="Arial"/>
                <w:sz w:val="16"/>
                <w:szCs w:val="16"/>
                <w:color w:val="0000EE"/>
                <w:w w:val="92"/>
              </w:rPr>
            </w:pPr>
            <w:hyperlink w:anchor="page88">
              <w:r>
                <w:rPr>
                  <w:rFonts w:ascii="Arial" w:cs="Arial" w:eastAsia="Arial" w:hAnsi="Arial"/>
                  <w:sz w:val="16"/>
                  <w:szCs w:val="16"/>
                  <w:color w:val="0000EE"/>
                  <w:w w:val="92"/>
                </w:rPr>
                <w:t>Certification of Principal Financial Officer pursuant to Rule 13a-14(a)/15d-14(a), as adopted pursuant to Section 302 of the Sarbanes-Oxley Act of 2002.</w:t>
              </w:r>
            </w:hyperlink>
          </w:p>
        </w:tc>
        <w:tc>
          <w:tcPr>
            <w:tcW w:w="140" w:type="dxa"/>
            <w:vAlign w:val="bottom"/>
            <w:gridSpan w:val="3"/>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020" w:type="dxa"/>
            <w:vAlign w:val="bottom"/>
          </w:tcPr>
          <w:p>
            <w:pPr>
              <w:jc w:val="center"/>
              <w:ind w:right="322"/>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4"/>
                <w:szCs w:val="24"/>
                <w:color w:val="auto"/>
              </w:rPr>
            </w:pPr>
          </w:p>
        </w:tc>
        <w:tc>
          <w:tcPr>
            <w:tcW w:w="10060" w:type="dxa"/>
            <w:vAlign w:val="bottom"/>
            <w:tcBorders>
              <w:bottom w:val="single" w:sz="8" w:color="0000EE"/>
            </w:tcBorders>
            <w:gridSpan w:val="5"/>
          </w:tcPr>
          <w:p>
            <w:pPr>
              <w:spacing w:after="0"/>
              <w:rPr>
                <w:rFonts w:ascii="Arial" w:cs="Arial" w:eastAsia="Arial" w:hAnsi="Arial"/>
                <w:sz w:val="16"/>
                <w:szCs w:val="16"/>
                <w:color w:val="0000EE"/>
                <w:w w:val="92"/>
              </w:rPr>
            </w:pPr>
            <w:hyperlink w:anchor="page89">
              <w:r>
                <w:rPr>
                  <w:rFonts w:ascii="Arial" w:cs="Arial" w:eastAsia="Arial" w:hAnsi="Arial"/>
                  <w:sz w:val="16"/>
                  <w:szCs w:val="16"/>
                  <w:color w:val="0000EE"/>
                  <w:w w:val="92"/>
                </w:rPr>
                <w:t>Certification of Principal Executive Officer pursuant to 18 U.S.C. §1350, as adopted pursuant to Section 906 of the Sarbanes-Oxley Act of 2002 (furnished</w:t>
              </w:r>
            </w:hyperlink>
          </w:p>
        </w:tc>
        <w:tc>
          <w:tcPr>
            <w:tcW w:w="40" w:type="dxa"/>
            <w:vAlign w:val="bottom"/>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6"/>
          </w:tcPr>
          <w:p>
            <w:pPr>
              <w:spacing w:after="0" w:line="183" w:lineRule="exact"/>
              <w:rPr>
                <w:rFonts w:ascii="Arial" w:cs="Arial" w:eastAsia="Arial" w:hAnsi="Arial"/>
                <w:sz w:val="16"/>
                <w:szCs w:val="16"/>
                <w:color w:val="0000EE"/>
              </w:rPr>
            </w:pPr>
            <w:hyperlink w:anchor="page89">
              <w:r>
                <w:rPr>
                  <w:rFonts w:ascii="Arial" w:cs="Arial" w:eastAsia="Arial" w:hAnsi="Arial"/>
                  <w:sz w:val="16"/>
                  <w:szCs w:val="16"/>
                  <w:color w:val="0000EE"/>
                </w:rPr>
                <w:t>herewith).</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3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020" w:type="dxa"/>
            <w:vAlign w:val="bottom"/>
          </w:tcPr>
          <w:p>
            <w:pPr>
              <w:jc w:val="center"/>
              <w:ind w:right="322"/>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4"/>
                <w:szCs w:val="24"/>
                <w:color w:val="auto"/>
              </w:rPr>
            </w:pPr>
          </w:p>
        </w:tc>
        <w:tc>
          <w:tcPr>
            <w:tcW w:w="10020" w:type="dxa"/>
            <w:vAlign w:val="bottom"/>
            <w:tcBorders>
              <w:bottom w:val="single" w:sz="8" w:color="0000EE"/>
            </w:tcBorders>
            <w:gridSpan w:val="4"/>
          </w:tcPr>
          <w:p>
            <w:pPr>
              <w:spacing w:after="0"/>
              <w:rPr>
                <w:rFonts w:ascii="Arial" w:cs="Arial" w:eastAsia="Arial" w:hAnsi="Arial"/>
                <w:sz w:val="16"/>
                <w:szCs w:val="16"/>
                <w:color w:val="0000EE"/>
                <w:w w:val="92"/>
              </w:rPr>
            </w:pPr>
            <w:hyperlink w:anchor="page90">
              <w:r>
                <w:rPr>
                  <w:rFonts w:ascii="Arial" w:cs="Arial" w:eastAsia="Arial" w:hAnsi="Arial"/>
                  <w:sz w:val="16"/>
                  <w:szCs w:val="16"/>
                  <w:color w:val="0000EE"/>
                  <w:w w:val="92"/>
                </w:rPr>
                <w:t>Certification of Principal Financial Officer pursuant to 18 U.S.C. §1350, as adopted pursuant to Section 906 of the Sarbanes-Oxley Act of 2002 (furnished</w:t>
              </w:r>
            </w:hyperlink>
          </w:p>
        </w:tc>
        <w:tc>
          <w:tcPr>
            <w:tcW w:w="80" w:type="dxa"/>
            <w:vAlign w:val="bottom"/>
            <w:gridSpan w:val="2"/>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6"/>
          </w:tcPr>
          <w:p>
            <w:pPr>
              <w:spacing w:after="0" w:line="183" w:lineRule="exact"/>
              <w:rPr>
                <w:rFonts w:ascii="Arial" w:cs="Arial" w:eastAsia="Arial" w:hAnsi="Arial"/>
                <w:sz w:val="16"/>
                <w:szCs w:val="16"/>
                <w:color w:val="0000EE"/>
              </w:rPr>
            </w:pPr>
            <w:hyperlink w:anchor="page90">
              <w:r>
                <w:rPr>
                  <w:rFonts w:ascii="Arial" w:cs="Arial" w:eastAsia="Arial" w:hAnsi="Arial"/>
                  <w:sz w:val="16"/>
                  <w:szCs w:val="16"/>
                  <w:color w:val="0000EE"/>
                </w:rPr>
                <w:t>herewith).</w:t>
              </w:r>
            </w:hyperlink>
          </w:p>
        </w:tc>
      </w:tr>
      <w:tr>
        <w:trPr>
          <w:trHeight w:val="20"/>
        </w:trPr>
        <w:tc>
          <w:tcPr>
            <w:tcW w:w="114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40" w:type="dxa"/>
            <w:vAlign w:val="bottom"/>
            <w:gridSpan w:val="5"/>
          </w:tcPr>
          <w:p>
            <w:pPr>
              <w:spacing w:after="0" w:line="20" w:lineRule="exact"/>
              <w:rPr>
                <w:sz w:val="1"/>
                <w:szCs w:val="1"/>
                <w:color w:val="auto"/>
              </w:rPr>
            </w:pPr>
          </w:p>
        </w:tc>
      </w:tr>
      <w:tr>
        <w:trPr>
          <w:trHeight w:val="335"/>
        </w:trPr>
        <w:tc>
          <w:tcPr>
            <w:tcW w:w="1140" w:type="dxa"/>
            <w:vAlign w:val="bottom"/>
            <w:gridSpan w:val="2"/>
          </w:tcPr>
          <w:p>
            <w:pPr>
              <w:spacing w:after="0"/>
              <w:rPr>
                <w:sz w:val="20"/>
                <w:szCs w:val="20"/>
                <w:color w:val="auto"/>
              </w:rPr>
            </w:pPr>
            <w:r>
              <w:rPr>
                <w:rFonts w:ascii="Arial" w:cs="Arial" w:eastAsia="Arial" w:hAnsi="Arial"/>
                <w:sz w:val="16"/>
                <w:szCs w:val="16"/>
                <w:color w:val="auto"/>
              </w:rPr>
              <w:t>101.INS</w:t>
            </w:r>
          </w:p>
        </w:tc>
        <w:tc>
          <w:tcPr>
            <w:tcW w:w="10100" w:type="dxa"/>
            <w:vAlign w:val="bottom"/>
            <w:gridSpan w:val="6"/>
          </w:tcPr>
          <w:p>
            <w:pPr>
              <w:spacing w:after="0"/>
              <w:rPr>
                <w:sz w:val="20"/>
                <w:szCs w:val="20"/>
                <w:color w:val="auto"/>
              </w:rPr>
            </w:pPr>
            <w:r>
              <w:rPr>
                <w:rFonts w:ascii="Arial" w:cs="Arial" w:eastAsia="Arial" w:hAnsi="Arial"/>
                <w:sz w:val="16"/>
                <w:szCs w:val="16"/>
                <w:color w:val="auto"/>
                <w:w w:val="95"/>
              </w:rPr>
              <w:t>Inline XBRL Instance Document (the instance document does not appear in the Interactive Data File because its XBRL tags are embedded within the</w:t>
            </w: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6"/>
          </w:tcPr>
          <w:p>
            <w:pPr>
              <w:spacing w:after="0"/>
              <w:rPr>
                <w:sz w:val="20"/>
                <w:szCs w:val="20"/>
                <w:color w:val="auto"/>
              </w:rPr>
            </w:pPr>
            <w:r>
              <w:rPr>
                <w:rFonts w:ascii="Arial" w:cs="Arial" w:eastAsia="Arial" w:hAnsi="Arial"/>
                <w:sz w:val="16"/>
                <w:szCs w:val="16"/>
                <w:color w:val="auto"/>
              </w:rPr>
              <w:t>Inline XBRL document)</w:t>
            </w:r>
          </w:p>
        </w:tc>
      </w:tr>
      <w:tr>
        <w:trPr>
          <w:trHeight w:val="324"/>
        </w:trPr>
        <w:tc>
          <w:tcPr>
            <w:tcW w:w="1140" w:type="dxa"/>
            <w:vAlign w:val="bottom"/>
            <w:gridSpan w:val="2"/>
          </w:tcPr>
          <w:p>
            <w:pPr>
              <w:jc w:val="center"/>
              <w:ind w:right="540"/>
              <w:spacing w:after="0"/>
              <w:rPr>
                <w:sz w:val="20"/>
                <w:szCs w:val="20"/>
                <w:color w:val="auto"/>
              </w:rPr>
            </w:pPr>
            <w:r>
              <w:rPr>
                <w:rFonts w:ascii="Arial" w:cs="Arial" w:eastAsia="Arial" w:hAnsi="Arial"/>
                <w:sz w:val="16"/>
                <w:szCs w:val="16"/>
                <w:color w:val="auto"/>
                <w:w w:val="92"/>
              </w:rPr>
              <w:t>101.SCH</w:t>
            </w:r>
          </w:p>
        </w:tc>
        <w:tc>
          <w:tcPr>
            <w:tcW w:w="10100" w:type="dxa"/>
            <w:vAlign w:val="bottom"/>
            <w:gridSpan w:val="6"/>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364"/>
        </w:trPr>
        <w:tc>
          <w:tcPr>
            <w:tcW w:w="1140" w:type="dxa"/>
            <w:vAlign w:val="bottom"/>
            <w:gridSpan w:val="2"/>
          </w:tcPr>
          <w:p>
            <w:pPr>
              <w:jc w:val="center"/>
              <w:ind w:right="520"/>
              <w:spacing w:after="0"/>
              <w:rPr>
                <w:sz w:val="20"/>
                <w:szCs w:val="20"/>
                <w:color w:val="auto"/>
              </w:rPr>
            </w:pPr>
            <w:r>
              <w:rPr>
                <w:rFonts w:ascii="Arial" w:cs="Arial" w:eastAsia="Arial" w:hAnsi="Arial"/>
                <w:sz w:val="16"/>
                <w:szCs w:val="16"/>
                <w:color w:val="auto"/>
                <w:w w:val="99"/>
              </w:rPr>
              <w:t>101.CAL</w:t>
            </w:r>
          </w:p>
        </w:tc>
        <w:tc>
          <w:tcPr>
            <w:tcW w:w="10100" w:type="dxa"/>
            <w:vAlign w:val="bottom"/>
            <w:gridSpan w:val="6"/>
          </w:tcPr>
          <w:p>
            <w:pPr>
              <w:spacing w:after="0"/>
              <w:rPr>
                <w:sz w:val="20"/>
                <w:szCs w:val="20"/>
                <w:color w:val="auto"/>
              </w:rPr>
            </w:pPr>
            <w:r>
              <w:rPr>
                <w:rFonts w:ascii="Arial" w:cs="Arial" w:eastAsia="Arial" w:hAnsi="Arial"/>
                <w:sz w:val="16"/>
                <w:szCs w:val="16"/>
                <w:color w:val="auto"/>
              </w:rPr>
              <w:t>Inline XBRL Taxonomy Extension Calculation Database Document</w:t>
            </w:r>
          </w:p>
        </w:tc>
      </w:tr>
      <w:tr>
        <w:trPr>
          <w:trHeight w:val="364"/>
        </w:trPr>
        <w:tc>
          <w:tcPr>
            <w:tcW w:w="1140" w:type="dxa"/>
            <w:vAlign w:val="bottom"/>
            <w:gridSpan w:val="2"/>
          </w:tcPr>
          <w:p>
            <w:pPr>
              <w:jc w:val="center"/>
              <w:ind w:right="540"/>
              <w:spacing w:after="0"/>
              <w:rPr>
                <w:sz w:val="20"/>
                <w:szCs w:val="20"/>
                <w:color w:val="auto"/>
              </w:rPr>
            </w:pPr>
            <w:r>
              <w:rPr>
                <w:rFonts w:ascii="Arial" w:cs="Arial" w:eastAsia="Arial" w:hAnsi="Arial"/>
                <w:sz w:val="16"/>
                <w:szCs w:val="16"/>
                <w:color w:val="auto"/>
                <w:w w:val="94"/>
              </w:rPr>
              <w:t>101.DEF</w:t>
            </w:r>
          </w:p>
        </w:tc>
        <w:tc>
          <w:tcPr>
            <w:tcW w:w="10100" w:type="dxa"/>
            <w:vAlign w:val="bottom"/>
            <w:gridSpan w:val="6"/>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365"/>
        </w:trPr>
        <w:tc>
          <w:tcPr>
            <w:tcW w:w="1140" w:type="dxa"/>
            <w:vAlign w:val="bottom"/>
            <w:gridSpan w:val="2"/>
          </w:tcPr>
          <w:p>
            <w:pPr>
              <w:jc w:val="center"/>
              <w:ind w:right="520"/>
              <w:spacing w:after="0"/>
              <w:rPr>
                <w:sz w:val="20"/>
                <w:szCs w:val="20"/>
                <w:color w:val="auto"/>
              </w:rPr>
            </w:pPr>
            <w:r>
              <w:rPr>
                <w:rFonts w:ascii="Arial" w:cs="Arial" w:eastAsia="Arial" w:hAnsi="Arial"/>
                <w:sz w:val="16"/>
                <w:szCs w:val="16"/>
                <w:color w:val="auto"/>
              </w:rPr>
              <w:t>101.LAB</w:t>
            </w:r>
          </w:p>
        </w:tc>
        <w:tc>
          <w:tcPr>
            <w:tcW w:w="10100" w:type="dxa"/>
            <w:vAlign w:val="bottom"/>
            <w:gridSpan w:val="6"/>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64"/>
        </w:trPr>
        <w:tc>
          <w:tcPr>
            <w:tcW w:w="1140" w:type="dxa"/>
            <w:vAlign w:val="bottom"/>
            <w:gridSpan w:val="2"/>
          </w:tcPr>
          <w:p>
            <w:pPr>
              <w:jc w:val="center"/>
              <w:ind w:right="560"/>
              <w:spacing w:after="0"/>
              <w:rPr>
                <w:sz w:val="20"/>
                <w:szCs w:val="20"/>
                <w:color w:val="auto"/>
              </w:rPr>
            </w:pPr>
            <w:r>
              <w:rPr>
                <w:rFonts w:ascii="Arial" w:cs="Arial" w:eastAsia="Arial" w:hAnsi="Arial"/>
                <w:sz w:val="16"/>
                <w:szCs w:val="16"/>
                <w:color w:val="auto"/>
                <w:w w:val="90"/>
              </w:rPr>
              <w:t>101.PRE</w:t>
            </w:r>
          </w:p>
        </w:tc>
        <w:tc>
          <w:tcPr>
            <w:tcW w:w="10100" w:type="dxa"/>
            <w:vAlign w:val="bottom"/>
            <w:gridSpan w:val="6"/>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364"/>
        </w:trPr>
        <w:tc>
          <w:tcPr>
            <w:tcW w:w="1020" w:type="dxa"/>
            <w:vAlign w:val="bottom"/>
          </w:tcPr>
          <w:p>
            <w:pPr>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10100" w:type="dxa"/>
            <w:vAlign w:val="bottom"/>
            <w:gridSpan w:val="6"/>
          </w:tcPr>
          <w:p>
            <w:pPr>
              <w:spacing w:after="0"/>
              <w:rPr>
                <w:sz w:val="20"/>
                <w:szCs w:val="20"/>
                <w:color w:val="auto"/>
              </w:rPr>
            </w:pPr>
            <w:r>
              <w:rPr>
                <w:rFonts w:ascii="Arial" w:cs="Arial" w:eastAsia="Arial" w:hAnsi="Arial"/>
                <w:sz w:val="16"/>
                <w:szCs w:val="16"/>
                <w:color w:val="auto"/>
              </w:rPr>
              <w:t>Cover Page Interactive Data File (formatted as inline XBRL with applicable taxonomy extension information contained in Exhibits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39" w:lineRule="exact"/>
        <w:rPr>
          <w:sz w:val="20"/>
          <w:szCs w:val="20"/>
          <w:color w:val="auto"/>
        </w:rPr>
      </w:pPr>
    </w:p>
    <w:p>
      <w:pPr>
        <w:ind w:right="380" w:firstLine="777"/>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20" w:type="dxa"/>
            <w:vAlign w:val="bottom"/>
          </w:tcPr>
          <w:p>
            <w:pPr>
              <w:spacing w:after="0"/>
              <w:rPr>
                <w:sz w:val="17"/>
                <w:szCs w:val="17"/>
                <w:color w:val="auto"/>
              </w:rPr>
            </w:pPr>
          </w:p>
        </w:tc>
        <w:tc>
          <w:tcPr>
            <w:tcW w:w="7720" w:type="dxa"/>
            <w:vAlign w:val="bottom"/>
            <w:gridSpan w:val="2"/>
          </w:tcPr>
          <w:p>
            <w:pPr>
              <w:ind w:left="2220"/>
              <w:spacing w:after="0"/>
              <w:rPr>
                <w:sz w:val="20"/>
                <w:szCs w:val="20"/>
                <w:color w:val="auto"/>
              </w:rPr>
            </w:pPr>
            <w:r>
              <w:rPr>
                <w:rFonts w:ascii="Arial" w:cs="Arial" w:eastAsia="Arial" w:hAnsi="Arial"/>
                <w:sz w:val="16"/>
                <w:szCs w:val="16"/>
                <w:color w:val="auto"/>
              </w:rPr>
              <w:t>AXSOME THERAPEUTICS, INC.</w:t>
            </w:r>
          </w:p>
        </w:tc>
      </w:tr>
      <w:tr>
        <w:trPr>
          <w:trHeight w:val="489"/>
        </w:trPr>
        <w:tc>
          <w:tcPr>
            <w:tcW w:w="3520" w:type="dxa"/>
            <w:vAlign w:val="bottom"/>
          </w:tcPr>
          <w:p>
            <w:pPr>
              <w:spacing w:after="0"/>
              <w:rPr>
                <w:sz w:val="20"/>
                <w:szCs w:val="20"/>
                <w:color w:val="auto"/>
              </w:rPr>
            </w:pPr>
            <w:r>
              <w:rPr>
                <w:rFonts w:ascii="Arial" w:cs="Arial" w:eastAsia="Arial" w:hAnsi="Arial"/>
                <w:sz w:val="16"/>
                <w:szCs w:val="16"/>
                <w:color w:val="auto"/>
              </w:rPr>
              <w:t>Date: May 10, 2021</w:t>
            </w:r>
          </w:p>
        </w:tc>
        <w:tc>
          <w:tcPr>
            <w:tcW w:w="2560" w:type="dxa"/>
            <w:vAlign w:val="bottom"/>
          </w:tcPr>
          <w:p>
            <w:pPr>
              <w:ind w:left="2220"/>
              <w:spacing w:after="0"/>
              <w:rPr>
                <w:sz w:val="20"/>
                <w:szCs w:val="20"/>
                <w:color w:val="auto"/>
              </w:rPr>
            </w:pPr>
            <w:r>
              <w:rPr>
                <w:rFonts w:ascii="Arial" w:cs="Arial" w:eastAsia="Arial" w:hAnsi="Arial"/>
                <w:sz w:val="16"/>
                <w:szCs w:val="16"/>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Herriot Tabuteau, M.D.</w:t>
            </w:r>
          </w:p>
        </w:tc>
      </w:tr>
      <w:tr>
        <w:trPr>
          <w:trHeight w:val="203"/>
        </w:trPr>
        <w:tc>
          <w:tcPr>
            <w:tcW w:w="3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Herriot Tabuteau, M.D.</w:t>
            </w:r>
          </w:p>
        </w:tc>
      </w:tr>
      <w:tr>
        <w:trPr>
          <w:trHeight w:val="233"/>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243"/>
        </w:trPr>
        <w:tc>
          <w:tcPr>
            <w:tcW w:w="35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732"/>
        </w:trPr>
        <w:tc>
          <w:tcPr>
            <w:tcW w:w="3520" w:type="dxa"/>
            <w:vAlign w:val="bottom"/>
          </w:tcPr>
          <w:p>
            <w:pPr>
              <w:spacing w:after="0"/>
              <w:rPr>
                <w:sz w:val="20"/>
                <w:szCs w:val="20"/>
                <w:color w:val="auto"/>
              </w:rPr>
            </w:pPr>
            <w:r>
              <w:rPr>
                <w:rFonts w:ascii="Arial" w:cs="Arial" w:eastAsia="Arial" w:hAnsi="Arial"/>
                <w:sz w:val="16"/>
                <w:szCs w:val="16"/>
                <w:color w:val="auto"/>
              </w:rPr>
              <w:t>Date: May 10, 2021</w:t>
            </w:r>
          </w:p>
        </w:tc>
        <w:tc>
          <w:tcPr>
            <w:tcW w:w="2560" w:type="dxa"/>
            <w:vAlign w:val="bottom"/>
          </w:tcPr>
          <w:p>
            <w:pPr>
              <w:ind w:left="2220"/>
              <w:spacing w:after="0"/>
              <w:rPr>
                <w:sz w:val="20"/>
                <w:szCs w:val="20"/>
                <w:color w:val="auto"/>
              </w:rPr>
            </w:pPr>
            <w:r>
              <w:rPr>
                <w:rFonts w:ascii="Arial" w:cs="Arial" w:eastAsia="Arial" w:hAnsi="Arial"/>
                <w:sz w:val="16"/>
                <w:szCs w:val="16"/>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Nick Pizzie</w:t>
            </w:r>
          </w:p>
        </w:tc>
      </w:tr>
      <w:tr>
        <w:trPr>
          <w:trHeight w:val="203"/>
        </w:trPr>
        <w:tc>
          <w:tcPr>
            <w:tcW w:w="3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Nick Pizzie</w:t>
            </w:r>
          </w:p>
        </w:tc>
      </w:tr>
    </w:tbl>
    <w:p>
      <w:pPr>
        <w:spacing w:after="0" w:line="27"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Chief Financial Officer</w:t>
      </w:r>
    </w:p>
    <w:p>
      <w:pPr>
        <w:spacing w:after="0" w:line="5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40"/>
          </w:cols>
          <w:pgMar w:left="320" w:top="130"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color w:val="auto"/>
        </w:rPr>
        <w:t>Exhibit 31.1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REPORT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Herriot Tabuteau, M.D., certify that:</w:t>
      </w:r>
    </w:p>
    <w:p>
      <w:pPr>
        <w:spacing w:after="0" w:line="235" w:lineRule="exact"/>
        <w:rPr>
          <w:sz w:val="20"/>
          <w:szCs w:val="20"/>
          <w:color w:val="auto"/>
        </w:rPr>
      </w:pPr>
    </w:p>
    <w:p>
      <w:pPr>
        <w:ind w:left="300" w:hanging="292"/>
        <w:spacing w:after="0"/>
        <w:tabs>
          <w:tab w:leader="none" w:pos="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Axsome Therapeutics, Inc.;</w:t>
      </w:r>
    </w:p>
    <w:p>
      <w:pPr>
        <w:spacing w:after="0" w:line="234" w:lineRule="exact"/>
        <w:rPr>
          <w:rFonts w:ascii="Arial" w:cs="Arial" w:eastAsia="Arial" w:hAnsi="Arial"/>
          <w:sz w:val="16"/>
          <w:szCs w:val="16"/>
          <w:color w:val="auto"/>
        </w:rPr>
      </w:pPr>
    </w:p>
    <w:p>
      <w:pPr>
        <w:ind w:right="200" w:firstLine="8"/>
        <w:spacing w:after="0" w:line="293" w:lineRule="auto"/>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6"/>
          <w:szCs w:val="16"/>
          <w:color w:val="auto"/>
        </w:rPr>
      </w:pPr>
    </w:p>
    <w:p>
      <w:pPr>
        <w:ind w:right="200" w:firstLine="8"/>
        <w:spacing w:after="0" w:line="293" w:lineRule="auto"/>
        <w:tabs>
          <w:tab w:leader="none" w:pos="2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16"/>
          <w:szCs w:val="16"/>
          <w:color w:val="auto"/>
        </w:rPr>
      </w:pPr>
    </w:p>
    <w:p>
      <w:pPr>
        <w:ind w:firstLine="8"/>
        <w:spacing w:after="0" w:line="328" w:lineRule="auto"/>
        <w:tabs>
          <w:tab w:leader="none" w:pos="281"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Arial" w:cs="Arial" w:eastAsia="Arial" w:hAnsi="Arial"/>
          <w:sz w:val="15"/>
          <w:szCs w:val="15"/>
          <w:color w:val="auto"/>
        </w:rPr>
      </w:pPr>
    </w:p>
    <w:p>
      <w:pPr>
        <w:ind w:left="880" w:right="200" w:hanging="408"/>
        <w:spacing w:after="0" w:line="278" w:lineRule="auto"/>
        <w:tabs>
          <w:tab w:leader="none" w:pos="769"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880" w:right="100" w:hanging="408"/>
        <w:spacing w:after="0" w:line="278" w:lineRule="auto"/>
        <w:tabs>
          <w:tab w:leader="none" w:pos="778"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880" w:right="440" w:hanging="408"/>
        <w:spacing w:after="0" w:line="293" w:lineRule="auto"/>
        <w:tabs>
          <w:tab w:leader="none" w:pos="769"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Arial" w:cs="Arial" w:eastAsia="Arial" w:hAnsi="Arial"/>
          <w:sz w:val="16"/>
          <w:szCs w:val="16"/>
          <w:color w:val="auto"/>
        </w:rPr>
      </w:pPr>
    </w:p>
    <w:p>
      <w:pPr>
        <w:ind w:left="880" w:right="100" w:hanging="408"/>
        <w:spacing w:after="0" w:line="278" w:lineRule="auto"/>
        <w:tabs>
          <w:tab w:leader="none" w:pos="778"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right="100" w:firstLine="8"/>
        <w:spacing w:after="0" w:line="293" w:lineRule="auto"/>
        <w:tabs>
          <w:tab w:leader="none" w:pos="28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Arial" w:cs="Arial" w:eastAsia="Arial" w:hAnsi="Arial"/>
          <w:sz w:val="16"/>
          <w:szCs w:val="16"/>
          <w:color w:val="auto"/>
        </w:rPr>
      </w:pPr>
    </w:p>
    <w:p>
      <w:pPr>
        <w:ind w:left="880" w:right="640" w:hanging="408"/>
        <w:spacing w:after="0" w:line="293" w:lineRule="auto"/>
        <w:tabs>
          <w:tab w:leader="none" w:pos="7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880" w:right="220" w:hanging="408"/>
        <w:spacing w:after="0" w:line="293" w:lineRule="auto"/>
        <w:tabs>
          <w:tab w:leader="none" w:pos="769"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20" w:type="dxa"/>
            <w:vAlign w:val="bottom"/>
          </w:tcPr>
          <w:p>
            <w:pPr>
              <w:spacing w:after="0"/>
              <w:rPr>
                <w:sz w:val="20"/>
                <w:szCs w:val="20"/>
                <w:color w:val="auto"/>
              </w:rPr>
            </w:pPr>
            <w:r>
              <w:rPr>
                <w:rFonts w:ascii="Arial" w:cs="Arial" w:eastAsia="Arial" w:hAnsi="Arial"/>
                <w:sz w:val="16"/>
                <w:szCs w:val="16"/>
                <w:color w:val="auto"/>
              </w:rPr>
              <w:t>Date: May 10,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Herriot Tabuteau, M.D.</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Herriot Tabuteau, M.D.</w:t>
            </w:r>
          </w:p>
        </w:tc>
      </w:tr>
      <w:tr>
        <w:trPr>
          <w:trHeight w:val="233"/>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243"/>
        </w:trPr>
        <w:tc>
          <w:tcPr>
            <w:tcW w:w="56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74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9"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color w:val="auto"/>
        </w:rPr>
        <w:t>Exhibit 31.2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REPORT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Nick Pizzie, certify that:</w:t>
      </w:r>
    </w:p>
    <w:p>
      <w:pPr>
        <w:spacing w:after="0" w:line="235"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Axsome Therapeutics, Inc.;</w:t>
      </w:r>
    </w:p>
    <w:p>
      <w:pPr>
        <w:spacing w:after="0" w:line="234" w:lineRule="exact"/>
        <w:rPr>
          <w:rFonts w:ascii="Arial" w:cs="Arial" w:eastAsia="Arial" w:hAnsi="Arial"/>
          <w:sz w:val="16"/>
          <w:szCs w:val="16"/>
          <w:color w:val="auto"/>
        </w:rPr>
      </w:pPr>
    </w:p>
    <w:p>
      <w:pPr>
        <w:ind w:right="200" w:firstLine="8"/>
        <w:spacing w:after="0" w:line="293" w:lineRule="auto"/>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6"/>
          <w:szCs w:val="16"/>
          <w:color w:val="auto"/>
        </w:rPr>
      </w:pPr>
    </w:p>
    <w:p>
      <w:pPr>
        <w:ind w:right="200" w:firstLine="8"/>
        <w:spacing w:after="0" w:line="293" w:lineRule="auto"/>
        <w:tabs>
          <w:tab w:leader="none" w:pos="2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16"/>
          <w:szCs w:val="16"/>
          <w:color w:val="auto"/>
        </w:rPr>
      </w:pPr>
    </w:p>
    <w:p>
      <w:pPr>
        <w:ind w:firstLine="8"/>
        <w:spacing w:after="0" w:line="328" w:lineRule="auto"/>
        <w:tabs>
          <w:tab w:leader="none" w:pos="281"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Arial" w:cs="Arial" w:eastAsia="Arial" w:hAnsi="Arial"/>
          <w:sz w:val="15"/>
          <w:szCs w:val="15"/>
          <w:color w:val="auto"/>
        </w:rPr>
      </w:pPr>
    </w:p>
    <w:p>
      <w:pPr>
        <w:ind w:left="880" w:right="200" w:hanging="408"/>
        <w:spacing w:after="0" w:line="278" w:lineRule="auto"/>
        <w:tabs>
          <w:tab w:leader="none" w:pos="769"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880" w:right="100" w:hanging="408"/>
        <w:spacing w:after="0" w:line="278" w:lineRule="auto"/>
        <w:tabs>
          <w:tab w:leader="none" w:pos="778"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880" w:right="440" w:hanging="408"/>
        <w:spacing w:after="0" w:line="293" w:lineRule="auto"/>
        <w:tabs>
          <w:tab w:leader="none" w:pos="769"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Arial" w:cs="Arial" w:eastAsia="Arial" w:hAnsi="Arial"/>
          <w:sz w:val="16"/>
          <w:szCs w:val="16"/>
          <w:color w:val="auto"/>
        </w:rPr>
      </w:pPr>
    </w:p>
    <w:p>
      <w:pPr>
        <w:ind w:left="880" w:right="100" w:hanging="408"/>
        <w:spacing w:after="0" w:line="278" w:lineRule="auto"/>
        <w:tabs>
          <w:tab w:leader="none" w:pos="778"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right="100" w:firstLine="8"/>
        <w:spacing w:after="0" w:line="293" w:lineRule="auto"/>
        <w:tabs>
          <w:tab w:leader="none" w:pos="28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Arial" w:cs="Arial" w:eastAsia="Arial" w:hAnsi="Arial"/>
          <w:sz w:val="16"/>
          <w:szCs w:val="16"/>
          <w:color w:val="auto"/>
        </w:rPr>
      </w:pPr>
    </w:p>
    <w:p>
      <w:pPr>
        <w:ind w:left="880" w:right="640" w:hanging="408"/>
        <w:spacing w:after="0" w:line="293" w:lineRule="auto"/>
        <w:tabs>
          <w:tab w:leader="none" w:pos="7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880" w:right="220" w:hanging="408"/>
        <w:spacing w:after="0" w:line="293" w:lineRule="auto"/>
        <w:tabs>
          <w:tab w:leader="none" w:pos="769"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20" w:type="dxa"/>
            <w:vAlign w:val="bottom"/>
          </w:tcPr>
          <w:p>
            <w:pPr>
              <w:spacing w:after="0"/>
              <w:rPr>
                <w:sz w:val="20"/>
                <w:szCs w:val="20"/>
                <w:color w:val="auto"/>
              </w:rPr>
            </w:pPr>
            <w:r>
              <w:rPr>
                <w:rFonts w:ascii="Arial" w:cs="Arial" w:eastAsia="Arial" w:hAnsi="Arial"/>
                <w:sz w:val="16"/>
                <w:szCs w:val="16"/>
                <w:color w:val="auto"/>
              </w:rPr>
              <w:t>Date: May 10,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Nick Pizzie</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Nick Pizzie</w:t>
            </w:r>
          </w:p>
        </w:tc>
      </w:tr>
      <w:tr>
        <w:trPr>
          <w:trHeight w:val="233"/>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43"/>
        </w:trPr>
        <w:tc>
          <w:tcPr>
            <w:tcW w:w="56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r>
        <w:trPr>
          <w:trHeight w:val="74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9"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color w:val="auto"/>
        </w:rPr>
        <w:t>Exhibit 32.1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PRINCIPAL EXECUTIVE OFFICER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58" w:lineRule="exact"/>
        <w:rPr>
          <w:sz w:val="20"/>
          <w:szCs w:val="20"/>
          <w:color w:val="auto"/>
        </w:rPr>
      </w:pPr>
    </w:p>
    <w:p>
      <w:pPr>
        <w:ind w:right="160" w:firstLine="519"/>
        <w:spacing w:after="0" w:line="278" w:lineRule="auto"/>
        <w:rPr>
          <w:sz w:val="20"/>
          <w:szCs w:val="20"/>
          <w:color w:val="auto"/>
        </w:rPr>
      </w:pPr>
      <w:r>
        <w:rPr>
          <w:rFonts w:ascii="Arial" w:cs="Arial" w:eastAsia="Arial" w:hAnsi="Arial"/>
          <w:sz w:val="16"/>
          <w:szCs w:val="16"/>
          <w:color w:val="auto"/>
        </w:rPr>
        <w:t>In connection with the quarterly report of Axsome Therapeutics, Inc. (the “Company”) on Form 10-Q for the quarter ended March 31, 2021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211"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61" w:lineRule="exact"/>
        <w:rPr>
          <w:rFonts w:ascii="Arial" w:cs="Arial" w:eastAsia="Arial" w:hAnsi="Arial"/>
          <w:sz w:val="16"/>
          <w:szCs w:val="16"/>
          <w:color w:val="auto"/>
        </w:rPr>
      </w:pP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20" w:type="dxa"/>
            <w:vAlign w:val="bottom"/>
          </w:tcPr>
          <w:p>
            <w:pPr>
              <w:spacing w:after="0"/>
              <w:rPr>
                <w:sz w:val="20"/>
                <w:szCs w:val="20"/>
                <w:color w:val="auto"/>
              </w:rPr>
            </w:pPr>
            <w:r>
              <w:rPr>
                <w:rFonts w:ascii="Arial" w:cs="Arial" w:eastAsia="Arial" w:hAnsi="Arial"/>
                <w:sz w:val="16"/>
                <w:szCs w:val="16"/>
                <w:color w:val="auto"/>
              </w:rPr>
              <w:t>Date: May 10,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Herriot Tabuteau, M.D.</w:t>
            </w:r>
          </w:p>
        </w:tc>
      </w:tr>
      <w:tr>
        <w:trPr>
          <w:trHeight w:val="189"/>
        </w:trPr>
        <w:tc>
          <w:tcPr>
            <w:tcW w:w="56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Herriot Tabuteau, M.D.</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206"/>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73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b w:val="1"/>
          <w:bCs w:val="1"/>
          <w:color w:val="auto"/>
        </w:rPr>
        <w:t>Exhibit 32.2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PRINCIPAL FINANCIAL OFFICER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58" w:lineRule="exact"/>
        <w:rPr>
          <w:sz w:val="20"/>
          <w:szCs w:val="20"/>
          <w:color w:val="auto"/>
        </w:rPr>
      </w:pPr>
    </w:p>
    <w:p>
      <w:pPr>
        <w:ind w:right="220" w:firstLine="519"/>
        <w:spacing w:after="0" w:line="278" w:lineRule="auto"/>
        <w:rPr>
          <w:sz w:val="20"/>
          <w:szCs w:val="20"/>
          <w:color w:val="auto"/>
        </w:rPr>
      </w:pPr>
      <w:r>
        <w:rPr>
          <w:rFonts w:ascii="Arial" w:cs="Arial" w:eastAsia="Arial" w:hAnsi="Arial"/>
          <w:sz w:val="16"/>
          <w:szCs w:val="16"/>
          <w:color w:val="auto"/>
        </w:rPr>
        <w:t>In connection with the quarterly report of Axsome Therapeutics, Inc. (the “Company”) on Form 10-Q for the quarter ended March 31, 2021 as filed with the Securities and Exchange Commission (the “Report”), I, Nick Pizzie, Chief Financial Officer of the Company, certify, pursuant to 18 U.S.C. §1350, as adopted pursuant to §906 of the Sarbanes-Oxley Act of 2002, that, based on my knowledge:</w:t>
      </w:r>
    </w:p>
    <w:p>
      <w:pPr>
        <w:spacing w:after="0" w:line="211"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61" w:lineRule="exact"/>
        <w:rPr>
          <w:rFonts w:ascii="Arial" w:cs="Arial" w:eastAsia="Arial" w:hAnsi="Arial"/>
          <w:sz w:val="16"/>
          <w:szCs w:val="16"/>
          <w:color w:val="auto"/>
        </w:rPr>
      </w:pPr>
    </w:p>
    <w:p>
      <w:pPr>
        <w:ind w:left="260" w:hanging="252"/>
        <w:spacing w:after="0"/>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20" w:type="dxa"/>
            <w:vAlign w:val="bottom"/>
          </w:tcPr>
          <w:p>
            <w:pPr>
              <w:spacing w:after="0"/>
              <w:rPr>
                <w:sz w:val="20"/>
                <w:szCs w:val="20"/>
                <w:color w:val="auto"/>
              </w:rPr>
            </w:pPr>
            <w:r>
              <w:rPr>
                <w:rFonts w:ascii="Arial" w:cs="Arial" w:eastAsia="Arial" w:hAnsi="Arial"/>
                <w:sz w:val="16"/>
                <w:szCs w:val="16"/>
                <w:color w:val="auto"/>
              </w:rPr>
              <w:t>Date: May 10,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Nick Pizzie</w:t>
            </w:r>
          </w:p>
        </w:tc>
      </w:tr>
      <w:tr>
        <w:trPr>
          <w:trHeight w:val="189"/>
        </w:trPr>
        <w:tc>
          <w:tcPr>
            <w:tcW w:w="56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Nick Pizzie</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06"/>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r>
        <w:trPr>
          <w:trHeight w:val="73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2021-05-10T16:56:05Z</dcterms:created>
  <dcterms:modified xsi:type="dcterms:W3CDTF">2021-05-10T16:56:05Z</dcterms:modified>
</cp:coreProperties>
</file>