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203835</wp:posOffset>
            </wp:positionH>
            <wp:positionV relativeFrom="page">
              <wp:posOffset>273685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289560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56515</wp:posOffset>
            </wp:positionV>
            <wp:extent cx="2374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5" w:lineRule="exact"/>
        <w:rPr>
          <w:sz w:val="24"/>
          <w:szCs w:val="24"/>
          <w:color w:val="auto"/>
        </w:rPr>
      </w:pPr>
    </w:p>
    <w:p>
      <w:pPr>
        <w:ind w:left="1860" w:hanging="178"/>
        <w:spacing w:after="0"/>
        <w:tabs>
          <w:tab w:leader="none" w:pos="1860" w:val="left"/>
        </w:tabs>
        <w:numPr>
          <w:ilvl w:val="1"/>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54" w:lineRule="exact"/>
        <w:rPr>
          <w:rFonts w:ascii="MS PGothic" w:cs="MS PGothic" w:eastAsia="MS PGothic" w:hAnsi="MS PGothic"/>
          <w:sz w:val="15"/>
          <w:szCs w:val="15"/>
          <w:color w:val="auto"/>
          <w:highlight w:val="black"/>
        </w:rPr>
      </w:pPr>
    </w:p>
    <w:p>
      <w:pPr>
        <w:ind w:left="422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For the quarterly period ended March 31, 2022</w:t>
      </w:r>
    </w:p>
    <w:p>
      <w:pPr>
        <w:spacing w:after="0" w:line="42" w:lineRule="exact"/>
        <w:rPr>
          <w:rFonts w:ascii="MS PGothic" w:cs="MS PGothic" w:eastAsia="MS PGothic" w:hAnsi="MS PGothic"/>
          <w:sz w:val="15"/>
          <w:szCs w:val="15"/>
          <w:color w:val="auto"/>
          <w:highlight w:val="black"/>
        </w:rPr>
      </w:pPr>
    </w:p>
    <w:p>
      <w:pPr>
        <w:ind w:left="552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OR</w:t>
      </w:r>
    </w:p>
    <w:p>
      <w:pPr>
        <w:spacing w:after="0" w:line="54" w:lineRule="exact"/>
        <w:rPr>
          <w:rFonts w:ascii="MS PGothic" w:cs="MS PGothic" w:eastAsia="MS PGothic" w:hAnsi="MS PGothic"/>
          <w:sz w:val="15"/>
          <w:szCs w:val="15"/>
          <w:color w:val="auto"/>
          <w:highlight w:val="black"/>
        </w:rPr>
      </w:pPr>
    </w:p>
    <w:p>
      <w:pPr>
        <w:jc w:val="center"/>
        <w:ind w:left="3920" w:right="1660" w:hanging="2243"/>
        <w:spacing w:after="0" w:line="316" w:lineRule="auto"/>
        <w:tabs>
          <w:tab w:leader="none" w:pos="185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 to ________</w:t>
      </w:r>
    </w:p>
    <w:p>
      <w:pPr>
        <w:ind w:left="444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60960</wp:posOffset>
            </wp:positionV>
            <wp:extent cx="2374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AXSOME THERAPEUTICS,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56" w:lineRule="exact"/>
        <w:rPr>
          <w:sz w:val="24"/>
          <w:szCs w:val="24"/>
          <w:color w:val="auto"/>
        </w:rPr>
      </w:pPr>
    </w:p>
    <w:tbl>
      <w:tblPr>
        <w:tblLayout w:type="fixed"/>
        <w:tblInd w:w="1200" w:type="dxa"/>
        <w:tblCellMar>
          <w:top w:w="0" w:type="dxa"/>
          <w:left w:w="0" w:type="dxa"/>
          <w:bottom w:w="0" w:type="dxa"/>
          <w:right w:w="0" w:type="dxa"/>
        </w:tblCellMar>
      </w:tblPr>
      <w:tr>
        <w:trPr>
          <w:trHeight w:val="198"/>
        </w:trPr>
        <w:tc>
          <w:tcPr>
            <w:tcW w:w="4740" w:type="dxa"/>
            <w:vAlign w:val="bottom"/>
          </w:tcPr>
          <w:p>
            <w:pPr>
              <w:jc w:val="center"/>
              <w:ind w:right="144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480" w:type="dxa"/>
            <w:vAlign w:val="bottom"/>
          </w:tcPr>
          <w:p>
            <w:pPr>
              <w:jc w:val="right"/>
              <w:ind w:right="548"/>
              <w:spacing w:after="0"/>
              <w:rPr>
                <w:sz w:val="20"/>
                <w:szCs w:val="20"/>
                <w:color w:val="auto"/>
              </w:rPr>
            </w:pPr>
            <w:r>
              <w:rPr>
                <w:rFonts w:ascii="Times New Roman" w:cs="Times New Roman" w:eastAsia="Times New Roman" w:hAnsi="Times New Roman"/>
                <w:sz w:val="15"/>
                <w:szCs w:val="15"/>
                <w:b w:val="1"/>
                <w:bCs w:val="1"/>
                <w:color w:val="auto"/>
              </w:rPr>
              <w:t>45-4241907</w:t>
            </w:r>
          </w:p>
        </w:tc>
      </w:tr>
      <w:tr>
        <w:trPr>
          <w:trHeight w:val="174"/>
        </w:trPr>
        <w:tc>
          <w:tcPr>
            <w:tcW w:w="4740" w:type="dxa"/>
            <w:vAlign w:val="bottom"/>
          </w:tcPr>
          <w:p>
            <w:pPr>
              <w:jc w:val="center"/>
              <w:ind w:right="1447"/>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480" w:type="dxa"/>
            <w:vAlign w:val="bottom"/>
          </w:tcPr>
          <w:p>
            <w:pPr>
              <w:jc w:val="center"/>
              <w:ind w:left="1448"/>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200"/>
        </w:trPr>
        <w:tc>
          <w:tcPr>
            <w:tcW w:w="4740" w:type="dxa"/>
            <w:vAlign w:val="bottom"/>
          </w:tcPr>
          <w:p>
            <w:pPr>
              <w:jc w:val="center"/>
              <w:ind w:right="1447"/>
              <w:spacing w:after="0"/>
              <w:rPr>
                <w:sz w:val="20"/>
                <w:szCs w:val="20"/>
                <w:color w:val="auto"/>
              </w:rPr>
            </w:pPr>
            <w:r>
              <w:rPr>
                <w:rFonts w:ascii="Times New Roman" w:cs="Times New Roman" w:eastAsia="Times New Roman" w:hAnsi="Times New Roman"/>
                <w:sz w:val="15"/>
                <w:szCs w:val="15"/>
                <w:b w:val="1"/>
                <w:bCs w:val="1"/>
                <w:color w:val="auto"/>
              </w:rPr>
              <w:t>22 Cortlandt Street</w:t>
            </w:r>
          </w:p>
        </w:tc>
        <w:tc>
          <w:tcPr>
            <w:tcW w:w="3480" w:type="dxa"/>
            <w:vAlign w:val="bottom"/>
          </w:tcPr>
          <w:p>
            <w:pPr>
              <w:spacing w:after="0"/>
              <w:rPr>
                <w:sz w:val="17"/>
                <w:szCs w:val="17"/>
                <w:color w:val="auto"/>
              </w:rPr>
            </w:pPr>
          </w:p>
        </w:tc>
      </w:tr>
      <w:tr>
        <w:trPr>
          <w:trHeight w:val="161"/>
        </w:trPr>
        <w:tc>
          <w:tcPr>
            <w:tcW w:w="4740" w:type="dxa"/>
            <w:vAlign w:val="bottom"/>
          </w:tcPr>
          <w:p>
            <w:pPr>
              <w:jc w:val="center"/>
              <w:ind w:right="1427"/>
              <w:spacing w:after="0" w:line="161" w:lineRule="exact"/>
              <w:rPr>
                <w:sz w:val="20"/>
                <w:szCs w:val="20"/>
                <w:color w:val="auto"/>
              </w:rPr>
            </w:pPr>
            <w:r>
              <w:rPr>
                <w:rFonts w:ascii="Times New Roman" w:cs="Times New Roman" w:eastAsia="Times New Roman" w:hAnsi="Times New Roman"/>
                <w:sz w:val="15"/>
                <w:szCs w:val="15"/>
                <w:b w:val="1"/>
                <w:bCs w:val="1"/>
                <w:color w:val="auto"/>
              </w:rPr>
              <w:t>16th Floor</w:t>
            </w:r>
          </w:p>
        </w:tc>
        <w:tc>
          <w:tcPr>
            <w:tcW w:w="3480" w:type="dxa"/>
            <w:vAlign w:val="bottom"/>
          </w:tcPr>
          <w:p>
            <w:pPr>
              <w:spacing w:after="0"/>
              <w:rPr>
                <w:sz w:val="13"/>
                <w:szCs w:val="13"/>
                <w:color w:val="auto"/>
              </w:rPr>
            </w:pPr>
          </w:p>
        </w:tc>
      </w:tr>
      <w:tr>
        <w:trPr>
          <w:trHeight w:val="198"/>
        </w:trPr>
        <w:tc>
          <w:tcPr>
            <w:tcW w:w="4740" w:type="dxa"/>
            <w:vAlign w:val="bottom"/>
          </w:tcPr>
          <w:p>
            <w:pPr>
              <w:jc w:val="center"/>
              <w:ind w:right="1427"/>
              <w:spacing w:after="0"/>
              <w:rPr>
                <w:sz w:val="20"/>
                <w:szCs w:val="20"/>
                <w:color w:val="auto"/>
              </w:rPr>
            </w:pPr>
            <w:r>
              <w:rPr>
                <w:rFonts w:ascii="Times New Roman" w:cs="Times New Roman" w:eastAsia="Times New Roman" w:hAnsi="Times New Roman"/>
                <w:sz w:val="15"/>
                <w:szCs w:val="15"/>
                <w:b w:val="1"/>
                <w:bCs w:val="1"/>
                <w:color w:val="auto"/>
                <w:w w:val="98"/>
              </w:rPr>
              <w:t>New York, New York</w:t>
            </w:r>
          </w:p>
        </w:tc>
        <w:tc>
          <w:tcPr>
            <w:tcW w:w="3480" w:type="dxa"/>
            <w:vAlign w:val="bottom"/>
          </w:tcPr>
          <w:p>
            <w:pPr>
              <w:jc w:val="right"/>
              <w:ind w:right="728"/>
              <w:spacing w:after="0"/>
              <w:rPr>
                <w:sz w:val="20"/>
                <w:szCs w:val="20"/>
                <w:color w:val="auto"/>
              </w:rPr>
            </w:pPr>
            <w:r>
              <w:rPr>
                <w:rFonts w:ascii="Times New Roman" w:cs="Times New Roman" w:eastAsia="Times New Roman" w:hAnsi="Times New Roman"/>
                <w:sz w:val="15"/>
                <w:szCs w:val="15"/>
                <w:b w:val="1"/>
                <w:bCs w:val="1"/>
                <w:color w:val="auto"/>
              </w:rPr>
              <w:t>10007</w:t>
            </w:r>
          </w:p>
        </w:tc>
      </w:tr>
      <w:tr>
        <w:trPr>
          <w:trHeight w:val="174"/>
        </w:trPr>
        <w:tc>
          <w:tcPr>
            <w:tcW w:w="4740" w:type="dxa"/>
            <w:vAlign w:val="bottom"/>
          </w:tcPr>
          <w:p>
            <w:pPr>
              <w:jc w:val="center"/>
              <w:ind w:right="1447"/>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480" w:type="dxa"/>
            <w:vAlign w:val="bottom"/>
          </w:tcPr>
          <w:p>
            <w:pPr>
              <w:jc w:val="center"/>
              <w:ind w:left="1448"/>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(212) 332-3241</w:t>
      </w:r>
    </w:p>
    <w:p>
      <w:pPr>
        <w:spacing w:after="0" w:line="63" w:lineRule="exact"/>
        <w:rPr>
          <w:sz w:val="24"/>
          <w:szCs w:val="24"/>
          <w:color w:val="auto"/>
        </w:rPr>
      </w:pPr>
    </w:p>
    <w:p>
      <w:pPr>
        <w:ind w:right="20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highlight w:val="black"/>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8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4"/>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8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8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Emerging growth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7" w:lineRule="exact"/>
        <w:rPr>
          <w:sz w:val="24"/>
          <w:szCs w:val="24"/>
          <w:color w:val="auto"/>
        </w:rPr>
      </w:pPr>
    </w:p>
    <w:p>
      <w:pPr>
        <w:ind w:right="200"/>
        <w:spacing w:after="0" w:line="170"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highlight w:val="black"/>
        </w:rPr>
        <w:t>☒</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220" w:type="dxa"/>
            <w:vAlign w:val="bottom"/>
          </w:tcPr>
          <w:p>
            <w:pPr>
              <w:spacing w:after="0"/>
              <w:rPr>
                <w:sz w:val="14"/>
                <w:szCs w:val="1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67"/>
        </w:trPr>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Par Value $0.0001 Per Share</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AXSM</w:t>
            </w:r>
          </w:p>
        </w:tc>
        <w:tc>
          <w:tcPr>
            <w:tcW w:w="22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Global Market</w:t>
            </w:r>
          </w:p>
        </w:tc>
      </w:tr>
    </w:tbl>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There were 38,913,550 shares of the registrant’s common stock, $0.0001 par value, outstanding as of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167005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346710</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0520" w:type="dxa"/>
            <w:vAlign w:val="bottom"/>
            <w:gridSpan w:val="15"/>
          </w:tcPr>
          <w:p>
            <w:pPr>
              <w:spacing w:after="0"/>
              <w:rPr>
                <w:sz w:val="20"/>
                <w:szCs w:val="20"/>
                <w:color w:val="auto"/>
              </w:rPr>
            </w:pPr>
            <w:r>
              <w:rPr>
                <w:rFonts w:ascii="Times New Roman" w:cs="Times New Roman" w:eastAsia="Times New Roman" w:hAnsi="Times New Roman"/>
                <w:sz w:val="15"/>
                <w:szCs w:val="15"/>
                <w:color w:val="0563C1"/>
              </w:rPr>
              <w:t>Table of Contents</w:t>
            </w:r>
          </w:p>
        </w:tc>
        <w:tc>
          <w:tcPr>
            <w:tcW w:w="720" w:type="dxa"/>
            <w:vAlign w:val="bottom"/>
          </w:tcPr>
          <w:p>
            <w:pPr>
              <w:spacing w:after="0"/>
              <w:rPr>
                <w:sz w:val="15"/>
                <w:szCs w:val="15"/>
                <w:color w:val="auto"/>
              </w:rPr>
            </w:pPr>
          </w:p>
        </w:tc>
      </w:tr>
      <w:tr>
        <w:trPr>
          <w:trHeight w:val="330"/>
        </w:trPr>
        <w:tc>
          <w:tcPr>
            <w:tcW w:w="20" w:type="dxa"/>
            <w:vAlign w:val="bottom"/>
            <w:tcBorders>
              <w:top w:val="single" w:sz="8" w:color="0563C1"/>
            </w:tcBorders>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780" w:type="dxa"/>
            <w:vAlign w:val="bottom"/>
            <w:gridSpan w:val="4"/>
          </w:tcPr>
          <w:p>
            <w:pPr>
              <w:jc w:val="center"/>
              <w:ind w:right="2020"/>
              <w:spacing w:after="0"/>
              <w:rPr>
                <w:sz w:val="20"/>
                <w:szCs w:val="20"/>
                <w:color w:val="auto"/>
              </w:rPr>
            </w:pPr>
            <w:r>
              <w:rPr>
                <w:rFonts w:ascii="Times New Roman" w:cs="Times New Roman" w:eastAsia="Times New Roman" w:hAnsi="Times New Roman"/>
                <w:sz w:val="15"/>
                <w:szCs w:val="15"/>
                <w:b w:val="1"/>
                <w:bCs w:val="1"/>
                <w:color w:val="auto"/>
              </w:rPr>
              <w:t>AXSOME THERAPEUTICS, INC.</w:t>
            </w:r>
          </w:p>
        </w:tc>
        <w:tc>
          <w:tcPr>
            <w:tcW w:w="7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780" w:type="dxa"/>
            <w:vAlign w:val="bottom"/>
            <w:gridSpan w:val="4"/>
          </w:tcPr>
          <w:p>
            <w:pPr>
              <w:jc w:val="center"/>
              <w:ind w:right="2000"/>
              <w:spacing w:after="0"/>
              <w:rPr>
                <w:sz w:val="20"/>
                <w:szCs w:val="20"/>
                <w:color w:val="auto"/>
              </w:rPr>
            </w:pPr>
            <w:r>
              <w:rPr>
                <w:rFonts w:ascii="Times New Roman" w:cs="Times New Roman" w:eastAsia="Times New Roman" w:hAnsi="Times New Roman"/>
                <w:sz w:val="15"/>
                <w:szCs w:val="15"/>
                <w:b w:val="1"/>
                <w:bCs w:val="1"/>
                <w:color w:val="auto"/>
              </w:rPr>
              <w:t>QUARTERLY REPORT ON FORM 10-Q</w:t>
            </w:r>
          </w:p>
        </w:tc>
        <w:tc>
          <w:tcPr>
            <w:tcW w:w="72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4"/>
          </w:tcPr>
          <w:p>
            <w:pPr>
              <w:jc w:val="center"/>
              <w:ind w:right="2020"/>
              <w:spacing w:after="0"/>
              <w:rPr>
                <w:sz w:val="20"/>
                <w:szCs w:val="20"/>
                <w:color w:val="auto"/>
              </w:rPr>
            </w:pPr>
            <w:r>
              <w:rPr>
                <w:rFonts w:ascii="Times New Roman" w:cs="Times New Roman" w:eastAsia="Times New Roman" w:hAnsi="Times New Roman"/>
                <w:sz w:val="15"/>
                <w:szCs w:val="15"/>
                <w:b w:val="1"/>
                <w:bCs w:val="1"/>
                <w:color w:val="auto"/>
              </w:rPr>
              <w:t>FOR THE QUARTER ENDED MARCH 31, 2022</w:t>
            </w:r>
          </w:p>
        </w:tc>
        <w:tc>
          <w:tcPr>
            <w:tcW w:w="720" w:type="dxa"/>
            <w:vAlign w:val="bottom"/>
          </w:tcPr>
          <w:p>
            <w:pPr>
              <w:spacing w:after="0"/>
              <w:rPr>
                <w:sz w:val="17"/>
                <w:szCs w:val="17"/>
                <w:color w:val="auto"/>
              </w:rPr>
            </w:pPr>
          </w:p>
        </w:tc>
      </w:tr>
      <w:tr>
        <w:trPr>
          <w:trHeight w:val="4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3"/>
          </w:tcPr>
          <w:p>
            <w:pPr>
              <w:jc w:val="center"/>
              <w:ind w:right="38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720" w:type="dxa"/>
            <w:vAlign w:val="bottom"/>
          </w:tcPr>
          <w:p>
            <w:pPr>
              <w:spacing w:after="0"/>
              <w:rPr>
                <w:sz w:val="24"/>
                <w:szCs w:val="24"/>
                <w:color w:val="auto"/>
              </w:rPr>
            </w:pPr>
          </w:p>
        </w:tc>
      </w:tr>
      <w:tr>
        <w:trPr>
          <w:trHeight w:val="41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0563C1"/>
            </w:tcBorders>
            <w:gridSpan w:val="12"/>
          </w:tcPr>
          <w:p>
            <w:pPr>
              <w:spacing w:after="0" w:line="149" w:lineRule="exact"/>
              <w:rPr>
                <w:sz w:val="20"/>
                <w:szCs w:val="20"/>
                <w:color w:val="auto"/>
              </w:rPr>
            </w:pPr>
            <w:r>
              <w:rPr>
                <w:rFonts w:ascii="Times New Roman" w:cs="Times New Roman" w:eastAsia="Times New Roman" w:hAnsi="Times New Roman"/>
                <w:sz w:val="15"/>
                <w:szCs w:val="15"/>
                <w:color w:val="0563C1"/>
                <w:w w:val="99"/>
              </w:rPr>
              <w:t>CAUTIONARY NOTE REGARDING FORWARD LOOKING STATEMENTS</w:t>
            </w:r>
          </w:p>
        </w:tc>
        <w:tc>
          <w:tcPr>
            <w:tcW w:w="5640" w:type="dxa"/>
            <w:vAlign w:val="bottom"/>
            <w:gridSpan w:val="2"/>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3</w:t>
            </w:r>
          </w:p>
        </w:tc>
      </w:tr>
      <w:tr>
        <w:trPr>
          <w:trHeight w:val="170"/>
        </w:trPr>
        <w:tc>
          <w:tcPr>
            <w:tcW w:w="20" w:type="dxa"/>
            <w:vAlign w:val="bottom"/>
          </w:tcPr>
          <w:p>
            <w:pPr>
              <w:spacing w:after="0"/>
              <w:rPr>
                <w:sz w:val="14"/>
                <w:szCs w:val="14"/>
                <w:color w:val="auto"/>
              </w:rPr>
            </w:pPr>
          </w:p>
        </w:tc>
        <w:tc>
          <w:tcPr>
            <w:tcW w:w="10500" w:type="dxa"/>
            <w:vAlign w:val="bottom"/>
            <w:gridSpan w:val="14"/>
          </w:tcPr>
          <w:p>
            <w:pPr>
              <w:spacing w:after="0" w:line="169" w:lineRule="exact"/>
              <w:rPr>
                <w:sz w:val="20"/>
                <w:szCs w:val="20"/>
                <w:color w:val="auto"/>
              </w:rPr>
            </w:pPr>
            <w:r>
              <w:rPr>
                <w:rFonts w:ascii="Times New Roman" w:cs="Times New Roman" w:eastAsia="Times New Roman" w:hAnsi="Times New Roman"/>
                <w:sz w:val="15"/>
                <w:szCs w:val="15"/>
                <w:b w:val="1"/>
                <w:bCs w:val="1"/>
                <w:color w:val="0563C1"/>
              </w:rPr>
              <w:t>PART I — FINANCIAL INFORMATION</w:t>
            </w:r>
          </w:p>
        </w:tc>
        <w:tc>
          <w:tcPr>
            <w:tcW w:w="7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920" w:type="dxa"/>
            <w:vAlign w:val="bottom"/>
            <w:tcBorders>
              <w:top w:val="single" w:sz="8" w:color="0563C1"/>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1</w:t>
            </w:r>
          </w:p>
        </w:tc>
        <w:tc>
          <w:tcPr>
            <w:tcW w:w="1800" w:type="dxa"/>
            <w:vAlign w:val="bottom"/>
            <w:tcBorders>
              <w:top w:val="single" w:sz="8" w:color="0563C1"/>
            </w:tcBorders>
            <w:gridSpan w:val="8"/>
          </w:tcPr>
          <w:p>
            <w:pPr>
              <w:spacing w:after="0" w:line="169" w:lineRule="exact"/>
              <w:rPr>
                <w:sz w:val="20"/>
                <w:szCs w:val="20"/>
                <w:color w:val="auto"/>
              </w:rPr>
            </w:pPr>
            <w:r>
              <w:rPr>
                <w:rFonts w:ascii="Times New Roman" w:cs="Times New Roman" w:eastAsia="Times New Roman" w:hAnsi="Times New Roman"/>
                <w:sz w:val="15"/>
                <w:szCs w:val="15"/>
                <w:color w:val="0563C1"/>
              </w:rPr>
              <w:t>Financial Statements</w:t>
            </w:r>
          </w:p>
        </w:tc>
        <w:tc>
          <w:tcPr>
            <w:tcW w:w="7780" w:type="dxa"/>
            <w:vAlign w:val="bottom"/>
            <w:gridSpan w:val="4"/>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2</w:t>
            </w:r>
          </w:p>
        </w:tc>
        <w:tc>
          <w:tcPr>
            <w:tcW w:w="5440" w:type="dxa"/>
            <w:vAlign w:val="bottom"/>
            <w:tcBorders>
              <w:bottom w:val="single" w:sz="8" w:color="0563C1"/>
            </w:tcBorders>
            <w:gridSpan w:val="11"/>
          </w:tcPr>
          <w:p>
            <w:pPr>
              <w:spacing w:after="0" w:line="169" w:lineRule="exact"/>
              <w:rPr>
                <w:sz w:val="20"/>
                <w:szCs w:val="20"/>
                <w:color w:val="auto"/>
              </w:rPr>
            </w:pPr>
            <w:r>
              <w:rPr>
                <w:rFonts w:ascii="Times New Roman" w:cs="Times New Roman" w:eastAsia="Times New Roman" w:hAnsi="Times New Roman"/>
                <w:sz w:val="15"/>
                <w:szCs w:val="15"/>
                <w:color w:val="0563C1"/>
              </w:rPr>
              <w:t>Management’s Discussion and Analysis of Financial Condition and Results of Operations</w:t>
            </w:r>
          </w:p>
        </w:tc>
        <w:tc>
          <w:tcPr>
            <w:tcW w:w="41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23</w:t>
            </w: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3</w:t>
            </w:r>
          </w:p>
        </w:tc>
        <w:tc>
          <w:tcPr>
            <w:tcW w:w="9580" w:type="dxa"/>
            <w:vAlign w:val="bottom"/>
            <w:gridSpan w:val="12"/>
          </w:tcPr>
          <w:p>
            <w:pPr>
              <w:spacing w:after="0" w:line="169" w:lineRule="exact"/>
              <w:rPr>
                <w:sz w:val="20"/>
                <w:szCs w:val="20"/>
                <w:color w:val="auto"/>
              </w:rPr>
            </w:pPr>
            <w:r>
              <w:rPr>
                <w:rFonts w:ascii="Times New Roman" w:cs="Times New Roman" w:eastAsia="Times New Roman" w:hAnsi="Times New Roman"/>
                <w:sz w:val="15"/>
                <w:szCs w:val="15"/>
                <w:color w:val="0563C1"/>
              </w:rPr>
              <w:t>Quantitative and Qualitative Disclosure About Market Risk</w:t>
            </w: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37</w:t>
            </w: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4</w:t>
            </w:r>
          </w:p>
        </w:tc>
        <w:tc>
          <w:tcPr>
            <w:tcW w:w="3600" w:type="dxa"/>
            <w:vAlign w:val="bottom"/>
            <w:tcBorders>
              <w:top w:val="single" w:sz="8" w:color="0563C1"/>
            </w:tcBorders>
            <w:gridSpan w:val="9"/>
          </w:tcPr>
          <w:p>
            <w:pPr>
              <w:spacing w:after="0" w:line="169" w:lineRule="exact"/>
              <w:rPr>
                <w:sz w:val="20"/>
                <w:szCs w:val="20"/>
                <w:color w:val="auto"/>
              </w:rPr>
            </w:pPr>
            <w:r>
              <w:rPr>
                <w:rFonts w:ascii="Times New Roman" w:cs="Times New Roman" w:eastAsia="Times New Roman" w:hAnsi="Times New Roman"/>
                <w:sz w:val="15"/>
                <w:szCs w:val="15"/>
                <w:color w:val="0563C1"/>
              </w:rPr>
              <w:t>Controls and Procedures</w:t>
            </w:r>
          </w:p>
        </w:tc>
        <w:tc>
          <w:tcPr>
            <w:tcW w:w="59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tcBorders>
              <w:bottom w:val="single" w:sz="8" w:color="0563C1"/>
            </w:tcBorders>
            <w:gridSpan w:val="9"/>
          </w:tcPr>
          <w:p>
            <w:pPr>
              <w:spacing w:after="0" w:line="169" w:lineRule="exact"/>
              <w:rPr>
                <w:sz w:val="20"/>
                <w:szCs w:val="20"/>
                <w:color w:val="auto"/>
              </w:rPr>
            </w:pPr>
            <w:r>
              <w:rPr>
                <w:rFonts w:ascii="Times New Roman" w:cs="Times New Roman" w:eastAsia="Times New Roman" w:hAnsi="Times New Roman"/>
                <w:sz w:val="15"/>
                <w:szCs w:val="15"/>
                <w:b w:val="1"/>
                <w:bCs w:val="1"/>
                <w:color w:val="0563C1"/>
                <w:w w:val="99"/>
              </w:rPr>
              <w:t>PART II — OTHER INFORMATION</w:t>
            </w:r>
          </w:p>
        </w:tc>
        <w:tc>
          <w:tcPr>
            <w:tcW w:w="802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1</w:t>
            </w:r>
          </w:p>
        </w:tc>
        <w:tc>
          <w:tcPr>
            <w:tcW w:w="9580" w:type="dxa"/>
            <w:vAlign w:val="bottom"/>
            <w:gridSpan w:val="12"/>
          </w:tcPr>
          <w:p>
            <w:pPr>
              <w:spacing w:after="0" w:line="169" w:lineRule="exact"/>
              <w:rPr>
                <w:sz w:val="20"/>
                <w:szCs w:val="20"/>
                <w:color w:val="auto"/>
              </w:rPr>
            </w:pPr>
            <w:r>
              <w:rPr>
                <w:rFonts w:ascii="Times New Roman" w:cs="Times New Roman" w:eastAsia="Times New Roman" w:hAnsi="Times New Roman"/>
                <w:sz w:val="15"/>
                <w:szCs w:val="15"/>
                <w:color w:val="0563C1"/>
              </w:rPr>
              <w:t>Legal Proceedings</w:t>
            </w: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38</w:t>
            </w: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1A</w:t>
            </w:r>
          </w:p>
        </w:tc>
        <w:tc>
          <w:tcPr>
            <w:tcW w:w="760" w:type="dxa"/>
            <w:vAlign w:val="bottom"/>
            <w:tcBorders>
              <w:top w:val="single" w:sz="8" w:color="0563C1"/>
              <w:bottom w:val="single" w:sz="8" w:color="0563C1"/>
            </w:tcBorders>
            <w:gridSpan w:val="3"/>
          </w:tcPr>
          <w:p>
            <w:pPr>
              <w:spacing w:after="0" w:line="169" w:lineRule="exact"/>
              <w:rPr>
                <w:sz w:val="20"/>
                <w:szCs w:val="20"/>
                <w:color w:val="auto"/>
              </w:rPr>
            </w:pPr>
            <w:r>
              <w:rPr>
                <w:rFonts w:ascii="Times New Roman" w:cs="Times New Roman" w:eastAsia="Times New Roman" w:hAnsi="Times New Roman"/>
                <w:sz w:val="15"/>
                <w:szCs w:val="15"/>
                <w:color w:val="0563C1"/>
                <w:w w:val="98"/>
              </w:rPr>
              <w:t>Risk Factors</w:t>
            </w:r>
          </w:p>
        </w:tc>
        <w:tc>
          <w:tcPr>
            <w:tcW w:w="360" w:type="dxa"/>
            <w:vAlign w:val="bottom"/>
            <w:tcBorders>
              <w:top w:val="single" w:sz="8" w:color="0563C1"/>
            </w:tcBorders>
          </w:tcPr>
          <w:p>
            <w:pPr>
              <w:spacing w:after="0"/>
              <w:rPr>
                <w:sz w:val="14"/>
                <w:szCs w:val="14"/>
                <w:color w:val="auto"/>
              </w:rPr>
            </w:pPr>
          </w:p>
        </w:tc>
        <w:tc>
          <w:tcPr>
            <w:tcW w:w="8460" w:type="dxa"/>
            <w:vAlign w:val="bottom"/>
            <w:gridSpan w:val="8"/>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38</w:t>
            </w:r>
          </w:p>
        </w:tc>
      </w:tr>
      <w:tr>
        <w:trPr>
          <w:trHeight w:val="170"/>
        </w:trPr>
        <w:tc>
          <w:tcPr>
            <w:tcW w:w="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ITEM 6</w:t>
            </w:r>
          </w:p>
        </w:tc>
        <w:tc>
          <w:tcPr>
            <w:tcW w:w="9580" w:type="dxa"/>
            <w:vAlign w:val="bottom"/>
            <w:gridSpan w:val="12"/>
          </w:tcPr>
          <w:p>
            <w:pPr>
              <w:spacing w:after="0" w:line="169" w:lineRule="exact"/>
              <w:rPr>
                <w:sz w:val="20"/>
                <w:szCs w:val="20"/>
                <w:color w:val="auto"/>
              </w:rPr>
            </w:pPr>
            <w:r>
              <w:rPr>
                <w:rFonts w:ascii="Times New Roman" w:cs="Times New Roman" w:eastAsia="Times New Roman" w:hAnsi="Times New Roman"/>
                <w:sz w:val="15"/>
                <w:szCs w:val="15"/>
                <w:color w:val="0563C1"/>
              </w:rPr>
              <w:t>Exhibits</w:t>
            </w: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90</w:t>
            </w:r>
          </w:p>
        </w:tc>
      </w:tr>
      <w:tr>
        <w:trPr>
          <w:trHeight w:val="170"/>
        </w:trPr>
        <w:tc>
          <w:tcPr>
            <w:tcW w:w="20" w:type="dxa"/>
            <w:vAlign w:val="bottom"/>
          </w:tcPr>
          <w:p>
            <w:pPr>
              <w:spacing w:after="0"/>
              <w:rPr>
                <w:sz w:val="14"/>
                <w:szCs w:val="14"/>
                <w:color w:val="auto"/>
              </w:rPr>
            </w:pPr>
          </w:p>
        </w:tc>
        <w:tc>
          <w:tcPr>
            <w:tcW w:w="640" w:type="dxa"/>
            <w:vAlign w:val="bottom"/>
            <w:tcBorders>
              <w:bottom w:val="single" w:sz="8" w:color="0563C1"/>
            </w:tcBorders>
          </w:tcPr>
          <w:p>
            <w:pPr>
              <w:spacing w:after="0" w:line="169" w:lineRule="exact"/>
              <w:rPr>
                <w:sz w:val="20"/>
                <w:szCs w:val="20"/>
                <w:color w:val="auto"/>
              </w:rPr>
            </w:pPr>
            <w:r>
              <w:rPr>
                <w:rFonts w:ascii="Times New Roman" w:cs="Times New Roman" w:eastAsia="Times New Roman" w:hAnsi="Times New Roman"/>
                <w:sz w:val="15"/>
                <w:szCs w:val="15"/>
                <w:color w:val="0563C1"/>
                <w:w w:val="97"/>
              </w:rPr>
              <w:t>Signatures</w:t>
            </w:r>
          </w:p>
        </w:tc>
        <w:tc>
          <w:tcPr>
            <w:tcW w:w="280" w:type="dxa"/>
            <w:vAlign w:val="bottom"/>
          </w:tcPr>
          <w:p>
            <w:pPr>
              <w:spacing w:after="0"/>
              <w:rPr>
                <w:sz w:val="14"/>
                <w:szCs w:val="14"/>
                <w:color w:val="auto"/>
              </w:rPr>
            </w:pPr>
          </w:p>
        </w:tc>
        <w:tc>
          <w:tcPr>
            <w:tcW w:w="140" w:type="dxa"/>
            <w:vAlign w:val="bottom"/>
            <w:tcBorders>
              <w:top w:val="single" w:sz="8" w:color="0563C1"/>
            </w:tcBorders>
          </w:tcPr>
          <w:p>
            <w:pPr>
              <w:spacing w:after="0"/>
              <w:rPr>
                <w:sz w:val="14"/>
                <w:szCs w:val="14"/>
                <w:color w:val="auto"/>
              </w:rPr>
            </w:pPr>
          </w:p>
        </w:tc>
        <w:tc>
          <w:tcPr>
            <w:tcW w:w="360" w:type="dxa"/>
            <w:vAlign w:val="bottom"/>
            <w:tcBorders>
              <w:top w:val="single" w:sz="8" w:color="0563C1"/>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91</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211"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7" w:lineRule="exact"/>
        <w:rPr>
          <w:sz w:val="20"/>
          <w:szCs w:val="20"/>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increases or decreases in expenses;</w:t>
      </w:r>
    </w:p>
    <w:p>
      <w:pPr>
        <w:spacing w:after="0" w:line="105" w:lineRule="exact"/>
        <w:rPr>
          <w:rFonts w:ascii="Times New Roman" w:cs="Times New Roman" w:eastAsia="Times New Roman" w:hAnsi="Times New Roman"/>
          <w:sz w:val="15"/>
          <w:szCs w:val="15"/>
          <w:color w:val="auto"/>
        </w:rPr>
      </w:pPr>
    </w:p>
    <w:p>
      <w:pPr>
        <w:ind w:left="760" w:right="120" w:hanging="384"/>
        <w:spacing w:after="0" w:line="280" w:lineRule="auto"/>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the clinical and preclinical development, manufacturing, regulatory approval, and commercialization of our pharmaceutical product candidates or any other products that we may acquire or in-license;</w:t>
      </w:r>
    </w:p>
    <w:p>
      <w:pPr>
        <w:spacing w:after="0" w:line="3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the sufficiency of our existing capital resources combined with future anticipated cash flows to finance our operating requirements;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incurring capital expenditures to expand our research and development and manufacturing capabilities;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circumstances or other disruptions to normal business operations arising from or related to COVID-19;</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generating revenue or becoming profitable on a sustained basis;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or ability to enter into marketing and other partnership agreements;</w:t>
      </w:r>
    </w:p>
    <w:p>
      <w:pPr>
        <w:spacing w:after="0" w:line="9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or ability to enter into product acquisition and in-licensing transactions;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or ability to build our own commercial infrastructure to manufacture, market and sell our product candidates;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losses;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intellectual property protection for our product candidates;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acceptance of our products by doctors, patients, or payors;</w:t>
      </w:r>
    </w:p>
    <w:p>
      <w:pPr>
        <w:spacing w:after="0" w:line="9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stock price and its volatility;</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key personnel;</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third-party manufacturers;</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for future capital requirements; and</w:t>
      </w:r>
    </w:p>
    <w:p>
      <w:pPr>
        <w:spacing w:after="0" w:line="10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implement our strategy.</w:t>
      </w:r>
    </w:p>
    <w:p>
      <w:pPr>
        <w:spacing w:after="0" w:line="194" w:lineRule="exact"/>
        <w:rPr>
          <w:sz w:val="20"/>
          <w:szCs w:val="20"/>
          <w:color w:val="auto"/>
        </w:rPr>
      </w:pPr>
    </w:p>
    <w:p>
      <w:pPr>
        <w:ind w:right="420" w:firstLine="750"/>
        <w:spacing w:after="0" w:line="280" w:lineRule="auto"/>
        <w:rPr>
          <w:sz w:val="20"/>
          <w:szCs w:val="20"/>
          <w:color w:val="auto"/>
        </w:rPr>
      </w:pPr>
      <w:r>
        <w:rPr>
          <w:rFonts w:ascii="Times New Roman" w:cs="Times New Roman" w:eastAsia="Times New Roman" w:hAnsi="Times New Roman"/>
          <w:sz w:val="15"/>
          <w:szCs w:val="15"/>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3" w:lineRule="exact"/>
        <w:rPr>
          <w:sz w:val="20"/>
          <w:szCs w:val="20"/>
          <w:color w:val="auto"/>
        </w:rPr>
      </w:pPr>
    </w:p>
    <w:p>
      <w:pPr>
        <w:ind w:right="80" w:firstLine="750"/>
        <w:spacing w:after="0" w:line="280" w:lineRule="auto"/>
        <w:rPr>
          <w:sz w:val="20"/>
          <w:szCs w:val="20"/>
          <w:color w:val="auto"/>
        </w:rPr>
      </w:pPr>
      <w:r>
        <w:rPr>
          <w:rFonts w:ascii="Times New Roman" w:cs="Times New Roman" w:eastAsia="Times New Roman" w:hAnsi="Times New Roman"/>
          <w:sz w:val="15"/>
          <w:szCs w:val="15"/>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 FINANCIAL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6"/>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r>
      <w:tr>
        <w:trPr>
          <w:trHeight w:val="157"/>
        </w:trPr>
        <w:tc>
          <w:tcPr>
            <w:tcW w:w="7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84,707,782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86,472,854</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2,122,144</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45,286</w:t>
            </w:r>
          </w:p>
        </w:tc>
        <w:tc>
          <w:tcPr>
            <w:tcW w:w="100" w:type="dxa"/>
            <w:vAlign w:val="bottom"/>
          </w:tcPr>
          <w:p>
            <w:pPr>
              <w:spacing w:after="0"/>
              <w:rPr>
                <w:sz w:val="17"/>
                <w:szCs w:val="17"/>
                <w:color w:val="auto"/>
              </w:rPr>
            </w:pP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86,829,926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86,518,140</w:t>
            </w:r>
          </w:p>
        </w:tc>
        <w:tc>
          <w:tcPr>
            <w:tcW w:w="100" w:type="dxa"/>
            <w:vAlign w:val="bottom"/>
            <w:shd w:val="clear" w:color="auto" w:fill="CFF0FC"/>
          </w:tcPr>
          <w:p>
            <w:pPr>
              <w:spacing w:after="0"/>
              <w:rPr>
                <w:sz w:val="16"/>
                <w:szCs w:val="16"/>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net</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460,946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283,846</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Right-of-use asset - operating lease</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946,479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660,162</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322,910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322,910</w:t>
            </w:r>
          </w:p>
        </w:tc>
        <w:tc>
          <w:tcPr>
            <w:tcW w:w="100" w:type="dxa"/>
            <w:vAlign w:val="bottom"/>
          </w:tcPr>
          <w:p>
            <w:pPr>
              <w:spacing w:after="0"/>
              <w:rPr>
                <w:sz w:val="17"/>
                <w:szCs w:val="17"/>
                <w:color w:val="auto"/>
              </w:rPr>
            </w:pPr>
          </w:p>
        </w:tc>
      </w:tr>
      <w:tr>
        <w:trPr>
          <w:trHeight w:val="23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88,560,261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87,785,058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0"/>
        </w:trPr>
        <w:tc>
          <w:tcPr>
            <w:tcW w:w="76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12,595,112</w:t>
            </w:r>
          </w:p>
        </w:tc>
        <w:tc>
          <w:tcPr>
            <w:tcW w:w="26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13,149,329</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10,987,222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9,295,180</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 portion</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967,248</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620,675</w:t>
            </w:r>
          </w:p>
        </w:tc>
        <w:tc>
          <w:tcPr>
            <w:tcW w:w="100" w:type="dxa"/>
            <w:vAlign w:val="bottom"/>
          </w:tcPr>
          <w:p>
            <w:pPr>
              <w:spacing w:after="0"/>
              <w:rPr>
                <w:sz w:val="17"/>
                <w:szCs w:val="17"/>
                <w:color w:val="auto"/>
              </w:rPr>
            </w:pP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24,549,582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23,065,184</w:t>
            </w:r>
          </w:p>
        </w:tc>
        <w:tc>
          <w:tcPr>
            <w:tcW w:w="100" w:type="dxa"/>
            <w:vAlign w:val="bottom"/>
            <w:shd w:val="clear" w:color="auto" w:fill="CFF0FC"/>
          </w:tcPr>
          <w:p>
            <w:pPr>
              <w:spacing w:after="0"/>
              <w:rPr>
                <w:sz w:val="16"/>
                <w:szCs w:val="16"/>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payable, long-term</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49,312,665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49,089,522</w:t>
            </w:r>
          </w:p>
        </w:tc>
        <w:tc>
          <w:tcPr>
            <w:tcW w:w="100" w:type="dxa"/>
            <w:vAlign w:val="bottom"/>
          </w:tcPr>
          <w:p>
            <w:pPr>
              <w:spacing w:after="0"/>
              <w:rPr>
                <w:sz w:val="17"/>
                <w:szCs w:val="17"/>
                <w:color w:val="auto"/>
              </w:rPr>
            </w:pPr>
          </w:p>
        </w:tc>
      </w:tr>
      <w:tr>
        <w:trPr>
          <w:trHeight w:val="202"/>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73,862,247</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72,154,706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62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7"/>
                <w:szCs w:val="17"/>
                <w:color w:val="auto"/>
              </w:rPr>
              <w:t>Preferred stock, $0.0001 par value per share (10,000,000 shares authorized, none issued and outstanding at</w:t>
            </w:r>
          </w:p>
        </w:tc>
        <w:tc>
          <w:tcPr>
            <w:tcW w:w="2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1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March 31, 2022 and December 31, 2021, respectively)</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60"/>
        </w:trPr>
        <w:tc>
          <w:tcPr>
            <w:tcW w:w="7620" w:type="dxa"/>
            <w:vAlign w:val="bottom"/>
          </w:tcPr>
          <w:p>
            <w:pPr>
              <w:ind w:left="20"/>
              <w:spacing w:after="0" w:line="160" w:lineRule="exact"/>
              <w:rPr>
                <w:sz w:val="20"/>
                <w:szCs w:val="20"/>
                <w:color w:val="auto"/>
              </w:rPr>
            </w:pPr>
            <w:r>
              <w:rPr>
                <w:rFonts w:ascii="Times New Roman" w:cs="Times New Roman" w:eastAsia="Times New Roman" w:hAnsi="Times New Roman"/>
                <w:sz w:val="17"/>
                <w:szCs w:val="17"/>
                <w:color w:val="auto"/>
              </w:rPr>
              <w:t>Common stock, $0.0001 par value per share (150,000,000 shares authorized, 38,883,445 and</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37,816,794 shares issued and outstanding at March 31, 2022 and December 31, 2021, respectively)</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100" w:type="dxa"/>
            <w:vAlign w:val="bottom"/>
          </w:tcPr>
          <w:p>
            <w:pPr>
              <w:spacing w:after="0"/>
              <w:rPr>
                <w:sz w:val="18"/>
                <w:szCs w:val="18"/>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463,525,522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424,825,655</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(448,831,396 )</w:t>
            </w:r>
          </w:p>
        </w:tc>
        <w:tc>
          <w:tcPr>
            <w:tcW w:w="26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(409,199,085 )</w:t>
            </w:r>
          </w:p>
        </w:tc>
      </w:tr>
      <w:tr>
        <w:trPr>
          <w:trHeight w:val="19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14,698,014</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15,630,352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88,560,261</w:t>
            </w:r>
          </w:p>
        </w:tc>
        <w:tc>
          <w:tcPr>
            <w:tcW w:w="260" w:type="dxa"/>
            <w:vAlign w:val="bottom"/>
          </w:tcPr>
          <w:p>
            <w:pPr>
              <w:spacing w:after="0"/>
              <w:rPr>
                <w:sz w:val="16"/>
                <w:szCs w:val="16"/>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87,785,058</w:t>
            </w:r>
          </w:p>
        </w:tc>
        <w:tc>
          <w:tcPr>
            <w:tcW w:w="100" w:type="dxa"/>
            <w:vAlign w:val="bottom"/>
          </w:tcPr>
          <w:p>
            <w:pPr>
              <w:spacing w:after="0"/>
              <w:rPr>
                <w:sz w:val="16"/>
                <w:szCs w:val="16"/>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-2230120</wp:posOffset>
            </wp:positionV>
            <wp:extent cx="64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-2213610</wp:posOffset>
            </wp:positionV>
            <wp:extent cx="64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-2230120</wp:posOffset>
            </wp:positionV>
            <wp:extent cx="64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-2213610</wp:posOffset>
            </wp:positionV>
            <wp:extent cx="64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-1170940</wp:posOffset>
            </wp:positionV>
            <wp:extent cx="64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-1170940</wp:posOffset>
            </wp:positionV>
            <wp:extent cx="64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-160020</wp:posOffset>
            </wp:positionV>
            <wp:extent cx="64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-160020</wp:posOffset>
            </wp:positionV>
            <wp:extent cx="64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8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19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2"/>
        </w:trPr>
        <w:tc>
          <w:tcPr>
            <w:tcW w:w="7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12,585,141</w:t>
            </w:r>
          </w:p>
        </w:tc>
        <w:tc>
          <w:tcPr>
            <w:tcW w:w="280" w:type="dxa"/>
            <w:vAlign w:val="bottom"/>
          </w:tcPr>
          <w:p>
            <w:pPr>
              <w:spacing w:after="0"/>
              <w:rPr>
                <w:sz w:val="17"/>
                <w:szCs w:val="17"/>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16,595,689</w:t>
            </w:r>
          </w:p>
        </w:tc>
        <w:tc>
          <w:tcPr>
            <w:tcW w:w="100" w:type="dxa"/>
            <w:vAlign w:val="bottom"/>
          </w:tcPr>
          <w:p>
            <w:pPr>
              <w:spacing w:after="0"/>
              <w:rPr>
                <w:sz w:val="17"/>
                <w:szCs w:val="17"/>
                <w:color w:val="auto"/>
              </w:rPr>
            </w:pPr>
          </w:p>
        </w:tc>
      </w:tr>
      <w:tr>
        <w:trPr>
          <w:trHeight w:val="202"/>
        </w:trPr>
        <w:tc>
          <w:tcPr>
            <w:tcW w:w="7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25,703,731</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11,248,372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38,288,872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27,844,061</w:t>
            </w:r>
          </w:p>
        </w:tc>
        <w:tc>
          <w:tcPr>
            <w:tcW w:w="100" w:type="dxa"/>
            <w:vAlign w:val="bottom"/>
          </w:tcPr>
          <w:p>
            <w:pPr>
              <w:spacing w:after="0"/>
              <w:rPr>
                <w:sz w:val="16"/>
                <w:szCs w:val="16"/>
                <w:color w:val="auto"/>
              </w:rPr>
            </w:pPr>
          </w:p>
        </w:tc>
      </w:tr>
      <w:tr>
        <w:trPr>
          <w:trHeight w:val="195"/>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(38,288,872</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(27,844,061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(expense)</w:t>
            </w:r>
          </w:p>
        </w:tc>
        <w:tc>
          <w:tcPr>
            <w:tcW w:w="400" w:type="dxa"/>
            <w:vAlign w:val="bottom"/>
          </w:tcPr>
          <w:p>
            <w:pPr>
              <w:spacing w:after="0"/>
              <w:rPr>
                <w:sz w:val="17"/>
                <w:szCs w:val="17"/>
                <w:color w:val="auto"/>
              </w:rPr>
            </w:pPr>
          </w:p>
        </w:tc>
        <w:tc>
          <w:tcPr>
            <w:tcW w:w="15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(1,343,439 )</w:t>
            </w: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(1,415,909 )</w:t>
            </w:r>
          </w:p>
        </w:tc>
      </w:tr>
      <w:tr>
        <w:trPr>
          <w:trHeight w:val="235"/>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(39,632,311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(29,259,970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0"/>
        </w:trPr>
        <w:tc>
          <w:tcPr>
            <w:tcW w:w="7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400" w:type="dxa"/>
            <w:vAlign w:val="bottom"/>
          </w:tcPr>
          <w:p>
            <w:pPr>
              <w:jc w:val="right"/>
              <w:ind w:right="216"/>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41"/>
              <w:spacing w:after="0" w:line="181" w:lineRule="exact"/>
              <w:rPr>
                <w:sz w:val="20"/>
                <w:szCs w:val="20"/>
                <w:color w:val="auto"/>
              </w:rPr>
            </w:pPr>
            <w:r>
              <w:rPr>
                <w:rFonts w:ascii="Times New Roman" w:cs="Times New Roman" w:eastAsia="Times New Roman" w:hAnsi="Times New Roman"/>
                <w:sz w:val="17"/>
                <w:szCs w:val="17"/>
                <w:color w:val="auto"/>
              </w:rPr>
              <w:t>(1.03 )</w:t>
            </w:r>
          </w:p>
        </w:tc>
        <w:tc>
          <w:tcPr>
            <w:tcW w:w="300" w:type="dxa"/>
            <w:vAlign w:val="bottom"/>
          </w:tcPr>
          <w:p>
            <w:pPr>
              <w:jc w:val="right"/>
              <w:ind w:right="116"/>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(0.78 )</w:t>
            </w:r>
          </w:p>
        </w:tc>
      </w:tr>
      <w:tr>
        <w:trPr>
          <w:trHeight w:val="20"/>
        </w:trPr>
        <w:tc>
          <w:tcPr>
            <w:tcW w:w="7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7840" w:type="dxa"/>
            <w:vAlign w:val="bottom"/>
            <w:tcBorders>
              <w:bottom w:val="single" w:sz="8" w:color="CFF0FC"/>
            </w:tcBorders>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Weighted average common shares outstanding, basic and diluted</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7"/>
                <w:szCs w:val="17"/>
                <w:color w:val="auto"/>
              </w:rPr>
              <w:t>38,323,167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7"/>
                <w:szCs w:val="17"/>
                <w:color w:val="auto"/>
              </w:rPr>
              <w:t>37,429,450</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-866140</wp:posOffset>
            </wp:positionV>
            <wp:extent cx="641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-866140</wp:posOffset>
            </wp:positionV>
            <wp:extent cx="64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-328295</wp:posOffset>
            </wp:positionV>
            <wp:extent cx="641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-312420</wp:posOffset>
            </wp:positionV>
            <wp:extent cx="641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-328295</wp:posOffset>
            </wp:positionV>
            <wp:extent cx="64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-312420</wp:posOffset>
            </wp:positionV>
            <wp:extent cx="641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-23495</wp:posOffset>
            </wp:positionV>
            <wp:extent cx="641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-7620</wp:posOffset>
            </wp:positionV>
            <wp:extent cx="641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-23495</wp:posOffset>
            </wp:positionV>
            <wp:extent cx="64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641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6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40" w:type="dxa"/>
            <w:vAlign w:val="bottom"/>
            <w:gridSpan w:val="2"/>
            <w:vMerge w:val="restart"/>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4400" w:type="dxa"/>
            <w:vAlign w:val="bottom"/>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440" w:type="dxa"/>
            <w:vAlign w:val="bottom"/>
            <w:gridSpan w:val="2"/>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37,374,088</w:t>
            </w: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3,737</w:t>
            </w: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392,585,265</w:t>
            </w:r>
          </w:p>
        </w:tc>
        <w:tc>
          <w:tcPr>
            <w:tcW w:w="24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(278,796,093</w:t>
            </w:r>
          </w:p>
        </w:tc>
        <w:tc>
          <w:tcPr>
            <w:tcW w:w="2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113,792,909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3,731,097</w:t>
            </w:r>
          </w:p>
        </w:tc>
        <w:tc>
          <w:tcPr>
            <w:tcW w:w="240" w:type="dxa"/>
            <w:vAlign w:val="bottom"/>
          </w:tcPr>
          <w:p>
            <w:pPr>
              <w:spacing w:after="0"/>
              <w:rPr>
                <w:sz w:val="16"/>
                <w:szCs w:val="16"/>
                <w:color w:val="auto"/>
              </w:rPr>
            </w:pP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3,731,097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94,000</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1,913,289</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1,913,299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2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93,877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6,115,855</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6,115,864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(29,259,970 )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(29,259,970 )</w:t>
            </w:r>
          </w:p>
        </w:tc>
        <w:tc>
          <w:tcPr>
            <w:tcW w:w="0" w:type="dxa"/>
            <w:vAlign w:val="bottom"/>
          </w:tcPr>
          <w:p>
            <w:pPr>
              <w:spacing w:after="0"/>
              <w:rPr>
                <w:sz w:val="1"/>
                <w:szCs w:val="1"/>
                <w:color w:val="auto"/>
              </w:rPr>
            </w:pPr>
          </w:p>
        </w:tc>
      </w:tr>
      <w:tr>
        <w:trPr>
          <w:trHeight w:val="222"/>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37,563,882</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3,756</w:t>
            </w: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404,345,506</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(308,056,063</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96,293,199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400" w:type="dxa"/>
            <w:vAlign w:val="bottom"/>
          </w:tcPr>
          <w:p>
            <w:pPr>
              <w:ind w:left="20"/>
              <w:spacing w:after="0" w:line="167" w:lineRule="exact"/>
              <w:rPr>
                <w:sz w:val="20"/>
                <w:szCs w:val="20"/>
                <w:color w:val="auto"/>
              </w:rPr>
            </w:pPr>
            <w:r>
              <w:rPr>
                <w:rFonts w:ascii="Times New Roman" w:cs="Times New Roman" w:eastAsia="Times New Roman" w:hAnsi="Times New Roman"/>
                <w:sz w:val="15"/>
                <w:szCs w:val="15"/>
                <w:color w:val="auto"/>
              </w:rPr>
              <w:t>Balance at December 31, 2021</w:t>
            </w:r>
          </w:p>
        </w:tc>
        <w:tc>
          <w:tcPr>
            <w:tcW w:w="11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37,816,794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3,782</w:t>
            </w:r>
          </w:p>
        </w:tc>
        <w:tc>
          <w:tcPr>
            <w:tcW w:w="14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424,825,655</w:t>
            </w:r>
          </w:p>
        </w:tc>
        <w:tc>
          <w:tcPr>
            <w:tcW w:w="240" w:type="dxa"/>
            <w:vAlign w:val="bottom"/>
          </w:tcPr>
          <w:p>
            <w:pPr>
              <w:spacing w:after="0"/>
              <w:rPr>
                <w:sz w:val="14"/>
                <w:szCs w:val="14"/>
                <w:color w:val="auto"/>
              </w:rPr>
            </w:pPr>
          </w:p>
        </w:tc>
        <w:tc>
          <w:tcPr>
            <w:tcW w:w="1440" w:type="dxa"/>
            <w:vAlign w:val="bottom"/>
            <w:gridSpan w:val="2"/>
          </w:tcPr>
          <w:p>
            <w:pPr>
              <w:jc w:val="right"/>
              <w:ind w:right="64"/>
              <w:spacing w:after="0" w:line="167" w:lineRule="exact"/>
              <w:rPr>
                <w:sz w:val="20"/>
                <w:szCs w:val="20"/>
                <w:color w:val="auto"/>
              </w:rPr>
            </w:pPr>
            <w:r>
              <w:rPr>
                <w:rFonts w:ascii="Times New Roman" w:cs="Times New Roman" w:eastAsia="Times New Roman" w:hAnsi="Times New Roman"/>
                <w:sz w:val="15"/>
                <w:szCs w:val="15"/>
                <w:color w:val="auto"/>
              </w:rPr>
              <w:t>(409,199,085 )</w:t>
            </w:r>
          </w:p>
        </w:tc>
        <w:tc>
          <w:tcPr>
            <w:tcW w:w="11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15,630,352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7,598,329</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7,598,329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181,635</w:t>
            </w:r>
          </w:p>
        </w:tc>
        <w:tc>
          <w:tcPr>
            <w:tcW w:w="240" w:type="dxa"/>
            <w:vAlign w:val="bottom"/>
          </w:tcPr>
          <w:p>
            <w:pPr>
              <w:spacing w:after="0"/>
              <w:rPr>
                <w:sz w:val="16"/>
                <w:szCs w:val="16"/>
                <w:color w:val="auto"/>
              </w:rPr>
            </w:pP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4,555</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2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1,044,081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31,008,497</w:t>
            </w:r>
          </w:p>
        </w:tc>
        <w:tc>
          <w:tcPr>
            <w:tcW w:w="240" w:type="dxa"/>
            <w:vAlign w:val="bottom"/>
          </w:tcPr>
          <w:p>
            <w:pPr>
              <w:spacing w:after="0"/>
              <w:rPr>
                <w:sz w:val="16"/>
                <w:szCs w:val="16"/>
                <w:color w:val="auto"/>
              </w:rPr>
            </w:pP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31,008,601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68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(88,594 )</w:t>
            </w:r>
          </w:p>
        </w:tc>
        <w:tc>
          <w:tcPr>
            <w:tcW w:w="14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(88,594 )</w:t>
            </w:r>
          </w:p>
        </w:tc>
        <w:tc>
          <w:tcPr>
            <w:tcW w:w="0" w:type="dxa"/>
            <w:vAlign w:val="bottom"/>
          </w:tcPr>
          <w:p>
            <w:pPr>
              <w:spacing w:after="0"/>
              <w:rPr>
                <w:sz w:val="1"/>
                <w:szCs w:val="1"/>
                <w:color w:val="auto"/>
              </w:rPr>
            </w:pPr>
          </w:p>
        </w:tc>
      </w:t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(39,632,311 )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(39,632,311 )</w:t>
            </w:r>
          </w:p>
        </w:tc>
        <w:tc>
          <w:tcPr>
            <w:tcW w:w="0" w:type="dxa"/>
            <w:vAlign w:val="bottom"/>
          </w:tcPr>
          <w:p>
            <w:pPr>
              <w:spacing w:after="0"/>
              <w:rPr>
                <w:sz w:val="1"/>
                <w:szCs w:val="1"/>
                <w:color w:val="auto"/>
              </w:rPr>
            </w:pPr>
          </w:p>
        </w:tc>
      </w:tr>
      <w:tr>
        <w:trPr>
          <w:trHeight w:val="222"/>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38,883,445</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3,888</w:t>
            </w: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463,525,522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(448,831,396</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14,698,014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-1018540</wp:posOffset>
            </wp:positionV>
            <wp:extent cx="723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-1002030</wp:posOffset>
            </wp:positionV>
            <wp:extent cx="723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-1018540</wp:posOffset>
            </wp:positionV>
            <wp:extent cx="723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-1002030</wp:posOffset>
            </wp:positionV>
            <wp:extent cx="723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-1018540</wp:posOffset>
            </wp:positionV>
            <wp:extent cx="72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-1002030</wp:posOffset>
            </wp:positionV>
            <wp:extent cx="723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-1018540</wp:posOffset>
            </wp:positionV>
            <wp:extent cx="64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-1002030</wp:posOffset>
            </wp:positionV>
            <wp:extent cx="641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-1018540</wp:posOffset>
            </wp:positionV>
            <wp:extent cx="55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-1002030</wp:posOffset>
            </wp:positionV>
            <wp:extent cx="55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-23495</wp:posOffset>
            </wp:positionV>
            <wp:extent cx="723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2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-23495</wp:posOffset>
            </wp:positionV>
            <wp:extent cx="72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-7620</wp:posOffset>
            </wp:positionV>
            <wp:extent cx="72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-23495</wp:posOffset>
            </wp:positionV>
            <wp:extent cx="723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-7620</wp:posOffset>
            </wp:positionV>
            <wp:extent cx="723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-23495</wp:posOffset>
            </wp:positionV>
            <wp:extent cx="641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-7620</wp:posOffset>
            </wp:positionV>
            <wp:extent cx="641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-23495</wp:posOffset>
            </wp:positionV>
            <wp:extent cx="55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55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40" w:type="dxa"/>
            <w:vAlign w:val="bottom"/>
            <w:gridSpan w:val="5"/>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7"/>
        </w:trPr>
        <w:tc>
          <w:tcPr>
            <w:tcW w:w="76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(39,632,311 )</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(29,259,970 )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7,598,329</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3,731,097</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223,143</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276,095</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8,326</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operating lease right-of-use asset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275,063</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262,764</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operating lease liability</w:t>
            </w:r>
          </w:p>
        </w:tc>
        <w:tc>
          <w:tcPr>
            <w:tcW w:w="380" w:type="dxa"/>
            <w:vAlign w:val="bottom"/>
          </w:tcPr>
          <w:p>
            <w:pPr>
              <w:spacing w:after="0"/>
              <w:rPr>
                <w:sz w:val="17"/>
                <w:szCs w:val="17"/>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(214,807 )</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(275,840 )</w:t>
            </w: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80" w:type="dxa"/>
            <w:vAlign w:val="bottom"/>
          </w:tcPr>
          <w:p>
            <w:pPr>
              <w:spacing w:after="0"/>
              <w:rPr>
                <w:sz w:val="17"/>
                <w:szCs w:val="17"/>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(2,076,858 )</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(226,933 )</w:t>
            </w:r>
          </w:p>
        </w:tc>
      </w:tr>
      <w:tr>
        <w:trPr>
          <w:trHeight w:val="202"/>
        </w:trPr>
        <w:tc>
          <w:tcPr>
            <w:tcW w:w="7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7"/>
                <w:szCs w:val="17"/>
                <w:color w:val="auto"/>
              </w:rPr>
              <w:t>(554,217 )</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1,117,695</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1,692,042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(2,848,723 )</w:t>
            </w:r>
          </w:p>
        </w:tc>
      </w:tr>
      <w:tr>
        <w:trPr>
          <w:trHeight w:val="19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6"/>
                <w:szCs w:val="16"/>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(32,652,980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(27,215,489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equipment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7"/>
                <w:szCs w:val="17"/>
                <w:color w:val="auto"/>
              </w:rPr>
              <w:t>(213,736 )</w:t>
            </w: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(29,995 )</w:t>
            </w:r>
          </w:p>
        </w:tc>
      </w:tr>
      <w:tr>
        <w:trPr>
          <w:trHeight w:val="20"/>
        </w:trPr>
        <w:tc>
          <w:tcPr>
            <w:tcW w:w="76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Pr>
          <w:p>
            <w:pPr>
              <w:spacing w:after="0"/>
              <w:rPr>
                <w:sz w:val="16"/>
                <w:szCs w:val="16"/>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(213,736 )</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(29,995 )</w:t>
            </w: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8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upon financing, net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31,008,601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6,115,864</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upon exercise of options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181,637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1,913,299</w:t>
            </w:r>
          </w:p>
        </w:tc>
        <w:tc>
          <w:tcPr>
            <w:tcW w:w="10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tax withholdings on stock award</w:t>
            </w:r>
          </w:p>
        </w:tc>
        <w:tc>
          <w:tcPr>
            <w:tcW w:w="380" w:type="dxa"/>
            <w:vAlign w:val="bottom"/>
          </w:tcPr>
          <w:p>
            <w:pPr>
              <w:spacing w:after="0"/>
              <w:rPr>
                <w:sz w:val="17"/>
                <w:szCs w:val="17"/>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(88,594 )</w:t>
            </w:r>
          </w:p>
        </w:tc>
        <w:tc>
          <w:tcPr>
            <w:tcW w:w="400" w:type="dxa"/>
            <w:vAlign w:val="bottom"/>
          </w:tcPr>
          <w:p>
            <w:pPr>
              <w:spacing w:after="0"/>
              <w:rPr>
                <w:sz w:val="17"/>
                <w:szCs w:val="17"/>
                <w:color w:val="auto"/>
              </w:rPr>
            </w:pP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80" w:type="dxa"/>
            <w:vAlign w:val="bottom"/>
            <w:tcBorders>
              <w:top w:val="single" w:sz="8" w:color="auto"/>
              <w:bottom w:val="single" w:sz="8" w:color="auto"/>
            </w:tcBorders>
            <w:shd w:val="clear" w:color="auto" w:fill="CFF0FC"/>
          </w:tcPr>
          <w:p>
            <w:pPr>
              <w:spacing w:after="0"/>
              <w:rPr>
                <w:sz w:val="16"/>
                <w:szCs w:val="16"/>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31,101,644</w:t>
            </w:r>
          </w:p>
        </w:tc>
        <w:tc>
          <w:tcPr>
            <w:tcW w:w="2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8,029,163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380" w:type="dxa"/>
            <w:vAlign w:val="bottom"/>
          </w:tcPr>
          <w:p>
            <w:pPr>
              <w:spacing w:after="0"/>
              <w:rPr>
                <w:sz w:val="16"/>
                <w:szCs w:val="16"/>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(1,765,072 )</w:t>
            </w:r>
          </w:p>
        </w:tc>
        <w:tc>
          <w:tcPr>
            <w:tcW w:w="4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(19,216,321 )</w:t>
            </w:r>
          </w:p>
        </w:tc>
      </w:tr>
      <w:tr>
        <w:trPr>
          <w:trHeight w:val="202"/>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86,472,854</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183,876,453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at end of period</w:t>
            </w: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84,707,782</w:t>
            </w:r>
          </w:p>
        </w:tc>
        <w:tc>
          <w:tcPr>
            <w:tcW w:w="260" w:type="dxa"/>
            <w:vAlign w:val="bottom"/>
          </w:tcPr>
          <w:p>
            <w:pPr>
              <w:spacing w:after="0"/>
              <w:rPr>
                <w:sz w:val="16"/>
                <w:szCs w:val="16"/>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164,660,132</w:t>
            </w:r>
          </w:p>
        </w:tc>
        <w:tc>
          <w:tcPr>
            <w:tcW w:w="100" w:type="dxa"/>
            <w:vAlign w:val="bottom"/>
          </w:tcPr>
          <w:p>
            <w:pPr>
              <w:spacing w:after="0"/>
              <w:rPr>
                <w:sz w:val="16"/>
                <w:szCs w:val="16"/>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762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1,118,750</w:t>
            </w:r>
          </w:p>
        </w:tc>
        <w:tc>
          <w:tcPr>
            <w:tcW w:w="260" w:type="dxa"/>
            <w:vAlign w:val="bottom"/>
          </w:tcPr>
          <w:p>
            <w:pPr>
              <w:spacing w:after="0"/>
              <w:rPr>
                <w:sz w:val="17"/>
                <w:szCs w:val="17"/>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1,143,750</w:t>
            </w:r>
          </w:p>
        </w:tc>
        <w:tc>
          <w:tcPr>
            <w:tcW w:w="10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 obtained in exchange for operating lease liability</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561,380</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-1868805</wp:posOffset>
            </wp:positionV>
            <wp:extent cx="641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-1868805</wp:posOffset>
            </wp:positionV>
            <wp:extent cx="641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-1604010</wp:posOffset>
            </wp:positionV>
            <wp:extent cx="641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-1604010</wp:posOffset>
            </wp:positionV>
            <wp:extent cx="641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-809625</wp:posOffset>
            </wp:positionV>
            <wp:extent cx="641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-809625</wp:posOffset>
            </wp:positionV>
            <wp:extent cx="641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-544830</wp:posOffset>
            </wp:positionV>
            <wp:extent cx="641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-544830</wp:posOffset>
            </wp:positionV>
            <wp:extent cx="641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Nature of Business and Basis of Presentation</w:t>
      </w:r>
    </w:p>
    <w:p>
      <w:pPr>
        <w:spacing w:after="0" w:line="173" w:lineRule="exact"/>
        <w:rPr>
          <w:sz w:val="20"/>
          <w:szCs w:val="20"/>
          <w:color w:val="auto"/>
        </w:rPr>
      </w:pPr>
    </w:p>
    <w:p>
      <w:pPr>
        <w:ind w:right="100" w:firstLine="750"/>
        <w:spacing w:after="0" w:line="250" w:lineRule="auto"/>
        <w:rPr>
          <w:sz w:val="20"/>
          <w:szCs w:val="20"/>
          <w:color w:val="auto"/>
        </w:rPr>
      </w:pPr>
      <w:r>
        <w:rPr>
          <w:rFonts w:ascii="Times New Roman" w:cs="Times New Roman" w:eastAsia="Times New Roman" w:hAnsi="Times New Roman"/>
          <w:sz w:val="15"/>
          <w:szCs w:val="15"/>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AXS-05, AXS-07,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38"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2021 filed with the SEC on March 1, 2022.</w:t>
      </w:r>
    </w:p>
    <w:p>
      <w:pPr>
        <w:spacing w:after="0" w:line="136"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2022 are not necessarily indicative of the operating results for the full fiscal year or any future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Acquisition of Assets of Jazz Pharmaceuticals</w:t>
      </w:r>
    </w:p>
    <w:p>
      <w:pPr>
        <w:spacing w:after="0" w:line="173" w:lineRule="exact"/>
        <w:rPr>
          <w:sz w:val="20"/>
          <w:szCs w:val="20"/>
          <w:color w:val="auto"/>
        </w:rPr>
      </w:pPr>
    </w:p>
    <w:p>
      <w:pPr>
        <w:ind w:firstLine="750"/>
        <w:spacing w:after="0" w:line="251" w:lineRule="auto"/>
        <w:rPr>
          <w:sz w:val="20"/>
          <w:szCs w:val="20"/>
          <w:color w:val="auto"/>
        </w:rPr>
      </w:pPr>
      <w:r>
        <w:rPr>
          <w:rFonts w:ascii="Times New Roman" w:cs="Times New Roman" w:eastAsia="Times New Roman" w:hAnsi="Times New Roman"/>
          <w:sz w:val="15"/>
          <w:szCs w:val="15"/>
          <w:color w:val="auto"/>
        </w:rPr>
        <w:t>On March 25, 2022, the Company entered into an Asset Purchase Agreement (the “Asset Purchase Agreement”) with Jazz Pharmaceuticals plc ("Jazz Pharmaceuticals"), pursuant to which the Company will acquire Sunosi® from Jazz Pharmaceuticals ("the Acquisition"), a dual-acting dopamine and norepinephrine reuptake inhibitor indicated to improve wakefulness in adult patients living with excessive daytime sleepiness due to narcolepsy or obstructive sleep apnea, which was approved by the U.S. Food and Drug Administration, or the FDA, in 2019 and by the European Medicines Agency (the “EMA”) in 2020.</w:t>
      </w:r>
    </w:p>
    <w:p>
      <w:pPr>
        <w:spacing w:after="0" w:line="138"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5"/>
          <w:szCs w:val="15"/>
          <w:color w:val="auto"/>
        </w:rPr>
        <w:t>Under the terms of the Asset Purchase Agreement, the Company will receive from Jazz Pharmaceuticals worldwide commercial, development, manufacturing, and intellectual property rights to Sunosi, except for certain Asian markets. Jazz Pharmaceuticals will receive from the Company a total upfront payment of $53 million, a high single-digit royalty on the Company's U.S. net sales of Sunosi in the current indication, and a mid single-digit royalty on the Company's U.S. net sales of Sunosi in future indications. The Company will also assume the commitments of Jazz Pharmaceuticals to SK Biopharmaceuticals (“SK)” and Aerial Biopharma (“Aerial”). SK is the originator of Sunosi and retains rights in 12 Asian markets, including China, Korea, and Japan. In 2014, Jazz Pharmaceuticals acquired from Aerial worldwide rights to Sunosi excluding those Asian markets. The assumed commitments to SK and Aerial include single-digit tiered royalties based on the Company's sales of Sunosi, and up to $165 million in revenue milestones and $1 million in development milestones. The Company expects to finance the transaction via its existing $300 million term loan facility with Hercules Capital, Inc. (see below).</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50" w:lineRule="exact"/>
        <w:rPr>
          <w:sz w:val="20"/>
          <w:szCs w:val="20"/>
          <w:color w:val="auto"/>
        </w:rPr>
      </w:pPr>
    </w:p>
    <w:p>
      <w:pPr>
        <w:ind w:right="140" w:firstLine="750"/>
        <w:spacing w:after="0" w:line="263" w:lineRule="auto"/>
        <w:rPr>
          <w:sz w:val="20"/>
          <w:szCs w:val="20"/>
          <w:color w:val="auto"/>
        </w:rPr>
      </w:pPr>
      <w:r>
        <w:rPr>
          <w:rFonts w:ascii="Times New Roman" w:cs="Times New Roman" w:eastAsia="Times New Roman" w:hAnsi="Times New Roman"/>
          <w:sz w:val="15"/>
          <w:szCs w:val="15"/>
          <w:color w:val="auto"/>
        </w:rPr>
        <w:t>The Purchase Agreement also provides for customary conditions to closing, including the receipt of antitrust approval from the Federal Trade Commission pursuant to the Hart-Scott-Rodino Act, and the receipt of certain required financial statements from Jazz required by Regulation S-X of the Securities Exchange Act of 1934, as amended. The Company expects the closing to occur in the second quarter of 2022 and therefore, purchase accounting is not reflected in these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Second Amendment to the Loan and Security Agreement</w:t>
      </w:r>
    </w:p>
    <w:p>
      <w:pPr>
        <w:spacing w:after="0" w:line="173"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On March 27, 2022, in connection with the Acquisition (as described above), the Company entered into a Second Amendment to the Loan and Security Agreement (the “Second Amendment”) with Hercules Capital, Inc. The Second Amendment amends the terms of that certain Loan and Security Agreement, dated as of September 25, 2020 (as amended by the First Amendment to the Loan and Security Agreement, dated of October 14, 2021) (the “Loan Agreement”). The changes in the Term Loan Advances (as defined in the Loan Agreement) amounts and dates are as follows: (i) increasing the Tranche 1 (as defined in the Loan Agreement) from $60.0 million to $95.0 million, whereby $45.0 million is available upon the Second Amendment closing date (ii) changing the Tranche 2 Advances (as defined in the Loan Agreement) from two sub-tranches of $50.0 million each to three sub-tranches of $35.0 million, $35.0 million and $30.0 million, respectively, (iii) changing the Tranche 3 Advance (as defined in the Loan Agreement) from one tranche of $20.0 million to two sub-tranches of $15.0 million and $5.0 million, respectively, (iv) decreasing the Tranche 4 Advance (as defined in the Loan Agreement) from $55.0 million to $50.0 million, and (v) decreasing the Tranche 5 Advance (as defined in the Loan Agreement) from $75.0 million to $35.0 million. In connection with the Second Amendment, the parties also clarified certain terms of the Warrant Agreement previously issued to Hercules. The Second Amendment shall only be effective upon the closing of the Acquisition.</w:t>
      </w:r>
    </w:p>
    <w:p>
      <w:pPr>
        <w:spacing w:after="0" w:line="140" w:lineRule="exact"/>
        <w:rPr>
          <w:sz w:val="20"/>
          <w:szCs w:val="20"/>
          <w:color w:val="auto"/>
        </w:rPr>
      </w:pPr>
    </w:p>
    <w:p>
      <w:pPr>
        <w:ind w:right="20" w:firstLine="750"/>
        <w:spacing w:after="0" w:line="257" w:lineRule="auto"/>
        <w:rPr>
          <w:sz w:val="20"/>
          <w:szCs w:val="20"/>
          <w:color w:val="auto"/>
        </w:rPr>
      </w:pPr>
      <w:r>
        <w:rPr>
          <w:rFonts w:ascii="Times New Roman" w:cs="Times New Roman" w:eastAsia="Times New Roman" w:hAnsi="Times New Roman"/>
          <w:sz w:val="15"/>
          <w:szCs w:val="15"/>
          <w:color w:val="auto"/>
        </w:rPr>
        <w:t>Conditioned upon the closing of the Second Amendment, Hercules will also purchase between $5.0 million and $8.0 million of the Company’s unregistered common stock, at a share price equal to the lesser of (a) the three-day volume weighted average price as of the date of the Second Amendment, or (b) the three-day volume weighted average price as of the Second Amendment Effective Date, pursuant to a stock purchase agreement to be agreed upon by the parties; provided, that, in no case shall the share price be less than a 20% discount to the three-day volume weighted average price of the Company’s common stock at the time of the purchase.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Company has incurred operating losses since its inception and expects to continue to incur operating losses for the foreseeable future and may never become profitable.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2022, the Company had an accumulated deficit of $448.8 million.</w:t>
      </w:r>
    </w:p>
    <w:p>
      <w:pPr>
        <w:spacing w:after="0" w:line="153"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The Company’s primary sources of cash have been proceeds from the issuance and sale of its common stock in public offerings and the issuance of debt.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38" w:lineRule="exact"/>
        <w:rPr>
          <w:sz w:val="20"/>
          <w:szCs w:val="20"/>
          <w:color w:val="auto"/>
        </w:rPr>
      </w:pPr>
    </w:p>
    <w:p>
      <w:pPr>
        <w:ind w:right="60" w:firstLine="750"/>
        <w:spacing w:after="0" w:line="257" w:lineRule="auto"/>
        <w:rPr>
          <w:sz w:val="20"/>
          <w:szCs w:val="20"/>
          <w:color w:val="auto"/>
        </w:rPr>
      </w:pPr>
      <w:r>
        <w:rPr>
          <w:rFonts w:ascii="Times New Roman" w:cs="Times New Roman" w:eastAsia="Times New Roman" w:hAnsi="Times New Roman"/>
          <w:sz w:val="15"/>
          <w:szCs w:val="15"/>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Company’s common stock is listed on the Nasdaq Global Market and trades under the symbol “AXSM”.</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Impact of COVID-19</w:t>
      </w:r>
    </w:p>
    <w:p>
      <w:pPr>
        <w:spacing w:after="0" w:line="173"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global pandemic. The full impact of the ongoing COVID-19 pandemic is still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Summary of Significant Accounting Policies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Significant Risks and Uncertainties</w:t>
      </w:r>
    </w:p>
    <w:p>
      <w:pPr>
        <w:spacing w:after="0" w:line="198"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5"/>
          <w:szCs w:val="15"/>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211"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p>
      <w:pPr>
        <w:spacing w:after="0" w:line="198" w:lineRule="exact"/>
        <w:rPr>
          <w:sz w:val="20"/>
          <w:szCs w:val="20"/>
          <w:color w:val="auto"/>
        </w:rPr>
      </w:pPr>
    </w:p>
    <w:p>
      <w:pPr>
        <w:jc w:val="both"/>
        <w:ind w:right="600" w:firstLine="750"/>
        <w:spacing w:after="0" w:line="263" w:lineRule="auto"/>
        <w:rPr>
          <w:sz w:val="20"/>
          <w:szCs w:val="20"/>
          <w:color w:val="auto"/>
        </w:rPr>
      </w:pPr>
      <w:r>
        <w:rPr>
          <w:rFonts w:ascii="Times New Roman" w:cs="Times New Roman" w:eastAsia="Times New Roman" w:hAnsi="Times New Roman"/>
          <w:sz w:val="15"/>
          <w:szCs w:val="15"/>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and Geographic Information</w:t>
      </w:r>
    </w:p>
    <w:p>
      <w:pPr>
        <w:spacing w:after="0" w:line="211"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Equivalents</w:t>
      </w:r>
    </w:p>
    <w:p>
      <w:pPr>
        <w:spacing w:after="0" w:line="211"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2022, the balance of cash and cash equivalents was $84.7 million, which approximates fair value and was determined based upon Level 1 inputs. The sweep account is valued using quoted market prices with no valuation adjustments applied. Accordingly, these securities are categorized as Level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Concentration of Credit Risk</w:t>
      </w:r>
    </w:p>
    <w:p>
      <w:pPr>
        <w:spacing w:after="0" w:line="211" w:lineRule="exact"/>
        <w:rPr>
          <w:sz w:val="20"/>
          <w:szCs w:val="20"/>
          <w:color w:val="auto"/>
        </w:rPr>
      </w:pPr>
    </w:p>
    <w:p>
      <w:pPr>
        <w:ind w:right="80" w:firstLine="750"/>
        <w:spacing w:after="0" w:line="251"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a concentration of credit risk consist of cash. The Company maintains its cash at financial institutions, which at times, exceed federally insured limits. At March 31, 2022,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211" w:lineRule="exact"/>
        <w:rPr>
          <w:sz w:val="20"/>
          <w:szCs w:val="20"/>
          <w:color w:val="auto"/>
        </w:rPr>
      </w:pPr>
    </w:p>
    <w:p>
      <w:pPr>
        <w:ind w:firstLine="750"/>
        <w:spacing w:after="0" w:line="179" w:lineRule="exact"/>
        <w:rPr>
          <w:sz w:val="20"/>
          <w:szCs w:val="20"/>
          <w:color w:val="auto"/>
        </w:rPr>
      </w:pPr>
      <w:r>
        <w:rPr>
          <w:rFonts w:ascii="Times New Roman" w:cs="Times New Roman" w:eastAsia="Times New Roman" w:hAnsi="Times New Roman"/>
          <w:sz w:val="15"/>
          <w:szCs w:val="15"/>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Level 1—Quoted prices in active markets for identical assets or liabilities that the Company has the ability to access at the measurement date.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Level 2—Inputs other than quoted prices in active markets that are observable for the asset or liability, either directly or indirectly.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Level 3—Inputs that are unobservable for the asset or liability.</w:t>
      </w:r>
    </w:p>
    <w:p>
      <w:pPr>
        <w:spacing w:after="0" w:line="207" w:lineRule="exact"/>
        <w:rPr>
          <w:sz w:val="20"/>
          <w:szCs w:val="20"/>
          <w:color w:val="auto"/>
        </w:rPr>
      </w:pPr>
    </w:p>
    <w:p>
      <w:pPr>
        <w:ind w:right="40" w:firstLine="750"/>
        <w:spacing w:after="0" w:line="263" w:lineRule="auto"/>
        <w:rPr>
          <w:sz w:val="20"/>
          <w:szCs w:val="20"/>
          <w:color w:val="auto"/>
        </w:rPr>
      </w:pPr>
      <w:r>
        <w:rPr>
          <w:rFonts w:ascii="Times New Roman" w:cs="Times New Roman" w:eastAsia="Times New Roman" w:hAnsi="Times New Roman"/>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80" w:firstLine="750"/>
        <w:spacing w:after="0" w:line="251" w:lineRule="auto"/>
        <w:rPr>
          <w:sz w:val="20"/>
          <w:szCs w:val="20"/>
          <w:color w:val="auto"/>
        </w:rPr>
      </w:pPr>
      <w:r>
        <w:rPr>
          <w:rFonts w:ascii="Times New Roman" w:cs="Times New Roman" w:eastAsia="Times New Roman" w:hAnsi="Times New Roman"/>
          <w:sz w:val="15"/>
          <w:szCs w:val="15"/>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Debt Issuance Costs</w:t>
      </w:r>
    </w:p>
    <w:p>
      <w:pPr>
        <w:spacing w:after="0" w:line="211"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5"/>
          <w:szCs w:val="15"/>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Equipment</w:t>
      </w:r>
    </w:p>
    <w:p>
      <w:pPr>
        <w:spacing w:after="0" w:line="185" w:lineRule="exact"/>
        <w:rPr>
          <w:sz w:val="20"/>
          <w:szCs w:val="20"/>
          <w:color w:val="auto"/>
        </w:rPr>
      </w:pPr>
    </w:p>
    <w:p>
      <w:pPr>
        <w:ind w:right="120" w:firstLine="750"/>
        <w:spacing w:after="0" w:line="188" w:lineRule="exact"/>
        <w:rPr>
          <w:sz w:val="20"/>
          <w:szCs w:val="20"/>
          <w:color w:val="auto"/>
        </w:rPr>
      </w:pPr>
      <w:r>
        <w:rPr>
          <w:rFonts w:ascii="Times New Roman" w:cs="Times New Roman" w:eastAsia="Times New Roman" w:hAnsi="Times New Roman"/>
          <w:sz w:val="15"/>
          <w:szCs w:val="15"/>
          <w:color w:val="auto"/>
        </w:rPr>
        <w:t>Equipment consists primarily of computer equipment and is recorded at cost. Equipment is depreciated on a straight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 Costs</w:t>
      </w:r>
    </w:p>
    <w:p>
      <w:pPr>
        <w:spacing w:after="0" w:line="211" w:lineRule="exact"/>
        <w:rPr>
          <w:sz w:val="20"/>
          <w:szCs w:val="20"/>
          <w:color w:val="auto"/>
        </w:rPr>
      </w:pPr>
    </w:p>
    <w:p>
      <w:pPr>
        <w:ind w:right="60" w:firstLine="750"/>
        <w:spacing w:after="0" w:line="177" w:lineRule="exact"/>
        <w:rPr>
          <w:sz w:val="20"/>
          <w:szCs w:val="20"/>
          <w:color w:val="auto"/>
        </w:rPr>
      </w:pPr>
      <w:r>
        <w:rPr>
          <w:rFonts w:ascii="Times New Roman" w:cs="Times New Roman" w:eastAsia="Times New Roman" w:hAnsi="Times New Roman"/>
          <w:sz w:val="15"/>
          <w:szCs w:val="15"/>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211" w:lineRule="exact"/>
        <w:rPr>
          <w:sz w:val="20"/>
          <w:szCs w:val="20"/>
          <w:color w:val="auto"/>
        </w:rPr>
      </w:pPr>
    </w:p>
    <w:p>
      <w:pPr>
        <w:ind w:right="280" w:firstLine="750"/>
        <w:spacing w:after="0" w:line="250" w:lineRule="auto"/>
        <w:rPr>
          <w:sz w:val="20"/>
          <w:szCs w:val="20"/>
          <w:color w:val="auto"/>
        </w:rPr>
      </w:pPr>
      <w:r>
        <w:rPr>
          <w:rFonts w:ascii="Times New Roman" w:cs="Times New Roman" w:eastAsia="Times New Roman" w:hAnsi="Times New Roman"/>
          <w:sz w:val="15"/>
          <w:szCs w:val="15"/>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76" w:lineRule="exact"/>
        <w:rPr>
          <w:sz w:val="20"/>
          <w:szCs w:val="20"/>
          <w:color w:val="auto"/>
        </w:rPr>
      </w:pPr>
    </w:p>
    <w:p>
      <w:pPr>
        <w:ind w:right="220" w:firstLine="750"/>
        <w:spacing w:after="0" w:line="262" w:lineRule="auto"/>
        <w:rPr>
          <w:sz w:val="20"/>
          <w:szCs w:val="20"/>
          <w:color w:val="auto"/>
        </w:rPr>
      </w:pPr>
      <w:r>
        <w:rPr>
          <w:rFonts w:ascii="Times New Roman" w:cs="Times New Roman" w:eastAsia="Times New Roman" w:hAnsi="Times New Roman"/>
          <w:sz w:val="15"/>
          <w:szCs w:val="15"/>
          <w:color w:val="auto"/>
        </w:rPr>
        <w:t>The Company estimates an annual effective tax rate of 0% for the year ending December 31, 2022 and has not recorded an income tax benefit for the three months ended March 31, 2022 and 2021 since it determined that a full valuation allowance is required against the Company’s deferred tax assets.</w:t>
      </w:r>
    </w:p>
    <w:p>
      <w:pPr>
        <w:spacing w:after="0" w:line="167" w:lineRule="exact"/>
        <w:rPr>
          <w:sz w:val="20"/>
          <w:szCs w:val="20"/>
          <w:color w:val="auto"/>
        </w:rPr>
      </w:pPr>
    </w:p>
    <w:p>
      <w:pPr>
        <w:jc w:val="both"/>
        <w:ind w:right="180" w:firstLine="750"/>
        <w:spacing w:after="0" w:line="257" w:lineRule="auto"/>
        <w:rPr>
          <w:sz w:val="20"/>
          <w:szCs w:val="20"/>
          <w:color w:val="auto"/>
        </w:rPr>
      </w:pPr>
      <w:r>
        <w:rPr>
          <w:rFonts w:ascii="Times New Roman" w:cs="Times New Roman" w:eastAsia="Times New Roman" w:hAnsi="Times New Roman"/>
          <w:sz w:val="15"/>
          <w:szCs w:val="15"/>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2022,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185" w:lineRule="exact"/>
        <w:rPr>
          <w:sz w:val="20"/>
          <w:szCs w:val="20"/>
          <w:color w:val="auto"/>
        </w:rPr>
      </w:pPr>
    </w:p>
    <w:p>
      <w:pPr>
        <w:ind w:firstLine="750"/>
        <w:spacing w:after="0" w:line="189" w:lineRule="exact"/>
        <w:rPr>
          <w:sz w:val="20"/>
          <w:szCs w:val="20"/>
          <w:color w:val="auto"/>
        </w:rPr>
      </w:pPr>
      <w:r>
        <w:rPr>
          <w:rFonts w:ascii="Times New Roman" w:cs="Times New Roman" w:eastAsia="Times New Roman" w:hAnsi="Times New Roman"/>
          <w:sz w:val="15"/>
          <w:szCs w:val="15"/>
          <w:color w:val="auto"/>
        </w:rPr>
        <w:t>For stock options issued, the Company estimates the grant date fair value of each option using the Black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70" w:lineRule="exact"/>
        <w:rPr>
          <w:sz w:val="20"/>
          <w:szCs w:val="20"/>
          <w:color w:val="auto"/>
        </w:rPr>
      </w:pPr>
    </w:p>
    <w:p>
      <w:pPr>
        <w:ind w:right="60" w:firstLine="750"/>
        <w:spacing w:after="0" w:line="280" w:lineRule="auto"/>
        <w:rPr>
          <w:sz w:val="20"/>
          <w:szCs w:val="20"/>
          <w:color w:val="auto"/>
        </w:rPr>
      </w:pPr>
      <w:r>
        <w:rPr>
          <w:rFonts w:ascii="Times New Roman" w:cs="Times New Roman" w:eastAsia="Times New Roman" w:hAnsi="Times New Roman"/>
          <w:sz w:val="15"/>
          <w:szCs w:val="15"/>
          <w:color w:val="auto"/>
        </w:rPr>
        <w:t>For restricted stock units (“RSUs”), the Company issues them in the form of Company common stock. The fair market value of these awards is based on the market closing price per share on the grant date.</w:t>
      </w:r>
    </w:p>
    <w:p>
      <w:pPr>
        <w:spacing w:after="0" w:line="153" w:lineRule="exact"/>
        <w:rPr>
          <w:sz w:val="20"/>
          <w:szCs w:val="20"/>
          <w:color w:val="auto"/>
        </w:rPr>
      </w:pPr>
    </w:p>
    <w:p>
      <w:pPr>
        <w:ind w:right="20" w:firstLine="750"/>
        <w:spacing w:after="0" w:line="251" w:lineRule="auto"/>
        <w:rPr>
          <w:sz w:val="20"/>
          <w:szCs w:val="20"/>
          <w:color w:val="auto"/>
        </w:rPr>
      </w:pPr>
      <w:r>
        <w:rPr>
          <w:rFonts w:ascii="Times New Roman" w:cs="Times New Roman" w:eastAsia="Times New Roman" w:hAnsi="Times New Roman"/>
          <w:sz w:val="15"/>
          <w:szCs w:val="15"/>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76" w:lineRule="exact"/>
        <w:rPr>
          <w:sz w:val="20"/>
          <w:szCs w:val="20"/>
          <w:color w:val="auto"/>
        </w:rPr>
      </w:pPr>
    </w:p>
    <w:p>
      <w:pPr>
        <w:ind w:right="800" w:firstLine="750"/>
        <w:spacing w:after="0" w:line="280" w:lineRule="auto"/>
        <w:rPr>
          <w:sz w:val="20"/>
          <w:szCs w:val="20"/>
          <w:color w:val="auto"/>
        </w:rPr>
      </w:pPr>
      <w:r>
        <w:rPr>
          <w:rFonts w:ascii="Times New Roman" w:cs="Times New Roman" w:eastAsia="Times New Roman" w:hAnsi="Times New Roman"/>
          <w:sz w:val="15"/>
          <w:szCs w:val="15"/>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Basic and Diluted Net Loss per Common Share</w:t>
      </w:r>
    </w:p>
    <w:p>
      <w:pPr>
        <w:spacing w:after="0" w:line="211" w:lineRule="exact"/>
        <w:rPr>
          <w:sz w:val="20"/>
          <w:szCs w:val="20"/>
          <w:color w:val="auto"/>
        </w:rPr>
      </w:pPr>
    </w:p>
    <w:p>
      <w:pPr>
        <w:ind w:right="160" w:firstLine="750"/>
        <w:spacing w:after="0" w:line="251" w:lineRule="auto"/>
        <w:rPr>
          <w:sz w:val="20"/>
          <w:szCs w:val="20"/>
          <w:color w:val="auto"/>
        </w:rPr>
      </w:pPr>
      <w:r>
        <w:rPr>
          <w:rFonts w:ascii="Times New Roman" w:cs="Times New Roman" w:eastAsia="Times New Roman" w:hAnsi="Times New Roman"/>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months ended March 31, 2022 and 2021.</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211" w:lineRule="exact"/>
        <w:rPr>
          <w:sz w:val="20"/>
          <w:szCs w:val="20"/>
          <w:color w:val="auto"/>
        </w:rPr>
      </w:pPr>
    </w:p>
    <w:p>
      <w:pPr>
        <w:ind w:right="20" w:firstLine="750"/>
        <w:spacing w:after="0" w:line="251" w:lineRule="auto"/>
        <w:rPr>
          <w:sz w:val="20"/>
          <w:szCs w:val="20"/>
          <w:color w:val="auto"/>
        </w:rPr>
      </w:pPr>
      <w:r>
        <w:rPr>
          <w:rFonts w:ascii="Times New Roman" w:cs="Times New Roman" w:eastAsia="Times New Roman" w:hAnsi="Times New Roman"/>
          <w:sz w:val="15"/>
          <w:szCs w:val="15"/>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76" w:lineRule="exact"/>
        <w:rPr>
          <w:sz w:val="20"/>
          <w:szCs w:val="20"/>
          <w:color w:val="auto"/>
        </w:rPr>
      </w:pPr>
    </w:p>
    <w:p>
      <w:pPr>
        <w:ind w:right="100" w:firstLine="750"/>
        <w:spacing w:after="0" w:line="251" w:lineRule="auto"/>
        <w:rPr>
          <w:sz w:val="20"/>
          <w:szCs w:val="20"/>
          <w:color w:val="auto"/>
        </w:rPr>
      </w:pPr>
      <w:r>
        <w:rPr>
          <w:rFonts w:ascii="Times New Roman" w:cs="Times New Roman" w:eastAsia="Times New Roman" w:hAnsi="Times New Roman"/>
          <w:sz w:val="15"/>
          <w:szCs w:val="15"/>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76" w:lineRule="exact"/>
        <w:rPr>
          <w:sz w:val="20"/>
          <w:szCs w:val="20"/>
          <w:color w:val="auto"/>
        </w:rPr>
      </w:pPr>
    </w:p>
    <w:p>
      <w:pPr>
        <w:ind w:right="140" w:firstLine="750"/>
        <w:spacing w:after="0" w:line="251" w:lineRule="auto"/>
        <w:rPr>
          <w:sz w:val="20"/>
          <w:szCs w:val="20"/>
          <w:color w:val="auto"/>
        </w:rPr>
      </w:pPr>
      <w:r>
        <w:rPr>
          <w:rFonts w:ascii="Times New Roman" w:cs="Times New Roman" w:eastAsia="Times New Roman" w:hAnsi="Times New Roman"/>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6" w:lineRule="exact"/>
        <w:rPr>
          <w:sz w:val="20"/>
          <w:szCs w:val="20"/>
          <w:color w:val="auto"/>
        </w:rPr>
      </w:pPr>
    </w:p>
    <w:p>
      <w:pPr>
        <w:jc w:val="both"/>
        <w:ind w:right="120" w:firstLine="750"/>
        <w:spacing w:after="0" w:line="257" w:lineRule="auto"/>
        <w:rPr>
          <w:sz w:val="20"/>
          <w:szCs w:val="20"/>
          <w:color w:val="auto"/>
        </w:rPr>
      </w:pPr>
      <w:r>
        <w:rPr>
          <w:rFonts w:ascii="Times New Roman" w:cs="Times New Roman" w:eastAsia="Times New Roman" w:hAnsi="Times New Roman"/>
          <w:sz w:val="15"/>
          <w:szCs w:val="15"/>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211"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5"/>
          <w:szCs w:val="15"/>
          <w:color w:val="auto"/>
        </w:rPr>
        <w:t>In October 2021, the Financial Accounting Standards Board (“FASB”) issued Accounting Standards Update (“ASU”) No. 2021-08, Business Combinations (Topic 805) . This update requires that an entity (acquirer) recognize and measure contract assets and contract liabilities acquired in a business combination in accordance with Accounting Standards Codification (“ASC”) 606.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Early adoption is permitted, including adoption in an interim period. The Company is currently evaluating the impact of this ASU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Accrued Expenses and Other Current Liabilities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At March 31, 2022 and December 31, 2021 accrued expenses and other current liabilities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6"/>
        </w:trPr>
        <w:tc>
          <w:tcPr>
            <w:tcW w:w="39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37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2,726,847</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2,416,897</w:t>
            </w:r>
          </w:p>
        </w:tc>
      </w:tr>
      <w:tr>
        <w:trPr>
          <w:trHeight w:val="202"/>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2,013,040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4,050,236</w:t>
            </w:r>
          </w:p>
        </w:tc>
      </w:tr>
      <w:tr>
        <w:trPr>
          <w:trHeight w:val="202"/>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general and administrative</w:t>
            </w:r>
          </w:p>
        </w:tc>
        <w:tc>
          <w:tcPr>
            <w:tcW w:w="3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5,856,779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2,442,700</w:t>
            </w:r>
          </w:p>
        </w:tc>
      </w:tr>
      <w:tr>
        <w:trPr>
          <w:trHeight w:val="202"/>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3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390,556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385,347</w:t>
            </w:r>
          </w:p>
        </w:tc>
      </w:tr>
      <w:tr>
        <w:trPr>
          <w:trHeight w:val="235"/>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7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10,987,222</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9,295,180</w:t>
            </w:r>
          </w:p>
        </w:tc>
      </w:tr>
      <w:tr>
        <w:trPr>
          <w:trHeight w:val="597"/>
        </w:trPr>
        <w:tc>
          <w:tcPr>
            <w:tcW w:w="3980" w:type="dxa"/>
            <w:vAlign w:val="bottom"/>
          </w:tcPr>
          <w:p>
            <w:pPr>
              <w:spacing w:after="0"/>
              <w:rPr>
                <w:sz w:val="24"/>
                <w:szCs w:val="24"/>
                <w:color w:val="auto"/>
              </w:rPr>
            </w:pPr>
          </w:p>
        </w:tc>
        <w:tc>
          <w:tcPr>
            <w:tcW w:w="3700" w:type="dxa"/>
            <w:vAlign w:val="bottom"/>
          </w:tcPr>
          <w:p>
            <w:pPr>
              <w:jc w:val="right"/>
              <w:ind w:right="1896"/>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4"/>
        </w:trPr>
        <w:tc>
          <w:tcPr>
            <w:tcW w:w="398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-488950</wp:posOffset>
            </wp:positionV>
            <wp:extent cx="104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-473075</wp:posOffset>
            </wp:positionV>
            <wp:extent cx="104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Loan and Security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Hercules Capital, Inc.</w:t>
      </w:r>
    </w:p>
    <w:p>
      <w:pPr>
        <w:spacing w:after="0" w:line="211" w:lineRule="exact"/>
        <w:rPr>
          <w:sz w:val="20"/>
          <w:szCs w:val="20"/>
          <w:color w:val="auto"/>
        </w:rPr>
      </w:pPr>
    </w:p>
    <w:p>
      <w:pPr>
        <w:ind w:firstLine="750"/>
        <w:spacing w:after="0" w:line="244" w:lineRule="auto"/>
        <w:rPr>
          <w:sz w:val="20"/>
          <w:szCs w:val="20"/>
          <w:color w:val="auto"/>
        </w:rPr>
      </w:pPr>
      <w:r>
        <w:rPr>
          <w:rFonts w:ascii="Times New Roman" w:cs="Times New Roman" w:eastAsia="Times New Roman" w:hAnsi="Times New Roman"/>
          <w:sz w:val="15"/>
          <w:szCs w:val="15"/>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was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remaining $10.0 million on the first tranche was not utilized and such tranche and future tranches were amended upon the execution of the First Amendment to the Loan and Security Agreement. See "First Amendment to the Loan and Security Agreement" below for further information. The Company intends to use the proceeds of the Term Loan Advances for working capital and general corporate purposes. In addition, approximately $21.7 million of the proceeds from the First Advance was used to satisfy in full and retire the Company’s indebtedness under the 2019 Term Loan (as defined below), as amended.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 xml:space="preserve">The outstanding principal balance of the term loans bears interest at an annual rate equal to the greater of either (i) the prime rate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plus</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5.90% or (ii) 9.15%, subject to an ability by the Company, during certain periods (each, a “PIK Deferral Period”), to request a reduction of the then-effective cash-pay interest rate by up to 1.00% per annum (the “Cash Interest Reduction Amount”). Accrued interest is payable monthly following the funding of each term loan. During each PIK Deferral Period, the term</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5"/>
          <w:szCs w:val="15"/>
          <w:color w:val="auto"/>
        </w:rPr>
        <w:t>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Company is required to repay the term loans in equal installments of principal and interest commencing on May 1, 2023 through October 1, 2025 (the “Maturity Date”).</w:t>
      </w:r>
    </w:p>
    <w:p>
      <w:pPr>
        <w:spacing w:after="0" w:line="8" w:lineRule="exact"/>
        <w:rPr>
          <w:sz w:val="20"/>
          <w:szCs w:val="20"/>
          <w:color w:val="auto"/>
        </w:rPr>
      </w:pPr>
    </w:p>
    <w:p>
      <w:pPr>
        <w:ind w:right="240"/>
        <w:spacing w:after="0" w:line="219" w:lineRule="auto"/>
        <w:rPr>
          <w:sz w:val="20"/>
          <w:szCs w:val="20"/>
          <w:color w:val="auto"/>
        </w:rPr>
      </w:pPr>
      <w:r>
        <w:rPr>
          <w:rFonts w:ascii="Times New Roman" w:cs="Times New Roman" w:eastAsia="Times New Roman" w:hAnsi="Times New Roman"/>
          <w:sz w:val="15"/>
          <w:szCs w:val="15"/>
          <w:color w:val="auto"/>
        </w:rPr>
        <w:t>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w:t>
      </w:r>
    </w:p>
    <w:p>
      <w:pPr>
        <w:spacing w:after="0" w:line="1" w:lineRule="exact"/>
        <w:rPr>
          <w:sz w:val="20"/>
          <w:szCs w:val="20"/>
          <w:color w:val="auto"/>
        </w:rPr>
      </w:pPr>
    </w:p>
    <w:p>
      <w:pPr>
        <w:ind w:right="500"/>
        <w:spacing w:after="0" w:line="231" w:lineRule="auto"/>
        <w:rPr>
          <w:sz w:val="20"/>
          <w:szCs w:val="20"/>
          <w:color w:val="auto"/>
        </w:rPr>
      </w:pPr>
      <w:r>
        <w:rPr>
          <w:rFonts w:ascii="Times New Roman" w:cs="Times New Roman" w:eastAsia="Times New Roman" w:hAnsi="Times New Roman"/>
          <w:sz w:val="15"/>
          <w:szCs w:val="15"/>
          <w:color w:val="auto"/>
        </w:rPr>
        <w:t>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As collateral for the obligations, the Company has granted to Hercules a senior security interest in all of Company’s right, title, and interest in, to and under all of</w:t>
      </w:r>
    </w:p>
    <w:p>
      <w:pPr>
        <w:spacing w:after="0" w:line="8"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5"/>
          <w:szCs w:val="15"/>
          <w:color w:val="auto"/>
        </w:rPr>
        <w:t>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Times New Roman" w:cs="Times New Roman" w:eastAsia="Times New Roman" w:hAnsi="Times New Roman"/>
          <w:sz w:val="15"/>
          <w:szCs w:val="15"/>
          <w:color w:val="FF0000"/>
        </w:rPr>
        <w:t>.</w:t>
      </w:r>
      <w:r>
        <w:rPr>
          <w:rFonts w:ascii="Times New Roman" w:cs="Times New Roman" w:eastAsia="Times New Roman" w:hAnsi="Times New Roman"/>
          <w:sz w:val="15"/>
          <w:szCs w:val="15"/>
          <w:color w:val="auto"/>
        </w:rPr>
        <w:t xml:space="preserve"> Antecip consented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collateral assignment of the License Agreement, among other things, under a direct agreement (the “Direct Agreement”) with the Company and Hercules.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w:t>
      </w:r>
    </w:p>
    <w:p>
      <w:pPr>
        <w:spacing w:after="0" w:line="1" w:lineRule="exact"/>
        <w:rPr>
          <w:sz w:val="20"/>
          <w:szCs w:val="20"/>
          <w:color w:val="auto"/>
        </w:rPr>
      </w:pPr>
    </w:p>
    <w:p>
      <w:pPr>
        <w:jc w:val="both"/>
        <w:ind w:right="120"/>
        <w:spacing w:after="0" w:line="224" w:lineRule="auto"/>
        <w:rPr>
          <w:sz w:val="20"/>
          <w:szCs w:val="20"/>
          <w:color w:val="auto"/>
        </w:rPr>
      </w:pPr>
      <w:r>
        <w:rPr>
          <w:rFonts w:ascii="Times New Roman" w:cs="Times New Roman" w:eastAsia="Times New Roman" w:hAnsi="Times New Roman"/>
          <w:sz w:val="15"/>
          <w:szCs w:val="15"/>
          <w:color w:val="auto"/>
        </w:rPr>
        <w:t>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71" w:lineRule="exact"/>
        <w:rPr>
          <w:sz w:val="20"/>
          <w:szCs w:val="20"/>
          <w:color w:val="auto"/>
        </w:rPr>
      </w:pPr>
    </w:p>
    <w:p>
      <w:pPr>
        <w:ind w:left="760" w:right="80" w:hanging="384"/>
        <w:spacing w:after="0" w:line="231" w:lineRule="auto"/>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56" w:lineRule="exact"/>
        <w:rPr>
          <w:rFonts w:ascii="Times New Roman" w:cs="Times New Roman" w:eastAsia="Times New Roman" w:hAnsi="Times New Roman"/>
          <w:sz w:val="15"/>
          <w:szCs w:val="15"/>
          <w:color w:val="auto"/>
        </w:rPr>
      </w:pPr>
    </w:p>
    <w:p>
      <w:pPr>
        <w:ind w:left="760" w:right="60" w:hanging="384"/>
        <w:spacing w:after="0" w:line="224" w:lineRule="auto"/>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0" w:lineRule="exact"/>
        <w:rPr>
          <w:rFonts w:ascii="Times New Roman" w:cs="Times New Roman" w:eastAsia="Times New Roman" w:hAnsi="Times New Roman"/>
          <w:sz w:val="15"/>
          <w:szCs w:val="15"/>
          <w:color w:val="auto"/>
        </w:rPr>
      </w:pPr>
    </w:p>
    <w:p>
      <w:pPr>
        <w:ind w:left="760" w:right="560" w:hanging="384"/>
        <w:spacing w:after="0" w:line="262" w:lineRule="auto"/>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7" w:lineRule="exact"/>
        <w:rPr>
          <w:sz w:val="20"/>
          <w:szCs w:val="20"/>
          <w:color w:val="auto"/>
        </w:rPr>
      </w:pPr>
    </w:p>
    <w:p>
      <w:pPr>
        <w:ind w:right="40" w:firstLine="750"/>
        <w:spacing w:after="0" w:line="280" w:lineRule="auto"/>
        <w:rPr>
          <w:sz w:val="20"/>
          <w:szCs w:val="20"/>
          <w:color w:val="auto"/>
        </w:rPr>
      </w:pPr>
      <w:r>
        <w:rPr>
          <w:rFonts w:ascii="Times New Roman" w:cs="Times New Roman" w:eastAsia="Times New Roman" w:hAnsi="Times New Roman"/>
          <w:sz w:val="15"/>
          <w:szCs w:val="15"/>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53"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5"/>
          <w:szCs w:val="15"/>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73"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First Amendment to the Loan Agreement</w:t>
      </w:r>
    </w:p>
    <w:p>
      <w:pPr>
        <w:spacing w:after="0" w:line="185" w:lineRule="exact"/>
        <w:rPr>
          <w:sz w:val="20"/>
          <w:szCs w:val="20"/>
          <w:color w:val="auto"/>
        </w:rPr>
      </w:pPr>
    </w:p>
    <w:p>
      <w:pPr>
        <w:ind w:right="520" w:firstLine="750"/>
        <w:spacing w:after="0" w:line="280" w:lineRule="auto"/>
        <w:rPr>
          <w:sz w:val="20"/>
          <w:szCs w:val="20"/>
          <w:color w:val="auto"/>
        </w:rPr>
      </w:pPr>
      <w:r>
        <w:rPr>
          <w:rFonts w:ascii="Times New Roman" w:cs="Times New Roman" w:eastAsia="Times New Roman" w:hAnsi="Times New Roman"/>
          <w:sz w:val="15"/>
          <w:szCs w:val="15"/>
          <w:color w:val="auto"/>
        </w:rPr>
        <w:t>On October 14, 2021 ("First Amendment Closing Date"), the Company entered into the first amendment to the Loan Agreement (the “First Amendment to the Loan Agreement”).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50" w:lineRule="exact"/>
        <w:rPr>
          <w:sz w:val="20"/>
          <w:szCs w:val="20"/>
          <w:color w:val="auto"/>
        </w:rPr>
      </w:pPr>
    </w:p>
    <w:p>
      <w:pPr>
        <w:ind w:right="20" w:firstLine="750"/>
        <w:spacing w:after="0" w:line="246" w:lineRule="auto"/>
        <w:rPr>
          <w:sz w:val="20"/>
          <w:szCs w:val="20"/>
          <w:color w:val="auto"/>
        </w:rPr>
      </w:pPr>
      <w:r>
        <w:rPr>
          <w:rFonts w:ascii="Times New Roman" w:cs="Times New Roman" w:eastAsia="Times New Roman" w:hAnsi="Times New Roman"/>
          <w:sz w:val="15"/>
          <w:szCs w:val="15"/>
          <w:color w:val="auto"/>
        </w:rPr>
        <w:t>Under the First Amendment to the Loan Agreement, the First Amendment amended the terms of that certain Loan and Security Agreement, dated as of September 25, 2020, by and among the Company, Hercules and the Lenders (the “Loan Agreement”) to, among other things, (i) increase the aggregate principal amount of the loan, available at the Company’s option, from $225,000,000 to $300,000,000, (ii) change the draw amounts and dates available in Tranche 2 through Tranche 5 including increasing the amount available under Tranche 2 subject to FDA approval of the Company’s AXS-05 product candidate for the treatment of major depressive disorder from $35,000,000 to $100,000,000, maintaining the amount available under Tranche 3 subject to FDA approval of the Company’s AXS-07 product candidate for the acute treatment of migraine of $20,000,000, reducing the amount under Tranche 4 available upon achievement of certain combined sales and outstanding debt criteria from $60,000,000 to $55,000,000, and increasing the amount available under Tranche 5 to support future strategic initiatives, including further pipeline advancement or expansion from $50,000,000 to $75,000,000 subject to the approval from Hercules, (iii) extend the maturity date of the facility from the original October 2025 to October 2026, and optionally to October 2027, subject to certain conditions, (iv) reset and extend the interest only period from the initial 30 months from the original loan closing to 48 months from the First Amendment and extendable up to 60 months subject to FDA approval of the Company’s AXS-05 product candidate for the treatment of major depressive disorder and subject to FDA approval of AXS-07 in the acute treatment of migraine, and (v) decrease the interest rate from 9.15% (floating rate based on the greater of (a) 9.15% or (b) US WSJ Prime + 5.90%) to 8.95% (floating rate based on the greater of (a) 8.95% or (b) US WSJ Prime + 5.70%).</w:t>
      </w:r>
    </w:p>
    <w:p>
      <w:pPr>
        <w:spacing w:after="0" w:line="355" w:lineRule="exact"/>
        <w:rPr>
          <w:sz w:val="20"/>
          <w:szCs w:val="20"/>
          <w:color w:val="auto"/>
        </w:rPr>
      </w:pPr>
    </w:p>
    <w:p>
      <w:pPr>
        <w:ind w:right="160" w:firstLine="750"/>
        <w:spacing w:after="0" w:line="262" w:lineRule="auto"/>
        <w:rPr>
          <w:sz w:val="20"/>
          <w:szCs w:val="20"/>
          <w:color w:val="auto"/>
        </w:rPr>
      </w:pPr>
      <w:r>
        <w:rPr>
          <w:rFonts w:ascii="Times New Roman" w:cs="Times New Roman" w:eastAsia="Times New Roman" w:hAnsi="Times New Roman"/>
          <w:sz w:val="15"/>
          <w:szCs w:val="15"/>
          <w:color w:val="auto"/>
        </w:rPr>
        <w:t>In addition, the Company is required to pay a final payment fee equal to (A) $2,910,000 plus (B) 4.5% of the aggregate amount of all term future loan advances. The final payment fee is being accreted and amortized into interest expense using the effective interest rate method over the term of the loan.</w:t>
      </w:r>
    </w:p>
    <w:p>
      <w:pPr>
        <w:spacing w:after="0" w:line="141" w:lineRule="exact"/>
        <w:rPr>
          <w:sz w:val="20"/>
          <w:szCs w:val="20"/>
          <w:color w:val="auto"/>
        </w:rPr>
      </w:pPr>
    </w:p>
    <w:p>
      <w:pPr>
        <w:jc w:val="both"/>
        <w:ind w:firstLine="750"/>
        <w:spacing w:after="0" w:line="251" w:lineRule="auto"/>
        <w:rPr>
          <w:sz w:val="20"/>
          <w:szCs w:val="20"/>
          <w:color w:val="auto"/>
        </w:rPr>
      </w:pPr>
      <w:r>
        <w:rPr>
          <w:rFonts w:ascii="Times New Roman" w:cs="Times New Roman" w:eastAsia="Times New Roman" w:hAnsi="Times New Roman"/>
          <w:sz w:val="15"/>
          <w:szCs w:val="15"/>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Second Amendment to the Loan Agreement</w:t>
      </w:r>
    </w:p>
    <w:p>
      <w:pPr>
        <w:spacing w:after="0" w:line="207" w:lineRule="exact"/>
        <w:rPr>
          <w:sz w:val="20"/>
          <w:szCs w:val="20"/>
          <w:color w:val="auto"/>
        </w:rPr>
      </w:pPr>
    </w:p>
    <w:p>
      <w:pPr>
        <w:ind w:right="260" w:firstLine="750"/>
        <w:spacing w:after="0" w:line="285" w:lineRule="auto"/>
        <w:rPr>
          <w:sz w:val="20"/>
          <w:szCs w:val="20"/>
          <w:color w:val="auto"/>
        </w:rPr>
      </w:pPr>
      <w:r>
        <w:rPr>
          <w:rFonts w:ascii="Times New Roman" w:cs="Times New Roman" w:eastAsia="Times New Roman" w:hAnsi="Times New Roman"/>
          <w:sz w:val="15"/>
          <w:szCs w:val="15"/>
          <w:color w:val="auto"/>
        </w:rPr>
        <w:t xml:space="preserve">On March 27, 2022, the Company entered into the Second Amendment to the Loan Agreement subject to the closing of the Sunosi® Acquisition. See </w:t>
      </w:r>
      <w:r>
        <w:rPr>
          <w:rFonts w:ascii="Times New Roman" w:cs="Times New Roman" w:eastAsia="Times New Roman" w:hAnsi="Times New Roman"/>
          <w:sz w:val="15"/>
          <w:szCs w:val="15"/>
          <w:i w:val="1"/>
          <w:iCs w:val="1"/>
          <w:color w:val="auto"/>
        </w:rPr>
        <w:t>Note 1 - Nature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Business and Basis of Presentation </w:t>
      </w:r>
      <w:r>
        <w:rPr>
          <w:rFonts w:ascii="Times New Roman" w:cs="Times New Roman" w:eastAsia="Times New Roman" w:hAnsi="Times New Roman"/>
          <w:sz w:val="15"/>
          <w:szCs w:val="15"/>
          <w:color w:val="auto"/>
        </w:rPr>
        <w:t>for more detail.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Loan Interest Expense and Amortization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Company incurred interest expense of $1,123,958 for the three months ended March 31, 2022 and $1,143,750 for the three months ended March 31, 2021, respectively.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addition, amortization of the final payment fee was $97,860 for the three months ended March 31, 2022 and $143,589 for the three months ended March 31, 2021, respectively.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Amortization of the debt discount in relation to warrants and debt issuance costs was $125,497 for the three months ended March 31, 2022 and $132,508 for the three months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2021, respectively.</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outstanding debt and unamortized debt discount balances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6"/>
        </w:trPr>
        <w:tc>
          <w:tcPr>
            <w:tcW w:w="7640" w:type="dxa"/>
            <w:vAlign w:val="bottom"/>
          </w:tcPr>
          <w:p>
            <w:pPr>
              <w:ind w:left="37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Outstanding Debt</w:t>
            </w: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50,000,000</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50,000,000</w:t>
            </w: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 accreted liability of final payment fee</w:t>
            </w:r>
          </w:p>
        </w:tc>
        <w:tc>
          <w:tcPr>
            <w:tcW w:w="300" w:type="dxa"/>
            <w:vAlign w:val="bottom"/>
          </w:tcPr>
          <w:p>
            <w:pPr>
              <w:spacing w:after="0"/>
              <w:rPr>
                <w:sz w:val="17"/>
                <w:szCs w:val="17"/>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804,053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706,407</w:t>
            </w:r>
          </w:p>
        </w:tc>
      </w:tr>
      <w:tr>
        <w:trPr>
          <w:trHeight w:val="202"/>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Less: unamortized debt discount, long-term</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(1,491,388 )</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(1,616,885 )</w:t>
            </w: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 payable, long-term</w:t>
            </w: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49,312,665</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49,089,522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-23495</wp:posOffset>
            </wp:positionV>
            <wp:extent cx="1123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112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83" w:lineRule="exact"/>
        <w:rPr>
          <w:sz w:val="20"/>
          <w:szCs w:val="20"/>
          <w:color w:val="auto"/>
        </w:rPr>
      </w:pPr>
    </w:p>
    <w:p>
      <w:pPr>
        <w:ind w:right="20" w:firstLine="750"/>
        <w:spacing w:after="0" w:line="263" w:lineRule="auto"/>
        <w:rPr>
          <w:sz w:val="20"/>
          <w:szCs w:val="20"/>
          <w:color w:val="auto"/>
        </w:rPr>
      </w:pPr>
      <w:r>
        <w:rPr>
          <w:rFonts w:ascii="Times New Roman" w:cs="Times New Roman" w:eastAsia="Times New Roman" w:hAnsi="Times New Roman"/>
          <w:sz w:val="15"/>
          <w:szCs w:val="15"/>
          <w:color w:val="auto"/>
        </w:rPr>
        <w:t>In connection with the entry into the Hercules Term Loan, the Company issued to Hercules a warrant to purchase a number of shares of the Company’s common stock equal to 2.5% of the aggregate amount of the Term Loan Advances that are funded. Further information on warrants issued related to this loan and prior debt financings and amendments are disclosed in Note 7 - Stockholders’ Equity under the “Warrants” section.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2"/>
        </w:trPr>
        <w:tc>
          <w:tcPr>
            <w:tcW w:w="9240" w:type="dxa"/>
            <w:vAlign w:val="bottom"/>
            <w:gridSpan w:val="3"/>
          </w:tcPr>
          <w:p>
            <w:pPr>
              <w:spacing w:after="0"/>
              <w:rPr>
                <w:sz w:val="20"/>
                <w:szCs w:val="20"/>
                <w:color w:val="auto"/>
              </w:rPr>
            </w:pPr>
            <w:r>
              <w:rPr>
                <w:rFonts w:ascii="Times New Roman" w:cs="Times New Roman" w:eastAsia="Times New Roman" w:hAnsi="Times New Roman"/>
                <w:sz w:val="15"/>
                <w:szCs w:val="15"/>
                <w:color w:val="0563C1"/>
              </w:rPr>
              <w:t>Table of Contents</w:t>
            </w:r>
          </w:p>
        </w:tc>
        <w:tc>
          <w:tcPr>
            <w:tcW w:w="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92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Scheduled Principal Payments on Outstanding Debt, as of March 31, 2022, are as follows:</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06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2022</w:t>
            </w:r>
          </w:p>
        </w:tc>
        <w:tc>
          <w:tcPr>
            <w:tcW w:w="8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8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2024</w:t>
            </w:r>
          </w:p>
        </w:tc>
        <w:tc>
          <w:tcPr>
            <w:tcW w:w="8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8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8,026,818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2026</w:t>
            </w:r>
          </w:p>
        </w:tc>
        <w:tc>
          <w:tcPr>
            <w:tcW w:w="81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rPr>
              <w:t>41,973,182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principal payments outstanding</w:t>
            </w: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Company was in compliance with all covenants and requirements of its financing arrangements as of and during the three months ended March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Net Loss per Common Share</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table sets forth the computation of basic and diluted net loss per common share: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0" w:type="dxa"/>
            <w:vAlign w:val="bottom"/>
          </w:tcPr>
          <w:p>
            <w:pPr>
              <w:spacing w:after="0"/>
              <w:rPr>
                <w:sz w:val="1"/>
                <w:szCs w:val="1"/>
                <w:color w:val="auto"/>
              </w:rPr>
            </w:pPr>
          </w:p>
        </w:tc>
      </w:tr>
      <w:tr>
        <w:trPr>
          <w:trHeight w:val="157"/>
        </w:trPr>
        <w:tc>
          <w:tcPr>
            <w:tcW w:w="7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common share:</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(39,632,311 )</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(29,259,970 )</w:t>
            </w:r>
          </w:p>
        </w:tc>
        <w:tc>
          <w:tcPr>
            <w:tcW w:w="0" w:type="dxa"/>
            <w:vAlign w:val="bottom"/>
          </w:tcPr>
          <w:p>
            <w:pPr>
              <w:spacing w:after="0"/>
              <w:rPr>
                <w:sz w:val="1"/>
                <w:szCs w:val="1"/>
                <w:color w:val="auto"/>
              </w:rPr>
            </w:pPr>
          </w:p>
        </w:tc>
      </w:tr>
      <w:tr>
        <w:trPr>
          <w:trHeight w:val="160"/>
        </w:trPr>
        <w:tc>
          <w:tcPr>
            <w:tcW w:w="762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38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38,323,167</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37,429,450</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and diluted</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share—basic and diluted</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(0.78 )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-160020</wp:posOffset>
            </wp:positionV>
            <wp:extent cx="112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5" w:lineRule="exact"/>
        <w:rPr>
          <w:sz w:val="20"/>
          <w:szCs w:val="20"/>
          <w:color w:val="auto"/>
        </w:rPr>
      </w:pPr>
    </w:p>
    <w:p>
      <w:pPr>
        <w:ind w:right="600" w:firstLine="750"/>
        <w:spacing w:after="0" w:line="262" w:lineRule="auto"/>
        <w:rPr>
          <w:sz w:val="20"/>
          <w:szCs w:val="20"/>
          <w:color w:val="auto"/>
        </w:rPr>
      </w:pPr>
      <w:r>
        <w:rPr>
          <w:rFonts w:ascii="Times New Roman" w:cs="Times New Roman" w:eastAsia="Times New Roman" w:hAnsi="Times New Roman"/>
          <w:sz w:val="15"/>
          <w:szCs w:val="15"/>
          <w:color w:val="auto"/>
        </w:rPr>
        <w:t>The following potentially dilutive securities outstanding at March 31, 2022 and 2021 have been excluded from the computation of diluted weighted average shares outstanding, as they would be anti-dilutive: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6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260" w:type="dxa"/>
            <w:vAlign w:val="bottom"/>
            <w:tcBorders>
              <w:bottom w:val="single" w:sz="8" w:color="auto"/>
            </w:tcBorders>
          </w:tcPr>
          <w:p>
            <w:pPr>
              <w:spacing w:after="0"/>
              <w:rPr>
                <w:sz w:val="15"/>
                <w:szCs w:val="15"/>
                <w:color w:val="auto"/>
              </w:rPr>
            </w:pPr>
          </w:p>
        </w:tc>
      </w:tr>
      <w:tr>
        <w:trPr>
          <w:trHeight w:val="157"/>
        </w:trPr>
        <w:tc>
          <w:tcPr>
            <w:tcW w:w="7720" w:type="dxa"/>
            <w:vAlign w:val="bottom"/>
          </w:tcPr>
          <w:p>
            <w:pPr>
              <w:spacing w:after="0"/>
              <w:rPr>
                <w:sz w:val="13"/>
                <w:szCs w:val="13"/>
                <w:color w:val="auto"/>
              </w:rPr>
            </w:pPr>
          </w:p>
        </w:tc>
        <w:tc>
          <w:tcPr>
            <w:tcW w:w="16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6,219,030</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4,385,598</w:t>
            </w: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6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667,366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303,983</w:t>
            </w:r>
          </w:p>
        </w:tc>
      </w:tr>
      <w:tr>
        <w:trPr>
          <w:trHeight w:val="20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16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15,541</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rPr>
              <w:t>15,541</w:t>
            </w:r>
          </w:p>
        </w:tc>
      </w:tr>
      <w:tr>
        <w:trPr>
          <w:trHeight w:val="195"/>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6,901,937</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4,705,122</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-160020</wp:posOffset>
            </wp:positionV>
            <wp:extent cx="1206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Commitments and Contingencies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Leases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For the three months ended March 31, 2022 and 2021, the Company had the following operating lease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2"/>
                <w:szCs w:val="12"/>
                <w:color w:val="auto"/>
              </w:rPr>
            </w:pPr>
          </w:p>
        </w:tc>
        <w:tc>
          <w:tcPr>
            <w:tcW w:w="3420" w:type="dxa"/>
            <w:vAlign w:val="bottom"/>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Statement of Operations Location</w:t>
            </w:r>
          </w:p>
        </w:tc>
        <w:tc>
          <w:tcPr>
            <w:tcW w:w="200" w:type="dxa"/>
            <w:vAlign w:val="bottom"/>
          </w:tcPr>
          <w:p>
            <w:pPr>
              <w:spacing w:after="0"/>
              <w:rPr>
                <w:sz w:val="12"/>
                <w:szCs w:val="12"/>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280" w:type="dxa"/>
            <w:vAlign w:val="bottom"/>
          </w:tcPr>
          <w:p>
            <w:pPr>
              <w:spacing w:after="0"/>
              <w:rPr>
                <w:sz w:val="12"/>
                <w:szCs w:val="12"/>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34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31, 2021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290,769</w:t>
            </w: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286,923</w:t>
            </w:r>
          </w:p>
        </w:tc>
        <w:tc>
          <w:tcPr>
            <w:tcW w:w="2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lease expense</w:t>
            </w:r>
          </w:p>
        </w:tc>
        <w:tc>
          <w:tcPr>
            <w:tcW w:w="3420" w:type="dxa"/>
            <w:vAlign w:val="bottom"/>
          </w:tcPr>
          <w:p>
            <w:pPr>
              <w:spacing w:after="0"/>
              <w:rPr>
                <w:sz w:val="16"/>
                <w:szCs w:val="16"/>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290,769</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286,923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-160020</wp:posOffset>
            </wp:positionV>
            <wp:extent cx="48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6973570</wp:posOffset>
            </wp:positionH>
            <wp:positionV relativeFrom="paragraph">
              <wp:posOffset>-160020</wp:posOffset>
            </wp:positionV>
            <wp:extent cx="482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Future minimum lease payments of the Company’s operating leases as of March 31, 2022 were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50165</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2"/>
        </w:trPr>
        <w:tc>
          <w:tcPr>
            <w:tcW w:w="9200" w:type="dxa"/>
            <w:vAlign w:val="bottom"/>
            <w:gridSpan w:val="3"/>
          </w:tcPr>
          <w:p>
            <w:pPr>
              <w:spacing w:after="0"/>
              <w:rPr>
                <w:sz w:val="20"/>
                <w:szCs w:val="20"/>
                <w:color w:val="auto"/>
              </w:rPr>
            </w:pPr>
            <w:r>
              <w:rPr>
                <w:rFonts w:ascii="Times New Roman" w:cs="Times New Roman" w:eastAsia="Times New Roman" w:hAnsi="Times New Roman"/>
                <w:sz w:val="15"/>
                <w:szCs w:val="15"/>
                <w:color w:val="0563C1"/>
              </w:rPr>
              <w:t>Table of Contents</w:t>
            </w: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060" w:type="dxa"/>
            <w:vAlign w:val="bottom"/>
            <w:tcBorders>
              <w:top w:val="single" w:sz="8" w:color="0563C1"/>
            </w:tcBorders>
          </w:tcPr>
          <w:p>
            <w:pPr>
              <w:spacing w:after="0"/>
              <w:rPr>
                <w:sz w:val="15"/>
                <w:szCs w:val="15"/>
                <w:color w:val="auto"/>
              </w:rPr>
            </w:pPr>
          </w:p>
        </w:tc>
        <w:tc>
          <w:tcPr>
            <w:tcW w:w="8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2022</w:t>
            </w:r>
          </w:p>
        </w:tc>
        <w:tc>
          <w:tcPr>
            <w:tcW w:w="8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8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2024</w:t>
            </w:r>
          </w:p>
        </w:tc>
        <w:tc>
          <w:tcPr>
            <w:tcW w:w="8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8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8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7"/>
                <w:szCs w:val="17"/>
                <w:color w:val="auto"/>
              </w:rPr>
              <w:t>Total lease payments</w:t>
            </w:r>
          </w:p>
        </w:tc>
        <w:tc>
          <w:tcPr>
            <w:tcW w:w="7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990,000</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7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(22,752 )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18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967,248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7077710</wp:posOffset>
            </wp:positionH>
            <wp:positionV relativeFrom="paragraph">
              <wp:posOffset>-424815</wp:posOffset>
            </wp:positionV>
            <wp:extent cx="64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-160020</wp:posOffset>
            </wp:positionV>
            <wp:extent cx="641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57" w:lineRule="exact"/>
        <w:rPr>
          <w:sz w:val="20"/>
          <w:szCs w:val="20"/>
          <w:color w:val="auto"/>
        </w:rPr>
      </w:pPr>
    </w:p>
    <w:p>
      <w:pPr>
        <w:ind w:right="80" w:firstLine="750"/>
        <w:spacing w:after="0" w:line="257" w:lineRule="auto"/>
        <w:rPr>
          <w:sz w:val="20"/>
          <w:szCs w:val="20"/>
          <w:color w:val="auto"/>
        </w:rPr>
      </w:pPr>
      <w:r>
        <w:rPr>
          <w:rFonts w:ascii="Times New Roman" w:cs="Times New Roman" w:eastAsia="Times New Roman" w:hAnsi="Times New Roman"/>
          <w:sz w:val="15"/>
          <w:szCs w:val="15"/>
          <w:color w:val="auto"/>
        </w:rPr>
        <w:t>In January 2022, the Company entered into an agreement to extend the lease of 22 Cortlandt Street for a term of six months from August 1, 2022 through January 31, 2023. As of March 31, 2022, the remaining lease term for our operating lease was 0.8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Stockholders’ Equity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Capital Structure</w:t>
      </w:r>
    </w:p>
    <w:p>
      <w:pPr>
        <w:spacing w:after="0" w:line="211" w:lineRule="exact"/>
        <w:rPr>
          <w:sz w:val="20"/>
          <w:szCs w:val="20"/>
          <w:color w:val="auto"/>
        </w:rPr>
      </w:pPr>
    </w:p>
    <w:p>
      <w:pPr>
        <w:ind w:right="40" w:firstLine="750"/>
        <w:spacing w:after="0" w:line="251" w:lineRule="auto"/>
        <w:rPr>
          <w:sz w:val="20"/>
          <w:szCs w:val="20"/>
          <w:color w:val="auto"/>
        </w:rPr>
      </w:pPr>
      <w:r>
        <w:rPr>
          <w:rFonts w:ascii="Times New Roman" w:cs="Times New Roman" w:eastAsia="Times New Roman" w:hAnsi="Times New Roman"/>
          <w:sz w:val="15"/>
          <w:szCs w:val="15"/>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December 2019 Sales Agreement was replaced by the March 2022 Sales Agreement (see below).</w:t>
      </w:r>
    </w:p>
    <w:p>
      <w:pPr>
        <w:spacing w:after="0" w:line="176" w:lineRule="exact"/>
        <w:rPr>
          <w:sz w:val="20"/>
          <w:szCs w:val="20"/>
          <w:color w:val="auto"/>
        </w:rPr>
      </w:pPr>
    </w:p>
    <w:p>
      <w:pPr>
        <w:ind w:right="40" w:firstLine="750"/>
        <w:spacing w:after="0" w:line="251" w:lineRule="auto"/>
        <w:rPr>
          <w:sz w:val="20"/>
          <w:szCs w:val="20"/>
          <w:color w:val="auto"/>
        </w:rPr>
      </w:pPr>
      <w:r>
        <w:rPr>
          <w:rFonts w:ascii="Times New Roman" w:cs="Times New Roman" w:eastAsia="Times New Roman" w:hAnsi="Times New Roman"/>
          <w:sz w:val="15"/>
          <w:szCs w:val="15"/>
          <w:color w:val="auto"/>
        </w:rPr>
        <w:t>In March 2022, the Company entered into the March 2022 Sales Agreement with SVB Leerink, pursuant to which the Company may sell up to $200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March 2022 Sales Agreement. The March 2022 Sales Agreement supersedes the December 2019 Sales Agreement, dated December 5, 2019, by and between the Company and SVB Leerink LLC.</w:t>
      </w:r>
    </w:p>
    <w:p>
      <w:pPr>
        <w:spacing w:after="0" w:line="176" w:lineRule="exact"/>
        <w:rPr>
          <w:sz w:val="20"/>
          <w:szCs w:val="20"/>
          <w:color w:val="auto"/>
        </w:rPr>
      </w:pPr>
    </w:p>
    <w:p>
      <w:pPr>
        <w:ind w:right="280" w:firstLine="750"/>
        <w:spacing w:after="0" w:line="280" w:lineRule="auto"/>
        <w:rPr>
          <w:sz w:val="20"/>
          <w:szCs w:val="20"/>
          <w:color w:val="auto"/>
        </w:rPr>
      </w:pPr>
      <w:r>
        <w:rPr>
          <w:rFonts w:ascii="Times New Roman" w:cs="Times New Roman" w:eastAsia="Times New Roman" w:hAnsi="Times New Roman"/>
          <w:sz w:val="15"/>
          <w:szCs w:val="15"/>
          <w:color w:val="auto"/>
        </w:rPr>
        <w:t>Under the December 2019 Sales Agreement and March 2022 Sales Agreement, for the three months ended March 31, 2022, the Company received approximately $32.0 million in gross proceeds through the sale of 1,044,081 shares, of which net proceeds were approximately $31.0 million.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holders of shares of common stock are entitled to one vote for each share of common stock held at all meetings of stockholders and written actions in lieu of meetings.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holders of shares of common stock are entitled to receive dividends, if and when declared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Shelf Registration Statement</w:t>
      </w:r>
    </w:p>
    <w:p>
      <w:pPr>
        <w:spacing w:after="0" w:line="211" w:lineRule="exact"/>
        <w:rPr>
          <w:sz w:val="20"/>
          <w:szCs w:val="20"/>
          <w:color w:val="auto"/>
        </w:rPr>
      </w:pPr>
    </w:p>
    <w:p>
      <w:pPr>
        <w:jc w:val="both"/>
        <w:ind w:right="100" w:firstLine="750"/>
        <w:spacing w:after="0" w:line="263" w:lineRule="auto"/>
        <w:rPr>
          <w:sz w:val="20"/>
          <w:szCs w:val="20"/>
          <w:color w:val="auto"/>
        </w:rPr>
      </w:pPr>
      <w:r>
        <w:rPr>
          <w:rFonts w:ascii="Times New Roman" w:cs="Times New Roman" w:eastAsia="Times New Roman" w:hAnsi="Times New Roman"/>
          <w:sz w:val="15"/>
          <w:szCs w:val="15"/>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$261.2 million pursuant to such shelf registration statement.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jc w:val="both"/>
        <w:ind w:right="40" w:firstLine="750"/>
        <w:spacing w:after="0" w:line="254" w:lineRule="auto"/>
        <w:rPr>
          <w:sz w:val="20"/>
          <w:szCs w:val="20"/>
          <w:color w:val="auto"/>
        </w:rPr>
      </w:pPr>
      <w:r>
        <w:rPr>
          <w:rFonts w:ascii="Times New Roman" w:cs="Times New Roman" w:eastAsia="Times New Roman" w:hAnsi="Times New Roman"/>
          <w:sz w:val="15"/>
          <w:szCs w:val="15"/>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Incentive Plans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There were 2,187,058 shares available for the issuance of stock options or stock-based awards under the Company’s 2015 Omnibus Incentive Compensation Plan at March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table sets forth the stock option activity for the three months ended March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11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760" w:type="dxa"/>
            <w:vAlign w:val="bottom"/>
          </w:tcPr>
          <w:p>
            <w:pPr>
              <w:spacing w:after="0"/>
              <w:rPr>
                <w:sz w:val="13"/>
                <w:szCs w:val="13"/>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3"/>
                <w:szCs w:val="13"/>
                <w:color w:val="auto"/>
              </w:rPr>
            </w:pPr>
          </w:p>
        </w:tc>
        <w:tc>
          <w:tcPr>
            <w:tcW w:w="118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244"/>
              <w:spacing w:after="0"/>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77"/>
        </w:trPr>
        <w:tc>
          <w:tcPr>
            <w:tcW w:w="5760" w:type="dxa"/>
            <w:vAlign w:val="bottom"/>
          </w:tcPr>
          <w:p>
            <w:pPr>
              <w:spacing w:after="0"/>
              <w:rPr>
                <w:sz w:val="15"/>
                <w:szCs w:val="15"/>
                <w:color w:val="auto"/>
              </w:rPr>
            </w:pPr>
          </w:p>
        </w:tc>
        <w:tc>
          <w:tcPr>
            <w:tcW w:w="12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term</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9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5,090,377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28.89</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1,223,019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30.05</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(18,015 )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10.08</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(67,139 )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43.83</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(9,212 )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53.10</w:t>
            </w: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2022</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6,219,030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28.98</w:t>
            </w:r>
          </w:p>
        </w:tc>
        <w:tc>
          <w:tcPr>
            <w:tcW w:w="130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7.6</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7"/>
                <w:szCs w:val="17"/>
                <w:color w:val="auto"/>
              </w:rPr>
              <w:t>106,188,389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60" w:type="dxa"/>
            <w:vAlign w:val="bottom"/>
            <w:tcBorders>
              <w:bottom w:val="single" w:sz="8" w:color="CFF0FC"/>
            </w:tcBorders>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Vested and expected to vest at March 31, 2022</w:t>
            </w:r>
          </w:p>
        </w:tc>
        <w:tc>
          <w:tcPr>
            <w:tcW w:w="1220" w:type="dxa"/>
            <w:vAlign w:val="bottom"/>
            <w:tcBorders>
              <w:bottom w:val="single" w:sz="8" w:color="auto"/>
            </w:tcBorders>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7"/>
                <w:szCs w:val="17"/>
                <w:color w:val="auto"/>
              </w:rPr>
              <w:t>6,219,030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7"/>
                <w:szCs w:val="17"/>
                <w:color w:val="auto"/>
              </w:rPr>
              <w:t>28.98</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29"/>
              <w:spacing w:after="0" w:line="181" w:lineRule="exact"/>
              <w:rPr>
                <w:sz w:val="20"/>
                <w:szCs w:val="20"/>
                <w:color w:val="auto"/>
              </w:rPr>
            </w:pPr>
            <w:r>
              <w:rPr>
                <w:rFonts w:ascii="Times New Roman" w:cs="Times New Roman" w:eastAsia="Times New Roman" w:hAnsi="Times New Roman"/>
                <w:sz w:val="17"/>
                <w:szCs w:val="17"/>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ind w:right="24"/>
              <w:spacing w:after="0" w:line="181" w:lineRule="exact"/>
              <w:rPr>
                <w:sz w:val="20"/>
                <w:szCs w:val="20"/>
                <w:color w:val="auto"/>
              </w:rPr>
            </w:pPr>
            <w:r>
              <w:rPr>
                <w:rFonts w:ascii="Times New Roman" w:cs="Times New Roman" w:eastAsia="Times New Roman" w:hAnsi="Times New Roman"/>
                <w:sz w:val="17"/>
                <w:szCs w:val="17"/>
                <w:color w:val="auto"/>
              </w:rPr>
              <w:t>106,188,389</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Exercisable at March 31, 2022</w:t>
            </w:r>
          </w:p>
        </w:tc>
        <w:tc>
          <w:tcPr>
            <w:tcW w:w="122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7"/>
                <w:szCs w:val="17"/>
                <w:color w:val="auto"/>
              </w:rPr>
              <w:t>2,932,835</w:t>
            </w:r>
          </w:p>
        </w:tc>
        <w:tc>
          <w:tcPr>
            <w:tcW w:w="2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7"/>
                <w:szCs w:val="17"/>
                <w:color w:val="auto"/>
              </w:rPr>
              <w:t>15.85</w:t>
            </w:r>
          </w:p>
        </w:tc>
        <w:tc>
          <w:tcPr>
            <w:tcW w:w="1300" w:type="dxa"/>
            <w:vAlign w:val="bottom"/>
            <w:gridSpan w:val="2"/>
          </w:tcPr>
          <w:p>
            <w:pPr>
              <w:jc w:val="right"/>
              <w:ind w:right="29"/>
              <w:spacing w:after="0" w:line="181" w:lineRule="exact"/>
              <w:rPr>
                <w:sz w:val="20"/>
                <w:szCs w:val="20"/>
                <w:color w:val="auto"/>
              </w:rPr>
            </w:pPr>
            <w:r>
              <w:rPr>
                <w:rFonts w:ascii="Times New Roman" w:cs="Times New Roman" w:eastAsia="Times New Roman" w:hAnsi="Times New Roman"/>
                <w:sz w:val="17"/>
                <w:szCs w:val="17"/>
                <w:color w:val="auto"/>
              </w:rPr>
              <w:t>5.7</w:t>
            </w:r>
          </w:p>
        </w:tc>
        <w:tc>
          <w:tcPr>
            <w:tcW w:w="360" w:type="dxa"/>
            <w:vAlign w:val="bottom"/>
            <w:gridSpan w:val="2"/>
          </w:tcPr>
          <w:p>
            <w:pPr>
              <w:jc w:val="right"/>
              <w:ind w:right="56"/>
              <w:spacing w:after="0" w:line="181"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4"/>
              <w:spacing w:after="0" w:line="181" w:lineRule="exact"/>
              <w:rPr>
                <w:sz w:val="20"/>
                <w:szCs w:val="20"/>
                <w:color w:val="auto"/>
              </w:rPr>
            </w:pPr>
            <w:r>
              <w:rPr>
                <w:rFonts w:ascii="Times New Roman" w:cs="Times New Roman" w:eastAsia="Times New Roman" w:hAnsi="Times New Roman"/>
                <w:sz w:val="17"/>
                <w:szCs w:val="17"/>
                <w:color w:val="auto"/>
              </w:rPr>
              <w:t>82,434,018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-464820</wp:posOffset>
            </wp:positionV>
            <wp:extent cx="800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-175895</wp:posOffset>
            </wp:positionV>
            <wp:extent cx="800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-160020</wp:posOffset>
            </wp:positionV>
            <wp:extent cx="800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-175895</wp:posOffset>
            </wp:positionV>
            <wp:extent cx="723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-160020</wp:posOffset>
            </wp:positionV>
            <wp:extent cx="723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-175895</wp:posOffset>
            </wp:positionV>
            <wp:extent cx="723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-160020</wp:posOffset>
            </wp:positionV>
            <wp:extent cx="723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183"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77" w:lineRule="exact"/>
        <w:rPr>
          <w:sz w:val="20"/>
          <w:szCs w:val="20"/>
          <w:color w:val="auto"/>
        </w:rPr>
      </w:pPr>
    </w:p>
    <w:p>
      <w:pPr>
        <w:ind w:right="120" w:firstLine="750"/>
        <w:spacing w:after="0" w:line="182" w:lineRule="exact"/>
        <w:rPr>
          <w:sz w:val="20"/>
          <w:szCs w:val="20"/>
          <w:color w:val="auto"/>
        </w:rPr>
      </w:pPr>
      <w:r>
        <w:rPr>
          <w:rFonts w:ascii="Times New Roman" w:cs="Times New Roman" w:eastAsia="Times New Roman" w:hAnsi="Times New Roman"/>
          <w:sz w:val="15"/>
          <w:szCs w:val="15"/>
          <w:color w:val="auto"/>
        </w:rPr>
        <w:t>The weighted average grant date fair value of options granted was $21.00 per option for the three months ended March 31, 2022. As of March 31, 2022, there was $91.0 million of total unrecognized compensation cost related to non-vested stock options which is expected to be recognized over a weighted average period of 3.3 years. These amounts do not include 6,169 options outstanding as of March 31, 2022, which are performance-based and vest upon the achievement of certain corporate milestones. 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will be measured and recorded if and when it is probable that the milestone will occur.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Restricted Stock Units</w:t>
      </w:r>
    </w:p>
    <w:p>
      <w:pPr>
        <w:spacing w:after="0" w:line="211" w:lineRule="exact"/>
        <w:rPr>
          <w:sz w:val="20"/>
          <w:szCs w:val="20"/>
          <w:color w:val="auto"/>
        </w:rPr>
      </w:pPr>
    </w:p>
    <w:p>
      <w:pPr>
        <w:jc w:val="both"/>
        <w:ind w:right="60" w:firstLine="750"/>
        <w:spacing w:after="0" w:line="247" w:lineRule="auto"/>
        <w:rPr>
          <w:sz w:val="20"/>
          <w:szCs w:val="20"/>
          <w:color w:val="auto"/>
        </w:rPr>
      </w:pPr>
      <w:r>
        <w:rPr>
          <w:rFonts w:ascii="Times New Roman" w:cs="Times New Roman" w:eastAsia="Times New Roman" w:hAnsi="Times New Roman"/>
          <w:sz w:val="15"/>
          <w:szCs w:val="15"/>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March 31, 2022, total compensation cost not yet recognized related to unvested RSUs was $19.5 million, which is expected to be recognized over a weighted-average period of 3.6</w:t>
      </w:r>
    </w:p>
    <w:p>
      <w:pPr>
        <w:sectPr>
          <w:pgSz w:w="11900" w:h="16838" w:orient="portrait"/>
          <w:cols w:equalWidth="0" w:num="1">
            <w:col w:w="11240"/>
          </w:cols>
          <w:pgMar w:left="320" w:top="114"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years.</w:t>
      </w:r>
    </w:p>
    <w:p>
      <w:pPr>
        <w:spacing w:after="0" w:line="191"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The following table sets forth the RSU activity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714121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Granted</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Forfeited</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5080</wp:posOffset>
            </wp:positionV>
            <wp:extent cx="1059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7"/>
          <w:szCs w:val="17"/>
          <w:color w:val="auto"/>
        </w:rPr>
        <w:t>302,764</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429,902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(61,581 )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(3,719 )</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667,366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-123190</wp:posOffset>
            </wp:positionV>
            <wp:extent cx="1059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Weighted</w:t>
      </w:r>
    </w:p>
    <w:p>
      <w:pPr>
        <w:ind w:left="560"/>
        <w:spacing w:after="0" w:line="235" w:lineRule="auto"/>
        <w:rPr>
          <w:sz w:val="20"/>
          <w:szCs w:val="20"/>
          <w:color w:val="auto"/>
        </w:rPr>
      </w:pPr>
      <w:r>
        <w:rPr>
          <w:rFonts w:ascii="Times New Roman" w:cs="Times New Roman" w:eastAsia="Times New Roman" w:hAnsi="Times New Roman"/>
          <w:sz w:val="13"/>
          <w:szCs w:val="13"/>
          <w:b w:val="1"/>
          <w:bCs w:val="1"/>
          <w:color w:val="auto"/>
        </w:rPr>
        <w:t>average</w:t>
      </w:r>
    </w:p>
    <w:p>
      <w:pPr>
        <w:ind w:left="50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0750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1200" w:hanging="1194"/>
        <w:spacing w:after="0"/>
        <w:tabs>
          <w:tab w:leader="none" w:pos="1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42.93</w:t>
      </w:r>
    </w:p>
    <w:p>
      <w:pPr>
        <w:spacing w:after="0" w:line="28"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23.27</w:t>
      </w:r>
    </w:p>
    <w:p>
      <w:pPr>
        <w:spacing w:after="0" w:line="18"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41.49</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48.73</w:t>
      </w:r>
    </w:p>
    <w:p>
      <w:pPr>
        <w:spacing w:after="0" w:line="19" w:lineRule="exact"/>
        <w:rPr>
          <w:sz w:val="20"/>
          <w:szCs w:val="20"/>
          <w:color w:val="auto"/>
        </w:rPr>
      </w:pPr>
    </w:p>
    <w:p>
      <w:pPr>
        <w:ind w:left="1200" w:hanging="1194"/>
        <w:spacing w:after="0"/>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30.36</w:t>
      </w:r>
    </w:p>
    <w:p>
      <w:pPr>
        <w:spacing w:after="0" w:line="200" w:lineRule="exact"/>
        <w:rPr>
          <w:sz w:val="20"/>
          <w:szCs w:val="20"/>
          <w:color w:val="auto"/>
        </w:rPr>
      </w:pPr>
    </w:p>
    <w:p>
      <w:pPr>
        <w:sectPr>
          <w:pgSz w:w="11900" w:h="16838" w:orient="portrait"/>
          <w:cols w:equalWidth="0" w:num="3">
            <w:col w:w="7520" w:space="720"/>
            <w:col w:w="1100" w:space="220"/>
            <w:col w:w="1680"/>
          </w:cols>
          <w:pgMar w:left="320" w:top="114" w:right="339" w:bottom="1440" w:gutter="0" w:footer="0" w:header="0"/>
          <w:type w:val="continuous"/>
        </w:sectPr>
      </w:pPr>
    </w:p>
    <w:p>
      <w:pPr>
        <w:spacing w:after="0" w:line="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Stock-based compensation expense recognized for the three months ended March 31, 2022 and 2021 was allocated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ind w:left="37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842"/>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7"/>
        </w:trPr>
        <w:tc>
          <w:tcPr>
            <w:tcW w:w="7640" w:type="dxa"/>
            <w:vAlign w:val="bottom"/>
          </w:tcPr>
          <w:p>
            <w:pPr>
              <w:ind w:left="37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9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1,809,477</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rPr>
              <w:t>1,534,395</w:t>
            </w:r>
          </w:p>
        </w:tc>
        <w:tc>
          <w:tcPr>
            <w:tcW w:w="0" w:type="dxa"/>
            <w:vAlign w:val="bottom"/>
          </w:tcPr>
          <w:p>
            <w:pPr>
              <w:spacing w:after="0"/>
              <w:rPr>
                <w:sz w:val="1"/>
                <w:szCs w:val="1"/>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5,788,852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2,196,702</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rPr>
              <w:t>7,598,329</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rPr>
              <w:t>3,731,097</w:t>
            </w:r>
          </w:p>
        </w:tc>
        <w:tc>
          <w:tcPr>
            <w:tcW w:w="0" w:type="dxa"/>
            <w:vAlign w:val="bottom"/>
          </w:tcPr>
          <w:p>
            <w:pPr>
              <w:spacing w:after="0"/>
              <w:rPr>
                <w:sz w:val="1"/>
                <w:szCs w:val="1"/>
                <w:color w:val="auto"/>
              </w:rPr>
            </w:pPr>
          </w:p>
        </w:tc>
      </w:tr>
      <w:tr>
        <w:trPr>
          <w:trHeight w:val="378"/>
        </w:trPr>
        <w:tc>
          <w:tcPr>
            <w:tcW w:w="7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64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The following table summarizes warrant activity for the three months ended March 31, 2022: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64"/>
        </w:trPr>
        <w:tc>
          <w:tcPr>
            <w:tcW w:w="7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95"/>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15,541</w:t>
            </w:r>
          </w:p>
        </w:tc>
        <w:tc>
          <w:tcPr>
            <w:tcW w:w="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spacing w:after="0"/>
              <w:rPr>
                <w:sz w:val="16"/>
                <w:szCs w:val="16"/>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80.43</w:t>
            </w:r>
          </w:p>
        </w:tc>
        <w:tc>
          <w:tcPr>
            <w:tcW w:w="0" w:type="dxa"/>
            <w:vAlign w:val="bottom"/>
          </w:tcPr>
          <w:p>
            <w:pPr>
              <w:spacing w:after="0"/>
              <w:rPr>
                <w:sz w:val="1"/>
                <w:szCs w:val="1"/>
                <w:color w:val="auto"/>
              </w:rPr>
            </w:pP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15,541</w:t>
            </w:r>
          </w:p>
        </w:tc>
        <w:tc>
          <w:tcPr>
            <w:tcW w:w="440" w:type="dxa"/>
            <w:vAlign w:val="bottom"/>
            <w:gridSpan w:val="4"/>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80.43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7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-1989455</wp:posOffset>
            </wp:positionV>
            <wp:extent cx="1123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-1972945</wp:posOffset>
            </wp:positionV>
            <wp:extent cx="1123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-617220</wp:posOffset>
            </wp:positionV>
            <wp:extent cx="1123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Outstanding Warrants</w:t>
      </w:r>
    </w:p>
    <w:p>
      <w:pPr>
        <w:spacing w:after="0" w:line="211" w:lineRule="exact"/>
        <w:rPr>
          <w:sz w:val="20"/>
          <w:szCs w:val="20"/>
          <w:color w:val="auto"/>
        </w:rPr>
      </w:pPr>
    </w:p>
    <w:p>
      <w:pPr>
        <w:ind w:right="20" w:firstLine="750"/>
        <w:spacing w:after="0" w:line="249" w:lineRule="auto"/>
        <w:rPr>
          <w:sz w:val="20"/>
          <w:szCs w:val="20"/>
          <w:color w:val="auto"/>
        </w:rPr>
      </w:pPr>
      <w:r>
        <w:rPr>
          <w:rFonts w:ascii="Times New Roman" w:cs="Times New Roman" w:eastAsia="Times New Roman" w:hAnsi="Times New Roman"/>
          <w:sz w:val="15"/>
          <w:szCs w:val="15"/>
          <w:color w:val="auto"/>
        </w:rPr>
        <w:t>In connection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License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Exclusive License Agreement with Pfizer</w:t>
      </w:r>
    </w:p>
    <w:p>
      <w:pPr>
        <w:spacing w:after="0" w:line="198" w:lineRule="exact"/>
        <w:rPr>
          <w:sz w:val="20"/>
          <w:szCs w:val="20"/>
          <w:color w:val="auto"/>
        </w:rPr>
      </w:pPr>
    </w:p>
    <w:p>
      <w:pPr>
        <w:ind w:right="100" w:firstLine="750"/>
        <w:spacing w:after="0" w:line="263" w:lineRule="auto"/>
        <w:rPr>
          <w:sz w:val="20"/>
          <w:szCs w:val="20"/>
          <w:color w:val="auto"/>
        </w:rPr>
      </w:pPr>
      <w:r>
        <w:rPr>
          <w:rFonts w:ascii="Times New Roman" w:cs="Times New Roman" w:eastAsia="Times New Roman" w:hAnsi="Times New Roman"/>
          <w:sz w:val="15"/>
          <w:szCs w:val="15"/>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66"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76" w:lineRule="exact"/>
        <w:rPr>
          <w:sz w:val="20"/>
          <w:szCs w:val="20"/>
          <w:color w:val="auto"/>
        </w:rPr>
      </w:pPr>
    </w:p>
    <w:p>
      <w:pPr>
        <w:ind w:right="160" w:firstLine="750"/>
        <w:spacing w:after="0" w:line="254" w:lineRule="auto"/>
        <w:rPr>
          <w:sz w:val="20"/>
          <w:szCs w:val="20"/>
          <w:color w:val="auto"/>
        </w:rPr>
      </w:pPr>
      <w:r>
        <w:rPr>
          <w:rFonts w:ascii="Times New Roman" w:cs="Times New Roman" w:eastAsia="Times New Roman" w:hAnsi="Times New Roman"/>
          <w:sz w:val="15"/>
          <w:szCs w:val="15"/>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months ended March 31, 2022 and 2021, no milestone payments or royalties were paid to Pfizer by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Exclusive License Agreements with Antecip</w:t>
      </w:r>
    </w:p>
    <w:p>
      <w:pPr>
        <w:spacing w:after="0" w:line="211" w:lineRule="exact"/>
        <w:rPr>
          <w:sz w:val="20"/>
          <w:szCs w:val="20"/>
          <w:color w:val="auto"/>
        </w:rPr>
      </w:pPr>
    </w:p>
    <w:p>
      <w:pPr>
        <w:ind w:right="40" w:firstLine="750"/>
        <w:spacing w:after="0" w:line="246" w:lineRule="auto"/>
        <w:rPr>
          <w:sz w:val="20"/>
          <w:szCs w:val="20"/>
          <w:color w:val="auto"/>
        </w:rPr>
      </w:pPr>
      <w:r>
        <w:rPr>
          <w:rFonts w:ascii="Times New Roman" w:cs="Times New Roman" w:eastAsia="Times New Roman" w:hAnsi="Times New Roman"/>
          <w:sz w:val="15"/>
          <w:szCs w:val="15"/>
          <w:color w:val="auto"/>
        </w:rPr>
        <w:t>In 2012, the Company entered into three exclusive license agreements with Antecip,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78" w:lineRule="exact"/>
        <w:rPr>
          <w:sz w:val="20"/>
          <w:szCs w:val="20"/>
          <w:color w:val="auto"/>
        </w:rPr>
      </w:pPr>
    </w:p>
    <w:p>
      <w:pPr>
        <w:ind w:firstLine="750"/>
        <w:spacing w:after="0" w:line="262" w:lineRule="auto"/>
        <w:rPr>
          <w:sz w:val="20"/>
          <w:szCs w:val="20"/>
          <w:color w:val="auto"/>
        </w:rPr>
      </w:pPr>
      <w:r>
        <w:rPr>
          <w:rFonts w:ascii="Times New Roman" w:cs="Times New Roman" w:eastAsia="Times New Roman" w:hAnsi="Times New Roman"/>
          <w:sz w:val="15"/>
          <w:szCs w:val="15"/>
          <w:color w:val="auto"/>
        </w:rPr>
        <w:t>In connection with the 2020 Term Loan, the Company entered into a Direct Agreement with Antecip pursuant to which Antecip consented to the collateral assignment of the License Agreement to Hercules, among other things.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207" w:lineRule="exact"/>
        <w:rPr>
          <w:sz w:val="20"/>
          <w:szCs w:val="20"/>
          <w:color w:val="auto"/>
        </w:rPr>
      </w:pPr>
    </w:p>
    <w:p>
      <w:pPr>
        <w:jc w:val="both"/>
        <w:ind w:firstLine="750"/>
        <w:spacing w:after="0" w:line="253" w:lineRule="auto"/>
        <w:rPr>
          <w:sz w:val="20"/>
          <w:szCs w:val="20"/>
          <w:color w:val="auto"/>
        </w:rPr>
      </w:pPr>
      <w:r>
        <w:rPr>
          <w:rFonts w:ascii="Times New Roman" w:cs="Times New Roman" w:eastAsia="Times New Roman" w:hAnsi="Times New Roman"/>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0" w:lineRule="exact"/>
        <w:rPr>
          <w:sz w:val="20"/>
          <w:szCs w:val="20"/>
          <w:color w:val="auto"/>
        </w:rPr>
      </w:pPr>
    </w:p>
    <w:p>
      <w:pPr>
        <w:ind w:right="140" w:firstLine="750"/>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2021 </w:t>
      </w:r>
      <w:r>
        <w:rPr>
          <w:rFonts w:ascii="Times New Roman" w:cs="Times New Roman" w:eastAsia="Times New Roman" w:hAnsi="Times New Roman"/>
          <w:sz w:val="15"/>
          <w:szCs w:val="15"/>
          <w:color w:val="auto"/>
        </w:rPr>
        <w:t>which wa</w:t>
      </w:r>
      <w:r>
        <w:rPr>
          <w:rFonts w:ascii="Times New Roman" w:cs="Times New Roman" w:eastAsia="Times New Roman" w:hAnsi="Times New Roman"/>
          <w:sz w:val="15"/>
          <w:szCs w:val="15"/>
          <w:i w:val="1"/>
          <w:iCs w:val="1"/>
          <w:color w:val="auto"/>
        </w:rPr>
        <w:t>s filed with the Securities and Exchange Commission, or SEC, on March 1, 2022</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are a biopharmaceutical company developing novel therapies for the management of central nervous system, or CNS, conditions that have limited treatment options. By</w:t>
      </w:r>
    </w:p>
    <w:p>
      <w:pPr>
        <w:spacing w:after="0" w:line="8"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5"/>
          <w:szCs w:val="15"/>
          <w:color w:val="auto"/>
        </w:rPr>
        <w:t>focusing on this therapeutic area, we are addressing significant and growing markets where current treatment options are limited or inadequate. Our core CNS portfolio includes four CNS product candidates, AXS-05, AXS-07, AXS-12, and AXS-14 which are being developed for multiple indications.</w:t>
      </w:r>
    </w:p>
    <w:p>
      <w:pPr>
        <w:spacing w:after="0" w:line="322"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AXS-05 is being developed for the treatment of major depressive disorder, or MDD, for which a New Drug Application, or NDA, has been submitted and accepted for filing by the FDA. The FDA had set a Prescription Drug User Fee Act (PDUFA) target action date for the AXS-05 NDA of August 22, 2021, which was not completed on such date and</w:t>
      </w:r>
    </w:p>
    <w:p>
      <w:pPr>
        <w:spacing w:after="0" w:line="1"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5"/>
          <w:szCs w:val="15"/>
          <w:color w:val="auto"/>
        </w:rPr>
        <w:t>therefore the review of the application is ongoing. AXS-05 is also under development for the treatment of Alzheimer's disease agitation, or AD agitation. AXS-05 is also being developed for smoking cessation. AXS-07 is being developed for the acute treatment of migraine, for which an NDA has been submitted and accepted for filing by the FDA. The FDA</w:t>
      </w:r>
    </w:p>
    <w:p>
      <w:pPr>
        <w:spacing w:after="0" w:line="1" w:lineRule="exact"/>
        <w:rPr>
          <w:sz w:val="20"/>
          <w:szCs w:val="20"/>
          <w:color w:val="auto"/>
        </w:rPr>
      </w:pPr>
    </w:p>
    <w:p>
      <w:pPr>
        <w:jc w:val="both"/>
        <w:ind w:right="60"/>
        <w:spacing w:after="0" w:line="216" w:lineRule="auto"/>
        <w:rPr>
          <w:sz w:val="20"/>
          <w:szCs w:val="20"/>
          <w:color w:val="auto"/>
        </w:rPr>
      </w:pPr>
      <w:r>
        <w:rPr>
          <w:rFonts w:ascii="Times New Roman" w:cs="Times New Roman" w:eastAsia="Times New Roman" w:hAnsi="Times New Roman"/>
          <w:sz w:val="15"/>
          <w:szCs w:val="15"/>
          <w:color w:val="auto"/>
        </w:rPr>
        <w:t>had set a PDUFA target action date for the AXS-07 NDA of April 30, 2022. On April 29, 2022, we received a Complete Response Letter (CRL) from the FDA regarding the NDA for AXS-07 for the acute treatment of migraine. AXS-12 is being developed for the treatment of narcolepsy. AXS-14 is being developed for the treatment of fibromyalgia. Additionally, we are currently evaluating other product candidates, which we intend to develop for CNS disorders. We aim to become a fully integrated biopharmaceutical company that develops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commercializes differentiated therapies that increase available treatment options and improve the lives of patients living with CNS disorders.</w:t>
      </w:r>
    </w:p>
    <w:p>
      <w:pPr>
        <w:spacing w:after="0" w:line="330" w:lineRule="exact"/>
        <w:rPr>
          <w:sz w:val="20"/>
          <w:szCs w:val="20"/>
          <w:color w:val="auto"/>
        </w:rPr>
      </w:pPr>
    </w:p>
    <w:p>
      <w:pPr>
        <w:ind w:right="60" w:firstLine="750"/>
        <w:spacing w:after="0" w:line="224" w:lineRule="auto"/>
        <w:rPr>
          <w:sz w:val="20"/>
          <w:szCs w:val="20"/>
          <w:color w:val="auto"/>
        </w:rPr>
      </w:pPr>
      <w:r>
        <w:rPr>
          <w:rFonts w:ascii="Times New Roman" w:cs="Times New Roman" w:eastAsia="Times New Roman" w:hAnsi="Times New Roman"/>
          <w:sz w:val="15"/>
          <w:szCs w:val="15"/>
          <w:color w:val="auto"/>
        </w:rPr>
        <w:t>AXS-05 is a novel, oral, investigational NMDA, or N-methyl-D-aspartate, receptor antagonist with multimodal activity under development for the treatment of CNS disorders. AXS-05 consists of a proprietary formulation and dose of dextromethorphan and bupropion and utilizes our metabolic inhibition technology. The dextromethorphan component of AXS-05 is an uncompetitive antagonist of the NMDA, an ionotropic glutamate receptor. The dextromethorphan component of AXS-05 is also a sigma-1 receptor agonist.</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The bupropion component of AXS-05 serves to increase the bioavailability of dextromethorphan and is a norepinephrine and dopamine reuptake inhibitor. We are seeking FDA approval for AXS-05 utilizing the 505(b)(2) regulatory development pathway. AXS-05 has been granted FDA Breakthrough Therapy designation for both the treatment of MDD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treatment of Alzheimer’s disease agitation, as well as Fast Track designations for the treatment of Alzheimer’s disease agitation and treatment resistant depression.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380" w:firstLine="750"/>
        <w:spacing w:after="0" w:line="230" w:lineRule="auto"/>
        <w:rPr>
          <w:sz w:val="20"/>
          <w:szCs w:val="20"/>
          <w:color w:val="auto"/>
        </w:rPr>
      </w:pPr>
      <w:r>
        <w:rPr>
          <w:rFonts w:ascii="Times New Roman" w:cs="Times New Roman" w:eastAsia="Times New Roman" w:hAnsi="Times New Roman"/>
          <w:sz w:val="15"/>
          <w:szCs w:val="15"/>
          <w:color w:val="auto"/>
        </w:rPr>
        <w:t>We have completed two pivotal trials, one Phase 2 and one Phase 3, of AXS-05 in MDD, which we refer to as the ASCEND and GEMINI trials, respectively. AXS-05 achieved the primary endpoint in both the ASCEND and GEMINI trials. A Phase 3, open-label, long-term safety study with AXS-05 in patients with MDD and TRD known as the</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5"/>
          <w:szCs w:val="15"/>
          <w:color w:val="auto"/>
        </w:rPr>
        <w:t>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 rapid, substantial, and durable improvement in</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depressive symptoms, measured using the MADRS, which was sustained or increased with long-term treatment. Additionally, AXS-05 was well tolerated with long-term dosing. Similar findings of rapid and durable improvements in depressive symptoms were demonstrated in the COMET-AU and COMET-TRD sub-studies. In the COMET-SI trial, a rapid reduction in</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completed a Phase 2, double-blind, placebo-controlled, multi-center, relapse prevention study in patients with TRD, which we call the MERIT trial. In the MERIT trial, AXS-05 achieved its primary and secondary</w:t>
      </w:r>
    </w:p>
    <w:p>
      <w:pPr>
        <w:spacing w:after="0" w:line="2" w:lineRule="exact"/>
        <w:rPr>
          <w:sz w:val="20"/>
          <w:szCs w:val="20"/>
          <w:color w:val="auto"/>
        </w:rPr>
      </w:pPr>
    </w:p>
    <w:p>
      <w:pPr>
        <w:ind w:right="320"/>
        <w:spacing w:after="0" w:line="219" w:lineRule="auto"/>
        <w:rPr>
          <w:sz w:val="20"/>
          <w:szCs w:val="20"/>
          <w:color w:val="auto"/>
        </w:rPr>
      </w:pPr>
      <w:r>
        <w:rPr>
          <w:rFonts w:ascii="Times New Roman" w:cs="Times New Roman" w:eastAsia="Times New Roman" w:hAnsi="Times New Roman"/>
          <w:sz w:val="15"/>
          <w:szCs w:val="15"/>
          <w:color w:val="auto"/>
        </w:rPr>
        <w:t>endpoints by delaying time to relapse and preventing relapse as compared to placebo. We have also completed a Phase 2/3 trial of AXS-05 in AD agitation, which we refer to as the ADVANCE trial. AXS-05 achieved the primary endpoint in the ADVANCE trial. We are conducting the ACCORD trial, a Phase 3, double blind, placebo-controlled, randomized</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5"/>
          <w:szCs w:val="15"/>
          <w:color w:val="auto"/>
        </w:rPr>
        <w:t>withdrawal trial in patients with AD agitation, and one open-label long-term safety study in AD agitation. AXS-05 is also being developed as an aid to smoking cessation treatment and a positive Phase 2 trial in this indication has been completed under a research collaboration with Duke University. We have submitted an NDA for AXS-05 for the treatment of MDD supported by the positive results from the ASCEND and GEMINI trials which was accepted for filing by the FDA and was granted Priority Review, resulting in a PDUFA target action</w:t>
      </w:r>
    </w:p>
    <w:p>
      <w:pPr>
        <w:spacing w:after="0" w:line="2" w:lineRule="exact"/>
        <w:rPr>
          <w:sz w:val="20"/>
          <w:szCs w:val="20"/>
          <w:color w:val="auto"/>
        </w:rPr>
      </w:pPr>
    </w:p>
    <w:p>
      <w:pPr>
        <w:ind w:right="520"/>
        <w:spacing w:after="0" w:line="231" w:lineRule="auto"/>
        <w:rPr>
          <w:sz w:val="20"/>
          <w:szCs w:val="20"/>
          <w:color w:val="auto"/>
        </w:rPr>
      </w:pPr>
      <w:r>
        <w:rPr>
          <w:rFonts w:ascii="Times New Roman" w:cs="Times New Roman" w:eastAsia="Times New Roman" w:hAnsi="Times New Roman"/>
          <w:sz w:val="15"/>
          <w:szCs w:val="15"/>
          <w:color w:val="auto"/>
        </w:rPr>
        <w:t>date of August 22, 2021. On August 20, 2021, the FDA informed us that its review would not be completed by the PDUFA target action date and the review of the application is ongoing.</w:t>
      </w:r>
    </w:p>
    <w:p>
      <w:pPr>
        <w:spacing w:after="0" w:line="170"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5-HT1B/1D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seeking FDA approval for AXS-07 utilizing the 505(b)(2) regulatory development pathway.</w:t>
      </w:r>
    </w:p>
    <w:p>
      <w:pPr>
        <w:spacing w:after="0" w:line="178"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5"/>
          <w:szCs w:val="15"/>
          <w:color w:val="auto"/>
        </w:rPr>
        <w:t>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have submitted an NDA for AXS-07 for the acute treatment of migraine supported by the positive results from the MOMENTUM and INTERCEPT trials which was accepted for filing by the FDA with a PDUFA target action date of April 30, 2022. On April 29, 2022, the Company received a CRL from the FDA regarding its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considerations. The Company believes that the issues raised in the CRL are addressable and intends to provide potential timing for a resubmission following consultation with the FDA.</w:t>
      </w:r>
    </w:p>
    <w:p>
      <w:pPr>
        <w:spacing w:after="0" w:line="166" w:lineRule="exact"/>
        <w:rPr>
          <w:sz w:val="20"/>
          <w:szCs w:val="20"/>
          <w:color w:val="auto"/>
        </w:rPr>
      </w:pPr>
    </w:p>
    <w:p>
      <w:pPr>
        <w:ind w:right="140" w:firstLine="750"/>
        <w:spacing w:after="0" w:line="257" w:lineRule="auto"/>
        <w:rPr>
          <w:sz w:val="20"/>
          <w:szCs w:val="20"/>
          <w:color w:val="auto"/>
        </w:rPr>
      </w:pPr>
      <w:r>
        <w:rPr>
          <w:rFonts w:ascii="Times New Roman" w:cs="Times New Roman" w:eastAsia="Times New Roman" w:hAnsi="Times New Roman"/>
          <w:sz w:val="15"/>
          <w:szCs w:val="15"/>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71" w:lineRule="exact"/>
        <w:rPr>
          <w:sz w:val="20"/>
          <w:szCs w:val="20"/>
          <w:color w:val="auto"/>
        </w:rPr>
      </w:pPr>
    </w:p>
    <w:p>
      <w:pPr>
        <w:ind w:right="100" w:firstLine="750"/>
        <w:spacing w:after="0" w:line="251" w:lineRule="auto"/>
        <w:rPr>
          <w:sz w:val="20"/>
          <w:szCs w:val="20"/>
          <w:color w:val="auto"/>
        </w:rPr>
      </w:pPr>
      <w:r>
        <w:rPr>
          <w:rFonts w:ascii="Times New Roman" w:cs="Times New Roman" w:eastAsia="Times New Roman" w:hAnsi="Times New Roman"/>
          <w:sz w:val="15"/>
          <w:szCs w:val="15"/>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 based on a pre-NDA meeting with the FDA which occurred in the second quarter of 2021.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Since our incorporation in January 2012, our operations to date have included organizing and staffing our company, business planning, raising capital, developing our compounds, and engaging in other discovery and preclinical activities.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73" w:lineRule="exact"/>
        <w:rPr>
          <w:sz w:val="20"/>
          <w:szCs w:val="20"/>
          <w:color w:val="auto"/>
        </w:rPr>
      </w:pPr>
    </w:p>
    <w:p>
      <w:pPr>
        <w:ind w:firstLine="750"/>
        <w:spacing w:after="0" w:line="280" w:lineRule="auto"/>
        <w:rPr>
          <w:sz w:val="20"/>
          <w:szCs w:val="20"/>
          <w:color w:val="auto"/>
        </w:rPr>
      </w:pPr>
      <w:r>
        <w:rPr>
          <w:rFonts w:ascii="Times New Roman" w:cs="Times New Roman" w:eastAsia="Times New Roman" w:hAnsi="Times New Roman"/>
          <w:sz w:val="15"/>
          <w:szCs w:val="15"/>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53"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We have incurred significant operating expenses and net losses since inception. We incurred net losses of $39.6 million and $29.3 million for the three months ended March 31, 2022 and 2021, respectively. Our accumulated deficit as of March 31, 2022 was $448.8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In preparation for obtaining regulatory approval for our product candidates, we expect to incur significant expenses in order to create an infrastructure and market readiness to support the commercialization of the product candidates,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 to Date and Recent Developments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Acquisition of Assets of Jazz Pharmaceuticals</w:t>
      </w:r>
    </w:p>
    <w:p>
      <w:pPr>
        <w:spacing w:after="0" w:line="198"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5"/>
          <w:szCs w:val="15"/>
          <w:color w:val="auto"/>
        </w:rPr>
        <w:t>On March 25, 2022, the Company entered into an Asset Purchase Agreement with Jazz Pharmaceuticals plc ("Jazz Pharmaceuticals"), pursuant to which the Company will acquire Sunosi® from Jazz Pharmaceuticals (the "Acquisition"), a dual-acting dopamine and norepinephrine reuptake inhibitor indicated to improve wakefulness in adult patients living with excessive daytime sleepiness due to narcolepsy or obstructive sleep apnea, which was approved by the FDA in 2019 and by the European Medicines Agency (the “EMA”) in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AXS-05</w:t>
      </w:r>
    </w:p>
    <w:p>
      <w:pPr>
        <w:spacing w:after="0" w:line="211" w:lineRule="exact"/>
        <w:rPr>
          <w:sz w:val="20"/>
          <w:szCs w:val="20"/>
          <w:color w:val="auto"/>
        </w:rPr>
      </w:pPr>
    </w:p>
    <w:p>
      <w:pPr>
        <w:jc w:val="both"/>
        <w:ind w:right="120" w:firstLine="750"/>
        <w:spacing w:after="0" w:line="254" w:lineRule="auto"/>
        <w:rPr>
          <w:sz w:val="20"/>
          <w:szCs w:val="20"/>
          <w:color w:val="auto"/>
        </w:rPr>
      </w:pPr>
      <w:r>
        <w:rPr>
          <w:rFonts w:ascii="Times New Roman" w:cs="Times New Roman" w:eastAsia="Times New Roman" w:hAnsi="Times New Roman"/>
          <w:sz w:val="15"/>
          <w:szCs w:val="15"/>
          <w:color w:val="auto"/>
        </w:rPr>
        <w:t>In January 2022, we provided a response to the FDA addressing the two, previously disclosed, deficiencies related to analytical methods in the Chemistry, Manufacturing, and Controls, or CMC, section of our NDA for AXS-05 for the treatment of major depressive disorder. At this time, we have not been made aware of any other deficiencies related to the NDA by the FDA.</w:t>
      </w:r>
    </w:p>
    <w:p>
      <w:pPr>
        <w:spacing w:after="0" w:line="173" w:lineRule="exact"/>
        <w:rPr>
          <w:sz w:val="20"/>
          <w:szCs w:val="20"/>
          <w:color w:val="auto"/>
        </w:rPr>
      </w:pPr>
    </w:p>
    <w:p>
      <w:pPr>
        <w:ind w:right="80" w:firstLine="750"/>
        <w:spacing w:after="0" w:line="257" w:lineRule="auto"/>
        <w:rPr>
          <w:sz w:val="20"/>
          <w:szCs w:val="20"/>
          <w:color w:val="auto"/>
        </w:rPr>
      </w:pPr>
      <w:r>
        <w:rPr>
          <w:rFonts w:ascii="Times New Roman" w:cs="Times New Roman" w:eastAsia="Times New Roman" w:hAnsi="Times New Roman"/>
          <w:sz w:val="15"/>
          <w:szCs w:val="15"/>
          <w:color w:val="auto"/>
        </w:rPr>
        <w:t>In April 2022, we announced that it has received and agreed to Postmarketing Requirements/Commitments proposed by the FDA with respect to the NDA for our AXS-05 product candidate for the treatment of major depressive disorder.</w:t>
      </w:r>
    </w:p>
    <w:p>
      <w:pPr>
        <w:ind w:left="40"/>
        <w:spacing w:after="0"/>
        <w:rPr>
          <w:sz w:val="20"/>
          <w:szCs w:val="20"/>
          <w:color w:val="auto"/>
        </w:rPr>
      </w:pPr>
      <w:r>
        <w:rPr>
          <w:rFonts w:ascii="Times New Roman" w:cs="Times New Roman" w:eastAsia="Times New Roman" w:hAnsi="Times New Roman"/>
          <w:sz w:val="15"/>
          <w:szCs w:val="15"/>
          <w:color w:val="auto"/>
        </w:rPr>
        <w:t>Based on this interaction, we anticipate potential FDA action on the NDA in the second quarter of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AXS-07</w:t>
      </w:r>
    </w:p>
    <w:p>
      <w:pPr>
        <w:spacing w:after="0" w:line="211" w:lineRule="exact"/>
        <w:rPr>
          <w:sz w:val="20"/>
          <w:szCs w:val="20"/>
          <w:color w:val="auto"/>
        </w:rPr>
      </w:pPr>
    </w:p>
    <w:p>
      <w:pPr>
        <w:jc w:val="both"/>
        <w:ind w:right="140" w:firstLine="750"/>
        <w:spacing w:after="0" w:line="263" w:lineRule="auto"/>
        <w:rPr>
          <w:sz w:val="20"/>
          <w:szCs w:val="20"/>
          <w:color w:val="auto"/>
        </w:rPr>
      </w:pPr>
      <w:r>
        <w:rPr>
          <w:rFonts w:ascii="Times New Roman" w:cs="Times New Roman" w:eastAsia="Times New Roman" w:hAnsi="Times New Roman"/>
          <w:sz w:val="15"/>
          <w:szCs w:val="15"/>
          <w:color w:val="auto"/>
        </w:rPr>
        <w:t>On February 2022, we entered into a Litigation Discontinuance Agreement with Baudax Bio, Inc. (“Baudax”) pursuant to which Baudax was to voluntarily dismiss, with prejudice, its lawsuit against us in the United States District Court for the District of Delaware (the “Baudax Action”). The Baudax Action, which was never served on us, alleged that our AXS-07 drug</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5"/>
          <w:szCs w:val="15"/>
          <w:color w:val="auto"/>
        </w:rPr>
        <w:t>product candidate infringes on U.S. Patents 8,512,727 and 10,471,067, both owned by assignment by Baudax. A notice of dismissal with prejudice was filed by Baudax in the Baudax action on February 7, 2022.</w:t>
      </w:r>
    </w:p>
    <w:p>
      <w:pPr>
        <w:spacing w:after="0" w:line="141" w:lineRule="exact"/>
        <w:rPr>
          <w:sz w:val="20"/>
          <w:szCs w:val="20"/>
          <w:color w:val="auto"/>
        </w:rPr>
      </w:pPr>
    </w:p>
    <w:p>
      <w:pPr>
        <w:ind w:right="40" w:firstLine="750"/>
        <w:spacing w:after="0" w:line="263" w:lineRule="auto"/>
        <w:rPr>
          <w:sz w:val="20"/>
          <w:szCs w:val="20"/>
          <w:color w:val="auto"/>
        </w:rPr>
      </w:pPr>
      <w:r>
        <w:rPr>
          <w:rFonts w:ascii="Times New Roman" w:cs="Times New Roman" w:eastAsia="Times New Roman" w:hAnsi="Times New Roman"/>
          <w:sz w:val="15"/>
          <w:szCs w:val="15"/>
          <w:color w:val="auto"/>
        </w:rPr>
        <w:t>In April 2022, we received a Complete Response Letter, or CRL, from the FDA regarding our NDA for AXS-07 for the acute treatment of migraine. The CRL did not identify or raise any concerns about the clinical efficacy or safety data in the NDA, and the FDA did not request any new clinical trials to support the approval of AXS-07. The principal reasons given in the CRL relate to chemistry, manufacturing, and controls (CMC)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w:t>
      </w:r>
    </w:p>
    <w:p>
      <w:pPr>
        <w:spacing w:after="0" w:line="211" w:lineRule="exact"/>
        <w:rPr>
          <w:sz w:val="20"/>
          <w:szCs w:val="20"/>
          <w:color w:val="auto"/>
        </w:rPr>
      </w:pPr>
    </w:p>
    <w:p>
      <w:pPr>
        <w:jc w:val="both"/>
        <w:ind w:right="140" w:firstLine="750"/>
        <w:spacing w:after="0" w:line="254" w:lineRule="auto"/>
        <w:rPr>
          <w:sz w:val="20"/>
          <w:szCs w:val="20"/>
          <w:color w:val="auto"/>
        </w:rPr>
      </w:pPr>
      <w:r>
        <w:rPr>
          <w:rFonts w:ascii="Times New Roman" w:cs="Times New Roman" w:eastAsia="Times New Roman" w:hAnsi="Times New Roman"/>
          <w:sz w:val="15"/>
          <w:szCs w:val="15"/>
          <w:color w:val="auto"/>
        </w:rPr>
        <w:t>In March 2022, we entered into a Sales Agreement with SVB Securities LLC, or SVB Securities, with respect to an at the market offering program, under which we may, from time to time in our sole discretion, issue and sell through SVB Securities, acting as sales agent, shares of our common stock of up to $200 million. The Agreement supersedes the prior Sales Agreement, dated December 5, 2019, by and between us and SVB Leerink LLC.</w:t>
      </w:r>
    </w:p>
    <w:p>
      <w:pPr>
        <w:spacing w:after="0" w:line="135" w:lineRule="exact"/>
        <w:rPr>
          <w:sz w:val="20"/>
          <w:szCs w:val="20"/>
          <w:color w:val="auto"/>
        </w:rPr>
      </w:pPr>
    </w:p>
    <w:p>
      <w:pPr>
        <w:ind w:right="180" w:firstLine="750"/>
        <w:spacing w:after="0" w:line="250" w:lineRule="auto"/>
        <w:rPr>
          <w:sz w:val="20"/>
          <w:szCs w:val="20"/>
          <w:color w:val="auto"/>
        </w:rPr>
      </w:pPr>
      <w:r>
        <w:rPr>
          <w:rFonts w:ascii="Times New Roman" w:cs="Times New Roman" w:eastAsia="Times New Roman" w:hAnsi="Times New Roman"/>
          <w:sz w:val="15"/>
          <w:szCs w:val="15"/>
          <w:color w:val="auto"/>
        </w:rPr>
        <w:t>In March 2022, in connection with the Acquisition (as described above), the Company entered into a Second Amendment to Loan and Security Agreement (the “Second Amendment”) with Hercules Capital, Inc. The Second Amendment amends the terms of that certain Loan and Security Agreement, dated as of September 25, 2020, by and among the Company, Hercules and the Lenders (as amended by that certain First Amendment to Loan and Security Agreement, dated as of October 14, 2021. In connection with the Second Amendment, the parties also clarified certain terms of the Warrant Agreement previously issued to Hercules. The Second Amendment shall only be effective upon the closing of the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Overview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211" w:lineRule="exact"/>
        <w:rPr>
          <w:sz w:val="20"/>
          <w:szCs w:val="20"/>
          <w:color w:val="auto"/>
        </w:rPr>
      </w:pPr>
    </w:p>
    <w:p>
      <w:pPr>
        <w:ind w:right="120" w:firstLine="750"/>
        <w:spacing w:after="0" w:line="251" w:lineRule="auto"/>
        <w:rPr>
          <w:sz w:val="20"/>
          <w:szCs w:val="20"/>
          <w:color w:val="auto"/>
        </w:rPr>
      </w:pPr>
      <w:r>
        <w:rPr>
          <w:rFonts w:ascii="Times New Roman" w:cs="Times New Roman" w:eastAsia="Times New Roman" w:hAnsi="Times New Roman"/>
          <w:sz w:val="15"/>
          <w:szCs w:val="15"/>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11" w:lineRule="exact"/>
        <w:rPr>
          <w:sz w:val="20"/>
          <w:szCs w:val="20"/>
          <w:color w:val="auto"/>
        </w:rPr>
      </w:pPr>
    </w:p>
    <w:p>
      <w:pPr>
        <w:ind w:right="40" w:firstLine="750"/>
        <w:spacing w:after="0" w:line="184" w:lineRule="exact"/>
        <w:rPr>
          <w:sz w:val="20"/>
          <w:szCs w:val="20"/>
          <w:color w:val="auto"/>
        </w:rPr>
      </w:pPr>
      <w:r>
        <w:rPr>
          <w:rFonts w:ascii="Times New Roman" w:cs="Times New Roman" w:eastAsia="Times New Roman" w:hAnsi="Times New Roman"/>
          <w:sz w:val="15"/>
          <w:szCs w:val="15"/>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70"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357"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5"/>
          <w:szCs w:val="15"/>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table summarizes our research and development expenses for our primary programs for the three months ended March 31, 2022 and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120" w:type="dxa"/>
            <w:vAlign w:val="bottom"/>
          </w:tcPr>
          <w:p>
            <w:pPr>
              <w:spacing w:after="0"/>
              <w:rPr>
                <w:sz w:val="14"/>
                <w:szCs w:val="14"/>
                <w:color w:val="auto"/>
              </w:rPr>
            </w:pPr>
          </w:p>
        </w:tc>
      </w:tr>
      <w:tr>
        <w:trPr>
          <w:trHeight w:val="176"/>
        </w:trPr>
        <w:tc>
          <w:tcPr>
            <w:tcW w:w="7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20" w:type="dxa"/>
            <w:vAlign w:val="bottom"/>
            <w:tcBorders>
              <w:bottom w:val="single" w:sz="8" w:color="auto"/>
            </w:tcBorders>
          </w:tcPr>
          <w:p>
            <w:pPr>
              <w:spacing w:after="0"/>
              <w:rPr>
                <w:sz w:val="15"/>
                <w:szCs w:val="15"/>
                <w:color w:val="auto"/>
              </w:rPr>
            </w:pPr>
          </w:p>
        </w:tc>
      </w:tr>
      <w:tr>
        <w:trPr>
          <w:trHeight w:val="157"/>
        </w:trPr>
        <w:tc>
          <w:tcPr>
            <w:tcW w:w="76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AXS-05</w:t>
            </w: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6,030,440</w:t>
            </w: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10,044,146</w:t>
            </w: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AXS-07</w:t>
            </w:r>
          </w:p>
        </w:tc>
        <w:tc>
          <w:tcPr>
            <w:tcW w:w="38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2,146,487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2,531,549</w:t>
            </w:r>
          </w:p>
        </w:tc>
      </w:tr>
      <w:tr>
        <w:trPr>
          <w:trHeight w:val="202"/>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AXS-12</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1,881,536</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733,858</w:t>
            </w: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AXS-14</w:t>
            </w:r>
          </w:p>
        </w:tc>
        <w:tc>
          <w:tcPr>
            <w:tcW w:w="38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241,347</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research and development</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475,854</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1,751,741</w:t>
            </w:r>
          </w:p>
        </w:tc>
      </w:tr>
      <w:tr>
        <w:trPr>
          <w:trHeight w:val="202"/>
        </w:trPr>
        <w:tc>
          <w:tcPr>
            <w:tcW w:w="7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1,809,477</w:t>
            </w: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1,534,395</w:t>
            </w:r>
          </w:p>
        </w:tc>
      </w:tr>
      <w:tr>
        <w:trPr>
          <w:trHeight w:val="235"/>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12,585,141</w:t>
            </w:r>
          </w:p>
        </w:tc>
        <w:tc>
          <w:tcPr>
            <w:tcW w:w="1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16,595,689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-23495</wp:posOffset>
            </wp:positionV>
            <wp:extent cx="1123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1123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Other research and development expenses primarily consist of employee salaries and benefits, facilities, and overhead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11" w:lineRule="exact"/>
        <w:rPr>
          <w:sz w:val="20"/>
          <w:szCs w:val="20"/>
          <w:color w:val="auto"/>
        </w:rPr>
      </w:pPr>
    </w:p>
    <w:p>
      <w:pPr>
        <w:ind w:right="300" w:firstLine="750"/>
        <w:spacing w:after="0" w:line="263" w:lineRule="auto"/>
        <w:rPr>
          <w:sz w:val="20"/>
          <w:szCs w:val="20"/>
          <w:color w:val="auto"/>
        </w:rPr>
      </w:pPr>
      <w:r>
        <w:rPr>
          <w:rFonts w:ascii="Times New Roman" w:cs="Times New Roman" w:eastAsia="Times New Roman" w:hAnsi="Times New Roman"/>
          <w:sz w:val="15"/>
          <w:szCs w:val="15"/>
          <w:color w:val="auto"/>
        </w:rPr>
        <w:t>General and administrative expenses primarily consist of salaries and related costs for personnel in executive, commercial, finance, and operational functions, including stock-based compensation and travel expenses. Also included in general and administrative expenses are pre-commercialization costs, facility-related costs, insurance expense, professional fees for legal and accounting services, and patent filing and prosecution costs. General and administrative expenses are expensed when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income (expense)</w:t>
      </w:r>
    </w:p>
    <w:p>
      <w:pPr>
        <w:spacing w:after="0" w:line="211" w:lineRule="exact"/>
        <w:rPr>
          <w:sz w:val="20"/>
          <w:szCs w:val="20"/>
          <w:color w:val="auto"/>
        </w:rPr>
      </w:pPr>
    </w:p>
    <w:p>
      <w:pPr>
        <w:ind w:right="440" w:firstLine="750"/>
        <w:spacing w:after="0" w:line="263" w:lineRule="auto"/>
        <w:rPr>
          <w:sz w:val="20"/>
          <w:szCs w:val="20"/>
          <w:color w:val="auto"/>
        </w:rPr>
      </w:pPr>
      <w:r>
        <w:rPr>
          <w:rFonts w:ascii="Times New Roman" w:cs="Times New Roman" w:eastAsia="Times New Roman" w:hAnsi="Times New Roman"/>
          <w:sz w:val="15"/>
          <w:szCs w:val="15"/>
          <w:color w:val="auto"/>
        </w:rPr>
        <w:t>Interest income (expense)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income (expense) also includes interest income earned on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Significant Judgments and Estimates</w:t>
      </w:r>
    </w:p>
    <w:p>
      <w:pPr>
        <w:spacing w:after="0" w:line="198"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5"/>
          <w:szCs w:val="15"/>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61" w:lineRule="exact"/>
        <w:rPr>
          <w:sz w:val="20"/>
          <w:szCs w:val="20"/>
          <w:color w:val="auto"/>
        </w:rPr>
      </w:pPr>
    </w:p>
    <w:p>
      <w:pPr>
        <w:ind w:right="80" w:firstLine="750"/>
        <w:spacing w:after="0" w:line="263" w:lineRule="auto"/>
        <w:rPr>
          <w:sz w:val="20"/>
          <w:szCs w:val="20"/>
          <w:color w:val="auto"/>
        </w:rPr>
      </w:pPr>
      <w:r>
        <w:rPr>
          <w:rFonts w:ascii="Times New Roman" w:cs="Times New Roman" w:eastAsia="Times New Roman" w:hAnsi="Times New Roman"/>
          <w:sz w:val="15"/>
          <w:szCs w:val="15"/>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2021 and in the notes to the condensed consolidated financial statements appearing elsewhere in this Quarterly Report on Form 10-Q.</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140" w:type="dxa"/>
            <w:vAlign w:val="bottom"/>
          </w:tcPr>
          <w:p>
            <w:pPr>
              <w:spacing w:after="0"/>
              <w:rPr>
                <w:sz w:val="14"/>
                <w:szCs w:val="14"/>
                <w:color w:val="auto"/>
              </w:rPr>
            </w:pPr>
          </w:p>
        </w:tc>
      </w:tr>
      <w:tr>
        <w:trPr>
          <w:trHeight w:val="176"/>
        </w:trPr>
        <w:tc>
          <w:tcPr>
            <w:tcW w:w="7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140" w:type="dxa"/>
            <w:vAlign w:val="bottom"/>
            <w:tcBorders>
              <w:bottom w:val="single" w:sz="8" w:color="auto"/>
            </w:tcBorders>
          </w:tcPr>
          <w:p>
            <w:pPr>
              <w:spacing w:after="0"/>
              <w:rPr>
                <w:sz w:val="15"/>
                <w:szCs w:val="15"/>
                <w:color w:val="auto"/>
              </w:rPr>
            </w:pPr>
          </w:p>
        </w:tc>
      </w:tr>
      <w:tr>
        <w:trPr>
          <w:trHeight w:val="157"/>
        </w:trPr>
        <w:tc>
          <w:tcPr>
            <w:tcW w:w="7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02"/>
        </w:trPr>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12,585,141</w:t>
            </w:r>
          </w:p>
        </w:tc>
        <w:tc>
          <w:tcPr>
            <w:tcW w:w="740" w:type="dxa"/>
            <w:vAlign w:val="bottom"/>
            <w:gridSpan w:val="2"/>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16,595,689</w:t>
            </w:r>
          </w:p>
        </w:tc>
      </w:tr>
      <w:tr>
        <w:trPr>
          <w:trHeight w:val="202"/>
        </w:trPr>
        <w:tc>
          <w:tcPr>
            <w:tcW w:w="7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25,703,731</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11,248,372</w:t>
            </w:r>
          </w:p>
        </w:tc>
      </w:tr>
      <w:tr>
        <w:trPr>
          <w:trHeight w:val="19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38,288,872</w:t>
            </w: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27,844,061</w:t>
            </w:r>
          </w:p>
        </w:tc>
      </w:tr>
      <w:tr>
        <w:trPr>
          <w:trHeight w:val="19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(38,288,872 )</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(27,844,061 )</w:t>
            </w:r>
          </w:p>
        </w:tc>
      </w:tr>
      <w:tr>
        <w:trPr>
          <w:trHeight w:val="20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(expense)</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(1,343,439 )</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(1,415,909 )</w:t>
            </w:r>
          </w:p>
        </w:tc>
      </w:tr>
      <w:tr>
        <w:trPr>
          <w:trHeight w:val="23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(39,632,311 )</w:t>
            </w: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(29,259,970 )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-561340</wp:posOffset>
            </wp:positionV>
            <wp:extent cx="1123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-23495</wp:posOffset>
            </wp:positionV>
            <wp:extent cx="1123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1123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2022 and 2021</w:t>
      </w:r>
    </w:p>
    <w:p>
      <w:pPr>
        <w:spacing w:after="0" w:line="194" w:lineRule="exact"/>
        <w:rPr>
          <w:sz w:val="20"/>
          <w:szCs w:val="20"/>
          <w:color w:val="auto"/>
        </w:rPr>
      </w:pPr>
    </w:p>
    <w:p>
      <w:pPr>
        <w:jc w:val="both"/>
        <w:ind w:right="160" w:firstLine="750"/>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Expenses. </w:t>
      </w:r>
      <w:r>
        <w:rPr>
          <w:rFonts w:ascii="Times New Roman" w:cs="Times New Roman" w:eastAsia="Times New Roman" w:hAnsi="Times New Roman"/>
          <w:sz w:val="15"/>
          <w:szCs w:val="15"/>
          <w:color w:val="auto"/>
        </w:rPr>
        <w:t>Our research and development expenses for the three months ended March 31, 2022 were $12.6 million, compared to $16.6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three months ended March 31, 2021, a decrease of $4.0 million. The decrease was driven by expenses related to the NDA filing which occurred in the prior comparable period.</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Our general and administrative expenses for the three months ended March 31, 2022 were $25.7 million, compared to $11.2 million</w:t>
      </w:r>
    </w:p>
    <w:p>
      <w:pPr>
        <w:spacing w:after="0" w:line="1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5"/>
          <w:szCs w:val="15"/>
          <w:color w:val="auto"/>
        </w:rPr>
        <w:t>for the three months ended March 31, 2021, an increase of $14.5 million. The increase was primarily related to pre-commercial activities and personnel expense, along with an increase in non-cash stock compensation expense.</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i w:val="1"/>
          <w:iCs w:val="1"/>
          <w:color w:val="auto"/>
        </w:rPr>
        <w:t xml:space="preserve">Interest income (expense). </w:t>
      </w:r>
      <w:r>
        <w:rPr>
          <w:rFonts w:ascii="Times New Roman" w:cs="Times New Roman" w:eastAsia="Times New Roman" w:hAnsi="Times New Roman"/>
          <w:sz w:val="15"/>
          <w:szCs w:val="15"/>
          <w:color w:val="auto"/>
        </w:rPr>
        <w:t>Interest and amortization of debt discount expense for the three months ended March 31, 2022 was $1.3 million, compared to $1.4 million for the</w:t>
      </w:r>
    </w:p>
    <w:p>
      <w:pPr>
        <w:spacing w:after="0" w:line="12"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15"/>
          <w:szCs w:val="15"/>
          <w:color w:val="auto"/>
        </w:rPr>
        <w:t>three months ended March 31, 2021, a decrease of $0.1 million. The decrease is mainly due to a lower interest rate on our debt as compared to the prior comparable period since we amended our loan and security agreement with Hercules in October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Since our inception through March 31, 2022, we have financed our operations primarily through proceeds from equity offerings and debt borrowings. See discussion below.</w:t>
      </w:r>
    </w:p>
    <w:p>
      <w:pPr>
        <w:spacing w:after="0" w:line="181"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5"/>
          <w:szCs w:val="15"/>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100" w:firstLine="750"/>
        <w:spacing w:after="0" w:line="254" w:lineRule="auto"/>
        <w:rPr>
          <w:sz w:val="20"/>
          <w:szCs w:val="20"/>
          <w:color w:val="auto"/>
        </w:rPr>
      </w:pPr>
      <w:r>
        <w:rPr>
          <w:rFonts w:ascii="Times New Roman" w:cs="Times New Roman" w:eastAsia="Times New Roman" w:hAnsi="Times New Roman"/>
          <w:sz w:val="15"/>
          <w:szCs w:val="15"/>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w:t>
      </w:r>
    </w:p>
    <w:p>
      <w:pPr>
        <w:spacing w:after="0" w:line="173" w:lineRule="exact"/>
        <w:rPr>
          <w:sz w:val="20"/>
          <w:szCs w:val="20"/>
          <w:color w:val="auto"/>
        </w:rPr>
      </w:pPr>
    </w:p>
    <w:p>
      <w:pPr>
        <w:ind w:firstLine="750"/>
        <w:spacing w:after="0" w:line="257" w:lineRule="auto"/>
        <w:rPr>
          <w:sz w:val="20"/>
          <w:szCs w:val="20"/>
          <w:color w:val="auto"/>
        </w:rPr>
      </w:pPr>
      <w:r>
        <w:rPr>
          <w:rFonts w:ascii="Times New Roman" w:cs="Times New Roman" w:eastAsia="Times New Roman" w:hAnsi="Times New Roman"/>
          <w:sz w:val="15"/>
          <w:szCs w:val="15"/>
          <w:color w:val="auto"/>
        </w:rPr>
        <w:t>In March 2022, we entered into the March 2022 Sales Agreement with SVB Securities, pursuant to which we may sell up to $200 million in shares of our common stock from time to time through SVB Securities, acting as our sales agent, in one or more at-the-market offerings utilizing the 2019 Shelf Registration Statement. SVB Securities is entitled to receive a commission of 3.0% of the gross proceeds for any shares sold under the March 2022 Sales Agreement. The March 2022 Sales Agreement supersedes the December 2019 Sales Agreement, dated December 5, 2019, by and between the Company and SVB Leerink LLC.</w:t>
      </w:r>
    </w:p>
    <w:p>
      <w:pPr>
        <w:spacing w:after="0" w:line="158" w:lineRule="exact"/>
        <w:rPr>
          <w:sz w:val="20"/>
          <w:szCs w:val="20"/>
          <w:color w:val="auto"/>
        </w:rPr>
      </w:pPr>
    </w:p>
    <w:p>
      <w:pPr>
        <w:ind w:right="20" w:firstLine="750"/>
        <w:spacing w:after="0" w:line="280" w:lineRule="auto"/>
        <w:rPr>
          <w:sz w:val="20"/>
          <w:szCs w:val="20"/>
          <w:color w:val="auto"/>
        </w:rPr>
      </w:pPr>
      <w:r>
        <w:rPr>
          <w:rFonts w:ascii="Times New Roman" w:cs="Times New Roman" w:eastAsia="Times New Roman" w:hAnsi="Times New Roman"/>
          <w:sz w:val="15"/>
          <w:szCs w:val="15"/>
          <w:color w:val="auto"/>
        </w:rPr>
        <w:t>Under both the December 2019 and March 2022 Sales Agreements, for the three months ended March 31, 2022, we received approximately $32.0 million in gross proceeds through the sale of 1,044,081 shares, of which net proceeds were approximately $31.0 million.</w:t>
      </w:r>
    </w:p>
    <w:p>
      <w:pPr>
        <w:spacing w:after="0" w:line="153" w:lineRule="exact"/>
        <w:rPr>
          <w:sz w:val="20"/>
          <w:szCs w:val="20"/>
          <w:color w:val="auto"/>
        </w:rPr>
      </w:pPr>
    </w:p>
    <w:p>
      <w:pPr>
        <w:ind w:right="60" w:firstLine="750"/>
        <w:spacing w:after="0" w:line="248" w:lineRule="auto"/>
        <w:rPr>
          <w:sz w:val="20"/>
          <w:szCs w:val="20"/>
          <w:color w:val="auto"/>
        </w:rPr>
      </w:pPr>
      <w:r>
        <w:rPr>
          <w:rFonts w:ascii="Times New Roman" w:cs="Times New Roman" w:eastAsia="Times New Roman" w:hAnsi="Times New Roman"/>
          <w:sz w:val="15"/>
          <w:szCs w:val="15"/>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was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and Commitments - September 2020 Loan and Security Agreement – Hercules.” An additional $50 million is available, subject to the approval of Hercules, to support future strategic initiatives, including further pipeline advancement or expansion. The 2020 Term Loan bears interest at a calculated prime-based variable rate currently at 9.15%. It matures in October 2025 and has an initial interest-only payment period of 30 months, which may be extended to up to 48 months upon the drawing of future tranches. The remaining $10 million on the first tranche was not utilized and such tranche and future tranches were amended upon the execution of the First Amendment to the Loan and Security Agreement (see below).</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In October 2021, we amended the Loan Agreement with Hercules. which expanded the facility amount of up to $300 million and now has a maturity date of October 2026.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'Contractual Obligations and Commitments - October 2021 First Amendment to the Loan and Security Agreement – Hercules' section below for more information.</w:t>
      </w:r>
    </w:p>
    <w:p>
      <w:pPr>
        <w:spacing w:after="0" w:line="191" w:lineRule="exact"/>
        <w:rPr>
          <w:sz w:val="20"/>
          <w:szCs w:val="20"/>
          <w:color w:val="auto"/>
        </w:rPr>
      </w:pPr>
    </w:p>
    <w:p>
      <w:pPr>
        <w:ind w:right="40" w:firstLine="750"/>
        <w:spacing w:after="0" w:line="251" w:lineRule="auto"/>
        <w:rPr>
          <w:sz w:val="20"/>
          <w:szCs w:val="20"/>
          <w:color w:val="auto"/>
        </w:rPr>
      </w:pPr>
      <w:r>
        <w:rPr>
          <w:rFonts w:ascii="Times New Roman" w:cs="Times New Roman" w:eastAsia="Times New Roman" w:hAnsi="Times New Roman"/>
          <w:sz w:val="15"/>
          <w:szCs w:val="15"/>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shall only be effective upon the closing of the Acquisition.</w:t>
      </w:r>
    </w:p>
    <w:p>
      <w:pPr>
        <w:spacing w:after="0" w:line="176"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5"/>
          <w:szCs w:val="15"/>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140" w:firstLine="750"/>
        <w:spacing w:after="0" w:line="257" w:lineRule="auto"/>
        <w:rPr>
          <w:sz w:val="20"/>
          <w:szCs w:val="20"/>
          <w:color w:val="auto"/>
        </w:rPr>
      </w:pPr>
      <w:r>
        <w:rPr>
          <w:rFonts w:ascii="Times New Roman" w:cs="Times New Roman" w:eastAsia="Times New Roman" w:hAnsi="Times New Roman"/>
          <w:sz w:val="15"/>
          <w:szCs w:val="15"/>
          <w:color w:val="auto"/>
        </w:rPr>
        <w:t>We believe that our current available cash, along with the remaining committed capital from the $300 million term loan facility, is sufficient to fund anticipated operations into 2024, based on the current operating plan, which includes the potential launch of AXS-05 in MDD, and the acquisition and commercialization of Sunosi</w:t>
      </w:r>
      <w:r>
        <w:rPr>
          <w:rFonts w:ascii="Arial" w:cs="Arial" w:eastAsia="Arial" w:hAnsi="Arial"/>
          <w:sz w:val="16"/>
          <w:szCs w:val="16"/>
          <w:color w:val="auto"/>
        </w:rPr>
        <w:t>.</w:t>
      </w:r>
      <w:r>
        <w:rPr>
          <w:rFonts w:ascii="Times New Roman" w:cs="Times New Roman" w:eastAsia="Times New Roman" w:hAnsi="Times New Roman"/>
          <w:sz w:val="15"/>
          <w:szCs w:val="15"/>
          <w:color w:val="auto"/>
        </w:rPr>
        <w:t xml:space="preserve">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table summarizes our primary sources and uses of cash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7"/>
        </w:trPr>
        <w:tc>
          <w:tcPr>
            <w:tcW w:w="7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202"/>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(32,652,980 )</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(27,215,489 )</w:t>
            </w:r>
          </w:p>
        </w:tc>
      </w:tr>
      <w:tr>
        <w:trPr>
          <w:trHeight w:val="202"/>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(213,736 )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(29,995 )</w:t>
            </w:r>
          </w:p>
        </w:tc>
      </w:tr>
      <w:tr>
        <w:trPr>
          <w:trHeight w:val="202"/>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31,101,644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8,029,163</w:t>
            </w:r>
          </w:p>
        </w:tc>
      </w:tr>
      <w:tr>
        <w:trPr>
          <w:trHeight w:val="23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(1,765,072 )</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(19,216,321 )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-23495</wp:posOffset>
            </wp:positionV>
            <wp:extent cx="1041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-7620</wp:posOffset>
            </wp:positionV>
            <wp:extent cx="1041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4140" cy="8255"/>
                    </a:xfrm>
                    <a:prstGeom prst="rect">
                      <a:avLst/>
                    </a:prstGeom>
                    <a:noFill/>
                  </pic:spPr>
                </pic:pic>
              </a:graphicData>
            </a:graphic>
          </wp:anchor>
        </w:drawing>
      </w:r>
    </w:p>
    <w:p>
      <w:pPr>
        <w:spacing w:after="0" w:line="179" w:lineRule="exact"/>
        <w:rPr>
          <w:sz w:val="20"/>
          <w:szCs w:val="20"/>
          <w:color w:val="auto"/>
        </w:rPr>
      </w:pPr>
    </w:p>
    <w:p>
      <w:pPr>
        <w:ind w:right="340" w:firstLine="750"/>
        <w:spacing w:after="0" w:line="285" w:lineRule="auto"/>
        <w:rPr>
          <w:sz w:val="20"/>
          <w:szCs w:val="20"/>
          <w:color w:val="auto"/>
        </w:rPr>
      </w:pPr>
      <w:r>
        <w:rPr>
          <w:rFonts w:ascii="Times New Roman" w:cs="Times New Roman" w:eastAsia="Times New Roman" w:hAnsi="Times New Roman"/>
          <w:sz w:val="15"/>
          <w:szCs w:val="15"/>
          <w:i w:val="1"/>
          <w:iCs w:val="1"/>
          <w:color w:val="auto"/>
        </w:rPr>
        <w:t xml:space="preserve">Operating Activities. </w:t>
      </w:r>
      <w:r>
        <w:rPr>
          <w:rFonts w:ascii="Times New Roman" w:cs="Times New Roman" w:eastAsia="Times New Roman" w:hAnsi="Times New Roman"/>
          <w:sz w:val="15"/>
          <w:szCs w:val="15"/>
          <w:color w:val="auto"/>
        </w:rPr>
        <w:t>Cash used in operating activities for the three months ended March 31, 2022 was $32.7 million as compared to $27.2 million for the three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March 31, 2021. The increase of $5.5 million in net cash used was mainly due to the pre-commercialization activities.</w:t>
      </w:r>
    </w:p>
    <w:p>
      <w:pPr>
        <w:spacing w:after="0" w:line="121" w:lineRule="exact"/>
        <w:rPr>
          <w:sz w:val="20"/>
          <w:szCs w:val="20"/>
          <w:color w:val="auto"/>
        </w:rPr>
      </w:pPr>
    </w:p>
    <w:p>
      <w:pPr>
        <w:ind w:right="120" w:firstLine="750"/>
        <w:spacing w:after="0" w:line="285" w:lineRule="auto"/>
        <w:rPr>
          <w:sz w:val="20"/>
          <w:szCs w:val="20"/>
          <w:color w:val="auto"/>
        </w:rPr>
      </w:pPr>
      <w:r>
        <w:rPr>
          <w:rFonts w:ascii="Times New Roman" w:cs="Times New Roman" w:eastAsia="Times New Roman" w:hAnsi="Times New Roman"/>
          <w:sz w:val="15"/>
          <w:szCs w:val="15"/>
          <w:i w:val="1"/>
          <w:iCs w:val="1"/>
          <w:color w:val="auto"/>
        </w:rPr>
        <w:t xml:space="preserve">Investing Activities. </w:t>
      </w:r>
      <w:r>
        <w:rPr>
          <w:rFonts w:ascii="Times New Roman" w:cs="Times New Roman" w:eastAsia="Times New Roman" w:hAnsi="Times New Roman"/>
          <w:sz w:val="15"/>
          <w:szCs w:val="15"/>
          <w:color w:val="auto"/>
        </w:rPr>
        <w:t>Cash used in investing activities for the purchase of property and equipment for the three months ended March 31, 2022 was $0.2 million and was less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than $0.1 million for the three months ended March 31, 2021. The increase of $0.2 million was due to pre-commercialization activities.</w:t>
      </w:r>
    </w:p>
    <w:p>
      <w:pPr>
        <w:spacing w:after="0" w:line="146" w:lineRule="exact"/>
        <w:rPr>
          <w:sz w:val="20"/>
          <w:szCs w:val="20"/>
          <w:color w:val="auto"/>
        </w:rPr>
      </w:pPr>
    </w:p>
    <w:p>
      <w:pPr>
        <w:ind w:right="220" w:firstLine="750"/>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Financing Activities. </w:t>
      </w:r>
      <w:r>
        <w:rPr>
          <w:rFonts w:ascii="Times New Roman" w:cs="Times New Roman" w:eastAsia="Times New Roman" w:hAnsi="Times New Roman"/>
          <w:sz w:val="15"/>
          <w:szCs w:val="15"/>
          <w:color w:val="auto"/>
        </w:rPr>
        <w:t>Cash provided by financing activities was $31.1 million for the three months ended March 31, 2022, which included net proceeds from the sale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through our Sales Agreement with SVB Securities of $31.0 million and proceeds from the issuance of common stock upon exercise of employee stock options of $0.2 million. Cash provided by financing activities was $8.0 million for the three months ended March 31, 2021, which included net proceeds from the sale of common stock through our Sales Agreement with SVB Leerink of $6.1 million and proceeds from the issuance of common stock upon exercise of employee stock options of $1.9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Funding requirements</w:t>
      </w:r>
    </w:p>
    <w:p>
      <w:pPr>
        <w:spacing w:after="0" w:line="211"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73" w:lineRule="exact"/>
        <w:rPr>
          <w:sz w:val="20"/>
          <w:szCs w:val="20"/>
          <w:color w:val="auto"/>
        </w:rPr>
      </w:pPr>
    </w:p>
    <w:p>
      <w:pPr>
        <w:jc w:val="both"/>
        <w:ind w:right="60" w:firstLine="750"/>
        <w:spacing w:after="0" w:line="257" w:lineRule="auto"/>
        <w:rPr>
          <w:sz w:val="20"/>
          <w:szCs w:val="20"/>
          <w:color w:val="auto"/>
        </w:rPr>
      </w:pPr>
      <w:r>
        <w:rPr>
          <w:rFonts w:ascii="Times New Roman" w:cs="Times New Roman" w:eastAsia="Times New Roman" w:hAnsi="Times New Roman"/>
          <w:sz w:val="15"/>
          <w:szCs w:val="15"/>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58" w:lineRule="exact"/>
        <w:rPr>
          <w:sz w:val="20"/>
          <w:szCs w:val="20"/>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rate of progress, results, and cost of our clinical studies and other related activities;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enter into collaborative agreements for the development and commercialization of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development requirements of any other product candidates that we pursue;</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timing, and outcome of regulatory reviews of our product candidates;</w:t>
      </w:r>
    </w:p>
    <w:p>
      <w:pPr>
        <w:spacing w:after="0" w:line="206" w:lineRule="exact"/>
        <w:rPr>
          <w:rFonts w:ascii="Times New Roman" w:cs="Times New Roman" w:eastAsia="Times New Roman" w:hAnsi="Times New Roman"/>
          <w:sz w:val="15"/>
          <w:szCs w:val="15"/>
          <w:color w:val="auto"/>
        </w:rPr>
      </w:pPr>
    </w:p>
    <w:p>
      <w:pPr>
        <w:ind w:left="760" w:right="80" w:hanging="384"/>
        <w:spacing w:after="0" w:line="262" w:lineRule="auto"/>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future commercialization activities, including product manufacturing, marketing, sales, and distribution, for any of our product candidates for which we receive marketing approval;</w:t>
      </w:r>
    </w:p>
    <w:p>
      <w:pPr>
        <w:spacing w:after="0" w:line="16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liability or other lawsuits related to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expenses needed to attract and retain skilled personnel;</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and administrative expenses related to being a public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revenue, if any, received from commercial sales of our product candidates for which we receive marketing approval; and</w:t>
      </w:r>
    </w:p>
    <w:p>
      <w:pPr>
        <w:spacing w:after="0" w:line="206" w:lineRule="exact"/>
        <w:rPr>
          <w:rFonts w:ascii="Times New Roman" w:cs="Times New Roman" w:eastAsia="Times New Roman" w:hAnsi="Times New Roman"/>
          <w:sz w:val="15"/>
          <w:szCs w:val="15"/>
          <w:color w:val="auto"/>
        </w:rPr>
      </w:pPr>
    </w:p>
    <w:p>
      <w:pPr>
        <w:ind w:left="760" w:right="540" w:hanging="384"/>
        <w:spacing w:after="0" w:line="189" w:lineRule="exact"/>
        <w:tabs>
          <w:tab w:leader="none" w:pos="7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related claims.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Please see “Risk Factors” for additional risks associated with our substantial capital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License agreement with Pfizer</w:t>
      </w:r>
    </w:p>
    <w:p>
      <w:pPr>
        <w:spacing w:after="0" w:line="211" w:lineRule="exact"/>
        <w:rPr>
          <w:sz w:val="20"/>
          <w:szCs w:val="20"/>
          <w:color w:val="auto"/>
        </w:rPr>
      </w:pPr>
    </w:p>
    <w:p>
      <w:pPr>
        <w:ind w:firstLine="750"/>
        <w:spacing w:after="0" w:line="251" w:lineRule="auto"/>
        <w:rPr>
          <w:sz w:val="20"/>
          <w:szCs w:val="20"/>
          <w:color w:val="auto"/>
        </w:rPr>
      </w:pPr>
      <w:r>
        <w:rPr>
          <w:rFonts w:ascii="Times New Roman" w:cs="Times New Roman" w:eastAsia="Times New Roman" w:hAnsi="Times New Roman"/>
          <w:sz w:val="15"/>
          <w:szCs w:val="15"/>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76" w:lineRule="exact"/>
        <w:rPr>
          <w:sz w:val="20"/>
          <w:szCs w:val="20"/>
          <w:color w:val="auto"/>
        </w:rPr>
      </w:pPr>
    </w:p>
    <w:p>
      <w:pPr>
        <w:ind w:right="320" w:firstLine="750"/>
        <w:spacing w:after="0" w:line="280" w:lineRule="auto"/>
        <w:rPr>
          <w:sz w:val="20"/>
          <w:szCs w:val="20"/>
          <w:color w:val="auto"/>
        </w:rPr>
      </w:pPr>
      <w:r>
        <w:rPr>
          <w:rFonts w:ascii="Times New Roman" w:cs="Times New Roman" w:eastAsia="Times New Roman" w:hAnsi="Times New Roman"/>
          <w:sz w:val="15"/>
          <w:szCs w:val="15"/>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License agreements with Antecip Bioventures</w:t>
      </w:r>
    </w:p>
    <w:p>
      <w:pPr>
        <w:spacing w:after="0" w:line="211"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73" w:lineRule="exact"/>
        <w:rPr>
          <w:sz w:val="20"/>
          <w:szCs w:val="20"/>
          <w:color w:val="auto"/>
        </w:rPr>
      </w:pPr>
    </w:p>
    <w:p>
      <w:pPr>
        <w:ind w:right="60" w:firstLine="750"/>
        <w:spacing w:after="0" w:line="280" w:lineRule="auto"/>
        <w:rPr>
          <w:sz w:val="20"/>
          <w:szCs w:val="20"/>
          <w:color w:val="auto"/>
        </w:rPr>
      </w:pPr>
      <w:r>
        <w:rPr>
          <w:rFonts w:ascii="Times New Roman" w:cs="Times New Roman" w:eastAsia="Times New Roman" w:hAnsi="Times New Roman"/>
          <w:sz w:val="15"/>
          <w:szCs w:val="15"/>
          <w:color w:val="auto"/>
        </w:rPr>
        <w:t>In connection with the 2020 Term Loan, Antecip consented to the collateral assignment of one of the license agreements, among other things, under a direct agreement with us and Hercules.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September 2020 Loan and Security Agreement – Hercules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In September 2020, we entered into the Loan Agreement with Hercules, in its capacity as administrative agent and collateral agent and as a lender, and the other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institutions that may from time to time become parties to the Loan Agreement as lenders, which we collectively refer to as the Lenders. The Loan Agreement provides for term loans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 aggregate principal amount of up to $225.0 million under multiple tranches. The tranches consist of (i) a first tranche consisting of term loans in an aggregate principal amount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$60.0 million, of which $50.0 million, or the First Advance, was funded at closing, and of which the remaining $10.0 million was available at our option at any time through September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 2021; (ii) subject to the FDA approval of our AXS-05 product candidate for the treatment of major depressive disorder, or the First Milestone, a second tranche consisting of</w:t>
      </w:r>
    </w:p>
    <w:p>
      <w:pPr>
        <w:spacing w:after="0" w:line="234" w:lineRule="auto"/>
        <w:rPr>
          <w:sz w:val="20"/>
          <w:szCs w:val="20"/>
          <w:color w:val="auto"/>
        </w:rPr>
      </w:pPr>
      <w:r>
        <w:rPr>
          <w:rFonts w:ascii="Times New Roman" w:cs="Times New Roman" w:eastAsia="Times New Roman" w:hAnsi="Times New Roman"/>
          <w:sz w:val="15"/>
          <w:szCs w:val="15"/>
          <w:color w:val="auto"/>
        </w:rPr>
        <w:t>additional term loans in an aggregate principal amount of up to $35.0 million, available at our option beginning on the date that the First Milestone is achieved through the earlier of (A)</w:t>
      </w:r>
    </w:p>
    <w:p>
      <w:pPr>
        <w:spacing w:after="0"/>
        <w:rPr>
          <w:sz w:val="20"/>
          <w:szCs w:val="20"/>
          <w:color w:val="auto"/>
        </w:rPr>
      </w:pPr>
      <w:r>
        <w:rPr>
          <w:rFonts w:ascii="Times New Roman" w:cs="Times New Roman" w:eastAsia="Times New Roman" w:hAnsi="Times New Roman"/>
          <w:sz w:val="15"/>
          <w:szCs w:val="15"/>
          <w:color w:val="auto"/>
        </w:rPr>
        <w:t>181 days following such date and (B) June 30, 2022; (iii) subject to the approval of our AXS-07 product candidate for the treatment of migraine, or the Second Milestone, a third tranche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consisting of additional term loans in an aggregate principal amount of up to $20.0 million, available at our option beginning on the date that the Second Milestone is achieved through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earlier of (A) 181 days following such date and (B) June 30, 2022; (iv) subject to the achievement of either the First Milestone or the Second Milestone and so long as we are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compliance with a required ratio of Lender indebtedness to net product revenue, a fourth tranche consisting of additional term loans in an aggregate principal amount of up to $60.0</w:t>
      </w:r>
    </w:p>
    <w:p>
      <w:pPr>
        <w:spacing w:after="0" w:line="234" w:lineRule="auto"/>
        <w:rPr>
          <w:sz w:val="20"/>
          <w:szCs w:val="20"/>
          <w:color w:val="auto"/>
        </w:rPr>
      </w:pPr>
      <w:r>
        <w:rPr>
          <w:rFonts w:ascii="Times New Roman" w:cs="Times New Roman" w:eastAsia="Times New Roman" w:hAnsi="Times New Roman"/>
          <w:sz w:val="15"/>
          <w:szCs w:val="15"/>
          <w:color w:val="auto"/>
        </w:rPr>
        <w:t>million, available at our option beginning on January 1, 2022 and continuing through March 31, 2023; and (v) subject to approval by the Lenders in their discretion, a fifth tranche of</w:t>
      </w:r>
    </w:p>
    <w:p>
      <w:pPr>
        <w:spacing w:after="0"/>
        <w:rPr>
          <w:sz w:val="20"/>
          <w:szCs w:val="20"/>
          <w:color w:val="auto"/>
        </w:rPr>
      </w:pPr>
      <w:r>
        <w:rPr>
          <w:rFonts w:ascii="Times New Roman" w:cs="Times New Roman" w:eastAsia="Times New Roman" w:hAnsi="Times New Roman"/>
          <w:sz w:val="15"/>
          <w:szCs w:val="15"/>
          <w:color w:val="auto"/>
        </w:rPr>
        <w:t>additional term loans in an aggregate principal amount of up to $50.0 million, available through December 31, 2023. The remaining $10 million on the first tranche was not utilized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tranche and future tranches were amended upon the execution of the First Amendment to the Loan and Security Agreement. See "October 2021 First Amendment to the Loan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 Agreement – Hercules" below for further information. We intend to use the proceeds of the Term Loan Advances for working capital and general corporate purposes.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 approximately $21.7 million of the proceeds from the First Advance was used to satisfy in full and retire our indebtedness under the 2019 Term Loan, as amended.</w:t>
      </w:r>
    </w:p>
    <w:p>
      <w:pPr>
        <w:spacing w:after="0" w:line="191"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5"/>
          <w:szCs w:val="15"/>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w:t>
      </w:r>
    </w:p>
    <w:p>
      <w:pPr>
        <w:spacing w:after="0" w:line="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5"/>
          <w:szCs w:val="15"/>
          <w:color w:val="auto"/>
        </w:rPr>
        <w:t>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80" w:lineRule="exact"/>
        <w:rPr>
          <w:sz w:val="20"/>
          <w:szCs w:val="20"/>
          <w:color w:val="auto"/>
        </w:rPr>
      </w:pPr>
    </w:p>
    <w:p>
      <w:pPr>
        <w:ind w:right="220" w:firstLine="750"/>
        <w:spacing w:after="0" w:line="254" w:lineRule="auto"/>
        <w:rPr>
          <w:sz w:val="20"/>
          <w:szCs w:val="20"/>
          <w:color w:val="auto"/>
        </w:rPr>
      </w:pPr>
      <w:r>
        <w:rPr>
          <w:rFonts w:ascii="Times New Roman" w:cs="Times New Roman" w:eastAsia="Times New Roman" w:hAnsi="Times New Roman"/>
          <w:sz w:val="15"/>
          <w:szCs w:val="15"/>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73"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20" w:hanging="384"/>
        <w:spacing w:after="0" w:line="251"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75" w:lineRule="exact"/>
        <w:rPr>
          <w:rFonts w:ascii="Times New Roman" w:cs="Times New Roman" w:eastAsia="Times New Roman" w:hAnsi="Times New Roman"/>
          <w:sz w:val="15"/>
          <w:szCs w:val="15"/>
          <w:color w:val="auto"/>
        </w:rPr>
      </w:pPr>
    </w:p>
    <w:p>
      <w:pPr>
        <w:ind w:left="760" w:right="40" w:hanging="384"/>
        <w:spacing w:after="0" w:line="246"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77" w:lineRule="exact"/>
        <w:rPr>
          <w:rFonts w:ascii="Times New Roman" w:cs="Times New Roman" w:eastAsia="Times New Roman" w:hAnsi="Times New Roman"/>
          <w:sz w:val="15"/>
          <w:szCs w:val="15"/>
          <w:color w:val="auto"/>
        </w:rPr>
      </w:pPr>
    </w:p>
    <w:p>
      <w:pPr>
        <w:ind w:left="760" w:hanging="384"/>
        <w:spacing w:after="0" w:line="280" w:lineRule="auto"/>
        <w:tabs>
          <w:tab w:leader="none" w:pos="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53" w:lineRule="exact"/>
        <w:rPr>
          <w:sz w:val="20"/>
          <w:szCs w:val="20"/>
          <w:color w:val="auto"/>
        </w:rPr>
      </w:pPr>
    </w:p>
    <w:p>
      <w:pPr>
        <w:ind w:right="420" w:firstLine="750"/>
        <w:spacing w:after="0" w:line="245" w:lineRule="auto"/>
        <w:rPr>
          <w:sz w:val="20"/>
          <w:szCs w:val="20"/>
          <w:color w:val="auto"/>
        </w:rPr>
      </w:pPr>
      <w:r>
        <w:rPr>
          <w:rFonts w:ascii="Times New Roman" w:cs="Times New Roman" w:eastAsia="Times New Roman" w:hAnsi="Times New Roman"/>
          <w:sz w:val="15"/>
          <w:szCs w:val="15"/>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66" w:lineRule="exact"/>
        <w:rPr>
          <w:sz w:val="20"/>
          <w:szCs w:val="20"/>
          <w:color w:val="auto"/>
        </w:rPr>
      </w:pPr>
    </w:p>
    <w:p>
      <w:pPr>
        <w:ind w:right="140" w:firstLine="750"/>
        <w:spacing w:after="0" w:line="245" w:lineRule="auto"/>
        <w:rPr>
          <w:sz w:val="20"/>
          <w:szCs w:val="20"/>
          <w:color w:val="auto"/>
        </w:rPr>
      </w:pPr>
      <w:r>
        <w:rPr>
          <w:rFonts w:ascii="Times New Roman" w:cs="Times New Roman" w:eastAsia="Times New Roman" w:hAnsi="Times New Roman"/>
          <w:sz w:val="15"/>
          <w:szCs w:val="15"/>
          <w:color w:val="auto"/>
        </w:rPr>
        <w:t>In addition, we are required to pay a final payment fee equal to the greater of (A) $2,910,000 and (B) 4.85% of the aggregate amount of all future term loan advances. The final payment fee is being accreted and amortized into interest expense using the effective interest rate method over the term of the loan.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may, at our option prepay the term loans in full or in part, subject to a prepayment penalty equal to (i) 2.0% of the principal amount prepaid if the prepayment occurs</w:t>
      </w:r>
    </w:p>
    <w:p>
      <w:pPr>
        <w:spacing w:after="0" w:line="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5"/>
          <w:szCs w:val="15"/>
          <w:color w:val="auto"/>
        </w:rPr>
        <w:t>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October 2021 First Amendment to the Loan and Security Agreement – Hercules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On October 14, 2021 ("First Amendment Closing Date"), we entered into the first amendment to the Loan Agreement (the “First Amendment to the Loan Agreement”).</w:t>
      </w:r>
    </w:p>
    <w:p>
      <w:pPr>
        <w:spacing w:after="0" w:line="194"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Under the First Amendment to the Loan Agreement, the First Amendment amended the terms of that certain Loan and Security Agreement, dated as of September 25, 2020, by and among the Company, Hercules and the Lenders (the “Loan Agreement”) to, among other things, (i) increase the aggregate principal amount of the loan, available at the Company’s option, from $225,000,000 to $300,000,000, (ii) change the draw amounts and dates available in Tranche 2 through Tranche 5 including increasing the amount available under Tranche 2 subject to FDA approval of the Company’s AXS-05 product candidate for the treatment of major depressive disorder from $35,000,000 to $100,000,000, maintaining the amount available under Tranche 3 subject to FDA approval of the Company’s AXS-07 product candidate for the acute treatment of migraine of $20,000,000, reducing the amount under Tranche 4 available upon achievement of certain combined sales and outstanding debt criteria from $60,000,000 to $55,000,000, and increasing the amount available under Tranche 5 to support future strategic initiatives, including further pipeline advancement or expansion from $50,000,000 to $75,000,000 subject to the approval from Hercules, (iii) extend the maturity date of the facility from the original October 2025 to October 2026, and optionally to October 2027, subject to certain conditions, (iv) reset and extend the interest only period from the initial 30 months from the original loan closing to 48 months from the First Amendment and extendable up to 60 months subject to FDA approval of the Company’s AXS-05 product candidate for the treatment of major depressive disorder and subject to FDA approval of AXS-07 in the acute treatment of migraine, and (v) decrease the interest rate from 9.15% (floating rate based on the greater of (a) 9.15% or (b) US WSJ Prime + 5.90%) to 8.95% (floating rate based on the greater of (a) 8.95% or (b) US WSJ Prime + 5.70%).</w:t>
      </w:r>
    </w:p>
    <w:p>
      <w:pPr>
        <w:spacing w:after="0" w:line="355" w:lineRule="exact"/>
        <w:rPr>
          <w:sz w:val="20"/>
          <w:szCs w:val="20"/>
          <w:color w:val="auto"/>
        </w:rPr>
      </w:pPr>
    </w:p>
    <w:p>
      <w:pPr>
        <w:ind w:right="140" w:firstLine="750"/>
        <w:spacing w:after="0" w:line="280" w:lineRule="auto"/>
        <w:rPr>
          <w:sz w:val="20"/>
          <w:szCs w:val="20"/>
          <w:color w:val="auto"/>
        </w:rPr>
      </w:pPr>
      <w:r>
        <w:rPr>
          <w:rFonts w:ascii="Times New Roman" w:cs="Times New Roman" w:eastAsia="Times New Roman" w:hAnsi="Times New Roman"/>
          <w:sz w:val="15"/>
          <w:szCs w:val="15"/>
          <w:color w:val="auto"/>
        </w:rPr>
        <w:t>In addition, we are required to pay a final payment fee equal to (A) $2,910,000 plus (B) 4.5% of the aggregate amount of all future term loan advances. The final payment fee is being accreted and amortized into interest expense using the effective interest rate method over the term of the loan.</w:t>
      </w:r>
    </w:p>
    <w:p>
      <w:pPr>
        <w:spacing w:after="0" w:line="153" w:lineRule="exact"/>
        <w:rPr>
          <w:sz w:val="20"/>
          <w:szCs w:val="20"/>
          <w:color w:val="auto"/>
        </w:rPr>
      </w:pPr>
    </w:p>
    <w:p>
      <w:pPr>
        <w:jc w:val="both"/>
        <w:ind w:right="200" w:firstLine="750"/>
        <w:spacing w:after="0" w:line="251" w:lineRule="auto"/>
        <w:rPr>
          <w:sz w:val="20"/>
          <w:szCs w:val="20"/>
          <w:color w:val="auto"/>
        </w:rPr>
      </w:pPr>
      <w:r>
        <w:rPr>
          <w:rFonts w:ascii="Times New Roman" w:cs="Times New Roman" w:eastAsia="Times New Roman" w:hAnsi="Times New Roman"/>
          <w:sz w:val="15"/>
          <w:szCs w:val="15"/>
          <w:color w:val="auto"/>
        </w:rPr>
        <w:t>We may, at our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March 2022 Second Amendment to the Loan and Security Agreement – Hercules</w:t>
      </w:r>
    </w:p>
    <w:p>
      <w:pPr>
        <w:spacing w:after="0" w:line="211" w:lineRule="exact"/>
        <w:rPr>
          <w:sz w:val="20"/>
          <w:szCs w:val="20"/>
          <w:color w:val="auto"/>
        </w:rPr>
      </w:pPr>
    </w:p>
    <w:p>
      <w:pPr>
        <w:ind w:right="40" w:firstLine="750"/>
        <w:spacing w:after="0" w:line="251" w:lineRule="auto"/>
        <w:rPr>
          <w:sz w:val="20"/>
          <w:szCs w:val="20"/>
          <w:color w:val="auto"/>
        </w:rPr>
      </w:pPr>
      <w:r>
        <w:rPr>
          <w:rFonts w:ascii="Times New Roman" w:cs="Times New Roman" w:eastAsia="Times New Roman" w:hAnsi="Times New Roman"/>
          <w:sz w:val="15"/>
          <w:szCs w:val="15"/>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shall only be effective upon the closing of the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 and Human Capital Management</w:t>
      </w:r>
    </w:p>
    <w:p>
      <w:pPr>
        <w:spacing w:after="0" w:line="185" w:lineRule="exact"/>
        <w:rPr>
          <w:sz w:val="20"/>
          <w:szCs w:val="20"/>
          <w:color w:val="auto"/>
        </w:rPr>
      </w:pPr>
    </w:p>
    <w:p>
      <w:pPr>
        <w:ind w:firstLine="750"/>
        <w:spacing w:after="0" w:line="179" w:lineRule="exact"/>
        <w:rPr>
          <w:sz w:val="20"/>
          <w:szCs w:val="20"/>
          <w:color w:val="auto"/>
        </w:rPr>
      </w:pPr>
      <w:r>
        <w:rPr>
          <w:rFonts w:ascii="Times New Roman" w:cs="Times New Roman" w:eastAsia="Times New Roman" w:hAnsi="Times New Roman"/>
          <w:sz w:val="15"/>
          <w:szCs w:val="15"/>
          <w:color w:val="auto"/>
        </w:rPr>
        <w:t>As of April 26, 2022, we had 116 full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Impact of the CARES Act</w:t>
      </w:r>
    </w:p>
    <w:p>
      <w:pPr>
        <w:spacing w:after="0" w:line="211" w:lineRule="exact"/>
        <w:rPr>
          <w:sz w:val="20"/>
          <w:szCs w:val="20"/>
          <w:color w:val="auto"/>
        </w:rPr>
      </w:pPr>
    </w:p>
    <w:p>
      <w:pPr>
        <w:ind w:right="80" w:firstLine="1053"/>
        <w:spacing w:after="0" w:line="245" w:lineRule="auto"/>
        <w:rPr>
          <w:sz w:val="20"/>
          <w:szCs w:val="20"/>
          <w:color w:val="auto"/>
        </w:rPr>
      </w:pPr>
      <w:r>
        <w:rPr>
          <w:rFonts w:ascii="Times New Roman" w:cs="Times New Roman" w:eastAsia="Times New Roman" w:hAnsi="Times New Roman"/>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Impact of COVID-19 on our Business</w:t>
      </w:r>
    </w:p>
    <w:p>
      <w:pPr>
        <w:spacing w:after="0" w:line="198" w:lineRule="exact"/>
        <w:rPr>
          <w:sz w:val="20"/>
          <w:szCs w:val="20"/>
          <w:color w:val="auto"/>
        </w:rPr>
      </w:pPr>
    </w:p>
    <w:p>
      <w:pPr>
        <w:ind w:right="20" w:firstLine="750"/>
        <w:spacing w:after="0" w:line="224" w:lineRule="auto"/>
        <w:rPr>
          <w:sz w:val="20"/>
          <w:szCs w:val="20"/>
          <w:color w:val="auto"/>
        </w:rPr>
      </w:pPr>
      <w:r>
        <w:rPr>
          <w:rFonts w:ascii="Times New Roman" w:cs="Times New Roman" w:eastAsia="Times New Roman" w:hAnsi="Times New Roman"/>
          <w:sz w:val="15"/>
          <w:szCs w:val="15"/>
          <w:color w:val="auto"/>
        </w:rPr>
        <w:t>In December 2019, a novel coronavirus known as SARS-CoV-2 was first detected in Wuhan, Hubei Province, People’s Republic of China, causing outbreaks of the coronavirus disease, known as COVID-19, which has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247d), in response to the COVID-19 outbreak. On March 11, 2020, the WHO declared COVID-19 a global pandemic.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Operations and Liquidity</w:t>
      </w:r>
    </w:p>
    <w:p>
      <w:pPr>
        <w:spacing w:after="0" w:line="211"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The full impact of the COVID-19 pandemic is still unknown and constantly evolving. While the potential economic impact brought by and over the duration of the COVID-19 pandemic may be difficult to assess or predict, the COVID-19 pandemic has resulted in significant disruption of global financial markets, which could in the future negatively affect</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5"/>
          <w:szCs w:val="15"/>
          <w:color w:val="auto"/>
        </w:rPr>
        <w:t>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w:t>
      </w:r>
    </w:p>
    <w:p>
      <w:pPr>
        <w:spacing w:after="0" w:line="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5"/>
          <w:szCs w:val="15"/>
          <w:color w:val="auto"/>
        </w:rPr>
        <w:t>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212529"/>
        </w:rPr>
        <w:t>Outlook</w:t>
      </w:r>
    </w:p>
    <w:p>
      <w:pPr>
        <w:spacing w:after="0" w:line="211" w:lineRule="exact"/>
        <w:rPr>
          <w:sz w:val="20"/>
          <w:szCs w:val="20"/>
          <w:color w:val="auto"/>
        </w:rPr>
      </w:pPr>
    </w:p>
    <w:p>
      <w:pPr>
        <w:jc w:val="both"/>
        <w:ind w:right="340" w:firstLine="750"/>
        <w:spacing w:after="0" w:line="232" w:lineRule="auto"/>
        <w:rPr>
          <w:sz w:val="20"/>
          <w:szCs w:val="20"/>
          <w:color w:val="auto"/>
        </w:rPr>
      </w:pPr>
      <w:r>
        <w:rPr>
          <w:rFonts w:ascii="Times New Roman" w:cs="Times New Roman" w:eastAsia="Times New Roman" w:hAnsi="Times New Roman"/>
          <w:sz w:val="15"/>
          <w:szCs w:val="15"/>
          <w:color w:val="auto"/>
        </w:rPr>
        <w:t>Although there is uncertainty related to the continuous impact of the COVID-19 pandemic on our future results, we believe our current cash reserves, coupled with our access to additional capital through the March 2022 Sales Agreement and debt facility,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3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As a result of the ongoing COVID-19 pandemic and its dynamic nature, including uncertainties relating to the ultimate geographic spread of the virus, the severity of the</w:t>
      </w:r>
    </w:p>
    <w:p>
      <w:pPr>
        <w:spacing w:after="0" w:line="8"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5"/>
          <w:szCs w:val="15"/>
          <w:color w:val="auto"/>
        </w:rPr>
        <w:t>disease, the duration of the pandemic, and actions that have been or may be taken by governmental authorities to contain the pandemic or to treat its impact, it is difficult to forecast the effects of the COVID-19 pandemic on our results for the fiscal year ending December 31, 2022.</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Despite the economic uncertainty resulting from the COVID-19 pandemic, we intend to continue to focus on the development of our product candidates. We continue to</w:t>
      </w:r>
    </w:p>
    <w:p>
      <w:pPr>
        <w:spacing w:after="0" w:line="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nature of this situation, we cannot reasonably estimate the impacts of the COVID-19 pandemic on our financial condition, results of operations or cash flows in the future.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color w:val="auto"/>
        </w:rPr>
        <w:t>We did not have during the periods presented, and we do not currently have, any off-balance sheet arrangements, as defined by applicable SEC regulations.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85" w:lineRule="exact"/>
        <w:rPr>
          <w:sz w:val="20"/>
          <w:szCs w:val="20"/>
          <w:color w:val="auto"/>
        </w:rPr>
      </w:pPr>
    </w:p>
    <w:p>
      <w:pPr>
        <w:ind w:firstLine="750"/>
        <w:spacing w:after="0" w:line="262" w:lineRule="auto"/>
        <w:rPr>
          <w:sz w:val="20"/>
          <w:szCs w:val="20"/>
          <w:color w:val="auto"/>
        </w:rPr>
      </w:pPr>
      <w:r>
        <w:rPr>
          <w:rFonts w:ascii="Times New Roman" w:cs="Times New Roman" w:eastAsia="Times New Roman" w:hAnsi="Times New Roman"/>
          <w:sz w:val="15"/>
          <w:szCs w:val="15"/>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600"/>
          </w:cols>
          <w:pgMar w:left="320" w:top="114"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 ABOUT MARKET RISK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198"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We are exposed to market risks in the ordinary course of our business and from changes in the interest rate on our debt borrowings. These market risks are principally limited to interest rate fluctuations. We had cash of $84.7 million and $86.5 million as of March 31, 2022 and December 31, 2021,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Foreign Currency Exchange Risk</w:t>
      </w:r>
    </w:p>
    <w:p>
      <w:pPr>
        <w:spacing w:after="0" w:line="211" w:lineRule="exact"/>
        <w:rPr>
          <w:sz w:val="20"/>
          <w:szCs w:val="20"/>
          <w:color w:val="auto"/>
        </w:rPr>
      </w:pPr>
    </w:p>
    <w:p>
      <w:pPr>
        <w:ind w:right="420" w:firstLine="750"/>
        <w:spacing w:after="0" w:line="263" w:lineRule="auto"/>
        <w:rPr>
          <w:sz w:val="20"/>
          <w:szCs w:val="20"/>
          <w:color w:val="auto"/>
        </w:rPr>
      </w:pPr>
      <w:r>
        <w:rPr>
          <w:rFonts w:ascii="Times New Roman" w:cs="Times New Roman" w:eastAsia="Times New Roman" w:hAnsi="Times New Roman"/>
          <w:sz w:val="15"/>
          <w:szCs w:val="15"/>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do not believe a 10% change in these currencies on March 31, 2022 would have had a material effect on our results of operations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Inflation Risk</w:t>
      </w:r>
    </w:p>
    <w:p>
      <w:pPr>
        <w:spacing w:after="0" w:line="211" w:lineRule="exact"/>
        <w:rPr>
          <w:sz w:val="20"/>
          <w:szCs w:val="20"/>
          <w:color w:val="auto"/>
        </w:rPr>
      </w:pPr>
    </w:p>
    <w:p>
      <w:pPr>
        <w:ind w:right="300" w:firstLine="750"/>
        <w:spacing w:after="0" w:line="280" w:lineRule="auto"/>
        <w:rPr>
          <w:sz w:val="20"/>
          <w:szCs w:val="20"/>
          <w:color w:val="auto"/>
        </w:rPr>
      </w:pPr>
      <w:r>
        <w:rPr>
          <w:rFonts w:ascii="Times New Roman" w:cs="Times New Roman" w:eastAsia="Times New Roman" w:hAnsi="Times New Roman"/>
          <w:sz w:val="15"/>
          <w:szCs w:val="15"/>
          <w:color w:val="auto"/>
        </w:rPr>
        <w:t>Inflation generally affects us by increasing our cost of labor and pricing of contracts. We do not believe that inflation has had a material effect on our business, financial condition, or results of operations during the three months ended March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4"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Disclosure Controls and Procedures. </w:t>
      </w:r>
      <w:r>
        <w:rPr>
          <w:rFonts w:ascii="Times New Roman" w:cs="Times New Roman" w:eastAsia="Times New Roman" w:hAnsi="Times New Roman"/>
          <w:sz w:val="15"/>
          <w:szCs w:val="15"/>
          <w:color w:val="auto"/>
        </w:rPr>
        <w:t>Our management, with the participation of our principal executive officer and our principal financial officer, evaluated, as of the end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75" w:lineRule="exact"/>
        <w:rPr>
          <w:sz w:val="20"/>
          <w:szCs w:val="20"/>
          <w:color w:val="auto"/>
        </w:rPr>
      </w:pPr>
    </w:p>
    <w:p>
      <w:pPr>
        <w:ind w:firstLine="750"/>
        <w:spacing w:after="0" w:line="285" w:lineRule="auto"/>
        <w:rPr>
          <w:sz w:val="20"/>
          <w:szCs w:val="20"/>
          <w:color w:val="auto"/>
        </w:rPr>
      </w:pPr>
      <w:r>
        <w:rPr>
          <w:rFonts w:ascii="Times New Roman" w:cs="Times New Roman" w:eastAsia="Times New Roman" w:hAnsi="Times New Roman"/>
          <w:sz w:val="15"/>
          <w:szCs w:val="15"/>
          <w:i w:val="1"/>
          <w:iCs w:val="1"/>
          <w:color w:val="auto"/>
        </w:rPr>
        <w:t xml:space="preserve">Changes in Internal Control over Financial Reporting. </w:t>
      </w:r>
      <w:r>
        <w:rPr>
          <w:rFonts w:ascii="Times New Roman" w:cs="Times New Roman" w:eastAsia="Times New Roman" w:hAnsi="Times New Roman"/>
          <w:sz w:val="15"/>
          <w:szCs w:val="15"/>
          <w:color w:val="auto"/>
        </w:rPr>
        <w:t>There has been no change in internal controls over financial reporting that occurred during the period covered by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 that has materially affected, or is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 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211" w:lineRule="exact"/>
        <w:rPr>
          <w:sz w:val="20"/>
          <w:szCs w:val="20"/>
          <w:color w:val="auto"/>
        </w:rPr>
      </w:pPr>
    </w:p>
    <w:p>
      <w:pPr>
        <w:ind w:right="300" w:firstLine="750"/>
        <w:spacing w:after="0" w:line="280" w:lineRule="auto"/>
        <w:rPr>
          <w:sz w:val="20"/>
          <w:szCs w:val="20"/>
          <w:color w:val="auto"/>
        </w:rPr>
      </w:pPr>
      <w:r>
        <w:rPr>
          <w:rFonts w:ascii="Times New Roman" w:cs="Times New Roman" w:eastAsia="Times New Roman" w:hAnsi="Times New Roman"/>
          <w:sz w:val="15"/>
          <w:szCs w:val="15"/>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07" w:lineRule="exact"/>
        <w:rPr>
          <w:sz w:val="20"/>
          <w:szCs w:val="20"/>
          <w:color w:val="auto"/>
        </w:rPr>
      </w:pPr>
    </w:p>
    <w:p>
      <w:pPr>
        <w:ind w:right="40" w:firstLine="675"/>
        <w:spacing w:after="0" w:line="251" w:lineRule="auto"/>
        <w:rPr>
          <w:sz w:val="20"/>
          <w:szCs w:val="20"/>
          <w:color w:val="auto"/>
        </w:rPr>
      </w:pPr>
      <w:r>
        <w:rPr>
          <w:rFonts w:ascii="Times New Roman" w:cs="Times New Roman" w:eastAsia="Times New Roman" w:hAnsi="Times New Roman"/>
          <w:sz w:val="15"/>
          <w:szCs w:val="15"/>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Our business is subject to a number of risks and uncertainties, including those risks discussed at length below. These risks include, among others, the following:</w:t>
      </w:r>
    </w:p>
    <w:p>
      <w:pPr>
        <w:spacing w:after="0" w:line="203" w:lineRule="exact"/>
        <w:rPr>
          <w:sz w:val="20"/>
          <w:szCs w:val="20"/>
          <w:color w:val="auto"/>
        </w:rPr>
      </w:pPr>
    </w:p>
    <w:p>
      <w:pPr>
        <w:ind w:left="760" w:right="20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33" w:lineRule="exact"/>
        <w:rPr>
          <w:rFonts w:ascii="Times New Roman" w:cs="Times New Roman" w:eastAsia="Times New Roman" w:hAnsi="Times New Roman"/>
          <w:sz w:val="15"/>
          <w:szCs w:val="15"/>
          <w:color w:val="auto"/>
        </w:rPr>
      </w:pPr>
    </w:p>
    <w:p>
      <w:pPr>
        <w:ind w:left="760" w:right="2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46" w:lineRule="exact"/>
        <w:rPr>
          <w:rFonts w:ascii="Times New Roman" w:cs="Times New Roman" w:eastAsia="Times New Roman" w:hAnsi="Times New Roman"/>
          <w:sz w:val="15"/>
          <w:szCs w:val="15"/>
          <w:color w:val="auto"/>
        </w:rPr>
      </w:pPr>
    </w:p>
    <w:p>
      <w:pPr>
        <w:ind w:left="760" w:right="8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4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have a limited operating history and no history of commercializing products, which may make it difficult to evaluate our business and prospects.</w:t>
      </w:r>
    </w:p>
    <w:p>
      <w:pPr>
        <w:spacing w:after="0" w:line="193" w:lineRule="exact"/>
        <w:rPr>
          <w:rFonts w:ascii="Times New Roman" w:cs="Times New Roman" w:eastAsia="Times New Roman" w:hAnsi="Times New Roman"/>
          <w:sz w:val="15"/>
          <w:szCs w:val="15"/>
          <w:color w:val="auto"/>
        </w:rPr>
      </w:pPr>
    </w:p>
    <w:p>
      <w:pPr>
        <w:ind w:left="760" w:right="46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are substantially dependent on the success of our product candidates and cannot guarantee that any of our product candidates will successfully complete any planned or ongoing clinical trials, receive regulatory approval, or be successfully commercialized.</w:t>
      </w:r>
    </w:p>
    <w:p>
      <w:pPr>
        <w:spacing w:after="0" w:line="146" w:lineRule="exact"/>
        <w:rPr>
          <w:rFonts w:ascii="Times New Roman" w:cs="Times New Roman" w:eastAsia="Times New Roman" w:hAnsi="Times New Roman"/>
          <w:sz w:val="15"/>
          <w:szCs w:val="15"/>
          <w:color w:val="auto"/>
        </w:rPr>
      </w:pPr>
    </w:p>
    <w:p>
      <w:pPr>
        <w:ind w:left="760" w:right="120" w:hanging="384"/>
        <w:spacing w:after="0" w:line="266"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6" w:lineRule="exact"/>
        <w:rPr>
          <w:rFonts w:ascii="Times New Roman" w:cs="Times New Roman" w:eastAsia="Times New Roman" w:hAnsi="Times New Roman"/>
          <w:sz w:val="15"/>
          <w:szCs w:val="15"/>
          <w:color w:val="auto"/>
        </w:rPr>
      </w:pPr>
    </w:p>
    <w:p>
      <w:pPr>
        <w:ind w:left="760" w:right="40" w:hanging="384"/>
        <w:spacing w:after="0" w:line="266"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59" w:lineRule="exact"/>
        <w:rPr>
          <w:rFonts w:ascii="Times New Roman" w:cs="Times New Roman" w:eastAsia="Times New Roman" w:hAnsi="Times New Roman"/>
          <w:sz w:val="15"/>
          <w:szCs w:val="15"/>
          <w:color w:val="auto"/>
        </w:rPr>
      </w:pPr>
    </w:p>
    <w:p>
      <w:pPr>
        <w:ind w:left="760" w:right="86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33" w:lineRule="exact"/>
        <w:rPr>
          <w:rFonts w:ascii="Times New Roman" w:cs="Times New Roman" w:eastAsia="Times New Roman" w:hAnsi="Times New Roman"/>
          <w:sz w:val="15"/>
          <w:szCs w:val="15"/>
          <w:color w:val="auto"/>
        </w:rPr>
      </w:pPr>
    </w:p>
    <w:p>
      <w:pPr>
        <w:ind w:left="760" w:hanging="384"/>
        <w:spacing w:after="0" w:line="285" w:lineRule="auto"/>
        <w:tabs>
          <w:tab w:leader="none" w:pos="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left="760" w:hanging="384"/>
        <w:spacing w:after="0"/>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any of our current or future product candidates do not achieve broad market acceptance, the revenues that we generate from their sales will be limited.</w:t>
      </w:r>
    </w:p>
    <w:p>
      <w:pPr>
        <w:spacing w:after="0" w:line="206" w:lineRule="exact"/>
        <w:rPr>
          <w:rFonts w:ascii="Times New Roman" w:cs="Times New Roman" w:eastAsia="Times New Roman" w:hAnsi="Times New Roman"/>
          <w:sz w:val="15"/>
          <w:szCs w:val="15"/>
          <w:color w:val="auto"/>
        </w:rPr>
      </w:pPr>
    </w:p>
    <w:p>
      <w:pPr>
        <w:ind w:left="760" w:right="300" w:hanging="384"/>
        <w:spacing w:after="0" w:line="268"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58" w:lineRule="exact"/>
        <w:rPr>
          <w:rFonts w:ascii="Times New Roman" w:cs="Times New Roman" w:eastAsia="Times New Roman" w:hAnsi="Times New Roman"/>
          <w:sz w:val="15"/>
          <w:szCs w:val="15"/>
          <w:color w:val="auto"/>
        </w:rPr>
      </w:pPr>
    </w:p>
    <w:p>
      <w:pPr>
        <w:jc w:val="both"/>
        <w:ind w:left="760" w:hanging="384"/>
        <w:spacing w:after="0" w:line="266"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59" w:lineRule="exact"/>
        <w:rPr>
          <w:rFonts w:ascii="Times New Roman" w:cs="Times New Roman" w:eastAsia="Times New Roman" w:hAnsi="Times New Roman"/>
          <w:sz w:val="15"/>
          <w:szCs w:val="15"/>
          <w:color w:val="auto"/>
        </w:rPr>
      </w:pPr>
    </w:p>
    <w:p>
      <w:pPr>
        <w:ind w:left="760" w:right="60" w:hanging="384"/>
        <w:spacing w:after="0" w:line="268"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58" w:lineRule="exact"/>
        <w:rPr>
          <w:rFonts w:ascii="Times New Roman" w:cs="Times New Roman" w:eastAsia="Times New Roman" w:hAnsi="Times New Roman"/>
          <w:sz w:val="15"/>
          <w:szCs w:val="15"/>
          <w:color w:val="auto"/>
        </w:rPr>
      </w:pPr>
    </w:p>
    <w:p>
      <w:pPr>
        <w:ind w:left="760" w:right="40" w:hanging="384"/>
        <w:spacing w:after="0" w:line="259"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2" w:lineRule="exact"/>
        <w:rPr>
          <w:rFonts w:ascii="Times New Roman" w:cs="Times New Roman" w:eastAsia="Times New Roman" w:hAnsi="Times New Roman"/>
          <w:sz w:val="15"/>
          <w:szCs w:val="15"/>
          <w:color w:val="auto"/>
        </w:rPr>
      </w:pPr>
    </w:p>
    <w:p>
      <w:pPr>
        <w:ind w:left="76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46" w:lineRule="exact"/>
        <w:rPr>
          <w:rFonts w:ascii="Times New Roman" w:cs="Times New Roman" w:eastAsia="Times New Roman" w:hAnsi="Times New Roman"/>
          <w:sz w:val="15"/>
          <w:szCs w:val="15"/>
          <w:color w:val="auto"/>
        </w:rPr>
      </w:pPr>
    </w:p>
    <w:p>
      <w:pPr>
        <w:ind w:left="760" w:right="20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46" w:lineRule="exact"/>
        <w:rPr>
          <w:rFonts w:ascii="Times New Roman" w:cs="Times New Roman" w:eastAsia="Times New Roman" w:hAnsi="Times New Roman"/>
          <w:sz w:val="15"/>
          <w:szCs w:val="15"/>
          <w:color w:val="auto"/>
        </w:rPr>
      </w:pPr>
    </w:p>
    <w:p>
      <w:pPr>
        <w:ind w:left="760" w:right="220" w:hanging="384"/>
        <w:spacing w:after="0" w:line="268"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8" w:lineRule="exact"/>
        <w:rPr>
          <w:rFonts w:ascii="Times New Roman" w:cs="Times New Roman" w:eastAsia="Times New Roman" w:hAnsi="Times New Roman"/>
          <w:sz w:val="15"/>
          <w:szCs w:val="15"/>
          <w:color w:val="auto"/>
        </w:rPr>
      </w:pPr>
    </w:p>
    <w:p>
      <w:pPr>
        <w:jc w:val="both"/>
        <w:ind w:left="760" w:right="28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46" w:lineRule="exact"/>
        <w:rPr>
          <w:rFonts w:ascii="Times New Roman" w:cs="Times New Roman" w:eastAsia="Times New Roman" w:hAnsi="Times New Roman"/>
          <w:sz w:val="15"/>
          <w:szCs w:val="15"/>
          <w:color w:val="auto"/>
        </w:rPr>
      </w:pPr>
    </w:p>
    <w:p>
      <w:pPr>
        <w:ind w:left="76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33" w:lineRule="exact"/>
        <w:rPr>
          <w:rFonts w:ascii="Times New Roman" w:cs="Times New Roman" w:eastAsia="Times New Roman" w:hAnsi="Times New Roman"/>
          <w:sz w:val="15"/>
          <w:szCs w:val="15"/>
          <w:color w:val="auto"/>
        </w:rPr>
      </w:pPr>
    </w:p>
    <w:p>
      <w:pPr>
        <w:ind w:left="760" w:right="18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6" w:lineRule="exact"/>
        <w:rPr>
          <w:rFonts w:ascii="Times New Roman" w:cs="Times New Roman" w:eastAsia="Times New Roman" w:hAnsi="Times New Roman"/>
          <w:sz w:val="15"/>
          <w:szCs w:val="15"/>
          <w:color w:val="auto"/>
        </w:rPr>
      </w:pPr>
    </w:p>
    <w:p>
      <w:pPr>
        <w:ind w:left="760" w:right="520" w:hanging="384"/>
        <w:spacing w:after="0" w:line="285"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46" w:lineRule="exact"/>
        <w:rPr>
          <w:rFonts w:ascii="Times New Roman" w:cs="Times New Roman" w:eastAsia="Times New Roman" w:hAnsi="Times New Roman"/>
          <w:sz w:val="15"/>
          <w:szCs w:val="15"/>
          <w:color w:val="auto"/>
        </w:rPr>
      </w:pPr>
    </w:p>
    <w:p>
      <w:pPr>
        <w:ind w:left="760" w:right="120" w:hanging="384"/>
        <w:spacing w:after="0" w:line="268" w:lineRule="auto"/>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Our principal stockholders and management own a significant percentage of our stock and may be able to exert significant control over matters subject to stockholder approval.</w:t>
      </w:r>
    </w:p>
    <w:p>
      <w:pPr>
        <w:spacing w:after="0" w:line="158"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The use of our net operating loss carryforwards and research tax credits may be limited.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FINANCIAL CONDITION AND CAPITAL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98" w:lineRule="exact"/>
        <w:rPr>
          <w:sz w:val="20"/>
          <w:szCs w:val="20"/>
          <w:color w:val="auto"/>
        </w:rPr>
      </w:pPr>
    </w:p>
    <w:p>
      <w:pPr>
        <w:ind w:right="60" w:firstLine="750"/>
        <w:spacing w:after="0" w:line="259" w:lineRule="auto"/>
        <w:rPr>
          <w:sz w:val="20"/>
          <w:szCs w:val="20"/>
          <w:color w:val="auto"/>
        </w:rPr>
      </w:pPr>
      <w:r>
        <w:rPr>
          <w:rFonts w:ascii="Times New Roman" w:cs="Times New Roman" w:eastAsia="Times New Roman" w:hAnsi="Times New Roman"/>
          <w:sz w:val="15"/>
          <w:szCs w:val="15"/>
          <w:color w:val="auto"/>
        </w:rPr>
        <w:t>We are a biopharmaceutical company with a limited operating history. For the last several years, we have focused our efforts primarily on developing CNS product candidates, AXS-05, AXS-07, AXS-09, AXS-12, and AXS-14, which we refer to herein as our product candidates, with the goal of achieving regulatory approval and commercialization. Since inception, we have incurred significant operating losses. Our net losses were $39.6 million for the three months ended March 31, 2022 and $130.4 million for the year ended December 31, 2021. As of March 31, 2022, we had an accumulated deficit of $448.8 million. To date, we have not received regulatory approvals for any of our product</w:t>
      </w:r>
    </w:p>
    <w:p>
      <w:pPr>
        <w:spacing w:after="0" w:line="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5"/>
          <w:szCs w:val="15"/>
          <w:color w:val="auto"/>
        </w:rPr>
        <w:t>candidates or generated any revenue from the sale of products.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FDA. As a result, we expect to continue to incur significant losses for the foreseeable future. We anticipate that our expenses will increase substantially as we:</w:t>
      </w:r>
    </w:p>
    <w:p>
      <w:pPr>
        <w:spacing w:after="0" w:line="150" w:lineRule="exact"/>
        <w:rPr>
          <w:sz w:val="20"/>
          <w:szCs w:val="20"/>
          <w:color w:val="auto"/>
        </w:rPr>
      </w:pPr>
    </w:p>
    <w:p>
      <w:pPr>
        <w:ind w:left="760" w:hanging="384"/>
        <w:spacing w:after="0" w:line="173" w:lineRule="exact"/>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approval for any product candidates that successfully complete late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stage clinical trials;</w:t>
      </w:r>
    </w:p>
    <w:p>
      <w:pPr>
        <w:spacing w:after="0" w:line="23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additional commercial, clinical, medical, quality, regulatory, and scientific personnel;</w:t>
      </w:r>
    </w:p>
    <w:p>
      <w:pPr>
        <w:spacing w:after="0" w:line="193" w:lineRule="exact"/>
        <w:rPr>
          <w:rFonts w:ascii="Times New Roman" w:cs="Times New Roman" w:eastAsia="Times New Roman" w:hAnsi="Times New Roman"/>
          <w:sz w:val="15"/>
          <w:szCs w:val="15"/>
          <w:color w:val="auto"/>
        </w:rPr>
      </w:pPr>
    </w:p>
    <w:p>
      <w:pPr>
        <w:ind w:left="760" w:right="360" w:hanging="384"/>
        <w:spacing w:after="0" w:line="280" w:lineRule="auto"/>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operational, financial, and management information systems and personnel, including personnel to support our product candidate development and planned future commercialization efforts;</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establish a sales, marketing, and distribution infrastructure;</w:t>
      </w:r>
    </w:p>
    <w:p>
      <w:pPr>
        <w:spacing w:after="0" w:line="206" w:lineRule="exact"/>
        <w:rPr>
          <w:rFonts w:ascii="Times New Roman" w:cs="Times New Roman" w:eastAsia="Times New Roman" w:hAnsi="Times New Roman"/>
          <w:sz w:val="15"/>
          <w:szCs w:val="15"/>
          <w:color w:val="auto"/>
        </w:rPr>
      </w:pPr>
    </w:p>
    <w:p>
      <w:pPr>
        <w:ind w:left="760" w:hanging="384"/>
        <w:spacing w:after="0" w:line="280" w:lineRule="auto"/>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 external manufacturing capabilities and production to commercialize any products for which we may obtain regulatory approval and that we choose not to license to a third-party;</w:t>
      </w:r>
    </w:p>
    <w:p>
      <w:pPr>
        <w:spacing w:after="0" w:line="14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undertake additional manufacturing activities of our product candidates to satisfy FDA requirements for marketing application submissions;</w:t>
      </w:r>
    </w:p>
    <w:p>
      <w:pPr>
        <w:spacing w:after="0" w:line="180"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our clinical trials with AXS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05 in depression and AD agitation;</w:t>
      </w:r>
    </w:p>
    <w:p>
      <w:pPr>
        <w:spacing w:after="0" w:line="23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our clinical trials with AXS-12 in narcolepsy;</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evaluate, plan for, and conduct, clinical trials for AXS-05 as an aid to smoking cessation treatment and other CNS disorders;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evaluate, plan for, and potentially submit an NDA for AXS-14 in fibromyalgia;</w:t>
      </w:r>
    </w:p>
    <w:p>
      <w:pPr>
        <w:spacing w:after="0" w:line="168"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or acquire additional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late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stage clinical trials for any product candidates that successfully complete early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stage clinical trials;</w:t>
      </w:r>
    </w:p>
    <w:p>
      <w:pPr>
        <w:spacing w:after="0" w:line="206"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additional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clinical studies with any product candidates;</w:t>
      </w:r>
    </w:p>
    <w:p>
      <w:pPr>
        <w:spacing w:after="0" w:line="23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clinical studies with any additional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larger quantities of product; and</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of if we acquire approved commercial products.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8"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6"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5"/>
          <w:szCs w:val="15"/>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69"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260" w:firstLine="750"/>
        <w:spacing w:after="0" w:line="195" w:lineRule="exact"/>
        <w:rPr>
          <w:sz w:val="20"/>
          <w:szCs w:val="20"/>
          <w:color w:val="auto"/>
        </w:rPr>
      </w:pPr>
      <w:r>
        <w:rPr>
          <w:rFonts w:ascii="Times New Roman" w:cs="Times New Roman" w:eastAsia="Times New Roman" w:hAnsi="Times New Roman"/>
          <w:sz w:val="15"/>
          <w:szCs w:val="15"/>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consuming, expensive, and uncertain process that takes years to complete. We may need to raise additional capital to:</w:t>
      </w:r>
    </w:p>
    <w:p>
      <w:pPr>
        <w:spacing w:after="0" w:line="154" w:lineRule="exact"/>
        <w:rPr>
          <w:sz w:val="20"/>
          <w:szCs w:val="20"/>
          <w:color w:val="auto"/>
        </w:rPr>
      </w:pPr>
    </w:p>
    <w:p>
      <w:pPr>
        <w:ind w:left="760" w:hanging="384"/>
        <w:spacing w:after="0"/>
        <w:tabs>
          <w:tab w:leader="none" w:pos="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 our future clinical trials for our current product candidates, especially if we encounter any unforeseen delays or difficulties in our planned development activities;</w:t>
      </w:r>
    </w:p>
    <w:p>
      <w:pPr>
        <w:spacing w:after="0" w:line="206" w:lineRule="exact"/>
        <w:rPr>
          <w:rFonts w:ascii="Times New Roman" w:cs="Times New Roman" w:eastAsia="Times New Roman" w:hAnsi="Times New Roman"/>
          <w:sz w:val="15"/>
          <w:szCs w:val="15"/>
          <w:color w:val="auto"/>
        </w:rPr>
      </w:pPr>
    </w:p>
    <w:p>
      <w:pPr>
        <w:ind w:left="760" w:hanging="384"/>
        <w:spacing w:after="0" w:line="280" w:lineRule="auto"/>
        <w:tabs>
          <w:tab w:leader="none" w:pos="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27"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qualify and outsource the commercial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scale manufacturing of our products under current good manufacturing practices, or cGMP;</w:t>
      </w:r>
    </w:p>
    <w:p>
      <w:pPr>
        <w:spacing w:after="0" w:line="23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additional product candidates; and</w:t>
      </w:r>
    </w:p>
    <w:p>
      <w:pPr>
        <w:spacing w:after="0" w:line="168"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other product candidates.</w:t>
      </w:r>
    </w:p>
    <w:p>
      <w:pPr>
        <w:spacing w:after="0" w:line="232" w:lineRule="exact"/>
        <w:rPr>
          <w:sz w:val="20"/>
          <w:szCs w:val="20"/>
          <w:color w:val="auto"/>
        </w:rPr>
      </w:pPr>
    </w:p>
    <w:p>
      <w:pPr>
        <w:ind w:right="140" w:firstLine="750"/>
        <w:spacing w:after="0" w:line="248" w:lineRule="auto"/>
        <w:rPr>
          <w:sz w:val="20"/>
          <w:szCs w:val="20"/>
          <w:color w:val="auto"/>
        </w:rPr>
      </w:pPr>
      <w:r>
        <w:rPr>
          <w:rFonts w:ascii="Times New Roman" w:cs="Times New Roman" w:eastAsia="Times New Roman" w:hAnsi="Times New Roman"/>
          <w:sz w:val="15"/>
          <w:szCs w:val="15"/>
          <w:color w:val="auto"/>
        </w:rPr>
        <w:t>We believe that our current available cash, along with the remaining committed capital from the $300 million term loan facility, is sufficient to fund anticipated operations into 2024, based on the current operating plan, which includes the potential launch of AXS-05 in MDD, and the acquisition and commercialization of Sunosi. We have based this estimate on the assumption that AXS-05 will be approved in 2022, which will give us access to additional funds under the 2020 Term Loan. However, if AXS-05 is not approved, or such approval is delayed, we believe our current available cash is sufficient to fund our anticipated operations, based on the current operating plan, for at least 12 months. Our assumptions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80" w:lineRule="exact"/>
        <w:rPr>
          <w:sz w:val="20"/>
          <w:szCs w:val="20"/>
          <w:color w:val="auto"/>
        </w:rPr>
      </w:pPr>
    </w:p>
    <w:p>
      <w:pPr>
        <w:ind w:left="760" w:hanging="384"/>
        <w:spacing w:after="0"/>
        <w:tabs>
          <w:tab w:leader="none" w:pos="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of progress and costs related to the development of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conducting additional clinical and non-clinical studies with any of our product candidates;</w:t>
      </w:r>
    </w:p>
    <w:p>
      <w:pPr>
        <w:spacing w:after="0" w:line="202"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delays in our efforts to seek regulatory approval for our product candidates, and any costs associated with such delays;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establishing a commercial organization to sell, market, and distribute our product candidates;</w:t>
      </w:r>
    </w:p>
    <w:p>
      <w:pPr>
        <w:spacing w:after="0" w:line="168" w:lineRule="exact"/>
        <w:rPr>
          <w:rFonts w:ascii="Times New Roman" w:cs="Times New Roman" w:eastAsia="Times New Roman" w:hAnsi="Times New Roman"/>
          <w:sz w:val="15"/>
          <w:szCs w:val="15"/>
          <w:color w:val="auto"/>
        </w:rPr>
      </w:pPr>
    </w:p>
    <w:p>
      <w:pPr>
        <w:ind w:left="760" w:right="160" w:hanging="384"/>
        <w:spacing w:after="0" w:line="200" w:lineRule="exact"/>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of progress and costs of our efforts to prepare for the submission of an NDA, for any product candidates that we may 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or acquire in the future, and the potential that we may need to conduct additional clinical or preclinical trials to support applications for regulatory approval;</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filing, prosecuting, defending, and enforcing any patent claims and other intellectual property rights associated with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timing of manufacturing, or having third parties manufacture, sufficient supplies of our product candidates in preparation for commercialization;</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competing technological and market developments;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if any, received from commercial sales of our product candidates, subject to the receipt of regulatory approval;</w:t>
      </w:r>
    </w:p>
    <w:p>
      <w:pPr>
        <w:spacing w:after="0" w:line="180"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timing of any collaborative, licensing, co</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promotion, or other arrangements that we may establish; and</w:t>
      </w:r>
    </w:p>
    <w:p>
      <w:pPr>
        <w:spacing w:after="0" w:line="232"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the commercialization of any of our current or future product candidates.</w:t>
      </w:r>
    </w:p>
    <w:p>
      <w:pPr>
        <w:spacing w:after="0" w:line="207"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5"/>
          <w:szCs w:val="15"/>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38" w:lineRule="exact"/>
        <w:rPr>
          <w:sz w:val="20"/>
          <w:szCs w:val="20"/>
          <w:color w:val="auto"/>
        </w:rPr>
      </w:pPr>
    </w:p>
    <w:p>
      <w:pPr>
        <w:ind w:right="40" w:firstLine="750"/>
        <w:spacing w:after="0" w:line="248" w:lineRule="auto"/>
        <w:rPr>
          <w:sz w:val="20"/>
          <w:szCs w:val="20"/>
          <w:color w:val="auto"/>
        </w:rPr>
      </w:pPr>
      <w:r>
        <w:rPr>
          <w:rFonts w:ascii="Times New Roman" w:cs="Times New Roman" w:eastAsia="Times New Roman" w:hAnsi="Times New Roman"/>
          <w:sz w:val="15"/>
          <w:szCs w:val="15"/>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to $300.0 million. In March 2022, we entered into a Second Amendment to the 2020 Term Loan that will, among other things, change the terms of the Term Loan Advances (as defined in the 2020 Term Loan) upon the consummation of the Acquisition.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44" w:lineRule="auto"/>
        <w:rPr>
          <w:sz w:val="20"/>
          <w:szCs w:val="20"/>
          <w:color w:val="auto"/>
        </w:rPr>
      </w:pPr>
      <w:r>
        <w:rPr>
          <w:rFonts w:ascii="Times New Roman" w:cs="Times New Roman" w:eastAsia="Times New Roman" w:hAnsi="Times New Roman"/>
          <w:sz w:val="15"/>
          <w:szCs w:val="15"/>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$1.0 billion, and that we maintain cash in an account in which the Lenders have a first priority security interest in an amount not less than 50% of the sum of the outstanding principal amount of the term loan advances plus the Qualified Cash A/P Amount, (B) ensure that at all times that we maintain cash in an account in which the Lenders have a first priority security interest in an amount not less than 85% of the sum of the outstanding principal amount of the term loan advances plus the Qualified Cash A/P Amount, or (C) achieve at least 60% of the net product revenue per our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84"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5"/>
          <w:szCs w:val="15"/>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a limited operating history and no history of commercializing products, which may make it difficult to evaluate our business and prospects.</w:t>
      </w:r>
    </w:p>
    <w:p>
      <w:pPr>
        <w:spacing w:after="0" w:line="185" w:lineRule="exact"/>
        <w:rPr>
          <w:sz w:val="20"/>
          <w:szCs w:val="20"/>
          <w:color w:val="auto"/>
        </w:rPr>
      </w:pPr>
    </w:p>
    <w:p>
      <w:pPr>
        <w:ind w:right="80" w:firstLine="750"/>
        <w:spacing w:after="0" w:line="230" w:lineRule="auto"/>
        <w:rPr>
          <w:sz w:val="20"/>
          <w:szCs w:val="20"/>
          <w:color w:val="auto"/>
        </w:rPr>
      </w:pPr>
      <w:r>
        <w:rPr>
          <w:rFonts w:ascii="Times New Roman" w:cs="Times New Roman" w:eastAsia="Times New Roman" w:hAnsi="Times New Roman"/>
          <w:sz w:val="15"/>
          <w:szCs w:val="15"/>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w:t>
      </w:r>
    </w:p>
    <w:p>
      <w:pPr>
        <w:spacing w:after="0" w:line="1" w:lineRule="exact"/>
        <w:rPr>
          <w:sz w:val="20"/>
          <w:szCs w:val="20"/>
          <w:color w:val="auto"/>
        </w:rPr>
      </w:pPr>
    </w:p>
    <w:p>
      <w:pPr>
        <w:ind w:right="700"/>
        <w:spacing w:after="0" w:line="231" w:lineRule="auto"/>
        <w:rPr>
          <w:sz w:val="20"/>
          <w:szCs w:val="20"/>
          <w:color w:val="auto"/>
        </w:rPr>
      </w:pPr>
      <w:r>
        <w:rPr>
          <w:rFonts w:ascii="Times New Roman" w:cs="Times New Roman" w:eastAsia="Times New Roman" w:hAnsi="Times New Roman"/>
          <w:sz w:val="15"/>
          <w:szCs w:val="15"/>
          <w:color w:val="auto"/>
        </w:rPr>
        <w:t>successful in adding such capabilities. Consequently, any predictions about our future performance may not be as accurate as they could be if we had a history of successfully developing and commercializing pharmaceutical products.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THE DEVELOPMENT OF OUR PRODUCT CANDIDATES</w:t>
      </w:r>
    </w:p>
    <w:p>
      <w:pPr>
        <w:spacing w:after="0" w:line="194"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We are substantially dependent on the success of our product candidates and cannot guarantee that any of our product candidates will successfully complete any planned or ongoing clinical trials, receive regulatory approval, or be successfully commercialized.</w:t>
      </w:r>
    </w:p>
    <w:p>
      <w:pPr>
        <w:spacing w:after="0" w:line="163" w:lineRule="exact"/>
        <w:rPr>
          <w:sz w:val="20"/>
          <w:szCs w:val="20"/>
          <w:color w:val="auto"/>
        </w:rPr>
      </w:pPr>
    </w:p>
    <w:p>
      <w:pPr>
        <w:ind w:right="40" w:firstLine="750"/>
        <w:spacing w:after="0" w:line="224" w:lineRule="auto"/>
        <w:rPr>
          <w:sz w:val="20"/>
          <w:szCs w:val="20"/>
          <w:color w:val="auto"/>
        </w:rPr>
      </w:pPr>
      <w:r>
        <w:rPr>
          <w:rFonts w:ascii="Times New Roman" w:cs="Times New Roman" w:eastAsia="Times New Roman" w:hAnsi="Times New Roman"/>
          <w:sz w:val="15"/>
          <w:szCs w:val="15"/>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w:t>
      </w:r>
    </w:p>
    <w:p>
      <w:pPr>
        <w:spacing w:after="0" w:line="1" w:lineRule="exact"/>
        <w:rPr>
          <w:sz w:val="20"/>
          <w:szCs w:val="20"/>
          <w:color w:val="auto"/>
        </w:rPr>
      </w:pPr>
    </w:p>
    <w:p>
      <w:pPr>
        <w:ind w:right="280"/>
        <w:spacing w:after="0" w:line="219" w:lineRule="auto"/>
        <w:rPr>
          <w:sz w:val="20"/>
          <w:szCs w:val="20"/>
          <w:color w:val="auto"/>
        </w:rPr>
      </w:pPr>
      <w:r>
        <w:rPr>
          <w:rFonts w:ascii="Times New Roman" w:cs="Times New Roman" w:eastAsia="Times New Roman" w:hAnsi="Times New Roman"/>
          <w:sz w:val="15"/>
          <w:szCs w:val="15"/>
          <w:color w:val="auto"/>
        </w:rPr>
        <w:t>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w:t>
      </w:r>
    </w:p>
    <w:p>
      <w:pPr>
        <w:spacing w:after="0" w:line="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5"/>
          <w:szCs w:val="15"/>
          <w:color w:val="auto"/>
        </w:rPr>
        <w:t>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71" w:lineRule="exact"/>
        <w:rPr>
          <w:sz w:val="20"/>
          <w:szCs w:val="20"/>
          <w:color w:val="auto"/>
        </w:rPr>
      </w:pPr>
    </w:p>
    <w:p>
      <w:pPr>
        <w:ind w:right="120" w:firstLine="750"/>
        <w:spacing w:after="0" w:line="230" w:lineRule="auto"/>
        <w:rPr>
          <w:sz w:val="20"/>
          <w:szCs w:val="20"/>
          <w:color w:val="auto"/>
        </w:rPr>
      </w:pPr>
      <w:r>
        <w:rPr>
          <w:rFonts w:ascii="Times New Roman" w:cs="Times New Roman" w:eastAsia="Times New Roman" w:hAnsi="Times New Roman"/>
          <w:sz w:val="15"/>
          <w:szCs w:val="15"/>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and a</w:t>
      </w:r>
    </w:p>
    <w:p>
      <w:pPr>
        <w:spacing w:after="0" w:line="1"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5"/>
          <w:szCs w:val="15"/>
          <w:color w:val="auto"/>
        </w:rPr>
        <w:t>Phase 3 trial with AXS-12 in narcolepsy are ongoing. As a result of one or more risks discussed in this section, we cannot assure you that we will meet projected timelines related to these trials.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5"/>
          <w:szCs w:val="15"/>
          <w:color w:val="auto"/>
        </w:rPr>
        <w:t>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5"/>
          <w:szCs w:val="15"/>
          <w:color w:val="auto"/>
        </w:rPr>
        <w:t>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70" w:lineRule="exact"/>
        <w:rPr>
          <w:sz w:val="20"/>
          <w:szCs w:val="20"/>
          <w:color w:val="auto"/>
        </w:rPr>
      </w:pPr>
    </w:p>
    <w:p>
      <w:pPr>
        <w:ind w:right="60" w:firstLine="750"/>
        <w:spacing w:after="0" w:line="232" w:lineRule="auto"/>
        <w:rPr>
          <w:sz w:val="20"/>
          <w:szCs w:val="20"/>
          <w:color w:val="auto"/>
        </w:rPr>
      </w:pPr>
      <w:r>
        <w:rPr>
          <w:rFonts w:ascii="Times New Roman" w:cs="Times New Roman" w:eastAsia="Times New Roman" w:hAnsi="Times New Roman"/>
          <w:sz w:val="15"/>
          <w:szCs w:val="15"/>
          <w:color w:val="auto"/>
        </w:rPr>
        <w:t>Although we submitted NDAs to the FDA for AXS-05 for the treatment of MDD and for AXS-07 for the acute treatment of migraine, 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69" w:lineRule="exact"/>
        <w:rPr>
          <w:sz w:val="20"/>
          <w:szCs w:val="20"/>
          <w:color w:val="auto"/>
        </w:rPr>
      </w:pPr>
    </w:p>
    <w:p>
      <w:pPr>
        <w:ind w:right="20" w:firstLine="750"/>
        <w:spacing w:after="0" w:line="230" w:lineRule="auto"/>
        <w:rPr>
          <w:sz w:val="20"/>
          <w:szCs w:val="20"/>
          <w:color w:val="auto"/>
        </w:rPr>
      </w:pPr>
      <w:r>
        <w:rPr>
          <w:rFonts w:ascii="Times New Roman" w:cs="Times New Roman" w:eastAsia="Times New Roman" w:hAnsi="Times New Roman"/>
          <w:sz w:val="15"/>
          <w:szCs w:val="15"/>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w:t>
      </w:r>
    </w:p>
    <w:p>
      <w:pPr>
        <w:spacing w:after="0" w:line="1"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5"/>
          <w:szCs w:val="15"/>
          <w:color w:val="auto"/>
        </w:rPr>
        <w:t>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If approved for marketing by applicable regulatory authorities, our ability to generate revenues from our product candidates depend on our ability to:</w:t>
      </w:r>
    </w:p>
    <w:p>
      <w:pPr>
        <w:spacing w:after="0" w:line="207" w:lineRule="exact"/>
        <w:rPr>
          <w:sz w:val="20"/>
          <w:szCs w:val="20"/>
          <w:color w:val="auto"/>
        </w:rPr>
      </w:pPr>
    </w:p>
    <w:p>
      <w:pPr>
        <w:ind w:left="760" w:right="140" w:hanging="384"/>
        <w:spacing w:after="0" w:line="262" w:lineRule="auto"/>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market demand for our product candidates through our own marketing and sales activities, and any other arrangements to promote these product candidates that we may otherwise establish;</w:t>
      </w:r>
    </w:p>
    <w:p>
      <w:pPr>
        <w:spacing w:after="0" w:line="16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regulatory approval for claims that are necessary or desirable for successful marketing;</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train, and deploy a sales force to commercialize our product candidates;</w:t>
      </w:r>
    </w:p>
    <w:p>
      <w:pPr>
        <w:spacing w:after="0" w:line="206" w:lineRule="exact"/>
        <w:rPr>
          <w:rFonts w:ascii="Times New Roman" w:cs="Times New Roman" w:eastAsia="Times New Roman" w:hAnsi="Times New Roman"/>
          <w:sz w:val="15"/>
          <w:szCs w:val="15"/>
          <w:color w:val="auto"/>
        </w:rPr>
      </w:pPr>
    </w:p>
    <w:p>
      <w:pPr>
        <w:ind w:left="760" w:right="220" w:hanging="384"/>
        <w:spacing w:after="0" w:line="280" w:lineRule="auto"/>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manufacture (or have manufactured by third parties) our product candidates in sufficient quantities and at acceptable quality and manufacturing cost to meet commercial demand at launch and thereafter;</w:t>
      </w:r>
    </w:p>
    <w:p>
      <w:pPr>
        <w:spacing w:after="0" w:line="14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agreements with wholesalers, distributors, and group purchasing organizations on commercially reasonable terms;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partnerships with, or offer licenses to, third parties to promote and sell our product candidates in foreign markets where we receive marketing approval:</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patent and trade secret protection and regulatory exclusivity for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 commercial sales of our product candidates, whether alone or in collaboration with others;</w:t>
      </w:r>
    </w:p>
    <w:p>
      <w:pPr>
        <w:spacing w:after="0" w:line="180"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 market acceptance of our product candidates by patients, the medical community, and government and private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w:t>
      </w:r>
    </w:p>
    <w:p>
      <w:pPr>
        <w:spacing w:after="0" w:line="21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 appropriate reimbursement for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effectively compete with other therapies;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a continued acceptable safety profile of our product candidates following launch.</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38"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0" w:lineRule="exact"/>
        <w:rPr>
          <w:sz w:val="20"/>
          <w:szCs w:val="20"/>
          <w:color w:val="auto"/>
        </w:rPr>
      </w:pPr>
    </w:p>
    <w:p>
      <w:pPr>
        <w:ind w:right="20" w:firstLine="750"/>
        <w:spacing w:after="0" w:line="246" w:lineRule="auto"/>
        <w:rPr>
          <w:sz w:val="20"/>
          <w:szCs w:val="20"/>
          <w:color w:val="auto"/>
        </w:rPr>
      </w:pPr>
      <w:r>
        <w:rPr>
          <w:rFonts w:ascii="Times New Roman" w:cs="Times New Roman" w:eastAsia="Times New Roman" w:hAnsi="Times New Roman"/>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0" w:lineRule="exact"/>
        <w:rPr>
          <w:sz w:val="20"/>
          <w:szCs w:val="20"/>
          <w:color w:val="auto"/>
        </w:rPr>
      </w:pPr>
    </w:p>
    <w:p>
      <w:pPr>
        <w:ind w:right="120" w:firstLine="750"/>
        <w:spacing w:after="0" w:line="280" w:lineRule="auto"/>
        <w:rPr>
          <w:sz w:val="20"/>
          <w:szCs w:val="20"/>
          <w:color w:val="auto"/>
        </w:rPr>
      </w:pPr>
      <w:r>
        <w:rPr>
          <w:rFonts w:ascii="Times New Roman" w:cs="Times New Roman" w:eastAsia="Times New Roman" w:hAnsi="Times New Roman"/>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3" w:lineRule="exact"/>
        <w:rPr>
          <w:sz w:val="20"/>
          <w:szCs w:val="20"/>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or inability to secure financing to fund business activities for such development;</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of our business and diversion of our management’s time and attention;</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than expected development costs;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exposure to unknown liabilities;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managing multiple product development programs; and</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successfully develop new products or clinical failure.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jc w:val="both"/>
        <w:ind w:right="240" w:firstLine="750"/>
        <w:spacing w:after="0" w:line="254" w:lineRule="auto"/>
        <w:rPr>
          <w:sz w:val="20"/>
          <w:szCs w:val="20"/>
          <w:color w:val="auto"/>
        </w:rPr>
      </w:pPr>
      <w:r>
        <w:rPr>
          <w:rFonts w:ascii="Times New Roman" w:cs="Times New Roman" w:eastAsia="Times New Roman" w:hAnsi="Times New Roman"/>
          <w:sz w:val="15"/>
          <w:szCs w:val="15"/>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are not permitted to commercialize, market, promote, or sell any product candidate in the United States without obtaining marketing approval from the FDA.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Comparable foreign regulatory authorities, such as the European Medicines Agency, or EMA, impose similar restrictions.</w:t>
      </w:r>
    </w:p>
    <w:p>
      <w:pPr>
        <w:spacing w:after="0" w:line="191" w:lineRule="exact"/>
        <w:rPr>
          <w:sz w:val="20"/>
          <w:szCs w:val="20"/>
          <w:color w:val="auto"/>
        </w:rPr>
      </w:pPr>
    </w:p>
    <w:p>
      <w:pPr>
        <w:ind w:right="40" w:firstLine="750"/>
        <w:spacing w:after="0" w:line="257" w:lineRule="auto"/>
        <w:rPr>
          <w:sz w:val="20"/>
          <w:szCs w:val="20"/>
          <w:color w:val="auto"/>
        </w:rPr>
      </w:pPr>
      <w:r>
        <w:rPr>
          <w:rFonts w:ascii="Times New Roman" w:cs="Times New Roman" w:eastAsia="Times New Roman" w:hAnsi="Times New Roman"/>
          <w:sz w:val="15"/>
          <w:szCs w:val="15"/>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58" w:lineRule="exact"/>
        <w:rPr>
          <w:sz w:val="20"/>
          <w:szCs w:val="20"/>
          <w:color w:val="auto"/>
        </w:rPr>
      </w:pPr>
    </w:p>
    <w:p>
      <w:pPr>
        <w:ind w:right="20" w:firstLine="750"/>
        <w:spacing w:after="0" w:line="181" w:lineRule="exact"/>
        <w:rPr>
          <w:sz w:val="20"/>
          <w:szCs w:val="20"/>
          <w:color w:val="auto"/>
        </w:rPr>
      </w:pPr>
      <w:r>
        <w:rPr>
          <w:rFonts w:ascii="Times New Roman" w:cs="Times New Roman" w:eastAsia="Times New Roman" w:hAnsi="Times New Roman"/>
          <w:sz w:val="15"/>
          <w:szCs w:val="15"/>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wide warnings. For instance, antidepressants, including bupropion, include a class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wide black box warning regarding the increased risk of suicidal thoughts and behavior.</w:t>
      </w:r>
    </w:p>
    <w:p>
      <w:pPr>
        <w:spacing w:after="0" w:line="146" w:lineRule="exact"/>
        <w:rPr>
          <w:sz w:val="20"/>
          <w:szCs w:val="20"/>
          <w:color w:val="auto"/>
        </w:rPr>
      </w:pPr>
    </w:p>
    <w:p>
      <w:pPr>
        <w:ind w:right="120" w:firstLine="750"/>
        <w:spacing w:after="0" w:line="184" w:lineRule="exact"/>
        <w:rPr>
          <w:sz w:val="20"/>
          <w:szCs w:val="20"/>
          <w:color w:val="auto"/>
        </w:rPr>
      </w:pPr>
      <w:r>
        <w:rPr>
          <w:rFonts w:ascii="Times New Roman" w:cs="Times New Roman" w:eastAsia="Times New Roman" w:hAnsi="Times New Roman"/>
          <w:sz w:val="15"/>
          <w:szCs w:val="15"/>
          <w:color w:val="auto"/>
        </w:rPr>
        <w:t>Based on the side effects disclosed in FDA product labeling for marketed drugs that contain the same active molecules as our product candidate, AXS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glutamyl transferase, flatulence, or other adverse events or potential adverse events reported or discussed in the product labels for bupropion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containing products or dextromethorphan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containing products including Wellbutrin, Wellbutrin SR, Wellbutrin XL, Aplenzin, Forfivo, Zyban, Contrave, and Nuedexta.</w:t>
      </w:r>
    </w:p>
    <w:p>
      <w:pPr>
        <w:spacing w:after="0" w:line="171"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containing or rizatriptan-containing products including Anjeso, Vivlodex, Mobic, and Maxalt.</w:t>
      </w:r>
    </w:p>
    <w:p>
      <w:pPr>
        <w:spacing w:after="0" w:line="186"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5"/>
          <w:szCs w:val="15"/>
          <w:color w:val="auto"/>
        </w:rPr>
        <w:t>Based on the side effects disclosed in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80" w:firstLine="750"/>
        <w:spacing w:after="0" w:line="246" w:lineRule="auto"/>
        <w:rPr>
          <w:sz w:val="20"/>
          <w:szCs w:val="20"/>
          <w:color w:val="auto"/>
        </w:rPr>
      </w:pPr>
      <w:r>
        <w:rPr>
          <w:rFonts w:ascii="Times New Roman" w:cs="Times New Roman" w:eastAsia="Times New Roman" w:hAnsi="Times New Roman"/>
          <w:sz w:val="15"/>
          <w:szCs w:val="15"/>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 product candidate.</w:t>
      </w:r>
    </w:p>
    <w:p>
      <w:pPr>
        <w:spacing w:after="0" w:line="178" w:lineRule="exact"/>
        <w:rPr>
          <w:sz w:val="20"/>
          <w:szCs w:val="20"/>
          <w:color w:val="auto"/>
        </w:rPr>
      </w:pPr>
    </w:p>
    <w:p>
      <w:pPr>
        <w:ind w:right="20" w:firstLine="750"/>
        <w:spacing w:after="0" w:line="257" w:lineRule="auto"/>
        <w:rPr>
          <w:sz w:val="20"/>
          <w:szCs w:val="20"/>
          <w:color w:val="auto"/>
        </w:rPr>
      </w:pPr>
      <w:r>
        <w:rPr>
          <w:rFonts w:ascii="Times New Roman" w:cs="Times New Roman" w:eastAsia="Times New Roman" w:hAnsi="Times New Roman"/>
          <w:sz w:val="15"/>
          <w:szCs w:val="15"/>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58"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5"/>
          <w:szCs w:val="15"/>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1" w:lineRule="exact"/>
        <w:rPr>
          <w:sz w:val="20"/>
          <w:szCs w:val="20"/>
          <w:color w:val="auto"/>
        </w:rPr>
      </w:pPr>
    </w:p>
    <w:p>
      <w:pPr>
        <w:ind w:firstLine="750"/>
        <w:spacing w:after="0" w:line="181" w:lineRule="exact"/>
        <w:rPr>
          <w:sz w:val="20"/>
          <w:szCs w:val="20"/>
          <w:color w:val="auto"/>
        </w:rPr>
      </w:pPr>
      <w:r>
        <w:rPr>
          <w:rFonts w:ascii="Times New Roman" w:cs="Times New Roman" w:eastAsia="Times New Roman" w:hAnsi="Times New Roman"/>
          <w:sz w:val="15"/>
          <w:szCs w:val="15"/>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8"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50"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5"/>
          <w:szCs w:val="15"/>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66" w:lineRule="exact"/>
        <w:rPr>
          <w:sz w:val="20"/>
          <w:szCs w:val="20"/>
          <w:color w:val="auto"/>
        </w:rPr>
      </w:pPr>
    </w:p>
    <w:p>
      <w:pPr>
        <w:ind w:right="100" w:firstLine="750"/>
        <w:spacing w:after="0" w:line="248" w:lineRule="auto"/>
        <w:rPr>
          <w:sz w:val="20"/>
          <w:szCs w:val="20"/>
          <w:color w:val="auto"/>
        </w:rPr>
      </w:pPr>
      <w:r>
        <w:rPr>
          <w:rFonts w:ascii="Times New Roman" w:cs="Times New Roman" w:eastAsia="Times New Roman" w:hAnsi="Times New Roman"/>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5"/>
          <w:szCs w:val="15"/>
          <w:color w:val="auto"/>
        </w:rPr>
        <w:t>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3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submitted two NDAs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78"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5"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73" w:lineRule="exact"/>
        <w:rPr>
          <w:sz w:val="20"/>
          <w:szCs w:val="20"/>
          <w:color w:val="auto"/>
        </w:rPr>
      </w:pPr>
    </w:p>
    <w:p>
      <w:pPr>
        <w:ind w:right="20" w:firstLine="750"/>
        <w:spacing w:after="0" w:line="280" w:lineRule="auto"/>
        <w:rPr>
          <w:sz w:val="20"/>
          <w:szCs w:val="20"/>
          <w:color w:val="auto"/>
        </w:rPr>
      </w:pPr>
      <w:r>
        <w:rPr>
          <w:rFonts w:ascii="Times New Roman" w:cs="Times New Roman" w:eastAsia="Times New Roman" w:hAnsi="Times New Roman"/>
          <w:sz w:val="15"/>
          <w:szCs w:val="15"/>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53" w:lineRule="exact"/>
        <w:rPr>
          <w:sz w:val="20"/>
          <w:szCs w:val="20"/>
          <w:color w:val="auto"/>
        </w:rPr>
      </w:pPr>
    </w:p>
    <w:p>
      <w:pPr>
        <w:ind w:left="760" w:hanging="384"/>
        <w:spacing w:after="0"/>
        <w:tabs>
          <w:tab w:leader="none" w:pos="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or IRBs may not authorize us or our investigators to commence a clinical trial or conduct a clinical trial at a prospective trial site or amend trial protocols;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reaching, or fail to reach, agreement on acceptable clinical trial contracts or clinical trial protocols with prospective trial sites and our CROs;</w:t>
      </w:r>
    </w:p>
    <w:p>
      <w:pPr>
        <w:spacing w:after="0" w:line="206" w:lineRule="exact"/>
        <w:rPr>
          <w:rFonts w:ascii="Times New Roman" w:cs="Times New Roman" w:eastAsia="Times New Roman" w:hAnsi="Times New Roman"/>
          <w:sz w:val="15"/>
          <w:szCs w:val="15"/>
          <w:color w:val="auto"/>
        </w:rPr>
      </w:pPr>
    </w:p>
    <w:p>
      <w:pPr>
        <w:ind w:left="760" w:right="780" w:hanging="384"/>
        <w:spacing w:after="0" w:line="262" w:lineRule="auto"/>
        <w:tabs>
          <w:tab w:leader="none" w:pos="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80" w:hanging="384"/>
        <w:spacing w:after="0" w:line="280"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40" w:lineRule="exact"/>
        <w:rPr>
          <w:rFonts w:ascii="Times New Roman" w:cs="Times New Roman" w:eastAsia="Times New Roman" w:hAnsi="Times New Roman"/>
          <w:sz w:val="15"/>
          <w:szCs w:val="15"/>
          <w:color w:val="auto"/>
        </w:rPr>
      </w:pPr>
    </w:p>
    <w:p>
      <w:pPr>
        <w:ind w:left="760" w:right="440" w:hanging="384"/>
        <w:spacing w:after="0" w:line="262"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15" w:lineRule="exact"/>
        <w:rPr>
          <w:rFonts w:ascii="Times New Roman" w:cs="Times New Roman" w:eastAsia="Times New Roman" w:hAnsi="Times New Roman"/>
          <w:sz w:val="15"/>
          <w:szCs w:val="15"/>
          <w:color w:val="auto"/>
        </w:rPr>
      </w:pPr>
    </w:p>
    <w:p>
      <w:pPr>
        <w:ind w:left="760" w:right="60" w:hanging="384"/>
        <w:spacing w:after="0" w:line="194" w:lineRule="exact"/>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57" w:lineRule="exact"/>
        <w:rPr>
          <w:rFonts w:ascii="Times New Roman" w:cs="Times New Roman" w:eastAsia="Times New Roman" w:hAnsi="Times New Roman"/>
          <w:sz w:val="15"/>
          <w:szCs w:val="15"/>
          <w:color w:val="auto"/>
        </w:rPr>
      </w:pPr>
    </w:p>
    <w:p>
      <w:pPr>
        <w:ind w:left="760" w:right="40" w:hanging="384"/>
        <w:spacing w:after="0" w:line="231"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marketing approval policies during the development period rendering our data insufficient to obtain marketing approval;</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or the enactment of additional statutes or regulations;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regulatory review for each submitted product application;</w:t>
      </w:r>
    </w:p>
    <w:p>
      <w:pPr>
        <w:spacing w:after="0" w:line="193" w:lineRule="exact"/>
        <w:rPr>
          <w:rFonts w:ascii="Times New Roman" w:cs="Times New Roman" w:eastAsia="Times New Roman" w:hAnsi="Times New Roman"/>
          <w:sz w:val="15"/>
          <w:szCs w:val="15"/>
          <w:color w:val="auto"/>
        </w:rPr>
      </w:pPr>
    </w:p>
    <w:p>
      <w:pPr>
        <w:ind w:left="760" w:right="100" w:hanging="384"/>
        <w:spacing w:after="0" w:line="245"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supply or quality of our product candidates or other materials necessary to conduct clinical trials of our product candidates may be insufficient or inadequate;</w:t>
      </w:r>
    </w:p>
    <w:p>
      <w:pPr>
        <w:spacing w:after="0" w:line="181" w:lineRule="exact"/>
        <w:rPr>
          <w:rFonts w:ascii="Times New Roman" w:cs="Times New Roman" w:eastAsia="Times New Roman" w:hAnsi="Times New Roman"/>
          <w:sz w:val="15"/>
          <w:szCs w:val="15"/>
          <w:color w:val="auto"/>
        </w:rPr>
      </w:pPr>
    </w:p>
    <w:p>
      <w:pPr>
        <w:ind w:left="760" w:hanging="384"/>
        <w:spacing w:after="0" w:line="227"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ADVANCE trial and the ongoing ACCORD trial to support an NDA for AXS-05 for the treatment of AD agitation;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7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reach an agreement with regulators regarding the scope or design of our clinical trials;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have delays in adding new investigators or clinical trial sites, or we may experience a withdrawal of clinical trial sites;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our clinical trials due to the ongoing COVID-19 pandemic;</w:t>
      </w:r>
    </w:p>
    <w:p>
      <w:pPr>
        <w:spacing w:after="0" w:line="206" w:lineRule="exact"/>
        <w:rPr>
          <w:rFonts w:ascii="Times New Roman" w:cs="Times New Roman" w:eastAsia="Times New Roman" w:hAnsi="Times New Roman"/>
          <w:sz w:val="15"/>
          <w:szCs w:val="15"/>
          <w:color w:val="auto"/>
        </w:rPr>
      </w:pPr>
    </w:p>
    <w:p>
      <w:pPr>
        <w:ind w:left="760" w:right="260" w:hanging="384"/>
        <w:spacing w:after="0" w:line="280"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regulatory questions regarding interpretations of data and results, or new information may emerge regarding our product candidates;</w:t>
      </w:r>
    </w:p>
    <w:p>
      <w:pPr>
        <w:spacing w:after="0" w:line="193" w:lineRule="exact"/>
        <w:rPr>
          <w:rFonts w:ascii="Times New Roman" w:cs="Times New Roman" w:eastAsia="Times New Roman" w:hAnsi="Times New Roman"/>
          <w:sz w:val="15"/>
          <w:szCs w:val="15"/>
          <w:color w:val="auto"/>
        </w:rPr>
      </w:pPr>
    </w:p>
    <w:p>
      <w:pPr>
        <w:ind w:left="760" w:right="60" w:hanging="384"/>
        <w:spacing w:after="0" w:line="257" w:lineRule="auto"/>
        <w:tabs>
          <w:tab w:leader="none" w:pos="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100" w:hanging="384"/>
        <w:spacing w:after="0" w:line="251" w:lineRule="auto"/>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7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not accept data from studies with clinical trial sites in foreign countries;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disagree with our intended indications;</w:t>
      </w:r>
    </w:p>
    <w:p>
      <w:pPr>
        <w:spacing w:after="0" w:line="206" w:lineRule="exact"/>
        <w:rPr>
          <w:rFonts w:ascii="Times New Roman" w:cs="Times New Roman" w:eastAsia="Times New Roman" w:hAnsi="Times New Roman"/>
          <w:sz w:val="15"/>
          <w:szCs w:val="15"/>
          <w:color w:val="auto"/>
        </w:rPr>
      </w:pPr>
    </w:p>
    <w:p>
      <w:pPr>
        <w:ind w:left="760" w:right="220" w:hanging="384"/>
        <w:spacing w:after="0" w:line="262" w:lineRule="auto"/>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fail to approve or subsequently find fault with the manufacturing processes or our manufacturing facilities for clinical and future commercial supplies;</w:t>
      </w:r>
    </w:p>
    <w:p>
      <w:pPr>
        <w:spacing w:after="0" w:line="166" w:lineRule="exact"/>
        <w:rPr>
          <w:rFonts w:ascii="Times New Roman" w:cs="Times New Roman" w:eastAsia="Times New Roman" w:hAnsi="Times New Roman"/>
          <w:sz w:val="15"/>
          <w:szCs w:val="15"/>
          <w:color w:val="auto"/>
        </w:rPr>
      </w:pPr>
    </w:p>
    <w:p>
      <w:pPr>
        <w:ind w:left="760" w:right="20" w:hanging="384"/>
        <w:spacing w:after="0" w:line="280" w:lineRule="auto"/>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53" w:lineRule="exact"/>
        <w:rPr>
          <w:rFonts w:ascii="Times New Roman" w:cs="Times New Roman" w:eastAsia="Times New Roman" w:hAnsi="Times New Roman"/>
          <w:sz w:val="15"/>
          <w:szCs w:val="15"/>
          <w:color w:val="auto"/>
        </w:rPr>
      </w:pPr>
    </w:p>
    <w:p>
      <w:pPr>
        <w:ind w:left="760" w:hanging="384"/>
        <w:spacing w:after="0" w:line="254" w:lineRule="auto"/>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72" w:lineRule="exact"/>
        <w:rPr>
          <w:rFonts w:ascii="Times New Roman" w:cs="Times New Roman" w:eastAsia="Times New Roman" w:hAnsi="Times New Roman"/>
          <w:sz w:val="15"/>
          <w:szCs w:val="15"/>
          <w:color w:val="auto"/>
        </w:rPr>
      </w:pPr>
    </w:p>
    <w:p>
      <w:pPr>
        <w:ind w:left="760" w:right="100" w:hanging="384"/>
        <w:spacing w:after="0" w:line="262" w:lineRule="auto"/>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6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demonstrate that a product candidate provides an advantage over current standards of care or current or future competitive therapies in development.</w:t>
      </w:r>
    </w:p>
    <w:p>
      <w:pPr>
        <w:spacing w:after="0" w:line="194" w:lineRule="exact"/>
        <w:rPr>
          <w:sz w:val="20"/>
          <w:szCs w:val="20"/>
          <w:color w:val="auto"/>
        </w:rPr>
      </w:pPr>
    </w:p>
    <w:p>
      <w:pPr>
        <w:ind w:right="140" w:firstLine="750"/>
        <w:spacing w:after="0" w:line="245" w:lineRule="auto"/>
        <w:rPr>
          <w:sz w:val="20"/>
          <w:szCs w:val="20"/>
          <w:color w:val="auto"/>
        </w:rPr>
      </w:pPr>
      <w:r>
        <w:rPr>
          <w:rFonts w:ascii="Times New Roman" w:cs="Times New Roman" w:eastAsia="Times New Roman" w:hAnsi="Times New Roman"/>
          <w:sz w:val="15"/>
          <w:szCs w:val="15"/>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7" w:lineRule="exact"/>
        <w:rPr>
          <w:sz w:val="20"/>
          <w:szCs w:val="20"/>
          <w:color w:val="auto"/>
        </w:rPr>
      </w:pPr>
    </w:p>
    <w:p>
      <w:pPr>
        <w:ind w:left="760" w:hanging="384"/>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delayed in obtaining marketing approval for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obtain marketing approval at all;</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for indications or patient populations that are not as broad as intended or desired or are not covered by our intellectual property;</w:t>
      </w:r>
    </w:p>
    <w:p>
      <w:pPr>
        <w:spacing w:after="0" w:line="193" w:lineRule="exact"/>
        <w:rPr>
          <w:rFonts w:ascii="Times New Roman" w:cs="Times New Roman" w:eastAsia="Times New Roman" w:hAnsi="Times New Roman"/>
          <w:sz w:val="15"/>
          <w:szCs w:val="15"/>
          <w:color w:val="auto"/>
        </w:rPr>
      </w:pPr>
    </w:p>
    <w:p>
      <w:pPr>
        <w:ind w:left="760" w:right="20" w:hanging="384"/>
        <w:spacing w:after="0" w:line="262" w:lineRule="auto"/>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41"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subject to additional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marketing testing and surveillance requirements, including REMS; or</w:t>
      </w:r>
    </w:p>
    <w:p>
      <w:pPr>
        <w:spacing w:after="0" w:line="21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the product removed from the market after obtaining marketing approval.</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37" w:lineRule="auto"/>
        <w:rPr>
          <w:sz w:val="20"/>
          <w:szCs w:val="20"/>
          <w:color w:val="auto"/>
        </w:rPr>
      </w:pPr>
      <w:r>
        <w:rPr>
          <w:rFonts w:ascii="Times New Roman" w:cs="Times New Roman" w:eastAsia="Times New Roman" w:hAnsi="Times New Roman"/>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72" w:lineRule="exact"/>
        <w:rPr>
          <w:sz w:val="20"/>
          <w:szCs w:val="20"/>
          <w:color w:val="auto"/>
        </w:rPr>
      </w:pPr>
    </w:p>
    <w:p>
      <w:pPr>
        <w:ind w:right="120" w:firstLine="750"/>
        <w:spacing w:after="0" w:line="239" w:lineRule="auto"/>
        <w:rPr>
          <w:sz w:val="20"/>
          <w:szCs w:val="20"/>
          <w:color w:val="auto"/>
        </w:rPr>
      </w:pPr>
      <w:r>
        <w:rPr>
          <w:rFonts w:ascii="Times New Roman" w:cs="Times New Roman" w:eastAsia="Times New Roman" w:hAnsi="Times New Roman"/>
          <w:sz w:val="15"/>
          <w:szCs w:val="15"/>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Alzheimer's disease agitation or smoking cessation. As a result, we may experience delays in regulatory approval due to uncertainties in the approval process.</w:t>
      </w:r>
    </w:p>
    <w:p>
      <w:pPr>
        <w:spacing w:after="0" w:line="182" w:lineRule="exact"/>
        <w:rPr>
          <w:sz w:val="20"/>
          <w:szCs w:val="20"/>
          <w:color w:val="auto"/>
        </w:rPr>
      </w:pPr>
    </w:p>
    <w:p>
      <w:pPr>
        <w:ind w:firstLine="750"/>
        <w:spacing w:after="0" w:line="174" w:lineRule="exact"/>
        <w:rPr>
          <w:sz w:val="20"/>
          <w:szCs w:val="20"/>
          <w:color w:val="auto"/>
        </w:rPr>
      </w:pPr>
      <w:r>
        <w:rPr>
          <w:rFonts w:ascii="Times New Roman" w:cs="Times New Roman" w:eastAsia="Times New Roman" w:hAnsi="Times New Roman"/>
          <w:sz w:val="15"/>
          <w:szCs w:val="15"/>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70"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5"/>
          <w:szCs w:val="15"/>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9"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0" w:lineRule="exact"/>
        <w:rPr>
          <w:sz w:val="20"/>
          <w:szCs w:val="20"/>
          <w:color w:val="auto"/>
        </w:rPr>
      </w:pPr>
    </w:p>
    <w:p>
      <w:pPr>
        <w:ind w:right="120" w:firstLine="750"/>
        <w:spacing w:after="0" w:line="249" w:lineRule="auto"/>
        <w:rPr>
          <w:sz w:val="20"/>
          <w:szCs w:val="20"/>
          <w:color w:val="auto"/>
        </w:rPr>
      </w:pPr>
      <w:r>
        <w:rPr>
          <w:rFonts w:ascii="Times New Roman" w:cs="Times New Roman" w:eastAsia="Times New Roman" w:hAnsi="Times New Roman"/>
          <w:sz w:val="15"/>
          <w:szCs w:val="15"/>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77" w:lineRule="exact"/>
        <w:rPr>
          <w:sz w:val="20"/>
          <w:szCs w:val="20"/>
          <w:color w:val="auto"/>
        </w:rPr>
      </w:pPr>
    </w:p>
    <w:p>
      <w:pPr>
        <w:ind w:left="760" w:right="380" w:hanging="384"/>
        <w:spacing w:after="0" w:line="262" w:lineRule="auto"/>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preclinical or nonclinical testing may produce inconclusive or negative safety results, which may require us to conduct additional nonclinical testing or to abandon product candidates;</w:t>
      </w:r>
    </w:p>
    <w:p>
      <w:pPr>
        <w:spacing w:after="0" w:line="16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have unfavorable pharmacology or toxicity characteristics or suggest possible drug-drug interaction;</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cause undesirable side effects;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determine that additional safety testing is required.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400" w:firstLine="750"/>
        <w:spacing w:after="0" w:line="280" w:lineRule="auto"/>
        <w:rPr>
          <w:sz w:val="20"/>
          <w:szCs w:val="20"/>
          <w:color w:val="auto"/>
        </w:rPr>
      </w:pPr>
      <w:r>
        <w:rPr>
          <w:rFonts w:ascii="Times New Roman" w:cs="Times New Roman" w:eastAsia="Times New Roman" w:hAnsi="Times New Roman"/>
          <w:sz w:val="15"/>
          <w:szCs w:val="15"/>
          <w:color w:val="auto"/>
        </w:rPr>
        <w:t>Any such events would increase our costs and could delay or prevent our ability to commercialize our product candidates, which could adversely impact our business, financial condition and results of operation.</w:t>
      </w:r>
    </w:p>
    <w:p>
      <w:pPr>
        <w:spacing w:after="0" w:line="137" w:lineRule="exact"/>
        <w:rPr>
          <w:sz w:val="20"/>
          <w:szCs w:val="20"/>
          <w:color w:val="auto"/>
        </w:rPr>
      </w:pPr>
    </w:p>
    <w:p>
      <w:pPr>
        <w:ind w:right="108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0"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w:t>
      </w:r>
    </w:p>
    <w:p>
      <w:pPr>
        <w:spacing w:after="0" w:line="1"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5"/>
          <w:szCs w:val="15"/>
          <w:color w:val="auto"/>
        </w:rPr>
        <w:t>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70" w:lineRule="exact"/>
        <w:rPr>
          <w:sz w:val="20"/>
          <w:szCs w:val="20"/>
          <w:color w:val="auto"/>
        </w:rPr>
      </w:pPr>
    </w:p>
    <w:p>
      <w:pPr>
        <w:ind w:right="60" w:firstLine="750"/>
        <w:spacing w:after="0" w:line="224" w:lineRule="auto"/>
        <w:rPr>
          <w:sz w:val="20"/>
          <w:szCs w:val="20"/>
          <w:color w:val="auto"/>
        </w:rPr>
      </w:pPr>
      <w:r>
        <w:rPr>
          <w:rFonts w:ascii="Times New Roman" w:cs="Times New Roman" w:eastAsia="Times New Roman" w:hAnsi="Times New Roman"/>
          <w:sz w:val="15"/>
          <w:szCs w:val="15"/>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w:t>
      </w:r>
    </w:p>
    <w:p>
      <w:pPr>
        <w:spacing w:after="0" w:line="1" w:lineRule="exact"/>
        <w:rPr>
          <w:sz w:val="20"/>
          <w:szCs w:val="20"/>
          <w:color w:val="auto"/>
        </w:rPr>
      </w:pPr>
    </w:p>
    <w:p>
      <w:pPr>
        <w:ind w:right="40"/>
        <w:spacing w:after="0" w:line="158" w:lineRule="exact"/>
        <w:rPr>
          <w:sz w:val="20"/>
          <w:szCs w:val="20"/>
          <w:color w:val="auto"/>
        </w:rPr>
      </w:pPr>
      <w:r>
        <w:rPr>
          <w:rFonts w:ascii="Times New Roman" w:cs="Times New Roman" w:eastAsia="Times New Roman" w:hAnsi="Times New Roman"/>
          <w:sz w:val="15"/>
          <w:szCs w:val="15"/>
          <w:color w:val="auto"/>
        </w:rPr>
        <w:t>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marketing testing and surveillance, or other requirements, including REMS, to monitor the safety or efficacy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products, and in turn prevent us from commercializing and generating revenues from the sale of any of our current or future product candidates.</w:t>
      </w:r>
    </w:p>
    <w:p>
      <w:pPr>
        <w:spacing w:after="0" w:line="165" w:lineRule="exact"/>
        <w:rPr>
          <w:sz w:val="20"/>
          <w:szCs w:val="20"/>
          <w:color w:val="auto"/>
        </w:rPr>
      </w:pPr>
    </w:p>
    <w:p>
      <w:pPr>
        <w:ind w:right="40" w:firstLine="750"/>
        <w:spacing w:after="0" w:line="230" w:lineRule="auto"/>
        <w:rPr>
          <w:sz w:val="20"/>
          <w:szCs w:val="20"/>
          <w:color w:val="auto"/>
        </w:rPr>
      </w:pPr>
      <w:r>
        <w:rPr>
          <w:rFonts w:ascii="Times New Roman" w:cs="Times New Roman" w:eastAsia="Times New Roman" w:hAnsi="Times New Roman"/>
          <w:sz w:val="15"/>
          <w:szCs w:val="15"/>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w:t>
      </w:r>
    </w:p>
    <w:p>
      <w:pPr>
        <w:spacing w:after="0" w:line="1" w:lineRule="exact"/>
        <w:rPr>
          <w:sz w:val="20"/>
          <w:szCs w:val="20"/>
          <w:color w:val="auto"/>
        </w:rPr>
      </w:pPr>
    </w:p>
    <w:p>
      <w:pPr>
        <w:ind w:right="380"/>
        <w:spacing w:after="0" w:line="231" w:lineRule="auto"/>
        <w:rPr>
          <w:sz w:val="20"/>
          <w:szCs w:val="20"/>
          <w:color w:val="auto"/>
        </w:rPr>
      </w:pPr>
      <w:r>
        <w:rPr>
          <w:rFonts w:ascii="Times New Roman" w:cs="Times New Roman" w:eastAsia="Times New Roman" w:hAnsi="Times New Roman"/>
          <w:sz w:val="15"/>
          <w:szCs w:val="15"/>
          <w:color w:val="auto"/>
        </w:rPr>
        <w:t>of subjects) resulting in discontinuation included dizziness, nausea, and headache. AXS-05 consists of dextromethorphan and bupropion, and this combination may exacerbate any known adverse events for each individual component or may result in new toxicities as compared to those of the individual components.</w:t>
      </w:r>
    </w:p>
    <w:p>
      <w:pPr>
        <w:spacing w:after="0" w:line="170" w:lineRule="exact"/>
        <w:rPr>
          <w:sz w:val="20"/>
          <w:szCs w:val="20"/>
          <w:color w:val="auto"/>
        </w:rPr>
      </w:pPr>
    </w:p>
    <w:p>
      <w:pPr>
        <w:ind w:right="160" w:firstLine="750"/>
        <w:spacing w:after="0" w:line="254" w:lineRule="auto"/>
        <w:rPr>
          <w:sz w:val="20"/>
          <w:szCs w:val="20"/>
          <w:color w:val="auto"/>
        </w:rPr>
      </w:pPr>
      <w:r>
        <w:rPr>
          <w:rFonts w:ascii="Times New Roman" w:cs="Times New Roman" w:eastAsia="Times New Roman" w:hAnsi="Times New Roman"/>
          <w:sz w:val="15"/>
          <w:szCs w:val="15"/>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To date, the most commonly reported adverse events observed in the completed clinical trial of AXS-12 include anxiety, constipation, and insomnia.</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To date, the most commonly reported adverse events observed in the completed clinical trials of AXS-14 include anxiety, constipation, and insomnia.</w:t>
      </w:r>
    </w:p>
    <w:p>
      <w:pPr>
        <w:spacing w:after="0" w:line="207" w:lineRule="exact"/>
        <w:rPr>
          <w:sz w:val="20"/>
          <w:szCs w:val="20"/>
          <w:color w:val="auto"/>
        </w:rPr>
      </w:pPr>
    </w:p>
    <w:p>
      <w:pPr>
        <w:jc w:val="both"/>
        <w:ind w:right="40" w:firstLine="750"/>
        <w:spacing w:after="0" w:line="161" w:lineRule="exact"/>
        <w:rPr>
          <w:sz w:val="20"/>
          <w:szCs w:val="20"/>
          <w:color w:val="auto"/>
        </w:rPr>
      </w:pPr>
      <w:r>
        <w:rPr>
          <w:rFonts w:ascii="Times New Roman" w:cs="Times New Roman" w:eastAsia="Times New Roman" w:hAnsi="Times New Roman"/>
          <w:sz w:val="15"/>
          <w:szCs w:val="15"/>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benefit perspective. The drug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related side effects could affect patient recruitment or the ability of enrolled patients to complete the trial or result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potential product liability claims. Any of these occurrences may significantly harm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experience delays or difficulties in the enrollment of patients in clinical trials, our receipt of necessary regulatory approvals could be delayed or prevented.</w:t>
      </w:r>
    </w:p>
    <w:p>
      <w:pPr>
        <w:spacing w:after="0" w:line="198" w:lineRule="exact"/>
        <w:rPr>
          <w:sz w:val="20"/>
          <w:szCs w:val="20"/>
          <w:color w:val="auto"/>
        </w:rPr>
      </w:pPr>
    </w:p>
    <w:p>
      <w:pPr>
        <w:ind w:right="20" w:firstLine="750"/>
        <w:spacing w:after="0" w:line="251" w:lineRule="auto"/>
        <w:rPr>
          <w:sz w:val="20"/>
          <w:szCs w:val="20"/>
          <w:color w:val="auto"/>
        </w:rPr>
      </w:pPr>
      <w:r>
        <w:rPr>
          <w:rFonts w:ascii="Times New Roman" w:cs="Times New Roman" w:eastAsia="Times New Roman" w:hAnsi="Times New Roman"/>
          <w:sz w:val="15"/>
          <w:szCs w:val="15"/>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76" w:lineRule="exact"/>
        <w:rPr>
          <w:sz w:val="20"/>
          <w:szCs w:val="20"/>
          <w:color w:val="auto"/>
        </w:rPr>
      </w:pPr>
    </w:p>
    <w:p>
      <w:pPr>
        <w:ind w:left="760" w:hanging="384"/>
        <w:spacing w:after="0"/>
        <w:tabs>
          <w:tab w:leader="none" w:pos="7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and nature of the patient population;</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severity of the disease under investigation;</w:t>
      </w:r>
    </w:p>
    <w:p>
      <w:pPr>
        <w:spacing w:after="0" w:line="193" w:lineRule="exact"/>
        <w:rPr>
          <w:rFonts w:ascii="Times New Roman" w:cs="Times New Roman" w:eastAsia="Times New Roman" w:hAnsi="Times New Roman"/>
          <w:sz w:val="15"/>
          <w:szCs w:val="15"/>
          <w:color w:val="auto"/>
        </w:rPr>
      </w:pPr>
    </w:p>
    <w:p>
      <w:pPr>
        <w:ind w:left="760" w:right="640" w:hanging="384"/>
        <w:spacing w:after="0" w:line="262" w:lineRule="auto"/>
        <w:tabs>
          <w:tab w:leader="none" w:pos="7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eligibility criteria for, and design of, the clinical trial in question, including factors such as frequency of required assessments, length of the study, and ongoing monitoring requirements;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80" w:hanging="384"/>
        <w:spacing w:after="0" w:line="245" w:lineRule="auto"/>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perceived risks and benefits of the product candidate under study, including the potential advantages or disadvantages of the product candidate being studied in relation to other available therapies;</w:t>
      </w:r>
    </w:p>
    <w:p>
      <w:pPr>
        <w:spacing w:after="0" w:line="16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in recruiting and enrolling patients in clinical trials;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efforts to facilitate timely enrollment in clinical trials;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patient referral practices of physicians;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effectiveness of publicity created by clinical trial sites regarding the trial;</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patients’ ability to comply with the specific instructions related to the trial protocol, proper documentation, and use of the drug product;</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obtain or maintain patient informed consents;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that enrolled patients will drop out before completion;</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identify patients for enrollment and maintain a sufficient level of patient participants in our clinical studies due to the ongoing COVID-19 pandemic;</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monitor patients adequately during and after treatment;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proximity and availability of clinical trial sites for prospective patients.</w:t>
      </w:r>
    </w:p>
    <w:p>
      <w:pPr>
        <w:spacing w:after="0" w:line="207"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7" w:lineRule="exact"/>
        <w:rPr>
          <w:sz w:val="20"/>
          <w:szCs w:val="20"/>
          <w:color w:val="auto"/>
        </w:rPr>
      </w:pPr>
    </w:p>
    <w:p>
      <w:pPr>
        <w:ind w:right="220" w:firstLine="750"/>
        <w:spacing w:after="0" w:line="254" w:lineRule="auto"/>
        <w:rPr>
          <w:sz w:val="20"/>
          <w:szCs w:val="20"/>
          <w:color w:val="auto"/>
        </w:rPr>
      </w:pPr>
      <w:r>
        <w:rPr>
          <w:rFonts w:ascii="Times New Roman" w:cs="Times New Roman" w:eastAsia="Times New Roman" w:hAnsi="Times New Roman"/>
          <w:sz w:val="15"/>
          <w:szCs w:val="15"/>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Currently approved products containing bupropion are subject to restrictive marketing and distribution regulations, which if applied to our product candidates could restrict their use and potentially reduce our ability to generate profits.</w:t>
      </w:r>
    </w:p>
    <w:p>
      <w:pPr>
        <w:spacing w:after="0" w:line="150" w:lineRule="exact"/>
        <w:rPr>
          <w:sz w:val="20"/>
          <w:szCs w:val="20"/>
          <w:color w:val="auto"/>
        </w:rPr>
      </w:pPr>
    </w:p>
    <w:p>
      <w:pPr>
        <w:ind w:right="240" w:firstLine="750"/>
        <w:spacing w:after="0" w:line="224" w:lineRule="auto"/>
        <w:rPr>
          <w:sz w:val="20"/>
          <w:szCs w:val="20"/>
          <w:color w:val="auto"/>
        </w:rPr>
      </w:pPr>
      <w:r>
        <w:rPr>
          <w:rFonts w:ascii="Times New Roman" w:cs="Times New Roman" w:eastAsia="Times New Roman" w:hAnsi="Times New Roman"/>
          <w:sz w:val="15"/>
          <w:szCs w:val="15"/>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w:t>
      </w:r>
    </w:p>
    <w:p>
      <w:pPr>
        <w:spacing w:after="0" w:line="1" w:lineRule="exact"/>
        <w:rPr>
          <w:sz w:val="20"/>
          <w:szCs w:val="20"/>
          <w:color w:val="auto"/>
        </w:rPr>
      </w:pPr>
    </w:p>
    <w:p>
      <w:pPr>
        <w:ind w:right="440"/>
        <w:spacing w:after="0" w:line="219" w:lineRule="auto"/>
        <w:rPr>
          <w:sz w:val="20"/>
          <w:szCs w:val="20"/>
          <w:color w:val="auto"/>
        </w:rPr>
      </w:pPr>
      <w:r>
        <w:rPr>
          <w:rFonts w:ascii="Times New Roman" w:cs="Times New Roman" w:eastAsia="Times New Roman" w:hAnsi="Times New Roman"/>
          <w:sz w:val="15"/>
          <w:szCs w:val="15"/>
          <w:color w:val="auto"/>
        </w:rPr>
        <w:t>minimization tools. The FDA may determine that our product candidates will require a REMS program in addition to a medication guide. We cannot predict whether that will be required as part of the FDA’s approval of our product candidates. Any limitations on approval or marketing could restrict the commercial promotion, distribution, prescription, or</w:t>
      </w:r>
    </w:p>
    <w:p>
      <w:pPr>
        <w:spacing w:after="0" w:line="1" w:lineRule="exact"/>
        <w:rPr>
          <w:sz w:val="20"/>
          <w:szCs w:val="20"/>
          <w:color w:val="auto"/>
        </w:rPr>
      </w:pPr>
    </w:p>
    <w:p>
      <w:pPr>
        <w:ind w:right="260"/>
        <w:spacing w:after="0" w:line="216" w:lineRule="auto"/>
        <w:rPr>
          <w:sz w:val="20"/>
          <w:szCs w:val="20"/>
          <w:color w:val="auto"/>
        </w:rPr>
      </w:pPr>
      <w:r>
        <w:rPr>
          <w:rFonts w:ascii="Times New Roman" w:cs="Times New Roman" w:eastAsia="Times New Roman" w:hAnsi="Times New Roman"/>
          <w:sz w:val="15"/>
          <w:szCs w:val="15"/>
          <w:color w:val="auto"/>
        </w:rPr>
        <w:t>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their approval for commercialization.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Development of combination product candidates may present more or different challenges than development of single agent product candidates.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Certain product candidates of ours including AXS-05 and AXS-07 are combination therapies. A combination therapy is a single drug product that consists of two or more</w:t>
      </w:r>
    </w:p>
    <w:p>
      <w:pPr>
        <w:spacing w:after="0" w:line="8"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5"/>
          <w:szCs w:val="15"/>
          <w:color w:val="auto"/>
        </w:rPr>
        <w:t>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w:t>
      </w:r>
    </w:p>
    <w:p>
      <w:pPr>
        <w:spacing w:after="0" w:line="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5"/>
          <w:szCs w:val="15"/>
          <w:color w:val="auto"/>
        </w:rPr>
        <w:t>required for combination products. The FDA’s requirements concerning combination products may change in the future. Moreover, the applicable requirements for approval may differ from country to country.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w:t>
      </w:r>
    </w:p>
    <w:p>
      <w:pPr>
        <w:spacing w:after="0" w:line="1"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5"/>
          <w:szCs w:val="15"/>
          <w:color w:val="auto"/>
        </w:rPr>
        <w:t>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w:t>
      </w:r>
    </w:p>
    <w:p>
      <w:pPr>
        <w:spacing w:after="0" w:line="1"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5"/>
          <w:szCs w:val="15"/>
          <w:color w:val="auto"/>
        </w:rPr>
        <w:t>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obtain marketing approval in international jurisdictions would prevent our product candidates from being marketed abroad.</w:t>
      </w:r>
    </w:p>
    <w:p>
      <w:pPr>
        <w:spacing w:after="0" w:line="185" w:lineRule="exact"/>
        <w:rPr>
          <w:sz w:val="20"/>
          <w:szCs w:val="20"/>
          <w:color w:val="auto"/>
        </w:rPr>
      </w:pPr>
    </w:p>
    <w:p>
      <w:pPr>
        <w:ind w:right="80" w:firstLine="750"/>
        <w:spacing w:after="0" w:line="179" w:lineRule="exact"/>
        <w:rPr>
          <w:sz w:val="20"/>
          <w:szCs w:val="20"/>
          <w:color w:val="auto"/>
        </w:rPr>
      </w:pPr>
      <w:r>
        <w:rPr>
          <w:rFonts w:ascii="Times New Roman" w:cs="Times New Roman" w:eastAsia="Times New Roman" w:hAnsi="Times New Roman"/>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8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5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5"/>
          <w:szCs w:val="15"/>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72"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70" w:lineRule="exact"/>
        <w:rPr>
          <w:sz w:val="20"/>
          <w:szCs w:val="20"/>
          <w:color w:val="auto"/>
        </w:rPr>
      </w:pPr>
    </w:p>
    <w:p>
      <w:pPr>
        <w:ind w:right="200" w:firstLine="750"/>
        <w:spacing w:after="0" w:line="250" w:lineRule="auto"/>
        <w:rPr>
          <w:sz w:val="20"/>
          <w:szCs w:val="20"/>
          <w:color w:val="auto"/>
        </w:rPr>
      </w:pPr>
      <w:r>
        <w:rPr>
          <w:rFonts w:ascii="Times New Roman" w:cs="Times New Roman" w:eastAsia="Times New Roman" w:hAnsi="Times New Roman"/>
          <w:sz w:val="15"/>
          <w:szCs w:val="15"/>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76" w:lineRule="exact"/>
        <w:rPr>
          <w:sz w:val="20"/>
          <w:szCs w:val="20"/>
          <w:color w:val="auto"/>
        </w:rPr>
      </w:pPr>
    </w:p>
    <w:p>
      <w:pPr>
        <w:ind w:right="140" w:firstLine="750"/>
        <w:spacing w:after="0" w:line="250" w:lineRule="auto"/>
        <w:rPr>
          <w:sz w:val="20"/>
          <w:szCs w:val="20"/>
          <w:color w:val="auto"/>
        </w:rPr>
      </w:pPr>
      <w:r>
        <w:rPr>
          <w:rFonts w:ascii="Times New Roman" w:cs="Times New Roman" w:eastAsia="Times New Roman" w:hAnsi="Times New Roman"/>
          <w:sz w:val="15"/>
          <w:szCs w:val="15"/>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72" w:lineRule="exact"/>
        <w:rPr>
          <w:sz w:val="20"/>
          <w:szCs w:val="20"/>
          <w:color w:val="auto"/>
        </w:rPr>
      </w:pPr>
    </w:p>
    <w:p>
      <w:pPr>
        <w:ind w:right="20"/>
        <w:spacing w:after="0" w:line="190" w:lineRule="exact"/>
        <w:rPr>
          <w:sz w:val="20"/>
          <w:szCs w:val="20"/>
          <w:color w:val="auto"/>
        </w:rPr>
      </w:pPr>
      <w:r>
        <w:rPr>
          <w:rFonts w:ascii="Times New Roman" w:cs="Times New Roman" w:eastAsia="Times New Roman" w:hAnsi="Times New Roman"/>
          <w:sz w:val="15"/>
          <w:szCs w:val="15"/>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5"/>
          <w:szCs w:val="15"/>
          <w:i w:val="1"/>
          <w:iCs w:val="1"/>
          <w:color w:val="auto"/>
        </w:rPr>
        <w:t>‑</w:t>
      </w:r>
      <w:r>
        <w:rPr>
          <w:rFonts w:ascii="Times New Roman" w:cs="Times New Roman" w:eastAsia="Times New Roman" w:hAnsi="Times New Roman"/>
          <w:sz w:val="15"/>
          <w:szCs w:val="15"/>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-84455</wp:posOffset>
            </wp:positionV>
            <wp:extent cx="577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785" cy="36830"/>
                    </a:xfrm>
                    <a:prstGeom prst="rect">
                      <a:avLst/>
                    </a:prstGeom>
                    <a:noFill/>
                  </pic:spPr>
                </pic:pic>
              </a:graphicData>
            </a:graphic>
          </wp:anchor>
        </w:drawing>
      </w:r>
    </w:p>
    <w:p>
      <w:pPr>
        <w:spacing w:after="0" w:line="135"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185" w:lineRule="exact"/>
        <w:rPr>
          <w:sz w:val="20"/>
          <w:szCs w:val="20"/>
          <w:color w:val="auto"/>
        </w:rPr>
      </w:pPr>
    </w:p>
    <w:p>
      <w:pPr>
        <w:ind w:right="160" w:firstLine="750"/>
        <w:spacing w:after="0" w:line="182" w:lineRule="exact"/>
        <w:rPr>
          <w:sz w:val="20"/>
          <w:szCs w:val="20"/>
          <w:color w:val="auto"/>
        </w:rPr>
      </w:pPr>
      <w:r>
        <w:rPr>
          <w:rFonts w:ascii="Times New Roman" w:cs="Times New Roman" w:eastAsia="Times New Roman" w:hAnsi="Times New Roman"/>
          <w:sz w:val="15"/>
          <w:szCs w:val="15"/>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use.</w:t>
      </w:r>
    </w:p>
    <w:p>
      <w:pPr>
        <w:spacing w:after="0" w:line="168" w:lineRule="exact"/>
        <w:rPr>
          <w:sz w:val="20"/>
          <w:szCs w:val="20"/>
          <w:color w:val="auto"/>
        </w:rPr>
      </w:pPr>
    </w:p>
    <w:p>
      <w:pPr>
        <w:ind w:right="220" w:firstLine="750"/>
        <w:spacing w:after="0" w:line="166" w:lineRule="exact"/>
        <w:rPr>
          <w:sz w:val="20"/>
          <w:szCs w:val="20"/>
          <w:color w:val="auto"/>
        </w:rPr>
      </w:pPr>
      <w:r>
        <w:rPr>
          <w:rFonts w:ascii="Times New Roman" w:cs="Times New Roman" w:eastAsia="Times New Roman" w:hAnsi="Times New Roman"/>
          <w:sz w:val="15"/>
          <w:szCs w:val="15"/>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uses, and a company that is found to have</w:t>
      </w:r>
    </w:p>
    <w:p>
      <w:pPr>
        <w:spacing w:after="0" w:line="1" w:lineRule="exact"/>
        <w:rPr>
          <w:sz w:val="20"/>
          <w:szCs w:val="20"/>
          <w:color w:val="auto"/>
        </w:rPr>
      </w:pPr>
    </w:p>
    <w:p>
      <w:pPr>
        <w:ind w:right="160"/>
        <w:spacing w:after="0" w:line="158" w:lineRule="exact"/>
        <w:rPr>
          <w:sz w:val="20"/>
          <w:szCs w:val="20"/>
          <w:color w:val="auto"/>
        </w:rPr>
      </w:pPr>
      <w:r>
        <w:rPr>
          <w:rFonts w:ascii="Times New Roman" w:cs="Times New Roman" w:eastAsia="Times New Roman" w:hAnsi="Times New Roman"/>
          <w:sz w:val="15"/>
          <w:szCs w:val="15"/>
          <w:color w:val="auto"/>
        </w:rPr>
        <w:t>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promotion. The FDA has also requested that companies enter into consent decrees of permanent injunctions</w:t>
      </w:r>
    </w:p>
    <w:p>
      <w:pPr>
        <w:spacing w:after="0" w:line="1"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5"/>
          <w:szCs w:val="15"/>
          <w:color w:val="auto"/>
        </w:rPr>
        <w:t>under which specified promotional conduct is changed or curtailed. Thus, we and any of our collaborators will not be able to promote any products we develop for indications or uses for which they are not approved.</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62" w:lineRule="exact"/>
        <w:rPr>
          <w:sz w:val="20"/>
          <w:szCs w:val="20"/>
          <w:color w:val="auto"/>
        </w:rPr>
      </w:pPr>
    </w:p>
    <w:p>
      <w:pPr>
        <w:ind w:right="120" w:firstLine="750"/>
        <w:spacing w:after="0" w:line="179" w:lineRule="exact"/>
        <w:rPr>
          <w:sz w:val="20"/>
          <w:szCs w:val="20"/>
          <w:color w:val="auto"/>
        </w:rPr>
      </w:pPr>
      <w:r>
        <w:rPr>
          <w:rFonts w:ascii="Times New Roman" w:cs="Times New Roman" w:eastAsia="Times New Roman" w:hAnsi="Times New Roman"/>
          <w:sz w:val="15"/>
          <w:szCs w:val="15"/>
          <w:color w:val="auto"/>
        </w:rPr>
        <w:t>In the United States, engaging in the impermissible promotion of our products, following approval, for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uses can also subject us to false claims and other litigation under federal and state statutes, including fraud and abuse and consumer protection laws, which can lead to civil and criminal penalties and fines, agreements with governmental</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w:t>
      </w:r>
    </w:p>
    <w:p>
      <w:pPr>
        <w:spacing w:after="0" w:line="2" w:lineRule="exact"/>
        <w:rPr>
          <w:sz w:val="20"/>
          <w:szCs w:val="20"/>
          <w:color w:val="auto"/>
        </w:rPr>
      </w:pPr>
    </w:p>
    <w:p>
      <w:pPr>
        <w:ind w:right="500"/>
        <w:spacing w:after="0" w:line="219" w:lineRule="auto"/>
        <w:rPr>
          <w:sz w:val="20"/>
          <w:szCs w:val="20"/>
          <w:color w:val="auto"/>
        </w:rPr>
      </w:pPr>
      <w:r>
        <w:rPr>
          <w:rFonts w:ascii="Times New Roman" w:cs="Times New Roman" w:eastAsia="Times New Roman" w:hAnsi="Times New Roman"/>
          <w:sz w:val="15"/>
          <w:szCs w:val="15"/>
          <w:color w:val="auto"/>
        </w:rPr>
        <w:t>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w:t>
      </w:r>
    </w:p>
    <w:p>
      <w:pPr>
        <w:spacing w:after="0" w:line="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5"/>
          <w:szCs w:val="15"/>
          <w:color w:val="auto"/>
        </w:rPr>
        <w:t>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w:t>
      </w:r>
    </w:p>
    <w:p>
      <w:pPr>
        <w:spacing w:after="0" w:line="2" w:lineRule="exact"/>
        <w:rPr>
          <w:sz w:val="20"/>
          <w:szCs w:val="20"/>
          <w:color w:val="auto"/>
        </w:rPr>
      </w:pPr>
    </w:p>
    <w:p>
      <w:pPr>
        <w:ind w:right="60"/>
        <w:spacing w:after="0" w:line="158" w:lineRule="exact"/>
        <w:rPr>
          <w:sz w:val="20"/>
          <w:szCs w:val="20"/>
          <w:color w:val="auto"/>
        </w:rPr>
      </w:pPr>
      <w:r>
        <w:rPr>
          <w:rFonts w:ascii="Times New Roman" w:cs="Times New Roman" w:eastAsia="Times New Roman" w:hAnsi="Times New Roman"/>
          <w:sz w:val="15"/>
          <w:szCs w:val="15"/>
          <w:color w:val="auto"/>
        </w:rPr>
        <w:t>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drug uses. This growth in litigation has increased the risk that a pharmaceutical company will have to defend a false claim action; pay settlement fines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71" w:lineRule="exact"/>
        <w:rPr>
          <w:sz w:val="20"/>
          <w:szCs w:val="20"/>
          <w:color w:val="auto"/>
        </w:rPr>
      </w:pPr>
    </w:p>
    <w:p>
      <w:pPr>
        <w:ind w:right="80" w:firstLine="750"/>
        <w:spacing w:after="0" w:line="250" w:lineRule="auto"/>
        <w:rPr>
          <w:sz w:val="20"/>
          <w:szCs w:val="20"/>
          <w:color w:val="auto"/>
        </w:rPr>
      </w:pPr>
      <w:r>
        <w:rPr>
          <w:rFonts w:ascii="Times New Roman" w:cs="Times New Roman" w:eastAsia="Times New Roman" w:hAnsi="Times New Roman"/>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2"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0"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Any product candidate for which we obtain marketing approval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165" w:lineRule="exact"/>
        <w:rPr>
          <w:sz w:val="20"/>
          <w:szCs w:val="20"/>
          <w:color w:val="auto"/>
        </w:rPr>
      </w:pPr>
    </w:p>
    <w:p>
      <w:pPr>
        <w:ind w:right="40" w:firstLine="750"/>
        <w:spacing w:after="0" w:line="263" w:lineRule="auto"/>
        <w:rPr>
          <w:sz w:val="20"/>
          <w:szCs w:val="20"/>
          <w:color w:val="auto"/>
        </w:rPr>
      </w:pPr>
      <w:r>
        <w:rPr>
          <w:rFonts w:ascii="Times New Roman" w:cs="Times New Roman" w:eastAsia="Times New Roman" w:hAnsi="Times New Roman"/>
          <w:sz w:val="15"/>
          <w:szCs w:val="15"/>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66" w:lineRule="exact"/>
        <w:rPr>
          <w:sz w:val="20"/>
          <w:szCs w:val="20"/>
          <w:color w:val="auto"/>
        </w:rPr>
      </w:pPr>
    </w:p>
    <w:p>
      <w:pPr>
        <w:ind w:right="800" w:firstLine="750"/>
        <w:spacing w:after="0" w:line="280" w:lineRule="auto"/>
        <w:rPr>
          <w:sz w:val="20"/>
          <w:szCs w:val="20"/>
          <w:color w:val="auto"/>
        </w:rPr>
      </w:pPr>
      <w:r>
        <w:rPr>
          <w:rFonts w:ascii="Times New Roman" w:cs="Times New Roman" w:eastAsia="Times New Roman" w:hAnsi="Times New Roman"/>
          <w:sz w:val="15"/>
          <w:szCs w:val="15"/>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41" w:lineRule="exact"/>
        <w:rPr>
          <w:sz w:val="20"/>
          <w:szCs w:val="20"/>
          <w:color w:val="auto"/>
        </w:rPr>
      </w:pPr>
    </w:p>
    <w:p>
      <w:pPr>
        <w:ind w:left="760" w:hanging="384"/>
        <w:spacing w:after="0"/>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manufacturing or distribution, or marketing of such products;</w:t>
      </w:r>
    </w:p>
    <w:p>
      <w:pPr>
        <w:spacing w:after="0" w:line="206" w:lineRule="exact"/>
        <w:rPr>
          <w:rFonts w:ascii="Times New Roman" w:cs="Times New Roman" w:eastAsia="Times New Roman" w:hAnsi="Times New Roman"/>
          <w:sz w:val="15"/>
          <w:szCs w:val="15"/>
          <w:color w:val="auto"/>
        </w:rPr>
      </w:pPr>
    </w:p>
    <w:p>
      <w:pPr>
        <w:ind w:left="760" w:right="140" w:hanging="384"/>
        <w:spacing w:after="0" w:line="280" w:lineRule="auto"/>
        <w:tabs>
          <w:tab w:leader="none" w:pos="7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labeling, including required additional warnings, such as black box warnings, contraindications, precautions, and restrictions on the approved indication or 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modifications to promotional pieces;</w:t>
      </w:r>
    </w:p>
    <w:p>
      <w:pPr>
        <w:spacing w:after="0" w:line="180"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conduct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marketing studies or clinical trials; clinical holds or termination of clinical trials;</w:t>
      </w:r>
    </w:p>
    <w:p>
      <w:pPr>
        <w:spacing w:after="0" w:line="219" w:lineRule="exact"/>
        <w:rPr>
          <w:rFonts w:ascii="Times New Roman" w:cs="Times New Roman" w:eastAsia="Times New Roman" w:hAnsi="Times New Roman"/>
          <w:sz w:val="15"/>
          <w:szCs w:val="15"/>
          <w:color w:val="auto"/>
        </w:rPr>
      </w:pPr>
    </w:p>
    <w:p>
      <w:pPr>
        <w:jc w:val="both"/>
        <w:ind w:left="760" w:right="80" w:hanging="384"/>
        <w:spacing w:after="0" w:line="263" w:lineRule="auto"/>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65"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the way the drug is administered;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liability for harm caused to patients or subjects;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reputational harm;</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drug becoming less competitive;</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warning; or untitled letters;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of marketing or withdrawal of the products from the market;</w:t>
      </w:r>
    </w:p>
    <w:p>
      <w:pPr>
        <w:spacing w:after="0" w:line="206" w:lineRule="exact"/>
        <w:rPr>
          <w:rFonts w:ascii="Times New Roman" w:cs="Times New Roman" w:eastAsia="Times New Roman" w:hAnsi="Times New Roman"/>
          <w:sz w:val="15"/>
          <w:szCs w:val="15"/>
          <w:color w:val="auto"/>
        </w:rPr>
      </w:pPr>
    </w:p>
    <w:p>
      <w:pPr>
        <w:ind w:left="760" w:right="280" w:hanging="384"/>
        <w:spacing w:after="0" w:line="262" w:lineRule="auto"/>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authority issuance of safety alerts, Dear Healthcare Provider letters, press releases, or other communications containing warnings or other safety information about the drug;</w:t>
      </w:r>
    </w:p>
    <w:p>
      <w:pPr>
        <w:spacing w:after="0" w:line="16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to approve pending applications or supplements to approved applications that we submit;</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recall of products;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damages, restitution, or disgorgement of profits or revenues;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or withdrawal of marketing approvals;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to permit the import or export of our products;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w:t>
      </w:r>
    </w:p>
    <w:p>
      <w:pPr>
        <w:spacing w:after="0" w:line="206" w:lineRule="exact"/>
        <w:rPr>
          <w:rFonts w:ascii="Times New Roman" w:cs="Times New Roman" w:eastAsia="Times New Roman" w:hAnsi="Times New Roman"/>
          <w:sz w:val="15"/>
          <w:szCs w:val="15"/>
          <w:color w:val="auto"/>
        </w:rPr>
      </w:pPr>
    </w:p>
    <w:p>
      <w:pPr>
        <w:ind w:left="760" w:right="60" w:hanging="384"/>
        <w:spacing w:after="0" w:line="280" w:lineRule="auto"/>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debarment, debarment from government contracts, and refusal of future orders under existing contracts, exclusion from federal healthcare programs, consent decrees, or corporate integrity agreements; or</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 including imprisonment.</w:t>
      </w:r>
    </w:p>
    <w:p>
      <w:pPr>
        <w:spacing w:after="0" w:line="194" w:lineRule="exact"/>
        <w:rPr>
          <w:sz w:val="20"/>
          <w:szCs w:val="20"/>
          <w:color w:val="auto"/>
        </w:rPr>
      </w:pPr>
    </w:p>
    <w:p>
      <w:pPr>
        <w:ind w:right="80" w:firstLine="750"/>
        <w:spacing w:after="0" w:line="257"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1" w:lineRule="exact"/>
        <w:rPr>
          <w:sz w:val="20"/>
          <w:szCs w:val="20"/>
          <w:color w:val="auto"/>
        </w:rPr>
      </w:pPr>
    </w:p>
    <w:p>
      <w:pPr>
        <w:ind w:firstLine="750"/>
        <w:spacing w:after="0" w:line="251" w:lineRule="auto"/>
        <w:rPr>
          <w:sz w:val="20"/>
          <w:szCs w:val="20"/>
          <w:color w:val="auto"/>
        </w:rPr>
      </w:pPr>
      <w:r>
        <w:rPr>
          <w:rFonts w:ascii="Times New Roman" w:cs="Times New Roman" w:eastAsia="Times New Roman" w:hAnsi="Times New Roman"/>
          <w:sz w:val="15"/>
          <w:szCs w:val="15"/>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50" w:lineRule="exact"/>
        <w:rPr>
          <w:sz w:val="20"/>
          <w:szCs w:val="20"/>
          <w:color w:val="auto"/>
        </w:rPr>
      </w:pPr>
    </w:p>
    <w:p>
      <w:pPr>
        <w:ind w:right="320" w:firstLine="750"/>
        <w:spacing w:after="0" w:line="200" w:lineRule="exact"/>
        <w:rPr>
          <w:sz w:val="20"/>
          <w:szCs w:val="20"/>
          <w:color w:val="auto"/>
        </w:rPr>
      </w:pPr>
      <w:r>
        <w:rPr>
          <w:rFonts w:ascii="Times New Roman" w:cs="Times New Roman" w:eastAsia="Times New Roman" w:hAnsi="Times New Roman"/>
          <w:sz w:val="15"/>
          <w:szCs w:val="15"/>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approval regulations may have a negative effect on our operating results and financial condition.</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Timelines for the review of our regulatory submissions, including our NDA for AXS-05, by the FDA and other regulatory agencies are subject to change and uncertainty, which may delay the potential approval of any product candidates we seek to develop or commercialize.</w:t>
      </w:r>
    </w:p>
    <w:p>
      <w:pPr>
        <w:spacing w:after="0" w:line="138" w:lineRule="exact"/>
        <w:rPr>
          <w:sz w:val="20"/>
          <w:szCs w:val="20"/>
          <w:color w:val="auto"/>
        </w:rPr>
      </w:pPr>
    </w:p>
    <w:p>
      <w:pPr>
        <w:ind w:right="60" w:firstLine="750"/>
        <w:spacing w:after="0" w:line="263" w:lineRule="auto"/>
        <w:rPr>
          <w:sz w:val="20"/>
          <w:szCs w:val="20"/>
          <w:color w:val="auto"/>
        </w:rPr>
      </w:pPr>
      <w:r>
        <w:rPr>
          <w:rFonts w:ascii="Times New Roman" w:cs="Times New Roman" w:eastAsia="Times New Roman" w:hAnsi="Times New Roman"/>
          <w:sz w:val="15"/>
          <w:szCs w:val="15"/>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w:t>
      </w:r>
    </w:p>
    <w:p>
      <w:pPr>
        <w:spacing w:after="0" w:line="166" w:lineRule="exact"/>
        <w:rPr>
          <w:sz w:val="20"/>
          <w:szCs w:val="20"/>
          <w:color w:val="auto"/>
        </w:rPr>
      </w:pPr>
    </w:p>
    <w:p>
      <w:pPr>
        <w:ind w:right="120" w:firstLine="750"/>
        <w:spacing w:after="0" w:line="251" w:lineRule="auto"/>
        <w:rPr>
          <w:sz w:val="20"/>
          <w:szCs w:val="20"/>
          <w:color w:val="auto"/>
        </w:rPr>
      </w:pPr>
      <w:r>
        <w:rPr>
          <w:rFonts w:ascii="Times New Roman" w:cs="Times New Roman" w:eastAsia="Times New Roman" w:hAnsi="Times New Roman"/>
          <w:sz w:val="15"/>
          <w:szCs w:val="15"/>
          <w:color w:val="auto"/>
        </w:rPr>
        <w:t>For example, although the FDA set a PDUFA target action date of August 22, 2021, for our NDA for AXS-05 for the treatment of MDD, its review of our NDA was not completed on such date and remains ongoing. Although we believe that we have addressed all deficiencies known to us related to the NDA in our responses to the FDA, the FDA’s review process for the NDA is not yet complete. Delays or uncertainty in the timing of regulatory action in response to our submissions could adversely impact our development and commercialization efforts and our business prospects.</w:t>
      </w:r>
    </w:p>
    <w:p>
      <w:pPr>
        <w:spacing w:after="0" w:line="348"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38" w:lineRule="exact"/>
        <w:rPr>
          <w:sz w:val="20"/>
          <w:szCs w:val="20"/>
          <w:color w:val="auto"/>
        </w:rPr>
      </w:pPr>
    </w:p>
    <w:p>
      <w:pPr>
        <w:ind w:right="360" w:firstLine="750"/>
        <w:spacing w:after="0" w:line="280" w:lineRule="auto"/>
        <w:rPr>
          <w:sz w:val="20"/>
          <w:szCs w:val="20"/>
          <w:color w:val="auto"/>
        </w:rPr>
      </w:pPr>
      <w:r>
        <w:rPr>
          <w:rFonts w:ascii="Times New Roman" w:cs="Times New Roman" w:eastAsia="Times New Roman" w:hAnsi="Times New Roman"/>
          <w:sz w:val="15"/>
          <w:szCs w:val="15"/>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3" w:lineRule="exact"/>
        <w:rPr>
          <w:sz w:val="20"/>
          <w:szCs w:val="20"/>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regulatory requirements for approval of drugs in foreign countries;</w:t>
      </w:r>
    </w:p>
    <w:p>
      <w:pPr>
        <w:spacing w:after="0" w:line="180" w:lineRule="exact"/>
        <w:rPr>
          <w:rFonts w:ascii="Times New Roman" w:cs="Times New Roman" w:eastAsia="Times New Roman" w:hAnsi="Times New Roman"/>
          <w:sz w:val="15"/>
          <w:szCs w:val="15"/>
          <w:color w:val="auto"/>
        </w:rPr>
      </w:pPr>
    </w:p>
    <w:p>
      <w:pPr>
        <w:ind w:left="760" w:right="180" w:hanging="384"/>
        <w:spacing w:after="0" w:line="200" w:lineRule="exact"/>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so</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69" w:lineRule="exact"/>
        <w:rPr>
          <w:rFonts w:ascii="Times New Roman" w:cs="Times New Roman" w:eastAsia="Times New Roman" w:hAnsi="Times New Roman"/>
          <w:sz w:val="15"/>
          <w:szCs w:val="15"/>
          <w:color w:val="auto"/>
        </w:rPr>
      </w:pPr>
    </w:p>
    <w:p>
      <w:pPr>
        <w:ind w:left="760" w:right="380" w:hanging="384"/>
        <w:spacing w:after="0" w:line="280" w:lineRule="auto"/>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53" w:lineRule="exact"/>
        <w:rPr>
          <w:rFonts w:ascii="Times New Roman" w:cs="Times New Roman" w:eastAsia="Times New Roman" w:hAnsi="Times New Roman"/>
          <w:sz w:val="15"/>
          <w:szCs w:val="15"/>
          <w:color w:val="auto"/>
        </w:rPr>
      </w:pPr>
    </w:p>
    <w:p>
      <w:pPr>
        <w:ind w:left="760" w:right="160" w:hanging="384"/>
        <w:spacing w:after="0" w:line="280" w:lineRule="auto"/>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enforcing our contractual and intellectual property rights, especially in those foreign countries that do not respect and protect intellectual property rights to the same extent as the United States;</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tariffs, trade barriers, and regulatory requirements and in the health care policies of foreign jurisdictions;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weakness, including inflation, or political instability in particular foreign economies and markets;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tax, employment, immigration, and labor laws for employees living or traveling abroad;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taxes, including withholding of payroll taxes;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fluctuations, which could result in increased operating expenses and reduced revenues, and other obligations incident to doing business in another country;</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staffing and managing foreign operations;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workforce uncertainty in countries where labor unrest is more common than in the United States and worker rights tend to be stronger;</w:t>
      </w:r>
    </w:p>
    <w:p>
      <w:pPr>
        <w:spacing w:after="0" w:line="206" w:lineRule="exact"/>
        <w:rPr>
          <w:rFonts w:ascii="Times New Roman" w:cs="Times New Roman" w:eastAsia="Times New Roman" w:hAnsi="Times New Roman"/>
          <w:sz w:val="15"/>
          <w:szCs w:val="15"/>
          <w:color w:val="auto"/>
        </w:rPr>
      </w:pPr>
    </w:p>
    <w:p>
      <w:pPr>
        <w:ind w:left="760" w:right="40" w:hanging="384"/>
        <w:spacing w:after="0" w:line="280" w:lineRule="auto"/>
        <w:tabs>
          <w:tab w:leader="none" w:pos="7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compliance with U.S. laws and regulations for foreign operations, including the Foreign Corrupt Practices Act or comparable foreign regulations, and the risks and costs of noncompliance;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shortages resulting from any events affecting raw material supply or manufacturing capabilities abroad; and</w:t>
      </w:r>
    </w:p>
    <w:p>
      <w:pPr>
        <w:spacing w:after="0" w:line="206" w:lineRule="exact"/>
        <w:rPr>
          <w:rFonts w:ascii="Times New Roman" w:cs="Times New Roman" w:eastAsia="Times New Roman" w:hAnsi="Times New Roman"/>
          <w:sz w:val="15"/>
          <w:szCs w:val="15"/>
          <w:color w:val="auto"/>
        </w:rPr>
      </w:pPr>
    </w:p>
    <w:p>
      <w:pPr>
        <w:ind w:left="760" w:right="960" w:hanging="384"/>
        <w:spacing w:after="0" w:line="515" w:lineRule="auto"/>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interruptions resulting from geopolitical actions, including war and terrorism, or natural disasters including earthquakes, typhoons, floods, and fires. These and other risks associated with our international operations may materially adversely affect our ability to attain or maintain profitable operations.</w:t>
      </w:r>
    </w:p>
    <w:p>
      <w:pPr>
        <w:spacing w:after="0" w:line="1"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0"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COMMERCIALIZATION OF OUR PRODUCT CANDIDATES</w:t>
      </w:r>
    </w:p>
    <w:p>
      <w:pPr>
        <w:spacing w:after="0" w:line="207"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0" w:lineRule="exact"/>
        <w:rPr>
          <w:sz w:val="20"/>
          <w:szCs w:val="20"/>
          <w:color w:val="auto"/>
        </w:rPr>
      </w:pPr>
    </w:p>
    <w:p>
      <w:pPr>
        <w:ind w:right="120" w:firstLine="750"/>
        <w:spacing w:after="0" w:line="250" w:lineRule="auto"/>
        <w:rPr>
          <w:sz w:val="20"/>
          <w:szCs w:val="20"/>
          <w:color w:val="auto"/>
        </w:rPr>
      </w:pPr>
      <w:r>
        <w:rPr>
          <w:rFonts w:ascii="Times New Roman" w:cs="Times New Roman" w:eastAsia="Times New Roman" w:hAnsi="Times New Roman"/>
          <w:sz w:val="15"/>
          <w:szCs w:val="15"/>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6"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5"/>
          <w:szCs w:val="15"/>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Biohaven Pharmaceutical Holding Company Ltd.; Eli Lilly and Company; H. Lundbeck A/S; Harmony Biosciences; Intra-Cellular Therapies, Inc.; Janssen; Jazz Pharmaceuticals plc; Otsuka Pharmaceutical Co. Ltd.; Relmada Therapeutics Inc.; Sage Therapeutics, Inc.; and Takeda Pharmaceutical Company Limited.</w:t>
      </w:r>
    </w:p>
    <w:p>
      <w:pPr>
        <w:spacing w:after="0" w:line="355" w:lineRule="exact"/>
        <w:rPr>
          <w:sz w:val="20"/>
          <w:szCs w:val="20"/>
          <w:color w:val="auto"/>
        </w:rPr>
      </w:pPr>
    </w:p>
    <w:p>
      <w:pPr>
        <w:ind w:right="160" w:firstLine="750"/>
        <w:spacing w:after="0" w:line="178" w:lineRule="exact"/>
        <w:rPr>
          <w:sz w:val="20"/>
          <w:szCs w:val="20"/>
          <w:color w:val="auto"/>
        </w:rPr>
      </w:pPr>
      <w:r>
        <w:rPr>
          <w:rFonts w:ascii="Times New Roman" w:cs="Times New Roman" w:eastAsia="Times New Roman" w:hAnsi="Times New Roman"/>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6" w:lineRule="exact"/>
        <w:rPr>
          <w:sz w:val="20"/>
          <w:szCs w:val="20"/>
          <w:color w:val="auto"/>
        </w:rPr>
      </w:pPr>
    </w:p>
    <w:p>
      <w:pPr>
        <w:ind w:right="20" w:firstLine="750"/>
        <w:spacing w:after="0" w:line="245" w:lineRule="auto"/>
        <w:rPr>
          <w:sz w:val="20"/>
          <w:szCs w:val="20"/>
          <w:color w:val="auto"/>
        </w:rPr>
      </w:pPr>
      <w:r>
        <w:rPr>
          <w:rFonts w:ascii="Times New Roman" w:cs="Times New Roman" w:eastAsia="Times New Roman" w:hAnsi="Times New Roman"/>
          <w:sz w:val="15"/>
          <w:szCs w:val="15"/>
          <w:color w:val="auto"/>
        </w:rPr>
        <w:t>Generic forms of the active ingredients of our product candidates, including zoledronic acid, dextromethorphan, bupropion, meloxicam, rizatriptan,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280" w:firstLine="750"/>
        <w:spacing w:after="0" w:line="242"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62" w:lineRule="exact"/>
        <w:rPr>
          <w:sz w:val="20"/>
          <w:szCs w:val="20"/>
          <w:color w:val="auto"/>
        </w:rPr>
      </w:pPr>
    </w:p>
    <w:p>
      <w:pPr>
        <w:ind w:firstLine="750"/>
        <w:spacing w:after="0" w:line="174" w:lineRule="exact"/>
        <w:rPr>
          <w:sz w:val="20"/>
          <w:szCs w:val="20"/>
          <w:color w:val="auto"/>
        </w:rPr>
      </w:pPr>
      <w:r>
        <w:rPr>
          <w:rFonts w:ascii="Times New Roman" w:cs="Times New Roman" w:eastAsia="Times New Roman" w:hAnsi="Times New Roman"/>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Thus, following the introduction of a generic drug, a significant percentage of the sales of any branded product or reference listed drug is typically lost to the generic product.</w:t>
      </w:r>
    </w:p>
    <w:p>
      <w:pPr>
        <w:spacing w:after="0" w:line="172" w:lineRule="exact"/>
        <w:rPr>
          <w:sz w:val="20"/>
          <w:szCs w:val="20"/>
          <w:color w:val="auto"/>
        </w:rPr>
      </w:pPr>
    </w:p>
    <w:p>
      <w:pPr>
        <w:jc w:val="both"/>
        <w:ind w:firstLine="750"/>
        <w:spacing w:after="0" w:line="254" w:lineRule="auto"/>
        <w:rPr>
          <w:sz w:val="20"/>
          <w:szCs w:val="20"/>
          <w:color w:val="auto"/>
        </w:rPr>
      </w:pPr>
      <w:r>
        <w:rPr>
          <w:rFonts w:ascii="Times New Roman" w:cs="Times New Roman" w:eastAsia="Times New Roman" w:hAnsi="Times New Roman"/>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73" w:lineRule="exact"/>
        <w:rPr>
          <w:sz w:val="20"/>
          <w:szCs w:val="20"/>
          <w:color w:val="auto"/>
        </w:rPr>
      </w:pPr>
    </w:p>
    <w:p>
      <w:pPr>
        <w:ind w:firstLine="750"/>
        <w:spacing w:after="0" w:line="176" w:lineRule="exact"/>
        <w:rPr>
          <w:sz w:val="20"/>
          <w:szCs w:val="20"/>
          <w:color w:val="auto"/>
        </w:rPr>
      </w:pPr>
      <w:r>
        <w:rPr>
          <w:rFonts w:ascii="Times New Roman" w:cs="Times New Roman" w:eastAsia="Times New Roman" w:hAnsi="Times New Roman"/>
          <w:sz w:val="15"/>
          <w:szCs w:val="15"/>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72" w:lineRule="exact"/>
        <w:rPr>
          <w:sz w:val="20"/>
          <w:szCs w:val="20"/>
          <w:color w:val="auto"/>
        </w:rPr>
      </w:pPr>
    </w:p>
    <w:p>
      <w:pPr>
        <w:ind w:right="60" w:firstLine="750"/>
        <w:spacing w:after="0" w:line="245" w:lineRule="auto"/>
        <w:rPr>
          <w:sz w:val="20"/>
          <w:szCs w:val="20"/>
          <w:color w:val="auto"/>
        </w:rPr>
      </w:pPr>
      <w:r>
        <w:rPr>
          <w:rFonts w:ascii="Times New Roman" w:cs="Times New Roman" w:eastAsia="Times New Roman" w:hAnsi="Times New Roman"/>
          <w:sz w:val="15"/>
          <w:szCs w:val="15"/>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81" w:lineRule="exact"/>
        <w:rPr>
          <w:sz w:val="20"/>
          <w:szCs w:val="20"/>
          <w:color w:val="auto"/>
        </w:rPr>
      </w:pPr>
    </w:p>
    <w:p>
      <w:pPr>
        <w:ind w:right="220" w:firstLine="750"/>
        <w:spacing w:after="0" w:line="280" w:lineRule="auto"/>
        <w:rPr>
          <w:sz w:val="20"/>
          <w:szCs w:val="20"/>
          <w:color w:val="auto"/>
        </w:rPr>
      </w:pPr>
      <w:r>
        <w:rPr>
          <w:rFonts w:ascii="Times New Roman" w:cs="Times New Roman" w:eastAsia="Times New Roman" w:hAnsi="Times New Roman"/>
          <w:sz w:val="15"/>
          <w:szCs w:val="15"/>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37"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AXS-12 received Orphan Drug Designation from FDA for the treatment of narcolepsy. We may also seek Orphan Drug Designation for our other product candidates,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appropriate.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60" w:firstLine="750"/>
        <w:spacing w:after="0" w:line="249" w:lineRule="auto"/>
        <w:rPr>
          <w:sz w:val="20"/>
          <w:szCs w:val="20"/>
          <w:color w:val="auto"/>
        </w:rPr>
      </w:pPr>
      <w:r>
        <w:rPr>
          <w:rFonts w:ascii="Times New Roman" w:cs="Times New Roman" w:eastAsia="Times New Roman" w:hAnsi="Times New Roman"/>
          <w:sz w:val="15"/>
          <w:szCs w:val="15"/>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77" w:lineRule="exact"/>
        <w:rPr>
          <w:sz w:val="20"/>
          <w:szCs w:val="20"/>
          <w:color w:val="auto"/>
        </w:rPr>
      </w:pPr>
    </w:p>
    <w:p>
      <w:pPr>
        <w:ind w:right="120" w:firstLine="750"/>
        <w:spacing w:after="0" w:line="179" w:lineRule="exact"/>
        <w:rPr>
          <w:sz w:val="20"/>
          <w:szCs w:val="20"/>
          <w:color w:val="auto"/>
        </w:rPr>
      </w:pPr>
      <w:r>
        <w:rPr>
          <w:rFonts w:ascii="Times New Roman" w:cs="Times New Roman" w:eastAsia="Times New Roman" w:hAnsi="Times New Roman"/>
          <w:sz w:val="15"/>
          <w:szCs w:val="15"/>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containing product for the treatment of narcolepsy before we had obtained FDA approval for AXS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containing product for the treatment of narcolepsy before we had obtained EMA approval for AXS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12 for the treatment of narcolepsy, we would have been prevented from launching our product in the EU for this indication for a period of at least 10 to 12 years.</w:t>
      </w:r>
    </w:p>
    <w:p>
      <w:pPr>
        <w:spacing w:after="0" w:line="183" w:lineRule="exact"/>
        <w:rPr>
          <w:sz w:val="20"/>
          <w:szCs w:val="20"/>
          <w:color w:val="auto"/>
        </w:rPr>
      </w:pPr>
    </w:p>
    <w:p>
      <w:pPr>
        <w:ind w:right="20" w:firstLine="750"/>
        <w:spacing w:after="0" w:line="251" w:lineRule="auto"/>
        <w:rPr>
          <w:sz w:val="20"/>
          <w:szCs w:val="20"/>
          <w:color w:val="auto"/>
        </w:rPr>
      </w:pPr>
      <w:r>
        <w:rPr>
          <w:rFonts w:ascii="Times New Roman" w:cs="Times New Roman" w:eastAsia="Times New Roman" w:hAnsi="Times New Roman"/>
          <w:sz w:val="15"/>
          <w:szCs w:val="15"/>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38" w:lineRule="exact"/>
        <w:rPr>
          <w:sz w:val="20"/>
          <w:szCs w:val="20"/>
          <w:color w:val="auto"/>
        </w:rPr>
      </w:pPr>
    </w:p>
    <w:p>
      <w:pPr>
        <w:jc w:val="both"/>
        <w:ind w:right="320" w:firstLine="750"/>
        <w:spacing w:after="0" w:line="263" w:lineRule="auto"/>
        <w:rPr>
          <w:sz w:val="20"/>
          <w:szCs w:val="20"/>
          <w:color w:val="auto"/>
        </w:rPr>
      </w:pPr>
      <w:r>
        <w:rPr>
          <w:rFonts w:ascii="Times New Roman" w:cs="Times New Roman" w:eastAsia="Times New Roman" w:hAnsi="Times New Roman"/>
          <w:sz w:val="15"/>
          <w:szCs w:val="15"/>
          <w:color w:val="auto"/>
        </w:rPr>
        <w:t>We are currently building a commercial infrastructure for the marketing, sale, and distribution of pharmaceutical products, which include the creation of a sales force to launch product candidates throughout the United States. This may require additional compliance with a range of federal and state laws. If we commercialize our product candidates outside the United States, we intend to partner with marketing and sales collaborators, rather than with our own sales force.</w:t>
      </w:r>
    </w:p>
    <w:p>
      <w:pPr>
        <w:spacing w:after="0" w:line="166" w:lineRule="exact"/>
        <w:rPr>
          <w:sz w:val="20"/>
          <w:szCs w:val="20"/>
          <w:color w:val="auto"/>
        </w:rPr>
      </w:pPr>
    </w:p>
    <w:p>
      <w:pPr>
        <w:ind w:right="120" w:firstLine="750"/>
        <w:spacing w:after="0" w:line="248" w:lineRule="auto"/>
        <w:rPr>
          <w:sz w:val="20"/>
          <w:szCs w:val="20"/>
          <w:color w:val="auto"/>
        </w:rPr>
      </w:pPr>
      <w:r>
        <w:rPr>
          <w:rFonts w:ascii="Times New Roman" w:cs="Times New Roman" w:eastAsia="Times New Roman" w:hAnsi="Times New Roman"/>
          <w:sz w:val="15"/>
          <w:szCs w:val="15"/>
          <w:color w:val="auto"/>
        </w:rPr>
        <w:t>We have no prior experience in the marketing, sale, and distribution of pharmaceutical products, and there are significant risks involved in the building and managing of a commercial infrastructure. Our role as an NDA holder (if we obtain approval) and a virtual manufacturer along with the establishment and development of our commercial infrastructure,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8" w:lineRule="exact"/>
        <w:rPr>
          <w:sz w:val="20"/>
          <w:szCs w:val="20"/>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recruit, train, manage, and retain adequate numbers of effective sales and marketing personnel;</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obtain access to physicians or persuade adequate numbers of physicians to prescribe any of our current or future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travel and/or arrange in-person meetings with physicians due to the ongoing COVID-19 pandemic;</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effectively oversee a geographically dispersed sales and marketing team;</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application of federal and state drug distribution and supply chain requirements to our business;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training sales and marketing personnel on legal and regulatory compliance matters and monitoring their actions;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secure adequate coverage and reimbursement by government and private health plans;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and labeled claims for which the product is approved;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or warnings, including distribution or use restrictions, contained in the product’s approved labeling;</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distribution and use restrictions imposed by the FDA or to which we agree as part of a mandatory REMS or voluntary risk management plan;</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liability for sales or marketing personnel who fail to comply with the applicable legal and regulatory requirements;</w:t>
      </w:r>
    </w:p>
    <w:p>
      <w:pPr>
        <w:spacing w:after="0" w:line="193" w:lineRule="exact"/>
        <w:rPr>
          <w:rFonts w:ascii="Times New Roman" w:cs="Times New Roman" w:eastAsia="Times New Roman" w:hAnsi="Times New Roman"/>
          <w:sz w:val="15"/>
          <w:szCs w:val="15"/>
          <w:color w:val="auto"/>
        </w:rPr>
      </w:pPr>
    </w:p>
    <w:p>
      <w:pPr>
        <w:ind w:left="760" w:right="260" w:hanging="384"/>
        <w:spacing w:after="0" w:line="245" w:lineRule="auto"/>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complementary products to be offered by sales personnel, which may put us at a competitive disadvantage relative to companies with more extensive product lines; and</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costs and expenses associated with creating an independent sales and marketing organization or engaging a contract sales organization.</w:t>
      </w:r>
    </w:p>
    <w:p>
      <w:pPr>
        <w:spacing w:after="0" w:line="194" w:lineRule="exact"/>
        <w:rPr>
          <w:sz w:val="20"/>
          <w:szCs w:val="20"/>
          <w:color w:val="auto"/>
        </w:rPr>
      </w:pPr>
    </w:p>
    <w:p>
      <w:pPr>
        <w:ind w:right="60" w:firstLine="750"/>
        <w:spacing w:after="0" w:line="230" w:lineRule="auto"/>
        <w:rPr>
          <w:sz w:val="20"/>
          <w:szCs w:val="20"/>
          <w:color w:val="auto"/>
        </w:rPr>
      </w:pPr>
      <w:r>
        <w:rPr>
          <w:rFonts w:ascii="Times New Roman" w:cs="Times New Roman" w:eastAsia="Times New Roman" w:hAnsi="Times New Roman"/>
          <w:sz w:val="15"/>
          <w:szCs w:val="15"/>
          <w:color w:val="auto"/>
        </w:rPr>
        <w:t>As we build our commercial infrastructure prior to approval of a product candidate by the FDA, we will incur expenses prior to product launch in recruiting this sales force and developing a compliant marketing and sales infrastructure. If a commercial launch is delayed as a result of FDA requirements or other reasons, we would incur these expenses prior</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5"/>
          <w:szCs w:val="15"/>
          <w:color w:val="auto"/>
        </w:rPr>
        <w:t>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any of our current or future product candidates do not achieve broad market acceptance, the revenues that we generate from their sales will be limited.</w:t>
      </w:r>
    </w:p>
    <w:p>
      <w:pPr>
        <w:spacing w:after="0" w:line="211" w:lineRule="exact"/>
        <w:rPr>
          <w:sz w:val="20"/>
          <w:szCs w:val="20"/>
          <w:color w:val="auto"/>
        </w:rPr>
      </w:pPr>
    </w:p>
    <w:p>
      <w:pPr>
        <w:ind w:right="60" w:firstLine="750"/>
        <w:spacing w:after="0" w:line="248" w:lineRule="auto"/>
        <w:rPr>
          <w:sz w:val="20"/>
          <w:szCs w:val="20"/>
          <w:color w:val="auto"/>
        </w:rPr>
      </w:pPr>
      <w:r>
        <w:rPr>
          <w:rFonts w:ascii="Times New Roman" w:cs="Times New Roman" w:eastAsia="Times New Roman" w:hAnsi="Times New Roman"/>
          <w:sz w:val="15"/>
          <w:szCs w:val="15"/>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Efforts to educate the medical community and third-party payors on the benefits of our product candidates may require significant resources and may not be successful. If</w:t>
      </w:r>
    </w:p>
    <w:p>
      <w:pPr>
        <w:spacing w:after="0" w:line="221" w:lineRule="auto"/>
        <w:rPr>
          <w:sz w:val="20"/>
          <w:szCs w:val="20"/>
          <w:color w:val="auto"/>
        </w:rPr>
      </w:pPr>
      <w:r>
        <w:rPr>
          <w:rFonts w:ascii="Times New Roman" w:cs="Times New Roman" w:eastAsia="Times New Roman" w:hAnsi="Times New Roman"/>
          <w:sz w:val="15"/>
          <w:szCs w:val="15"/>
          <w:color w:val="auto"/>
        </w:rPr>
        <w:t>any of our product candidates is approved but does not achieve an adequate level of market acceptance, we may not generate significant revenues and we may not become profitable.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degree of market acceptance of any of our product candidates will depend on a number of factors, including:</w:t>
      </w:r>
    </w:p>
    <w:p>
      <w:pPr>
        <w:spacing w:after="0" w:line="178" w:lineRule="exact"/>
        <w:rPr>
          <w:sz w:val="20"/>
          <w:szCs w:val="20"/>
          <w:color w:val="auto"/>
        </w:rPr>
      </w:pPr>
    </w:p>
    <w:p>
      <w:pPr>
        <w:ind w:left="760" w:hanging="384"/>
        <w:spacing w:after="0"/>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of our product candidates;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adverse events associated with such product candidate;</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the product is approved and the approved claims that we may make for the product;</w:t>
      </w:r>
    </w:p>
    <w:p>
      <w:pPr>
        <w:spacing w:after="0" w:line="168" w:lineRule="exact"/>
        <w:rPr>
          <w:rFonts w:ascii="Times New Roman" w:cs="Times New Roman" w:eastAsia="Times New Roman" w:hAnsi="Times New Roman"/>
          <w:sz w:val="15"/>
          <w:szCs w:val="15"/>
          <w:color w:val="auto"/>
        </w:rPr>
      </w:pPr>
    </w:p>
    <w:p>
      <w:pPr>
        <w:ind w:left="760" w:right="540" w:hanging="384"/>
        <w:spacing w:after="0" w:line="187" w:lineRule="exact"/>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or warnings contained in the product’s FDA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approved labeling, including potential limitations or warnings for such product candidate, that may be more restrictive than other competitive products;</w:t>
      </w:r>
    </w:p>
    <w:p>
      <w:pPr>
        <w:spacing w:after="0" w:line="169" w:lineRule="exact"/>
        <w:rPr>
          <w:rFonts w:ascii="Times New Roman" w:cs="Times New Roman" w:eastAsia="Times New Roman" w:hAnsi="Times New Roman"/>
          <w:sz w:val="15"/>
          <w:szCs w:val="15"/>
          <w:color w:val="auto"/>
        </w:rPr>
      </w:pPr>
    </w:p>
    <w:p>
      <w:pPr>
        <w:ind w:left="760" w:hanging="384"/>
        <w:spacing w:after="0" w:line="245" w:lineRule="auto"/>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standard of care for the targeted indications for such product candidate, which could reduce the marketing impact of any claims that we could make following FDA approval, if obtained;</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convenience and ease of administration of such product candidate;</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treatment versus economic and clinical benefit in relation to alternative treatments or therapies;</w:t>
      </w:r>
    </w:p>
    <w:p>
      <w:pPr>
        <w:spacing w:after="0" w:line="181" w:lineRule="exact"/>
        <w:rPr>
          <w:rFonts w:ascii="Times New Roman" w:cs="Times New Roman" w:eastAsia="Times New Roman" w:hAnsi="Times New Roman"/>
          <w:sz w:val="15"/>
          <w:szCs w:val="15"/>
          <w:color w:val="auto"/>
        </w:rPr>
      </w:pPr>
    </w:p>
    <w:p>
      <w:pPr>
        <w:ind w:left="760" w:right="100" w:hanging="384"/>
        <w:spacing w:after="0" w:line="262" w:lineRule="auto"/>
        <w:tabs>
          <w:tab w:leader="none" w:pos="7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adequate coverage or reimbursement by third parties, such as insurance companies and other healthcare payors, and by government healthcare programs, including Medicare and Medicaid;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willingness of third-party payors to prefer similar but less expensive products even if not approved for our product’s indication;</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marketing and distribution of such product candidate;</w:t>
      </w:r>
    </w:p>
    <w:p>
      <w:pPr>
        <w:spacing w:after="0" w:line="193" w:lineRule="exact"/>
        <w:rPr>
          <w:rFonts w:ascii="Times New Roman" w:cs="Times New Roman" w:eastAsia="Times New Roman" w:hAnsi="Times New Roman"/>
          <w:sz w:val="15"/>
          <w:szCs w:val="15"/>
          <w:color w:val="auto"/>
        </w:rPr>
      </w:pPr>
    </w:p>
    <w:p>
      <w:pPr>
        <w:ind w:left="760" w:right="480" w:hanging="384"/>
        <w:spacing w:after="0" w:line="245" w:lineRule="auto"/>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efficacy, and other potential advantages over, and availability of, alternative treatments already used or that may later be approved for any of our intended indications;</w:t>
      </w:r>
    </w:p>
    <w:p>
      <w:pPr>
        <w:spacing w:after="0" w:line="153" w:lineRule="exact"/>
        <w:rPr>
          <w:rFonts w:ascii="Times New Roman" w:cs="Times New Roman" w:eastAsia="Times New Roman" w:hAnsi="Times New Roman"/>
          <w:sz w:val="15"/>
          <w:szCs w:val="15"/>
          <w:color w:val="auto"/>
        </w:rPr>
      </w:pPr>
    </w:p>
    <w:p>
      <w:pPr>
        <w:ind w:left="760" w:right="320" w:hanging="384"/>
        <w:spacing w:after="0" w:line="262" w:lineRule="auto"/>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 and use restrictions imposed by the FDA with respect to such product candidate or to which we agree as part of a mandatory risk evaluation and mitigation strategy or voluntary risk management plan;</w:t>
      </w:r>
    </w:p>
    <w:p>
      <w:pPr>
        <w:spacing w:after="0" w:line="14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market introduction of such product candidate, as well as competitive products;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such product candidate for sale at competitive prices, including prices that are competitive with generic products;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willingness of the target patient population to try new therapies and of physicians to prescribe these therapies;</w:t>
      </w:r>
    </w:p>
    <w:p>
      <w:pPr>
        <w:spacing w:after="0" w:line="155" w:lineRule="exact"/>
        <w:rPr>
          <w:rFonts w:ascii="Times New Roman" w:cs="Times New Roman" w:eastAsia="Times New Roman" w:hAnsi="Times New Roman"/>
          <w:sz w:val="15"/>
          <w:szCs w:val="15"/>
          <w:color w:val="auto"/>
        </w:rPr>
      </w:pPr>
    </w:p>
    <w:p>
      <w:pPr>
        <w:ind w:left="760" w:hanging="384"/>
        <w:spacing w:after="0" w:line="173" w:lineRule="exact"/>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and strength of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manufacturer and supplier support;</w:t>
      </w:r>
    </w:p>
    <w:p>
      <w:pPr>
        <w:spacing w:after="0" w:line="21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of other new products for the same indications;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publicity about the product or favorable publicity about competitive products; and</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product liability claims.</w:t>
      </w:r>
    </w:p>
    <w:p>
      <w:pPr>
        <w:spacing w:after="0" w:line="156" w:lineRule="exact"/>
        <w:rPr>
          <w:sz w:val="20"/>
          <w:szCs w:val="20"/>
          <w:color w:val="auto"/>
        </w:rPr>
      </w:pPr>
    </w:p>
    <w:p>
      <w:pPr>
        <w:ind w:right="60" w:firstLine="750"/>
        <w:spacing w:after="0" w:line="179" w:lineRule="exact"/>
        <w:rPr>
          <w:sz w:val="20"/>
          <w:szCs w:val="20"/>
          <w:color w:val="auto"/>
        </w:rPr>
      </w:pPr>
      <w:r>
        <w:rPr>
          <w:rFonts w:ascii="Times New Roman" w:cs="Times New Roman" w:eastAsia="Times New Roman" w:hAnsi="Times New Roman"/>
          <w:sz w:val="15"/>
          <w:szCs w:val="15"/>
          <w:color w:val="auto"/>
        </w:rPr>
        <w:t>Our efforts to educate the medical community and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w:t>
      </w:r>
    </w:p>
    <w:p>
      <w:pPr>
        <w:spacing w:after="0" w:line="1"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5"/>
          <w:szCs w:val="15"/>
          <w:color w:val="auto"/>
        </w:rPr>
        <w:t>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w:t>
      </w:r>
    </w:p>
    <w:p>
      <w:pPr>
        <w:spacing w:after="0" w:line="1" w:lineRule="exact"/>
        <w:rPr>
          <w:sz w:val="20"/>
          <w:szCs w:val="20"/>
          <w:color w:val="auto"/>
        </w:rPr>
      </w:pPr>
    </w:p>
    <w:p>
      <w:pPr>
        <w:jc w:val="both"/>
        <w:ind w:right="400"/>
        <w:spacing w:after="0" w:line="155" w:lineRule="exact"/>
        <w:rPr>
          <w:sz w:val="20"/>
          <w:szCs w:val="20"/>
          <w:color w:val="auto"/>
        </w:rPr>
      </w:pPr>
      <w:r>
        <w:rPr>
          <w:rFonts w:ascii="Times New Roman" w:cs="Times New Roman" w:eastAsia="Times New Roman" w:hAnsi="Times New Roman"/>
          <w:sz w:val="15"/>
          <w:szCs w:val="15"/>
          <w:color w:val="auto"/>
        </w:rPr>
        <w:t>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If any of our current or future product candidates is approved but does not achieve an adequate level of acceptance among physicians,</w:t>
      </w:r>
    </w:p>
    <w:p>
      <w:pPr>
        <w:spacing w:after="0" w:line="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patients, and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we may not generate meaningful revenues from our product candidates, and we may not become profitable.</w:t>
      </w:r>
    </w:p>
    <w:p>
      <w:pPr>
        <w:spacing w:after="0" w:line="171" w:lineRule="exact"/>
        <w:rPr>
          <w:sz w:val="20"/>
          <w:szCs w:val="20"/>
          <w:color w:val="auto"/>
        </w:rPr>
      </w:pPr>
    </w:p>
    <w:p>
      <w:pPr>
        <w:ind w:right="60" w:firstLine="750"/>
        <w:spacing w:after="0" w:line="179" w:lineRule="exact"/>
        <w:rPr>
          <w:sz w:val="20"/>
          <w:szCs w:val="20"/>
          <w:color w:val="auto"/>
        </w:rPr>
      </w:pPr>
      <w:r>
        <w:rPr>
          <w:rFonts w:ascii="Times New Roman" w:cs="Times New Roman" w:eastAsia="Times New Roman" w:hAnsi="Times New Roman"/>
          <w:sz w:val="15"/>
          <w:szCs w:val="15"/>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label. Any use of these generic forms of the active molecules of our product candidates could adversely affect our business and our results of operations.</w:t>
      </w:r>
    </w:p>
    <w:p>
      <w:pPr>
        <w:spacing w:after="0" w:line="184" w:lineRule="exact"/>
        <w:rPr>
          <w:sz w:val="20"/>
          <w:szCs w:val="20"/>
          <w:color w:val="auto"/>
        </w:rPr>
      </w:pPr>
    </w:p>
    <w:p>
      <w:pPr>
        <w:ind w:firstLine="750"/>
        <w:spacing w:after="0" w:line="179" w:lineRule="exact"/>
        <w:rPr>
          <w:sz w:val="20"/>
          <w:szCs w:val="20"/>
          <w:color w:val="auto"/>
        </w:rPr>
      </w:pPr>
      <w:r>
        <w:rPr>
          <w:rFonts w:ascii="Times New Roman" w:cs="Times New Roman" w:eastAsia="Times New Roman" w:hAnsi="Times New Roman"/>
          <w:sz w:val="15"/>
          <w:szCs w:val="15"/>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7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50" w:lineRule="exact"/>
        <w:rPr>
          <w:sz w:val="20"/>
          <w:szCs w:val="20"/>
          <w:color w:val="auto"/>
        </w:rPr>
      </w:pPr>
    </w:p>
    <w:p>
      <w:pPr>
        <w:ind w:right="120" w:firstLine="750"/>
        <w:spacing w:after="0" w:line="230" w:lineRule="auto"/>
        <w:rPr>
          <w:sz w:val="20"/>
          <w:szCs w:val="20"/>
          <w:color w:val="auto"/>
        </w:rPr>
      </w:pPr>
      <w:r>
        <w:rPr>
          <w:rFonts w:ascii="Times New Roman" w:cs="Times New Roman" w:eastAsia="Times New Roman" w:hAnsi="Times New Roman"/>
          <w:sz w:val="15"/>
          <w:szCs w:val="15"/>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5"/>
          <w:szCs w:val="15"/>
          <w:color w:val="auto"/>
        </w:rPr>
        <w:t>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w:t>
      </w:r>
    </w:p>
    <w:p>
      <w:pPr>
        <w:spacing w:after="0" w:line="2" w:lineRule="exact"/>
        <w:rPr>
          <w:sz w:val="20"/>
          <w:szCs w:val="20"/>
          <w:color w:val="auto"/>
        </w:rPr>
      </w:pPr>
    </w:p>
    <w:p>
      <w:pPr>
        <w:ind w:right="380"/>
        <w:spacing w:after="0" w:line="231" w:lineRule="auto"/>
        <w:rPr>
          <w:sz w:val="20"/>
          <w:szCs w:val="20"/>
          <w:color w:val="auto"/>
        </w:rPr>
      </w:pPr>
      <w:r>
        <w:rPr>
          <w:rFonts w:ascii="Times New Roman" w:cs="Times New Roman" w:eastAsia="Times New Roman" w:hAnsi="Times New Roman"/>
          <w:sz w:val="15"/>
          <w:szCs w:val="15"/>
          <w:color w:val="auto"/>
        </w:rPr>
        <w:t>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significant financial and management resources. Regardless of merit or eventual outcome, liability claims may result in loss of revenue from including from:</w:t>
      </w:r>
    </w:p>
    <w:p>
      <w:pPr>
        <w:spacing w:after="0" w:line="181" w:lineRule="exact"/>
        <w:rPr>
          <w:sz w:val="20"/>
          <w:szCs w:val="20"/>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our products and/or product candidates;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our business reputation or financial stability;</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related litigation;</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to patients or other claimants;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attention;</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participants and potential termination of clinical trial sites or entire clinical programs;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commercialize our product candidates;</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negative media attention;</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 in our stock price;</w:t>
      </w:r>
    </w:p>
    <w:p>
      <w:pPr>
        <w:spacing w:after="0" w:line="181"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initiation of investigations and enforcement actions by regulators; and</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withdrawals, or labeling, marketing, or promotional restrictions.</w:t>
      </w:r>
    </w:p>
    <w:p>
      <w:pPr>
        <w:spacing w:after="0" w:line="181" w:lineRule="exact"/>
        <w:rPr>
          <w:sz w:val="20"/>
          <w:szCs w:val="20"/>
          <w:color w:val="auto"/>
        </w:rPr>
      </w:pPr>
    </w:p>
    <w:p>
      <w:pPr>
        <w:ind w:right="140" w:firstLine="750"/>
        <w:spacing w:after="0" w:line="230" w:lineRule="auto"/>
        <w:rPr>
          <w:sz w:val="20"/>
          <w:szCs w:val="20"/>
          <w:color w:val="auto"/>
        </w:rPr>
      </w:pPr>
      <w:r>
        <w:rPr>
          <w:rFonts w:ascii="Times New Roman" w:cs="Times New Roman" w:eastAsia="Times New Roman" w:hAnsi="Times New Roman"/>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w:t>
      </w:r>
    </w:p>
    <w:p>
      <w:pPr>
        <w:spacing w:after="0" w:line="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5"/>
          <w:szCs w:val="15"/>
          <w:color w:val="auto"/>
        </w:rPr>
        <w:t>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w:t>
      </w:r>
    </w:p>
    <w:p>
      <w:pPr>
        <w:spacing w:after="0" w:line="1" w:lineRule="exact"/>
        <w:rPr>
          <w:sz w:val="20"/>
          <w:szCs w:val="20"/>
          <w:color w:val="auto"/>
        </w:rPr>
      </w:pPr>
    </w:p>
    <w:p>
      <w:pPr>
        <w:ind w:right="500"/>
        <w:spacing w:after="0" w:line="231" w:lineRule="auto"/>
        <w:rPr>
          <w:sz w:val="20"/>
          <w:szCs w:val="20"/>
          <w:color w:val="auto"/>
        </w:rPr>
      </w:pPr>
      <w:r>
        <w:rPr>
          <w:rFonts w:ascii="Times New Roman" w:cs="Times New Roman" w:eastAsia="Times New Roman" w:hAnsi="Times New Roman"/>
          <w:sz w:val="15"/>
          <w:szCs w:val="15"/>
          <w:color w:val="auto"/>
        </w:rPr>
        <w:t>claims brought against us could cause our stock price to fall and, if judgments exceed our insurance coverage, could decrease our cash and adversely affect our business and our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DEPENDENCE ON THIRD PARTIES</w:t>
      </w:r>
    </w:p>
    <w:p>
      <w:pPr>
        <w:spacing w:after="0" w:line="194"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37" w:lineRule="exact"/>
        <w:rPr>
          <w:sz w:val="20"/>
          <w:szCs w:val="20"/>
          <w:color w:val="auto"/>
        </w:rPr>
      </w:pPr>
    </w:p>
    <w:p>
      <w:pPr>
        <w:ind w:right="20" w:firstLine="750"/>
        <w:spacing w:after="0" w:line="170" w:lineRule="exact"/>
        <w:rPr>
          <w:sz w:val="20"/>
          <w:szCs w:val="20"/>
          <w:color w:val="auto"/>
        </w:rPr>
      </w:pPr>
      <w:r>
        <w:rPr>
          <w:rFonts w:ascii="Times New Roman" w:cs="Times New Roman" w:eastAsia="Times New Roman" w:hAnsi="Times New Roman"/>
          <w:sz w:val="15"/>
          <w:szCs w:val="15"/>
          <w:color w:val="auto"/>
        </w:rPr>
        <w:t>We rely on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w:t>
      </w:r>
    </w:p>
    <w:p>
      <w:pPr>
        <w:ind w:right="20"/>
        <w:spacing w:after="0" w:line="219" w:lineRule="auto"/>
        <w:rPr>
          <w:sz w:val="20"/>
          <w:szCs w:val="20"/>
          <w:color w:val="auto"/>
        </w:rPr>
      </w:pPr>
      <w:r>
        <w:rPr>
          <w:rFonts w:ascii="Times New Roman" w:cs="Times New Roman" w:eastAsia="Times New Roman" w:hAnsi="Times New Roman"/>
          <w:sz w:val="15"/>
          <w:szCs w:val="15"/>
          <w:color w:val="auto"/>
        </w:rPr>
        <w:t>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5"/>
          <w:szCs w:val="15"/>
          <w:color w:val="auto"/>
        </w:rPr>
        <w:t>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40" w:firstLine="750"/>
        <w:spacing w:after="0" w:line="246" w:lineRule="auto"/>
        <w:rPr>
          <w:sz w:val="20"/>
          <w:szCs w:val="20"/>
          <w:color w:val="auto"/>
        </w:rPr>
      </w:pPr>
      <w:r>
        <w:rPr>
          <w:rFonts w:ascii="Times New Roman" w:cs="Times New Roman" w:eastAsia="Times New Roman" w:hAnsi="Times New Roman"/>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2" w:lineRule="exact"/>
        <w:rPr>
          <w:sz w:val="20"/>
          <w:szCs w:val="20"/>
          <w:color w:val="auto"/>
        </w:rPr>
      </w:pPr>
    </w:p>
    <w:p>
      <w:pPr>
        <w:ind w:right="220" w:firstLine="750"/>
        <w:spacing w:after="0" w:line="184" w:lineRule="exact"/>
        <w:rPr>
          <w:sz w:val="20"/>
          <w:szCs w:val="20"/>
          <w:color w:val="auto"/>
        </w:rPr>
      </w:pPr>
      <w:r>
        <w:rPr>
          <w:rFonts w:ascii="Times New Roman" w:cs="Times New Roman" w:eastAsia="Times New Roman" w:hAnsi="Times New Roman"/>
          <w:sz w:val="15"/>
          <w:szCs w:val="15"/>
          <w:color w:val="auto"/>
        </w:rPr>
        <w:t>In addition, when we submit an NDA for review, we are required to report certain financial interests of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83" w:lineRule="exact"/>
        <w:rPr>
          <w:sz w:val="20"/>
          <w:szCs w:val="20"/>
          <w:color w:val="auto"/>
        </w:rPr>
      </w:pPr>
    </w:p>
    <w:p>
      <w:pPr>
        <w:ind w:right="260" w:firstLine="750"/>
        <w:spacing w:after="0" w:line="179" w:lineRule="exact"/>
        <w:rPr>
          <w:sz w:val="20"/>
          <w:szCs w:val="20"/>
          <w:color w:val="auto"/>
        </w:rPr>
      </w:pPr>
      <w:r>
        <w:rPr>
          <w:rFonts w:ascii="Times New Roman" w:cs="Times New Roman" w:eastAsia="Times New Roman" w:hAnsi="Times New Roman"/>
          <w:sz w:val="15"/>
          <w:szCs w:val="15"/>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sponsored database, ClinicalTrials.gov, within specified timeframes. Failure to do so or to meet the related submission requirements can result in enforcement actions, including civil monetary penalties and adverse publicity.</w:t>
      </w:r>
    </w:p>
    <w:p>
      <w:pPr>
        <w:spacing w:after="0" w:line="183" w:lineRule="exact"/>
        <w:rPr>
          <w:sz w:val="20"/>
          <w:szCs w:val="20"/>
          <w:color w:val="auto"/>
        </w:rPr>
      </w:pPr>
    </w:p>
    <w:p>
      <w:pPr>
        <w:ind w:firstLine="750"/>
        <w:spacing w:after="0" w:line="177" w:lineRule="exact"/>
        <w:rPr>
          <w:sz w:val="20"/>
          <w:szCs w:val="20"/>
          <w:color w:val="auto"/>
        </w:rPr>
      </w:pPr>
      <w:r>
        <w:rPr>
          <w:rFonts w:ascii="Times New Roman" w:cs="Times New Roman" w:eastAsia="Times New Roman" w:hAnsi="Times New Roman"/>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service providers in the future, our business may be materially and adversely affected.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62" w:lineRule="exact"/>
        <w:rPr>
          <w:sz w:val="20"/>
          <w:szCs w:val="20"/>
          <w:color w:val="auto"/>
        </w:rPr>
      </w:pPr>
    </w:p>
    <w:p>
      <w:pPr>
        <w:ind w:right="40" w:firstLine="750"/>
        <w:spacing w:after="0" w:line="184" w:lineRule="exact"/>
        <w:rPr>
          <w:sz w:val="20"/>
          <w:szCs w:val="20"/>
          <w:color w:val="auto"/>
        </w:rPr>
      </w:pPr>
      <w:r>
        <w:rPr>
          <w:rFonts w:ascii="Times New Roman" w:cs="Times New Roman" w:eastAsia="Times New Roman" w:hAnsi="Times New Roman"/>
          <w:sz w:val="15"/>
          <w:szCs w:val="15"/>
          <w:color w:val="auto"/>
        </w:rPr>
        <w:t>If any of our relationships with these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0" w:lineRule="exact"/>
        <w:rPr>
          <w:sz w:val="20"/>
          <w:szCs w:val="20"/>
          <w:color w:val="auto"/>
        </w:rPr>
      </w:pPr>
    </w:p>
    <w:p>
      <w:pPr>
        <w:ind w:right="120" w:firstLine="750"/>
        <w:spacing w:after="0" w:line="250" w:lineRule="auto"/>
        <w:rPr>
          <w:sz w:val="20"/>
          <w:szCs w:val="20"/>
          <w:color w:val="auto"/>
        </w:rPr>
      </w:pPr>
      <w:r>
        <w:rPr>
          <w:rFonts w:ascii="Times New Roman" w:cs="Times New Roman" w:eastAsia="Times New Roman" w:hAnsi="Times New Roman"/>
          <w:sz w:val="15"/>
          <w:szCs w:val="15"/>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76" w:lineRule="exact"/>
        <w:rPr>
          <w:sz w:val="20"/>
          <w:szCs w:val="20"/>
          <w:color w:val="auto"/>
        </w:rPr>
      </w:pPr>
    </w:p>
    <w:p>
      <w:pPr>
        <w:ind w:right="60" w:firstLine="750"/>
        <w:spacing w:after="0" w:line="180" w:lineRule="exact"/>
        <w:rPr>
          <w:sz w:val="20"/>
          <w:szCs w:val="20"/>
          <w:color w:val="auto"/>
        </w:rPr>
      </w:pPr>
      <w:r>
        <w:rPr>
          <w:rFonts w:ascii="Times New Roman" w:cs="Times New Roman" w:eastAsia="Times New Roman" w:hAnsi="Times New Roman"/>
          <w:sz w:val="15"/>
          <w:szCs w:val="15"/>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manufacturers may breach, terminate, or not renew these agreements.</w:t>
      </w:r>
    </w:p>
    <w:p>
      <w:pPr>
        <w:spacing w:after="0" w:line="144" w:lineRule="exact"/>
        <w:rPr>
          <w:sz w:val="20"/>
          <w:szCs w:val="20"/>
          <w:color w:val="auto"/>
        </w:rPr>
      </w:pPr>
    </w:p>
    <w:p>
      <w:pPr>
        <w:ind w:right="60" w:firstLine="750"/>
        <w:spacing w:after="0" w:line="179" w:lineRule="exact"/>
        <w:rPr>
          <w:sz w:val="20"/>
          <w:szCs w:val="20"/>
          <w:color w:val="auto"/>
        </w:rPr>
      </w:pPr>
      <w:r>
        <w:rPr>
          <w:rFonts w:ascii="Times New Roman" w:cs="Times New Roman" w:eastAsia="Times New Roman" w:hAnsi="Times New Roman"/>
          <w:sz w:val="15"/>
          <w:szCs w:val="15"/>
          <w:color w:val="auto"/>
        </w:rPr>
        <w:t>Any problems or delays we experience in preparing for commercial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have a limited number of contract manufacturers for our products. At times we may have only one manufacturer for a product. In addition, we do not have any</w:t>
      </w:r>
    </w:p>
    <w:p>
      <w:pPr>
        <w:spacing w:after="0" w:line="2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long</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term commitments from our suppliers of clinical trial material or guaranteed prices for our product candidates. The manufacture of pharmaceutical products requires significant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expertise and capital investment, including the development of advanced manufacturing techniques and process controls. Manufacturers of pharmaceutical products often encounter</w:t>
      </w:r>
    </w:p>
    <w:p>
      <w:pPr>
        <w:spacing w:after="0" w:line="234" w:lineRule="auto"/>
        <w:rPr>
          <w:sz w:val="20"/>
          <w:szCs w:val="20"/>
          <w:color w:val="auto"/>
        </w:rPr>
      </w:pPr>
      <w:r>
        <w:rPr>
          <w:rFonts w:ascii="Times New Roman" w:cs="Times New Roman" w:eastAsia="Times New Roman" w:hAnsi="Times New Roman"/>
          <w:sz w:val="15"/>
          <w:szCs w:val="15"/>
          <w:color w:val="auto"/>
        </w:rPr>
        <w:t>difficulties in production, particularly in scaling up initial production. These problems include difficulties with production costs and yields; quality control, including stability of the</w:t>
      </w:r>
    </w:p>
    <w:p>
      <w:pPr>
        <w:spacing w:after="0"/>
        <w:rPr>
          <w:sz w:val="20"/>
          <w:szCs w:val="20"/>
          <w:color w:val="auto"/>
        </w:rPr>
      </w:pPr>
      <w:r>
        <w:rPr>
          <w:rFonts w:ascii="Times New Roman" w:cs="Times New Roman" w:eastAsia="Times New Roman" w:hAnsi="Times New Roman"/>
          <w:sz w:val="15"/>
          <w:szCs w:val="15"/>
          <w:color w:val="auto"/>
        </w:rPr>
        <w:t>product candidate and quality assurance testing; shortages of qualified personnel; and compliance with strictly enforced federal, state, and foreign regulations. Our manufacturers may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perform as agreed. If our manufacturers were to encounter any of these difficulties, our ability to provide product candidates to patients in our clinical trials and for commercial 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approved, would be jeopardized.</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40" w:firstLine="750"/>
        <w:spacing w:after="0" w:line="244" w:lineRule="auto"/>
        <w:rPr>
          <w:sz w:val="20"/>
          <w:szCs w:val="20"/>
          <w:color w:val="auto"/>
        </w:rPr>
      </w:pPr>
      <w:r>
        <w:rPr>
          <w:rFonts w:ascii="Times New Roman" w:cs="Times New Roman" w:eastAsia="Times New Roman" w:hAnsi="Times New Roman"/>
          <w:sz w:val="15"/>
          <w:szCs w:val="15"/>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9" w:lineRule="exact"/>
        <w:rPr>
          <w:sz w:val="20"/>
          <w:szCs w:val="20"/>
          <w:color w:val="auto"/>
        </w:rPr>
      </w:pPr>
    </w:p>
    <w:p>
      <w:pPr>
        <w:jc w:val="both"/>
        <w:ind w:right="40" w:firstLine="750"/>
        <w:spacing w:after="0" w:line="254" w:lineRule="auto"/>
        <w:rPr>
          <w:sz w:val="20"/>
          <w:szCs w:val="20"/>
          <w:color w:val="auto"/>
        </w:rPr>
      </w:pPr>
      <w:r>
        <w:rPr>
          <w:rFonts w:ascii="Times New Roman" w:cs="Times New Roman" w:eastAsia="Times New Roman" w:hAnsi="Times New Roman"/>
          <w:sz w:val="15"/>
          <w:szCs w:val="15"/>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69" w:lineRule="exact"/>
        <w:rPr>
          <w:sz w:val="20"/>
          <w:szCs w:val="20"/>
          <w:color w:val="auto"/>
        </w:rPr>
      </w:pPr>
    </w:p>
    <w:p>
      <w:pPr>
        <w:ind w:right="6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50" w:lineRule="exact"/>
        <w:rPr>
          <w:sz w:val="20"/>
          <w:szCs w:val="20"/>
          <w:color w:val="auto"/>
        </w:rPr>
      </w:pPr>
    </w:p>
    <w:p>
      <w:pPr>
        <w:ind w:right="220" w:firstLine="750"/>
        <w:spacing w:after="0" w:line="262" w:lineRule="auto"/>
        <w:rPr>
          <w:sz w:val="20"/>
          <w:szCs w:val="20"/>
          <w:color w:val="auto"/>
        </w:rPr>
      </w:pPr>
      <w:r>
        <w:rPr>
          <w:rFonts w:ascii="Times New Roman" w:cs="Times New Roman" w:eastAsia="Times New Roman" w:hAnsi="Times New Roman"/>
          <w:sz w:val="15"/>
          <w:szCs w:val="15"/>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For example, in December 2019, a novel strain of coronavirus, COVID-19, was identified in Wuhan, China. This virus continues to spread globally and in March 2020, the</w:t>
      </w:r>
    </w:p>
    <w:p>
      <w:pPr>
        <w:spacing w:after="0" w:line="8"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5"/>
          <w:szCs w:val="15"/>
          <w:color w:val="auto"/>
        </w:rPr>
        <w:t>World Health Organization declared COVID-19 a pandemic. The COVID-19 pandemic has negatively impacted the global economy, disrupted global supply chains and created significant volatility and disruption of financial markets. The evolving COVID-19 pandemic may impact the pace of enrollment in clinical trials, and we may be affected by similar delays as patients may avoid or may not be able to travel to healthcare facilities and physicians’ offices unless due to a health emergency and clinical trial staff can no longer get to the</w:t>
      </w:r>
    </w:p>
    <w:p>
      <w:pPr>
        <w:spacing w:after="0" w:line="2"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5"/>
          <w:szCs w:val="15"/>
          <w:color w:val="auto"/>
        </w:rPr>
        <w:t>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w:t>
      </w:r>
    </w:p>
    <w:p>
      <w:pPr>
        <w:spacing w:after="0" w:line="1"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15"/>
          <w:szCs w:val="15"/>
          <w:color w:val="auto"/>
        </w:rPr>
        <w:t>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71" w:lineRule="exact"/>
        <w:rPr>
          <w:sz w:val="20"/>
          <w:szCs w:val="20"/>
          <w:color w:val="auto"/>
        </w:rPr>
      </w:pPr>
    </w:p>
    <w:p>
      <w:pPr>
        <w:ind w:right="220" w:firstLine="750"/>
        <w:spacing w:after="0" w:line="230" w:lineRule="auto"/>
        <w:rPr>
          <w:sz w:val="20"/>
          <w:szCs w:val="20"/>
          <w:color w:val="auto"/>
        </w:rPr>
      </w:pPr>
      <w:r>
        <w:rPr>
          <w:rFonts w:ascii="Times New Roman" w:cs="Times New Roman" w:eastAsia="Times New Roman" w:hAnsi="Times New Roman"/>
          <w:sz w:val="15"/>
          <w:szCs w:val="15"/>
          <w:color w:val="auto"/>
        </w:rPr>
        <w:t>We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conducting domestic facility inspections. The agency continues its general suspension of foreign facility inspections (other than “mission-critical” inspections). Because of the global pandemic, decision-making around facility inspections by the FDA (including Pre-Approval and for cause inspections) continues to evolve. For example, the FDA recently announced an extension to a previous pause on domestic inspections through February 4, 2022, due to the omicron variant of COVID-19, with the goal of restarting inspections as soon as possible.</w:t>
      </w:r>
    </w:p>
    <w:p>
      <w:pPr>
        <w:spacing w:after="0" w:line="2" w:lineRule="exact"/>
        <w:rPr>
          <w:sz w:val="20"/>
          <w:szCs w:val="20"/>
          <w:color w:val="auto"/>
        </w:rPr>
      </w:pPr>
    </w:p>
    <w:p>
      <w:pPr>
        <w:ind w:right="400"/>
        <w:spacing w:after="0" w:line="219" w:lineRule="auto"/>
        <w:rPr>
          <w:sz w:val="20"/>
          <w:szCs w:val="20"/>
          <w:color w:val="auto"/>
        </w:rPr>
      </w:pPr>
      <w:r>
        <w:rPr>
          <w:rFonts w:ascii="Times New Roman" w:cs="Times New Roman" w:eastAsia="Times New Roman" w:hAnsi="Times New Roman"/>
          <w:sz w:val="15"/>
          <w:szCs w:val="15"/>
          <w:color w:val="auto"/>
        </w:rPr>
        <w:t>Due to the uncertainty of the COVID-19 pandemic and the FDA’s related internal policies, this could impact future applications and approval of product candidates. The FDA has indicated that under certain circumstances it will utilize remote interactive evaluations which include inspection activities “in advance of or in lieu of” on-site drug inspections.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Nevertheless, we cannot predict at this time whether this or other developments will cause delays or cause other situations that may adversely impact our business.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120" w:firstLine="750"/>
        <w:spacing w:after="0" w:line="248" w:lineRule="auto"/>
        <w:rPr>
          <w:sz w:val="20"/>
          <w:szCs w:val="20"/>
          <w:color w:val="auto"/>
        </w:rPr>
      </w:pPr>
      <w:r>
        <w:rPr>
          <w:rFonts w:ascii="Times New Roman" w:cs="Times New Roman" w:eastAsia="Times New Roman" w:hAnsi="Times New Roman"/>
          <w:sz w:val="15"/>
          <w:szCs w:val="15"/>
          <w:color w:val="auto"/>
        </w:rPr>
        <w:t>The FDA continues to periodically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68" w:lineRule="exact"/>
        <w:rPr>
          <w:sz w:val="20"/>
          <w:szCs w:val="20"/>
          <w:color w:val="auto"/>
        </w:rPr>
      </w:pPr>
    </w:p>
    <w:p>
      <w:pPr>
        <w:ind w:firstLine="750"/>
        <w:spacing w:after="0" w:line="257" w:lineRule="auto"/>
        <w:rPr>
          <w:sz w:val="20"/>
          <w:szCs w:val="20"/>
          <w:color w:val="auto"/>
        </w:rPr>
      </w:pPr>
      <w:r>
        <w:rPr>
          <w:rFonts w:ascii="Times New Roman" w:cs="Times New Roman" w:eastAsia="Times New Roman" w:hAnsi="Times New Roman"/>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48" w:lineRule="exact"/>
        <w:rPr>
          <w:sz w:val="20"/>
          <w:szCs w:val="20"/>
          <w:color w:val="auto"/>
        </w:rPr>
      </w:pPr>
    </w:p>
    <w:p>
      <w:pPr>
        <w:ind w:right="400" w:firstLine="750"/>
        <w:spacing w:after="0" w:line="179" w:lineRule="exact"/>
        <w:rPr>
          <w:sz w:val="20"/>
          <w:szCs w:val="20"/>
          <w:color w:val="auto"/>
        </w:rPr>
      </w:pPr>
      <w:r>
        <w:rPr>
          <w:rFonts w:ascii="Times New Roman" w:cs="Times New Roman" w:eastAsia="Times New Roman" w:hAnsi="Times New Roman"/>
          <w:sz w:val="15"/>
          <w:szCs w:val="15"/>
          <w:color w:val="auto"/>
        </w:rPr>
        <w:t>We may retain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w:t>
      </w:r>
    </w:p>
    <w:p>
      <w:pPr>
        <w:spacing w:after="0" w:line="1" w:lineRule="exact"/>
        <w:rPr>
          <w:sz w:val="20"/>
          <w:szCs w:val="20"/>
          <w:color w:val="auto"/>
        </w:rPr>
      </w:pPr>
    </w:p>
    <w:p>
      <w:pPr>
        <w:ind w:right="100"/>
        <w:spacing w:after="0" w:line="156" w:lineRule="exact"/>
        <w:rPr>
          <w:sz w:val="20"/>
          <w:szCs w:val="20"/>
          <w:color w:val="auto"/>
        </w:rPr>
      </w:pPr>
      <w:r>
        <w:rPr>
          <w:rFonts w:ascii="Times New Roman" w:cs="Times New Roman" w:eastAsia="Times New Roman" w:hAnsi="Times New Roman"/>
          <w:sz w:val="15"/>
          <w:szCs w:val="15"/>
          <w:color w:val="auto"/>
        </w:rPr>
        <w:t>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providers that perform services for us, including entrusting our inventories of products to their care and handling. If these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service providers fail to comply with applicable laws and regulations, fail to meet expected deadlines, or otherwise do not</w:t>
      </w:r>
    </w:p>
    <w:p>
      <w:pPr>
        <w:spacing w:after="0" w:line="2"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15"/>
          <w:szCs w:val="15"/>
          <w:color w:val="auto"/>
        </w:rPr>
        <w:t>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70" w:lineRule="exact"/>
        <w:rPr>
          <w:sz w:val="20"/>
          <w:szCs w:val="20"/>
          <w:color w:val="auto"/>
        </w:rPr>
      </w:pPr>
    </w:p>
    <w:p>
      <w:pPr>
        <w:ind w:right="40" w:firstLine="750"/>
        <w:spacing w:after="0" w:line="232" w:lineRule="auto"/>
        <w:rPr>
          <w:sz w:val="20"/>
          <w:szCs w:val="20"/>
          <w:color w:val="auto"/>
        </w:rPr>
      </w:pPr>
      <w:r>
        <w:rPr>
          <w:rFonts w:ascii="Times New Roman" w:cs="Times New Roman" w:eastAsia="Times New Roman" w:hAnsi="Times New Roman"/>
          <w:sz w:val="15"/>
          <w:szCs w:val="15"/>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9" w:lineRule="exact"/>
        <w:rPr>
          <w:sz w:val="20"/>
          <w:szCs w:val="20"/>
          <w:color w:val="auto"/>
        </w:rPr>
      </w:pPr>
    </w:p>
    <w:p>
      <w:pPr>
        <w:ind w:right="340" w:firstLine="750"/>
        <w:spacing w:after="0" w:line="230" w:lineRule="auto"/>
        <w:rPr>
          <w:sz w:val="20"/>
          <w:szCs w:val="20"/>
          <w:color w:val="auto"/>
        </w:rPr>
      </w:pPr>
      <w:r>
        <w:rPr>
          <w:rFonts w:ascii="Times New Roman" w:cs="Times New Roman" w:eastAsia="Times New Roman" w:hAnsi="Times New Roman"/>
          <w:sz w:val="15"/>
          <w:szCs w:val="15"/>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penalties.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63" w:lineRule="exact"/>
        <w:rPr>
          <w:sz w:val="20"/>
          <w:szCs w:val="20"/>
          <w:color w:val="auto"/>
        </w:rPr>
      </w:pPr>
    </w:p>
    <w:p>
      <w:pPr>
        <w:ind w:right="220" w:firstLine="750"/>
        <w:spacing w:after="0" w:line="221" w:lineRule="auto"/>
        <w:rPr>
          <w:sz w:val="20"/>
          <w:szCs w:val="20"/>
          <w:color w:val="auto"/>
        </w:rPr>
      </w:pPr>
      <w:r>
        <w:rPr>
          <w:rFonts w:ascii="Times New Roman" w:cs="Times New Roman" w:eastAsia="Times New Roman" w:hAnsi="Times New Roman"/>
          <w:sz w:val="15"/>
          <w:szCs w:val="15"/>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w:t>
      </w:r>
    </w:p>
    <w:p>
      <w:pPr>
        <w:spacing w:after="0" w:line="1" w:lineRule="exact"/>
        <w:rPr>
          <w:sz w:val="20"/>
          <w:szCs w:val="20"/>
          <w:color w:val="auto"/>
        </w:rPr>
      </w:pPr>
    </w:p>
    <w:p>
      <w:pPr>
        <w:ind w:right="80"/>
        <w:spacing w:after="0" w:line="161" w:lineRule="exact"/>
        <w:rPr>
          <w:sz w:val="20"/>
          <w:szCs w:val="20"/>
          <w:color w:val="auto"/>
        </w:rPr>
      </w:pPr>
      <w:r>
        <w:rPr>
          <w:rFonts w:ascii="Times New Roman" w:cs="Times New Roman" w:eastAsia="Times New Roman" w:hAnsi="Times New Roman"/>
          <w:sz w:val="15"/>
          <w:szCs w:val="15"/>
          <w:color w:val="auto"/>
        </w:rPr>
        <w:t>April 2019. We currently have not entered into any sub</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5"/>
          <w:szCs w:val="15"/>
          <w:color w:val="auto"/>
        </w:rPr>
        <w:t>process or commercializing the applicable product candidate and, in some cases, termination of the collaboration arrangement. These disagreements can be difficult to resolve if neither of the parties has final decision-making authority.</w:t>
      </w:r>
    </w:p>
    <w:p>
      <w:pPr>
        <w:spacing w:after="0" w:line="170" w:lineRule="exact"/>
        <w:rPr>
          <w:sz w:val="20"/>
          <w:szCs w:val="20"/>
          <w:color w:val="auto"/>
        </w:rPr>
      </w:pPr>
    </w:p>
    <w:p>
      <w:pPr>
        <w:jc w:val="both"/>
        <w:ind w:right="40" w:firstLine="750"/>
        <w:spacing w:after="0" w:line="254" w:lineRule="auto"/>
        <w:rPr>
          <w:sz w:val="20"/>
          <w:szCs w:val="20"/>
          <w:color w:val="auto"/>
        </w:rPr>
      </w:pPr>
      <w:r>
        <w:rPr>
          <w:rFonts w:ascii="Times New Roman" w:cs="Times New Roman" w:eastAsia="Times New Roman" w:hAnsi="Times New Roman"/>
          <w:sz w:val="15"/>
          <w:szCs w:val="15"/>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73" w:lineRule="exact"/>
        <w:rPr>
          <w:sz w:val="20"/>
          <w:szCs w:val="20"/>
          <w:color w:val="auto"/>
        </w:rPr>
      </w:pPr>
    </w:p>
    <w:p>
      <w:pPr>
        <w:ind w:firstLine="750"/>
        <w:spacing w:after="0" w:line="280" w:lineRule="auto"/>
        <w:rPr>
          <w:sz w:val="20"/>
          <w:szCs w:val="20"/>
          <w:color w:val="auto"/>
        </w:rPr>
      </w:pPr>
      <w:r>
        <w:rPr>
          <w:rFonts w:ascii="Times New Roman" w:cs="Times New Roman" w:eastAsia="Times New Roman" w:hAnsi="Times New Roman"/>
          <w:sz w:val="15"/>
          <w:szCs w:val="15"/>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53" w:lineRule="exact"/>
        <w:rPr>
          <w:sz w:val="20"/>
          <w:szCs w:val="20"/>
          <w:color w:val="auto"/>
        </w:rPr>
      </w:pPr>
    </w:p>
    <w:p>
      <w:pPr>
        <w:ind w:left="760" w:hanging="384"/>
        <w:spacing w:after="0"/>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perform their obligations as expected;</w:t>
      </w:r>
    </w:p>
    <w:p>
      <w:pPr>
        <w:spacing w:after="0" w:line="193" w:lineRule="exact"/>
        <w:rPr>
          <w:rFonts w:ascii="Times New Roman" w:cs="Times New Roman" w:eastAsia="Times New Roman" w:hAnsi="Times New Roman"/>
          <w:sz w:val="15"/>
          <w:szCs w:val="15"/>
          <w:color w:val="auto"/>
        </w:rPr>
      </w:pPr>
    </w:p>
    <w:p>
      <w:pPr>
        <w:ind w:left="760" w:right="100" w:hanging="384"/>
        <w:spacing w:after="0" w:line="263"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5" w:lineRule="exact"/>
        <w:rPr>
          <w:rFonts w:ascii="Times New Roman" w:cs="Times New Roman" w:eastAsia="Times New Roman" w:hAnsi="Times New Roman"/>
          <w:sz w:val="15"/>
          <w:szCs w:val="15"/>
          <w:color w:val="auto"/>
        </w:rPr>
      </w:pPr>
    </w:p>
    <w:p>
      <w:pPr>
        <w:ind w:left="760" w:right="220" w:hanging="384"/>
        <w:spacing w:after="0" w:line="280"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could fail to make timely regulatory submissions for a product candidate;</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comply with all applicable regulatory requirements or may fail to report safety data in accordance with all applicable regulatory requirements;</w:t>
      </w:r>
    </w:p>
    <w:p>
      <w:pPr>
        <w:spacing w:after="0" w:line="206" w:lineRule="exact"/>
        <w:rPr>
          <w:rFonts w:ascii="Times New Roman" w:cs="Times New Roman" w:eastAsia="Times New Roman" w:hAnsi="Times New Roman"/>
          <w:sz w:val="15"/>
          <w:szCs w:val="15"/>
          <w:color w:val="auto"/>
        </w:rPr>
      </w:pPr>
    </w:p>
    <w:p>
      <w:pPr>
        <w:ind w:left="760" w:right="240" w:hanging="384"/>
        <w:spacing w:after="0" w:line="263"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3" w:lineRule="exact"/>
        <w:rPr>
          <w:rFonts w:ascii="Times New Roman" w:cs="Times New Roman" w:eastAsia="Times New Roman" w:hAnsi="Times New Roman"/>
          <w:sz w:val="15"/>
          <w:szCs w:val="15"/>
          <w:color w:val="auto"/>
        </w:rPr>
      </w:pPr>
    </w:p>
    <w:p>
      <w:pPr>
        <w:ind w:left="760" w:right="80" w:hanging="384"/>
        <w:spacing w:after="0" w:line="280"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3" w:lineRule="exact"/>
        <w:rPr>
          <w:rFonts w:ascii="Times New Roman" w:cs="Times New Roman" w:eastAsia="Times New Roman" w:hAnsi="Times New Roman"/>
          <w:sz w:val="15"/>
          <w:szCs w:val="15"/>
          <w:color w:val="auto"/>
        </w:rPr>
      </w:pPr>
    </w:p>
    <w:p>
      <w:pPr>
        <w:ind w:left="760" w:right="160" w:hanging="384"/>
        <w:spacing w:after="0" w:line="280"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3" w:lineRule="exact"/>
        <w:rPr>
          <w:rFonts w:ascii="Times New Roman" w:cs="Times New Roman" w:eastAsia="Times New Roman" w:hAnsi="Times New Roman"/>
          <w:sz w:val="15"/>
          <w:szCs w:val="15"/>
          <w:color w:val="auto"/>
        </w:rPr>
      </w:pPr>
    </w:p>
    <w:p>
      <w:pPr>
        <w:ind w:left="760" w:right="100" w:hanging="384"/>
        <w:spacing w:after="0" w:line="254" w:lineRule="auto"/>
        <w:tabs>
          <w:tab w:leader="none" w:pos="7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340" w:hanging="384"/>
        <w:spacing w:after="0" w:line="280" w:lineRule="auto"/>
        <w:tabs>
          <w:tab w:leader="none" w:pos="7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4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infringe the intellectual property rights of third parties, which may expose us to litigation and potential liability.</w:t>
      </w:r>
    </w:p>
    <w:p>
      <w:pPr>
        <w:spacing w:after="0" w:line="207" w:lineRule="exact"/>
        <w:rPr>
          <w:sz w:val="20"/>
          <w:szCs w:val="20"/>
          <w:color w:val="auto"/>
        </w:rPr>
      </w:pPr>
    </w:p>
    <w:p>
      <w:pPr>
        <w:ind w:right="100" w:firstLine="750"/>
        <w:spacing w:after="0" w:line="257" w:lineRule="auto"/>
        <w:rPr>
          <w:sz w:val="20"/>
          <w:szCs w:val="20"/>
          <w:color w:val="auto"/>
        </w:rPr>
      </w:pPr>
      <w:r>
        <w:rPr>
          <w:rFonts w:ascii="Times New Roman" w:cs="Times New Roman" w:eastAsia="Times New Roman" w:hAnsi="Times New Roman"/>
          <w:sz w:val="15"/>
          <w:szCs w:val="15"/>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58" w:lineRule="exact"/>
        <w:rPr>
          <w:sz w:val="20"/>
          <w:szCs w:val="20"/>
          <w:color w:val="auto"/>
        </w:rPr>
      </w:pPr>
    </w:p>
    <w:p>
      <w:pPr>
        <w:jc w:val="both"/>
        <w:ind w:firstLine="750"/>
        <w:spacing w:after="0" w:line="263" w:lineRule="auto"/>
        <w:rPr>
          <w:sz w:val="20"/>
          <w:szCs w:val="20"/>
          <w:color w:val="auto"/>
        </w:rPr>
      </w:pPr>
      <w:r>
        <w:rPr>
          <w:rFonts w:ascii="Times New Roman" w:cs="Times New Roman" w:eastAsia="Times New Roman" w:hAnsi="Times New Roman"/>
          <w:sz w:val="15"/>
          <w:szCs w:val="15"/>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6" w:lineRule="exact"/>
        <w:rPr>
          <w:sz w:val="20"/>
          <w:szCs w:val="20"/>
          <w:color w:val="auto"/>
        </w:rPr>
      </w:pPr>
    </w:p>
    <w:p>
      <w:pPr>
        <w:ind w:firstLine="750"/>
        <w:spacing w:after="0" w:line="217" w:lineRule="auto"/>
        <w:rPr>
          <w:sz w:val="20"/>
          <w:szCs w:val="20"/>
          <w:color w:val="auto"/>
        </w:rPr>
      </w:pPr>
      <w:r>
        <w:rPr>
          <w:rFonts w:ascii="Times New Roman" w:cs="Times New Roman" w:eastAsia="Times New Roman" w:hAnsi="Times New Roman"/>
          <w:sz w:val="15"/>
          <w:szCs w:val="15"/>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w:t>
      </w:r>
    </w:p>
    <w:p>
      <w:pPr>
        <w:spacing w:after="0" w:line="3"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5"/>
          <w:szCs w:val="15"/>
          <w:color w:val="auto"/>
        </w:rPr>
        <w:t>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5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50" w:lineRule="exact"/>
        <w:rPr>
          <w:sz w:val="20"/>
          <w:szCs w:val="20"/>
          <w:color w:val="auto"/>
        </w:rPr>
      </w:pPr>
    </w:p>
    <w:p>
      <w:pPr>
        <w:ind w:right="160" w:firstLine="750"/>
        <w:spacing w:after="0" w:line="224" w:lineRule="auto"/>
        <w:rPr>
          <w:sz w:val="20"/>
          <w:szCs w:val="20"/>
          <w:color w:val="auto"/>
        </w:rPr>
      </w:pPr>
      <w:r>
        <w:rPr>
          <w:rFonts w:ascii="Times New Roman" w:cs="Times New Roman" w:eastAsia="Times New Roman" w:hAnsi="Times New Roman"/>
          <w:sz w:val="15"/>
          <w:szCs w:val="15"/>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w:t>
      </w:r>
    </w:p>
    <w:p>
      <w:pPr>
        <w:spacing w:after="0" w:line="1"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5"/>
          <w:szCs w:val="15"/>
          <w:color w:val="auto"/>
        </w:rPr>
        <w:t>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Third-party payors often have tiered formularies in which the</w:t>
      </w:r>
    </w:p>
    <w:p>
      <w:pPr>
        <w:spacing w:after="0" w:line="1" w:lineRule="exact"/>
        <w:rPr>
          <w:sz w:val="20"/>
          <w:szCs w:val="20"/>
          <w:color w:val="auto"/>
        </w:rPr>
      </w:pPr>
    </w:p>
    <w:p>
      <w:pPr>
        <w:jc w:val="both"/>
        <w:ind w:right="440"/>
        <w:spacing w:after="0" w:line="231" w:lineRule="auto"/>
        <w:rPr>
          <w:sz w:val="20"/>
          <w:szCs w:val="20"/>
          <w:color w:val="auto"/>
        </w:rPr>
      </w:pPr>
      <w:r>
        <w:rPr>
          <w:rFonts w:ascii="Times New Roman" w:cs="Times New Roman" w:eastAsia="Times New Roman" w:hAnsi="Times New Roman"/>
          <w:sz w:val="15"/>
          <w:szCs w:val="15"/>
          <w:color w:val="auto"/>
        </w:rPr>
        <w:t>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18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0" w:lineRule="exact"/>
        <w:rPr>
          <w:sz w:val="20"/>
          <w:szCs w:val="20"/>
          <w:color w:val="auto"/>
        </w:rPr>
      </w:pPr>
    </w:p>
    <w:p>
      <w:pPr>
        <w:ind w:right="120" w:firstLine="750"/>
        <w:spacing w:after="0" w:line="161" w:lineRule="exact"/>
        <w:rPr>
          <w:sz w:val="20"/>
          <w:szCs w:val="20"/>
          <w:color w:val="auto"/>
        </w:rPr>
      </w:pPr>
      <w:r>
        <w:rPr>
          <w:rFonts w:ascii="Times New Roman" w:cs="Times New Roman" w:eastAsia="Times New Roman" w:hAnsi="Times New Roman"/>
          <w:sz w:val="15"/>
          <w:szCs w:val="15"/>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valid and enforceable patents or trade secrets.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17" w:lineRule="auto"/>
        <w:rPr>
          <w:sz w:val="20"/>
          <w:szCs w:val="20"/>
          <w:color w:val="auto"/>
        </w:rPr>
      </w:pPr>
      <w:r>
        <w:rPr>
          <w:rFonts w:ascii="Times New Roman" w:cs="Times New Roman" w:eastAsia="Times New Roman" w:hAnsi="Times New Roman"/>
          <w:sz w:val="15"/>
          <w:szCs w:val="15"/>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w:t>
      </w:r>
    </w:p>
    <w:p>
      <w:pPr>
        <w:spacing w:after="0" w:line="3" w:lineRule="exact"/>
        <w:rPr>
          <w:sz w:val="20"/>
          <w:szCs w:val="20"/>
          <w:color w:val="auto"/>
        </w:rPr>
      </w:pPr>
    </w:p>
    <w:p>
      <w:pPr>
        <w:ind w:right="20"/>
        <w:spacing w:after="0" w:line="156" w:lineRule="exact"/>
        <w:rPr>
          <w:sz w:val="20"/>
          <w:szCs w:val="20"/>
          <w:color w:val="auto"/>
        </w:rPr>
      </w:pPr>
      <w:r>
        <w:rPr>
          <w:rFonts w:ascii="Times New Roman" w:cs="Times New Roman" w:eastAsia="Times New Roman" w:hAnsi="Times New Roman"/>
          <w:sz w:val="15"/>
          <w:szCs w:val="15"/>
          <w:color w:val="auto"/>
        </w:rPr>
        <w:t>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60" w:lineRule="exact"/>
        <w:rPr>
          <w:sz w:val="20"/>
          <w:szCs w:val="20"/>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been the first to conceive of and reduce to practice the inventions covered by each of our pending patent applications and issued patents;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been the first to file patent applications for these inventions;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product candidates or technologies;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none of the pending patent applications will result in issued patents;</w:t>
      </w:r>
    </w:p>
    <w:p>
      <w:pPr>
        <w:spacing w:after="0" w:line="193" w:lineRule="exact"/>
        <w:rPr>
          <w:rFonts w:ascii="Times New Roman" w:cs="Times New Roman" w:eastAsia="Times New Roman" w:hAnsi="Times New Roman"/>
          <w:sz w:val="15"/>
          <w:szCs w:val="15"/>
          <w:color w:val="auto"/>
        </w:rPr>
      </w:pPr>
    </w:p>
    <w:p>
      <w:pPr>
        <w:ind w:left="760" w:right="340" w:hanging="384"/>
        <w:spacing w:after="0" w:line="280" w:lineRule="auto"/>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issued patents may not cover commercially viable active products, may not provide us with any competitive advantages, or may be successfully challenged by third parties;</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patents of others may have an adverse effect on our business;</w:t>
      </w:r>
    </w:p>
    <w:p>
      <w:pPr>
        <w:spacing w:after="0" w:line="206" w:lineRule="exact"/>
        <w:rPr>
          <w:rFonts w:ascii="Times New Roman" w:cs="Times New Roman" w:eastAsia="Times New Roman" w:hAnsi="Times New Roman"/>
          <w:sz w:val="15"/>
          <w:szCs w:val="15"/>
          <w:color w:val="auto"/>
        </w:rPr>
      </w:pPr>
    </w:p>
    <w:p>
      <w:pPr>
        <w:ind w:left="760" w:right="100" w:hanging="384"/>
        <w:spacing w:after="0" w:line="262" w:lineRule="auto"/>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6" w:lineRule="exact"/>
        <w:rPr>
          <w:rFonts w:ascii="Times New Roman" w:cs="Times New Roman" w:eastAsia="Times New Roman" w:hAnsi="Times New Roman"/>
          <w:sz w:val="15"/>
          <w:szCs w:val="15"/>
          <w:color w:val="auto"/>
        </w:rPr>
      </w:pPr>
    </w:p>
    <w:p>
      <w:pPr>
        <w:ind w:left="760" w:right="20" w:hanging="384"/>
        <w:spacing w:after="0" w:line="280" w:lineRule="auto"/>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53" w:lineRule="exact"/>
        <w:rPr>
          <w:rFonts w:ascii="Times New Roman" w:cs="Times New Roman" w:eastAsia="Times New Roman" w:hAnsi="Times New Roman"/>
          <w:sz w:val="15"/>
          <w:szCs w:val="15"/>
          <w:color w:val="auto"/>
        </w:rPr>
      </w:pPr>
    </w:p>
    <w:p>
      <w:pPr>
        <w:ind w:left="760" w:right="80" w:hanging="384"/>
        <w:spacing w:after="0" w:line="280" w:lineRule="auto"/>
        <w:tabs>
          <w:tab w:leader="none" w:pos="7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20" w:firstLine="750"/>
        <w:spacing w:after="0" w:line="177" w:lineRule="exact"/>
        <w:rPr>
          <w:sz w:val="20"/>
          <w:szCs w:val="20"/>
          <w:color w:val="auto"/>
        </w:rPr>
      </w:pPr>
      <w:r>
        <w:rPr>
          <w:rFonts w:ascii="Times New Roman" w:cs="Times New Roman" w:eastAsia="Times New Roman" w:hAnsi="Times New Roman"/>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51"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38"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5"/>
          <w:szCs w:val="15"/>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7"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8"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76" w:lineRule="exact"/>
        <w:rPr>
          <w:sz w:val="20"/>
          <w:szCs w:val="20"/>
          <w:color w:val="auto"/>
        </w:rPr>
      </w:pPr>
    </w:p>
    <w:p>
      <w:pPr>
        <w:ind w:right="160" w:firstLine="750"/>
        <w:spacing w:after="0" w:line="251" w:lineRule="auto"/>
        <w:rPr>
          <w:sz w:val="20"/>
          <w:szCs w:val="20"/>
          <w:color w:val="auto"/>
        </w:rPr>
      </w:pPr>
      <w:r>
        <w:rPr>
          <w:rFonts w:ascii="Times New Roman" w:cs="Times New Roman" w:eastAsia="Times New Roman" w:hAnsi="Times New Roman"/>
          <w:sz w:val="15"/>
          <w:szCs w:val="15"/>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260" w:firstLine="750"/>
        <w:spacing w:after="0" w:line="250" w:lineRule="auto"/>
        <w:rPr>
          <w:sz w:val="20"/>
          <w:szCs w:val="20"/>
          <w:color w:val="auto"/>
        </w:rPr>
      </w:pPr>
      <w:r>
        <w:rPr>
          <w:rFonts w:ascii="Times New Roman" w:cs="Times New Roman" w:eastAsia="Times New Roman" w:hAnsi="Times New Roman"/>
          <w:sz w:val="15"/>
          <w:szCs w:val="15"/>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2"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8" w:lineRule="exact"/>
        <w:rPr>
          <w:sz w:val="20"/>
          <w:szCs w:val="20"/>
          <w:color w:val="auto"/>
        </w:rPr>
      </w:pPr>
    </w:p>
    <w:p>
      <w:pPr>
        <w:ind w:right="20" w:firstLine="750"/>
        <w:spacing w:after="0" w:line="178" w:lineRule="exact"/>
        <w:rPr>
          <w:sz w:val="20"/>
          <w:szCs w:val="20"/>
          <w:color w:val="auto"/>
        </w:rPr>
      </w:pPr>
      <w:r>
        <w:rPr>
          <w:rFonts w:ascii="Times New Roman" w:cs="Times New Roman" w:eastAsia="Times New Roman" w:hAnsi="Times New Roman"/>
          <w:sz w:val="15"/>
          <w:szCs w:val="15"/>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U.S. patent agencies for the patents and patent applications we own and those that we 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62"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If a third-party claims that we infringe their intellectual property rights, we could face a number of issues, including:</w:t>
      </w:r>
    </w:p>
    <w:p>
      <w:pPr>
        <w:spacing w:after="0" w:line="207" w:lineRule="exact"/>
        <w:rPr>
          <w:sz w:val="20"/>
          <w:szCs w:val="20"/>
          <w:color w:val="auto"/>
        </w:rPr>
      </w:pPr>
    </w:p>
    <w:p>
      <w:pPr>
        <w:ind w:left="760" w:right="500" w:hanging="384"/>
        <w:spacing w:after="0" w:line="280" w:lineRule="auto"/>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infringement and other intellectual property claims which, whether meritorious or not, can be expensive and time consuming to litigate and can divert management’s attention from our core business;</w:t>
      </w:r>
    </w:p>
    <w:p>
      <w:pPr>
        <w:spacing w:after="0" w:line="15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damages for past infringement which we may have to pay if a court decides that our product infringes on a competitor’s patent;</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prohibiting us from selling or licensing our product unless the patent holder licenses the patent to us, which it would not be required to do;</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license is available from a patent holder, we may have to pay substantial royalties or grant cross licenses to our patents;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redesigning our product candidates and processes so they do not infringe, which may not be possible or could require substantial funds and time.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100" w:firstLine="750"/>
        <w:spacing w:after="0" w:line="178" w:lineRule="exact"/>
        <w:rPr>
          <w:sz w:val="20"/>
          <w:szCs w:val="20"/>
          <w:color w:val="auto"/>
        </w:rPr>
      </w:pPr>
      <w:r>
        <w:rPr>
          <w:rFonts w:ascii="Times New Roman" w:cs="Times New Roman" w:eastAsia="Times New Roman" w:hAnsi="Times New Roman"/>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11"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9" w:lineRule="exact"/>
        <w:rPr>
          <w:sz w:val="20"/>
          <w:szCs w:val="20"/>
          <w:color w:val="auto"/>
        </w:rPr>
      </w:pPr>
    </w:p>
    <w:p>
      <w:pPr>
        <w:ind w:right="80" w:firstLine="750"/>
        <w:spacing w:after="0" w:line="251" w:lineRule="auto"/>
        <w:rPr>
          <w:sz w:val="20"/>
          <w:szCs w:val="20"/>
          <w:color w:val="auto"/>
        </w:rPr>
      </w:pPr>
      <w:r>
        <w:rPr>
          <w:rFonts w:ascii="Times New Roman" w:cs="Times New Roman" w:eastAsia="Times New Roman" w:hAnsi="Times New Roman"/>
          <w:sz w:val="15"/>
          <w:szCs w:val="15"/>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8" w:lineRule="exact"/>
        <w:rPr>
          <w:sz w:val="20"/>
          <w:szCs w:val="20"/>
          <w:color w:val="auto"/>
        </w:rPr>
      </w:pPr>
    </w:p>
    <w:p>
      <w:pPr>
        <w:ind w:right="80" w:firstLine="750"/>
        <w:spacing w:after="0" w:line="248" w:lineRule="auto"/>
        <w:rPr>
          <w:sz w:val="20"/>
          <w:szCs w:val="20"/>
          <w:color w:val="auto"/>
        </w:rPr>
      </w:pPr>
      <w:r>
        <w:rPr>
          <w:rFonts w:ascii="Times New Roman" w:cs="Times New Roman" w:eastAsia="Times New Roman" w:hAnsi="Times New Roman"/>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80" w:firstLine="750"/>
        <w:spacing w:after="0" w:line="230" w:lineRule="auto"/>
        <w:rPr>
          <w:sz w:val="20"/>
          <w:szCs w:val="20"/>
          <w:color w:val="auto"/>
        </w:rPr>
      </w:pPr>
      <w:r>
        <w:rPr>
          <w:rFonts w:ascii="Times New Roman" w:cs="Times New Roman" w:eastAsia="Times New Roman" w:hAnsi="Times New Roman"/>
          <w:sz w:val="15"/>
          <w:szCs w:val="15"/>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w:t>
      </w:r>
    </w:p>
    <w:p>
      <w:pPr>
        <w:spacing w:after="0" w:line="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5"/>
          <w:szCs w:val="15"/>
          <w:color w:val="auto"/>
        </w:rPr>
        <w:t>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w:t>
      </w:r>
    </w:p>
    <w:p>
      <w:pPr>
        <w:spacing w:after="0" w:line="2"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5"/>
          <w:szCs w:val="15"/>
          <w:color w:val="auto"/>
        </w:rPr>
        <w:t>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5"/>
          <w:szCs w:val="15"/>
          <w:color w:val="auto"/>
        </w:rPr>
        <w:t>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prospects will be materially harmed.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In 2012, we entered into three exclusive license agreements with Antecip Bioventures II LLC, or Antecip, an entity owned by our Chief Executive Officer and Chairman of</w:t>
      </w:r>
    </w:p>
    <w:p>
      <w:pPr>
        <w:spacing w:after="0" w:line="8" w:lineRule="exact"/>
        <w:rPr>
          <w:sz w:val="20"/>
          <w:szCs w:val="20"/>
          <w:color w:val="auto"/>
        </w:rPr>
      </w:pPr>
    </w:p>
    <w:p>
      <w:pPr>
        <w:ind w:right="360"/>
        <w:spacing w:after="0" w:line="219" w:lineRule="auto"/>
        <w:rPr>
          <w:sz w:val="20"/>
          <w:szCs w:val="20"/>
          <w:color w:val="auto"/>
        </w:rPr>
      </w:pPr>
      <w:r>
        <w:rPr>
          <w:rFonts w:ascii="Times New Roman" w:cs="Times New Roman" w:eastAsia="Times New Roman" w:hAnsi="Times New Roman"/>
          <w:sz w:val="15"/>
          <w:szCs w:val="15"/>
          <w:color w:val="auto"/>
        </w:rPr>
        <w:t>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5"/>
          <w:szCs w:val="15"/>
          <w:color w:val="auto"/>
        </w:rPr>
        <w:t>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w:t>
      </w:r>
    </w:p>
    <w:p>
      <w:pPr>
        <w:spacing w:after="0" w:line="2"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5"/>
          <w:szCs w:val="15"/>
          <w:color w:val="auto"/>
        </w:rPr>
        <w:t>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w:t>
      </w:r>
    </w:p>
    <w:p>
      <w:pPr>
        <w:spacing w:after="0" w:line="1" w:lineRule="exact"/>
        <w:rPr>
          <w:sz w:val="20"/>
          <w:szCs w:val="20"/>
          <w:color w:val="auto"/>
        </w:rPr>
      </w:pPr>
    </w:p>
    <w:p>
      <w:pPr>
        <w:ind w:right="20"/>
        <w:spacing w:after="0" w:line="156" w:lineRule="exact"/>
        <w:rPr>
          <w:sz w:val="20"/>
          <w:szCs w:val="20"/>
          <w:color w:val="auto"/>
        </w:rPr>
      </w:pPr>
      <w:r>
        <w:rPr>
          <w:rFonts w:ascii="Times New Roman" w:cs="Times New Roman" w:eastAsia="Times New Roman" w:hAnsi="Times New Roman"/>
          <w:sz w:val="15"/>
          <w:szCs w:val="15"/>
          <w:color w:val="auto"/>
        </w:rPr>
        <w:t>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w:t>
      </w:r>
    </w:p>
    <w:p>
      <w:pPr>
        <w:spacing w:after="0" w:line="2" w:lineRule="exact"/>
        <w:rPr>
          <w:sz w:val="20"/>
          <w:szCs w:val="20"/>
          <w:color w:val="auto"/>
        </w:rPr>
      </w:pPr>
    </w:p>
    <w:p>
      <w:pPr>
        <w:ind w:right="580"/>
        <w:spacing w:after="0" w:line="231" w:lineRule="auto"/>
        <w:rPr>
          <w:sz w:val="20"/>
          <w:szCs w:val="20"/>
          <w:color w:val="auto"/>
        </w:rPr>
      </w:pPr>
      <w:r>
        <w:rPr>
          <w:rFonts w:ascii="Times New Roman" w:cs="Times New Roman" w:eastAsia="Times New Roman" w:hAnsi="Times New Roman"/>
          <w:sz w:val="15"/>
          <w:szCs w:val="15"/>
          <w:color w:val="auto"/>
        </w:rPr>
        <w:t>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16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As is common in the biotechnology and pharmaceutical industry, we employ individuals who were previously employed at other biotechnology or pharmaceutical</w:t>
      </w:r>
    </w:p>
    <w:p>
      <w:pPr>
        <w:spacing w:after="0" w:line="8"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5"/>
          <w:szCs w:val="15"/>
          <w:color w:val="auto"/>
        </w:rPr>
        <w:t>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adequately prevent disclosure of trade secrets and other proprietary information.</w:t>
      </w:r>
    </w:p>
    <w:p>
      <w:pPr>
        <w:spacing w:after="0" w:line="160" w:lineRule="exact"/>
        <w:rPr>
          <w:sz w:val="20"/>
          <w:szCs w:val="20"/>
          <w:color w:val="auto"/>
        </w:rPr>
      </w:pPr>
    </w:p>
    <w:p>
      <w:pPr>
        <w:ind w:left="760"/>
        <w:spacing w:after="0" w:line="173" w:lineRule="exact"/>
        <w:rPr>
          <w:sz w:val="20"/>
          <w:szCs w:val="20"/>
          <w:color w:val="auto"/>
        </w:rPr>
      </w:pPr>
      <w:r>
        <w:rPr>
          <w:rFonts w:ascii="Times New Roman" w:cs="Times New Roman" w:eastAsia="Times New Roman" w:hAnsi="Times New Roman"/>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how, especially where we do not believe patent protection is appropriate or obtainable.</w:t>
      </w:r>
    </w:p>
    <w:p>
      <w:pPr>
        <w:spacing w:after="0" w:line="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w:t>
      </w:r>
    </w:p>
    <w:p>
      <w:pPr>
        <w:spacing w:after="0" w:line="2" w:lineRule="exact"/>
        <w:rPr>
          <w:sz w:val="20"/>
          <w:szCs w:val="20"/>
          <w:color w:val="auto"/>
        </w:rPr>
      </w:pPr>
    </w:p>
    <w:p>
      <w:pPr>
        <w:ind w:right="160"/>
        <w:spacing w:after="0" w:line="158" w:lineRule="exact"/>
        <w:rPr>
          <w:sz w:val="20"/>
          <w:szCs w:val="20"/>
          <w:color w:val="auto"/>
        </w:rPr>
      </w:pPr>
      <w:r>
        <w:rPr>
          <w:rFonts w:ascii="Times New Roman" w:cs="Times New Roman" w:eastAsia="Times New Roman" w:hAnsi="Times New Roman"/>
          <w:sz w:val="15"/>
          <w:szCs w:val="15"/>
          <w:color w:val="auto"/>
        </w:rPr>
        <w:t>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consuming litigation could be necessary to enforce and determine the scope of our proprietary rights. In addition, others may independently discover our trade secrets and</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5"/>
          <w:szCs w:val="15"/>
          <w:color w:val="auto"/>
        </w:rPr>
        <w:t>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proprietary information to develop products that compete with our products or cause additional, material adverse effects upon our competitive business position and financial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or our licensors may not be able to protect our intellectual property rights throughout the world.</w:t>
      </w:r>
    </w:p>
    <w:p>
      <w:pPr>
        <w:spacing w:after="0" w:line="211"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w:t>
      </w:r>
    </w:p>
    <w:p>
      <w:pPr>
        <w:spacing w:after="0" w:line="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5"/>
          <w:szCs w:val="15"/>
          <w:color w:val="auto"/>
        </w:rPr>
        <w:t>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w:t>
      </w:r>
    </w:p>
    <w:p>
      <w:pPr>
        <w:spacing w:after="0" w:line="1"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5"/>
          <w:szCs w:val="15"/>
          <w:color w:val="auto"/>
        </w:rPr>
        <w:t>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intellectual property rights may not be effective or sufficient to prevent them from competing.</w:t>
      </w:r>
    </w:p>
    <w:p>
      <w:pPr>
        <w:spacing w:after="0" w:line="165" w:lineRule="exact"/>
        <w:rPr>
          <w:sz w:val="20"/>
          <w:szCs w:val="20"/>
          <w:color w:val="auto"/>
        </w:rPr>
      </w:pPr>
    </w:p>
    <w:p>
      <w:pPr>
        <w:jc w:val="both"/>
        <w:ind w:right="520" w:firstLine="750"/>
        <w:spacing w:after="0" w:line="230" w:lineRule="auto"/>
        <w:rPr>
          <w:sz w:val="20"/>
          <w:szCs w:val="20"/>
          <w:color w:val="auto"/>
        </w:rPr>
      </w:pPr>
      <w:r>
        <w:rPr>
          <w:rFonts w:ascii="Times New Roman" w:cs="Times New Roman" w:eastAsia="Times New Roman" w:hAnsi="Times New Roman"/>
          <w:sz w:val="15"/>
          <w:szCs w:val="15"/>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w:t>
      </w:r>
    </w:p>
    <w:p>
      <w:pPr>
        <w:spacing w:after="0" w:line="1" w:lineRule="exact"/>
        <w:rPr>
          <w:sz w:val="20"/>
          <w:szCs w:val="20"/>
          <w:color w:val="auto"/>
        </w:rPr>
      </w:pPr>
    </w:p>
    <w:p>
      <w:pPr>
        <w:ind w:right="320"/>
        <w:spacing w:after="0" w:line="219" w:lineRule="auto"/>
        <w:rPr>
          <w:sz w:val="20"/>
          <w:szCs w:val="20"/>
          <w:color w:val="auto"/>
        </w:rPr>
      </w:pPr>
      <w:r>
        <w:rPr>
          <w:rFonts w:ascii="Times New Roman" w:cs="Times New Roman" w:eastAsia="Times New Roman" w:hAnsi="Times New Roman"/>
          <w:sz w:val="15"/>
          <w:szCs w:val="15"/>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5"/>
          <w:szCs w:val="15"/>
          <w:color w:val="auto"/>
        </w:rPr>
        <w:t>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LEGAL AND COMPLIANCE MATTERS</w:t>
      </w:r>
    </w:p>
    <w:p>
      <w:pPr>
        <w:spacing w:after="0" w:line="207"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50" w:lineRule="exact"/>
        <w:rPr>
          <w:sz w:val="20"/>
          <w:szCs w:val="20"/>
          <w:color w:val="auto"/>
        </w:rPr>
      </w:pPr>
    </w:p>
    <w:p>
      <w:pPr>
        <w:ind w:right="160" w:firstLine="750"/>
        <w:spacing w:after="0" w:line="166" w:lineRule="exact"/>
        <w:rPr>
          <w:sz w:val="20"/>
          <w:szCs w:val="20"/>
          <w:color w:val="auto"/>
        </w:rPr>
      </w:pPr>
      <w:r>
        <w:rPr>
          <w:rFonts w:ascii="Times New Roman" w:cs="Times New Roman" w:eastAsia="Times New Roman" w:hAnsi="Times New Roman"/>
          <w:sz w:val="15"/>
          <w:szCs w:val="15"/>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such as the federal Anti-Kickback Statute, the federal civil and criminal False Claims Act, the civil monetary penalties</w:t>
      </w:r>
    </w:p>
    <w:p>
      <w:pPr>
        <w:spacing w:after="0" w:line="1"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5"/>
          <w:szCs w:val="15"/>
          <w:color w:val="auto"/>
        </w:rPr>
        <w:t>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will be applicable to our business. We would be subject to healthcare fraud and abuse laws by both the federal government and the states in which we conduct our business.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60" w:firstLine="750"/>
        <w:spacing w:after="0" w:line="230" w:lineRule="auto"/>
        <w:rPr>
          <w:sz w:val="20"/>
          <w:szCs w:val="20"/>
          <w:color w:val="auto"/>
        </w:rPr>
      </w:pPr>
      <w:r>
        <w:rPr>
          <w:rFonts w:ascii="Times New Roman" w:cs="Times New Roman" w:eastAsia="Times New Roman" w:hAnsi="Times New Roman"/>
          <w:sz w:val="15"/>
          <w:szCs w:val="15"/>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5"/>
          <w:szCs w:val="15"/>
          <w:color w:val="auto"/>
        </w:rPr>
        <w:t>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w:t>
      </w:r>
    </w:p>
    <w:p>
      <w:pPr>
        <w:spacing w:after="0" w:line="2"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5"/>
          <w:szCs w:val="15"/>
          <w:color w:val="auto"/>
        </w:rPr>
        <w:t>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70" w:lineRule="exact"/>
        <w:rPr>
          <w:sz w:val="20"/>
          <w:szCs w:val="20"/>
          <w:color w:val="auto"/>
        </w:rPr>
      </w:pPr>
    </w:p>
    <w:p>
      <w:pPr>
        <w:ind w:right="60" w:firstLine="750"/>
        <w:spacing w:after="0" w:line="224" w:lineRule="auto"/>
        <w:rPr>
          <w:sz w:val="20"/>
          <w:szCs w:val="20"/>
          <w:color w:val="auto"/>
        </w:rPr>
      </w:pPr>
      <w:r>
        <w:rPr>
          <w:rFonts w:ascii="Times New Roman" w:cs="Times New Roman" w:eastAsia="Times New Roman" w:hAnsi="Times New Roman"/>
          <w:sz w:val="15"/>
          <w:szCs w:val="15"/>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5"/>
          <w:szCs w:val="15"/>
          <w:color w:val="auto"/>
        </w:rPr>
        <w:t>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w:t>
      </w:r>
    </w:p>
    <w:p>
      <w:pPr>
        <w:spacing w:after="0" w:line="2"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5"/>
          <w:szCs w:val="15"/>
          <w:color w:val="auto"/>
        </w:rPr>
        <w:t>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5"/>
          <w:szCs w:val="15"/>
          <w:color w:val="auto"/>
        </w:rPr>
        <w:t>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0" w:lineRule="exact"/>
        <w:rPr>
          <w:sz w:val="20"/>
          <w:szCs w:val="20"/>
          <w:color w:val="auto"/>
        </w:rPr>
      </w:pPr>
    </w:p>
    <w:p>
      <w:pPr>
        <w:ind w:right="20" w:firstLine="750"/>
        <w:spacing w:after="0" w:line="224" w:lineRule="auto"/>
        <w:rPr>
          <w:sz w:val="20"/>
          <w:szCs w:val="20"/>
          <w:color w:val="auto"/>
        </w:rPr>
      </w:pPr>
      <w:r>
        <w:rPr>
          <w:rFonts w:ascii="Times New Roman" w:cs="Times New Roman" w:eastAsia="Times New Roman" w:hAnsi="Times New Roman"/>
          <w:sz w:val="15"/>
          <w:szCs w:val="15"/>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w:t>
      </w:r>
    </w:p>
    <w:p>
      <w:pPr>
        <w:spacing w:after="0" w:line="1"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5"/>
          <w:szCs w:val="15"/>
          <w:color w:val="auto"/>
        </w:rPr>
        <w:t>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limited to, exclusions from participation in government healthcare programs, which could also materially affect our business.</w:t>
      </w:r>
    </w:p>
    <w:p>
      <w:pPr>
        <w:spacing w:after="0" w:line="165" w:lineRule="exact"/>
        <w:rPr>
          <w:sz w:val="20"/>
          <w:szCs w:val="20"/>
          <w:color w:val="auto"/>
        </w:rPr>
      </w:pPr>
    </w:p>
    <w:p>
      <w:pPr>
        <w:ind w:right="100" w:firstLine="750"/>
        <w:spacing w:after="0" w:line="230" w:lineRule="auto"/>
        <w:rPr>
          <w:sz w:val="20"/>
          <w:szCs w:val="20"/>
          <w:color w:val="auto"/>
        </w:rPr>
      </w:pPr>
      <w:r>
        <w:rPr>
          <w:rFonts w:ascii="Times New Roman" w:cs="Times New Roman" w:eastAsia="Times New Roman" w:hAnsi="Times New Roman"/>
          <w:sz w:val="15"/>
          <w:szCs w:val="15"/>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defend against it, could cause us to incur significant legal expenses and divert our management’s attention from the operation of our business.</w:t>
      </w:r>
    </w:p>
    <w:p>
      <w:pPr>
        <w:spacing w:after="0" w:line="161"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37" w:lineRule="exact"/>
        <w:rPr>
          <w:sz w:val="20"/>
          <w:szCs w:val="20"/>
          <w:color w:val="auto"/>
        </w:rPr>
      </w:pPr>
    </w:p>
    <w:p>
      <w:pPr>
        <w:ind w:right="220" w:firstLine="750"/>
        <w:spacing w:after="0" w:line="230" w:lineRule="auto"/>
        <w:rPr>
          <w:sz w:val="20"/>
          <w:szCs w:val="20"/>
          <w:color w:val="auto"/>
        </w:rPr>
      </w:pPr>
      <w:r>
        <w:rPr>
          <w:rFonts w:ascii="Times New Roman" w:cs="Times New Roman" w:eastAsia="Times New Roman" w:hAnsi="Times New Roman"/>
          <w:sz w:val="15"/>
          <w:szCs w:val="15"/>
          <w:color w:val="auto"/>
        </w:rPr>
        <w:t>In both domestic and foreign markets, sales of our future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w:t>
      </w:r>
    </w:p>
    <w:p>
      <w:pPr>
        <w:spacing w:after="0" w:line="1"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15"/>
          <w:szCs w:val="15"/>
          <w:color w:val="auto"/>
        </w:rPr>
        <w:t>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w:t>
      </w:r>
    </w:p>
    <w:p>
      <w:pPr>
        <w:spacing w:after="0" w:line="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5"/>
          <w:szCs w:val="15"/>
          <w:color w:val="auto"/>
        </w:rPr>
        <w:t>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w:t>
      </w:r>
    </w:p>
    <w:p>
      <w:pPr>
        <w:spacing w:after="0" w:line="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5"/>
          <w:szCs w:val="15"/>
          <w:color w:val="auto"/>
        </w:rPr>
        <w:t>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30" w:lineRule="auto"/>
        <w:rPr>
          <w:sz w:val="20"/>
          <w:szCs w:val="20"/>
          <w:color w:val="auto"/>
        </w:rPr>
      </w:pPr>
      <w:r>
        <w:rPr>
          <w:rFonts w:ascii="Times New Roman" w:cs="Times New Roman" w:eastAsia="Times New Roman" w:hAnsi="Times New Roman"/>
          <w:sz w:val="15"/>
          <w:szCs w:val="15"/>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w:t>
      </w:r>
    </w:p>
    <w:p>
      <w:pPr>
        <w:spacing w:after="0" w:line="1"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5"/>
          <w:szCs w:val="15"/>
          <w:color w:val="auto"/>
        </w:rPr>
        <w:t>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w:t>
      </w:r>
    </w:p>
    <w:p>
      <w:pPr>
        <w:spacing w:after="0" w:line="2"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5"/>
          <w:szCs w:val="15"/>
          <w:color w:val="auto"/>
        </w:rPr>
        <w:t>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w:t>
      </w:r>
    </w:p>
    <w:p>
      <w:pPr>
        <w:spacing w:after="0" w:line="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5"/>
          <w:szCs w:val="15"/>
          <w:color w:val="auto"/>
        </w:rPr>
        <w:t>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w:t>
      </w:r>
    </w:p>
    <w:p>
      <w:pPr>
        <w:spacing w:after="0" w:line="2"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5"/>
          <w:szCs w:val="15"/>
          <w:color w:val="auto"/>
        </w:rPr>
        <w:t>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5"/>
          <w:szCs w:val="15"/>
          <w:color w:val="auto"/>
        </w:rPr>
        <w:t>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5"/>
          <w:szCs w:val="15"/>
          <w:color w:val="auto"/>
        </w:rPr>
        <w:t>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70" w:lineRule="exact"/>
        <w:rPr>
          <w:sz w:val="20"/>
          <w:szCs w:val="20"/>
          <w:color w:val="auto"/>
        </w:rPr>
      </w:pPr>
    </w:p>
    <w:p>
      <w:pPr>
        <w:ind w:right="260" w:firstLine="750"/>
        <w:spacing w:after="0" w:line="230" w:lineRule="auto"/>
        <w:rPr>
          <w:sz w:val="20"/>
          <w:szCs w:val="20"/>
          <w:color w:val="auto"/>
        </w:rPr>
      </w:pPr>
      <w:r>
        <w:rPr>
          <w:rFonts w:ascii="Times New Roman" w:cs="Times New Roman" w:eastAsia="Times New Roman" w:hAnsi="Times New Roman"/>
          <w:sz w:val="15"/>
          <w:szCs w:val="15"/>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w:t>
      </w:r>
    </w:p>
    <w:p>
      <w:pPr>
        <w:spacing w:after="0" w:line="1"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5"/>
          <w:szCs w:val="15"/>
          <w:color w:val="auto"/>
        </w:rPr>
        <w:t>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71" w:lineRule="exact"/>
        <w:rPr>
          <w:sz w:val="20"/>
          <w:szCs w:val="20"/>
          <w:color w:val="auto"/>
        </w:rPr>
      </w:pPr>
    </w:p>
    <w:p>
      <w:pPr>
        <w:ind w:right="60" w:firstLine="750"/>
        <w:spacing w:after="0" w:line="242" w:lineRule="auto"/>
        <w:rPr>
          <w:sz w:val="20"/>
          <w:szCs w:val="20"/>
          <w:color w:val="auto"/>
        </w:rPr>
      </w:pPr>
      <w:r>
        <w:rPr>
          <w:rFonts w:ascii="Times New Roman" w:cs="Times New Roman" w:eastAsia="Times New Roman" w:hAnsi="Times New Roman"/>
          <w:sz w:val="15"/>
          <w:szCs w:val="15"/>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82" w:lineRule="exact"/>
        <w:rPr>
          <w:sz w:val="20"/>
          <w:szCs w:val="20"/>
          <w:color w:val="auto"/>
        </w:rPr>
      </w:pPr>
    </w:p>
    <w:p>
      <w:pPr>
        <w:ind w:right="60" w:firstLine="750"/>
        <w:spacing w:after="0"/>
        <w:rPr>
          <w:sz w:val="20"/>
          <w:szCs w:val="20"/>
          <w:color w:val="auto"/>
        </w:rPr>
      </w:pPr>
      <w:r>
        <w:rPr>
          <w:rFonts w:ascii="Times New Roman" w:cs="Times New Roman" w:eastAsia="Times New Roman" w:hAnsi="Times New Roman"/>
          <w:sz w:val="15"/>
          <w:szCs w:val="15"/>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7" w:lineRule="exact"/>
        <w:rPr>
          <w:sz w:val="20"/>
          <w:szCs w:val="20"/>
          <w:color w:val="auto"/>
        </w:rPr>
      </w:pPr>
    </w:p>
    <w:p>
      <w:pPr>
        <w:ind w:right="60" w:firstLine="750"/>
        <w:spacing w:after="0" w:line="245" w:lineRule="auto"/>
        <w:rPr>
          <w:sz w:val="20"/>
          <w:szCs w:val="20"/>
          <w:color w:val="auto"/>
        </w:rPr>
      </w:pPr>
      <w:r>
        <w:rPr>
          <w:rFonts w:ascii="Times New Roman" w:cs="Times New Roman" w:eastAsia="Times New Roman" w:hAnsi="Times New Roman"/>
          <w:sz w:val="15"/>
          <w:szCs w:val="15"/>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80" w:firstLine="750"/>
        <w:spacing w:after="0" w:line="242" w:lineRule="auto"/>
        <w:rPr>
          <w:sz w:val="20"/>
          <w:szCs w:val="20"/>
          <w:color w:val="auto"/>
        </w:rPr>
      </w:pPr>
      <w:r>
        <w:rPr>
          <w:rFonts w:ascii="Times New Roman" w:cs="Times New Roman" w:eastAsia="Times New Roman" w:hAnsi="Times New Roman"/>
          <w:sz w:val="15"/>
          <w:szCs w:val="15"/>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2" w:lineRule="exact"/>
        <w:rPr>
          <w:sz w:val="20"/>
          <w:szCs w:val="20"/>
          <w:color w:val="auto"/>
        </w:rPr>
      </w:pPr>
    </w:p>
    <w:p>
      <w:pPr>
        <w:ind w:right="60" w:firstLine="750"/>
        <w:spacing w:after="0" w:line="249" w:lineRule="auto"/>
        <w:rPr>
          <w:sz w:val="20"/>
          <w:szCs w:val="20"/>
          <w:color w:val="auto"/>
        </w:rPr>
      </w:pPr>
      <w:r>
        <w:rPr>
          <w:rFonts w:ascii="Times New Roman" w:cs="Times New Roman" w:eastAsia="Times New Roman" w:hAnsi="Times New Roman"/>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62" w:lineRule="exact"/>
        <w:rPr>
          <w:sz w:val="20"/>
          <w:szCs w:val="20"/>
          <w:color w:val="auto"/>
        </w:rPr>
      </w:pPr>
    </w:p>
    <w:p>
      <w:pPr>
        <w:ind w:right="40" w:firstLine="750"/>
        <w:spacing w:after="0" w:line="179" w:lineRule="exact"/>
        <w:rPr>
          <w:sz w:val="20"/>
          <w:szCs w:val="20"/>
          <w:color w:val="auto"/>
        </w:rPr>
      </w:pPr>
      <w:r>
        <w:rPr>
          <w:rFonts w:ascii="Times New Roman" w:cs="Times New Roman" w:eastAsia="Times New Roman" w:hAnsi="Times New Roman"/>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83"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5"/>
          <w:szCs w:val="15"/>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66"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78" w:lineRule="exact"/>
        <w:rPr>
          <w:sz w:val="20"/>
          <w:szCs w:val="20"/>
          <w:color w:val="auto"/>
        </w:rPr>
      </w:pPr>
    </w:p>
    <w:p>
      <w:pPr>
        <w:ind w:right="40" w:firstLine="750"/>
        <w:spacing w:after="0" w:line="230" w:lineRule="auto"/>
        <w:rPr>
          <w:sz w:val="20"/>
          <w:szCs w:val="20"/>
          <w:color w:val="auto"/>
        </w:rPr>
      </w:pPr>
      <w:r>
        <w:rPr>
          <w:rFonts w:ascii="Times New Roman" w:cs="Times New Roman" w:eastAsia="Times New Roman" w:hAnsi="Times New Roman"/>
          <w:sz w:val="15"/>
          <w:szCs w:val="15"/>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w:t>
      </w:r>
    </w:p>
    <w:p>
      <w:pPr>
        <w:spacing w:after="0" w:line="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5"/>
          <w:szCs w:val="15"/>
          <w:color w:val="auto"/>
        </w:rPr>
        <w:t>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w:t>
      </w:r>
    </w:p>
    <w:p>
      <w:pPr>
        <w:spacing w:after="0" w:line="1"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5"/>
          <w:szCs w:val="15"/>
          <w:color w:val="auto"/>
        </w:rPr>
        <w:t>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For example, under the Biden Administration’s Build Back Better Agenda, Medicare negotiation of prescription</w:t>
      </w:r>
    </w:p>
    <w:p>
      <w:pPr>
        <w:spacing w:after="0" w:line="2" w:lineRule="exact"/>
        <w:rPr>
          <w:sz w:val="20"/>
          <w:szCs w:val="20"/>
          <w:color w:val="auto"/>
        </w:rPr>
      </w:pPr>
    </w:p>
    <w:p>
      <w:pPr>
        <w:ind w:right="240"/>
        <w:spacing w:after="0" w:line="219" w:lineRule="auto"/>
        <w:rPr>
          <w:sz w:val="20"/>
          <w:szCs w:val="20"/>
          <w:color w:val="auto"/>
        </w:rPr>
      </w:pPr>
      <w:r>
        <w:rPr>
          <w:rFonts w:ascii="Times New Roman" w:cs="Times New Roman" w:eastAsia="Times New Roman" w:hAnsi="Times New Roman"/>
          <w:sz w:val="15"/>
          <w:szCs w:val="15"/>
          <w:color w:val="auto"/>
        </w:rPr>
        <w:t>drug costs with biopharmaceutical companies is proposed to lower prescription drug costs. Any reduction in reimbursement from Medicare or other government healthcare programs may result in a similar reduction in payments from private payors. The implementation of cost containment measures or other healthcare reforms may prevent us from being able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generate revenue, attain profitability or commercialize our drugs.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380" w:firstLine="750"/>
        <w:spacing w:after="0" w:line="230" w:lineRule="auto"/>
        <w:rPr>
          <w:sz w:val="20"/>
          <w:szCs w:val="20"/>
          <w:color w:val="auto"/>
        </w:rPr>
      </w:pPr>
      <w:r>
        <w:rPr>
          <w:rFonts w:ascii="Times New Roman" w:cs="Times New Roman" w:eastAsia="Times New Roman" w:hAnsi="Times New Roman"/>
          <w:sz w:val="15"/>
          <w:szCs w:val="15"/>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w:t>
      </w:r>
    </w:p>
    <w:p>
      <w:pPr>
        <w:spacing w:after="0" w:line="1"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5"/>
          <w:szCs w:val="15"/>
          <w:color w:val="auto"/>
        </w:rPr>
        <w:t>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7"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7"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5"/>
          <w:szCs w:val="15"/>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Governments outside the United States tend to impose strict price controls, which may adversely affect our revenues, if any.</w:t>
      </w:r>
    </w:p>
    <w:p>
      <w:pPr>
        <w:spacing w:after="0" w:line="211" w:lineRule="exact"/>
        <w:rPr>
          <w:sz w:val="20"/>
          <w:szCs w:val="20"/>
          <w:color w:val="auto"/>
        </w:rPr>
      </w:pPr>
    </w:p>
    <w:p>
      <w:pPr>
        <w:ind w:firstLine="750"/>
        <w:spacing w:after="0" w:line="178" w:lineRule="exact"/>
        <w:rPr>
          <w:sz w:val="20"/>
          <w:szCs w:val="20"/>
          <w:color w:val="auto"/>
        </w:rPr>
      </w:pPr>
      <w:r>
        <w:rPr>
          <w:rFonts w:ascii="Times New Roman" w:cs="Times New Roman" w:eastAsia="Times New Roman" w:hAnsi="Times New Roman"/>
          <w:sz w:val="15"/>
          <w:szCs w:val="15"/>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effectiveness of our product candidate to other available therapies. There can be no assurance that our products will be considered cost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effective by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that an adequate level of reimbursement will be available, or that the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9"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right="40" w:firstLine="750"/>
        <w:spacing w:after="0" w:line="246" w:lineRule="auto"/>
        <w:rPr>
          <w:sz w:val="20"/>
          <w:szCs w:val="20"/>
          <w:color w:val="auto"/>
        </w:rPr>
      </w:pPr>
      <w:r>
        <w:rPr>
          <w:rFonts w:ascii="Times New Roman" w:cs="Times New Roman" w:eastAsia="Times New Roman" w:hAnsi="Times New Roman"/>
          <w:sz w:val="15"/>
          <w:szCs w:val="15"/>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62" w:lineRule="exact"/>
        <w:rPr>
          <w:sz w:val="20"/>
          <w:szCs w:val="20"/>
          <w:color w:val="auto"/>
        </w:rPr>
      </w:pPr>
    </w:p>
    <w:p>
      <w:pPr>
        <w:ind w:right="300"/>
        <w:spacing w:after="0" w:line="200" w:lineRule="exact"/>
        <w:rPr>
          <w:sz w:val="20"/>
          <w:szCs w:val="20"/>
          <w:color w:val="auto"/>
        </w:rPr>
      </w:pPr>
      <w:r>
        <w:rPr>
          <w:rFonts w:ascii="Times New Roman" w:cs="Times New Roman" w:eastAsia="Times New Roman" w:hAnsi="Times New Roman"/>
          <w:sz w:val="15"/>
          <w:szCs w:val="15"/>
          <w:b w:val="1"/>
          <w:bCs w:val="1"/>
          <w:i w:val="1"/>
          <w:iCs w:val="1"/>
          <w:color w:val="auto"/>
        </w:rPr>
        <w:t>Our third</w:t>
      </w:r>
      <w:r>
        <w:rPr>
          <w:rFonts w:ascii="MS PGothic" w:cs="MS PGothic" w:eastAsia="MS PGothic" w:hAnsi="MS PGothic"/>
          <w:sz w:val="15"/>
          <w:szCs w:val="15"/>
          <w:i w:val="1"/>
          <w:iCs w:val="1"/>
          <w:color w:val="auto"/>
        </w:rPr>
        <w:t>‑</w:t>
      </w:r>
      <w:r>
        <w:rPr>
          <w:rFonts w:ascii="Times New Roman" w:cs="Times New Roman" w:eastAsia="Times New Roman" w:hAnsi="Times New Roman"/>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-187960</wp:posOffset>
            </wp:positionV>
            <wp:extent cx="577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785" cy="36830"/>
                    </a:xfrm>
                    <a:prstGeom prst="rect">
                      <a:avLst/>
                    </a:prstGeom>
                    <a:noFill/>
                  </pic:spPr>
                </pic:pic>
              </a:graphicData>
            </a:graphic>
          </wp:anchor>
        </w:drawing>
      </w:r>
    </w:p>
    <w:p>
      <w:pPr>
        <w:spacing w:after="0" w:line="149" w:lineRule="exact"/>
        <w:rPr>
          <w:sz w:val="20"/>
          <w:szCs w:val="20"/>
          <w:color w:val="auto"/>
        </w:rPr>
      </w:pPr>
    </w:p>
    <w:p>
      <w:pPr>
        <w:ind w:right="40" w:firstLine="750"/>
        <w:spacing w:after="0" w:line="178" w:lineRule="exact"/>
        <w:rPr>
          <w:sz w:val="20"/>
          <w:szCs w:val="20"/>
          <w:color w:val="auto"/>
        </w:rPr>
      </w:pPr>
      <w:r>
        <w:rPr>
          <w:rFonts w:ascii="Times New Roman" w:cs="Times New Roman" w:eastAsia="Times New Roman" w:hAnsi="Times New Roman"/>
          <w:sz w:val="15"/>
          <w:szCs w:val="15"/>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5"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3"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OPERATIONS</w:t>
      </w:r>
    </w:p>
    <w:p>
      <w:pPr>
        <w:spacing w:after="0" w:line="20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36" w:lineRule="exact"/>
        <w:rPr>
          <w:sz w:val="20"/>
          <w:szCs w:val="20"/>
          <w:color w:val="auto"/>
        </w:rPr>
      </w:pPr>
    </w:p>
    <w:p>
      <w:pPr>
        <w:ind w:right="60" w:firstLine="750"/>
        <w:spacing w:after="0" w:line="182" w:lineRule="exact"/>
        <w:rPr>
          <w:sz w:val="20"/>
          <w:szCs w:val="20"/>
          <w:color w:val="auto"/>
        </w:rPr>
      </w:pPr>
      <w:r>
        <w:rPr>
          <w:rFonts w:ascii="Times New Roman" w:cs="Times New Roman" w:eastAsia="Times New Roman" w:hAnsi="Times New Roman"/>
          <w:sz w:val="15"/>
          <w:szCs w:val="15"/>
          <w:color w:val="auto"/>
        </w:rPr>
        <w:t>As of April 26, 2022, we had 116 full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86" w:lineRule="exact"/>
        <w:rPr>
          <w:sz w:val="20"/>
          <w:szCs w:val="20"/>
          <w:color w:val="auto"/>
        </w:rPr>
      </w:pPr>
    </w:p>
    <w:p>
      <w:pPr>
        <w:ind w:left="760" w:right="380" w:hanging="384"/>
        <w:spacing w:after="0" w:line="280" w:lineRule="auto"/>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40"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ensure that our consultants and other service providers successfully carry out their contractual obligations, provide high quality results, and meet expected deadlines;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carry out our own contractual obligations to our licensors and other third parties;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improve our operational, financial, and management controls, reporting systems, and procedures.</w:t>
      </w:r>
    </w:p>
    <w:p>
      <w:pPr>
        <w:spacing w:after="0" w:line="206" w:lineRule="exact"/>
        <w:rPr>
          <w:rFonts w:ascii="Times New Roman" w:cs="Times New Roman" w:eastAsia="Times New Roman" w:hAnsi="Times New Roman"/>
          <w:sz w:val="15"/>
          <w:szCs w:val="15"/>
          <w:color w:val="auto"/>
        </w:rPr>
      </w:pPr>
    </w:p>
    <w:p>
      <w:pPr>
        <w:ind w:left="7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successfully implement these tasks on a larger scale and, accordingly, may not achieve our development and commercialization goals.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38" w:lineRule="exact"/>
        <w:rPr>
          <w:sz w:val="20"/>
          <w:szCs w:val="20"/>
          <w:color w:val="auto"/>
        </w:rPr>
      </w:pPr>
    </w:p>
    <w:p>
      <w:pPr>
        <w:ind w:right="80" w:firstLine="750"/>
        <w:spacing w:after="0" w:line="249" w:lineRule="auto"/>
        <w:rPr>
          <w:sz w:val="20"/>
          <w:szCs w:val="20"/>
          <w:color w:val="auto"/>
        </w:rPr>
      </w:pPr>
      <w:r>
        <w:rPr>
          <w:rFonts w:ascii="Times New Roman" w:cs="Times New Roman" w:eastAsia="Times New Roman" w:hAnsi="Times New Roman"/>
          <w:sz w:val="15"/>
          <w:szCs w:val="15"/>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acquire businesses or products, or form strategic alliances in the future, and we may not realize the benefits of such acquisitions or alliances.</w:t>
      </w:r>
    </w:p>
    <w:p>
      <w:pPr>
        <w:spacing w:after="0" w:line="211"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manage our business effectively if we are unable to attract and retain key personnel.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We may not be able to attract or retain qualified management and commercial, scientific, and clinical personnel due to the intense competition for qualified personnel among</w:t>
      </w:r>
    </w:p>
    <w:p>
      <w:pPr>
        <w:spacing w:after="0" w:line="8"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5"/>
          <w:szCs w:val="15"/>
          <w:color w:val="auto"/>
        </w:rPr>
        <w:t>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70" w:lineRule="exact"/>
        <w:rPr>
          <w:sz w:val="20"/>
          <w:szCs w:val="20"/>
          <w:color w:val="auto"/>
        </w:rPr>
      </w:pPr>
    </w:p>
    <w:p>
      <w:pPr>
        <w:ind w:right="40" w:firstLine="750"/>
        <w:spacing w:after="0" w:line="224" w:lineRule="auto"/>
        <w:rPr>
          <w:sz w:val="20"/>
          <w:szCs w:val="20"/>
          <w:color w:val="auto"/>
        </w:rPr>
      </w:pPr>
      <w:r>
        <w:rPr>
          <w:rFonts w:ascii="Times New Roman" w:cs="Times New Roman" w:eastAsia="Times New Roman" w:hAnsi="Times New Roman"/>
          <w:sz w:val="15"/>
          <w:szCs w:val="15"/>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w:t>
      </w:r>
    </w:p>
    <w:p>
      <w:pPr>
        <w:spacing w:after="0" w:line="1"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15"/>
          <w:szCs w:val="15"/>
          <w:color w:val="auto"/>
        </w:rPr>
        <w:t>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w:t>
      </w:r>
    </w:p>
    <w:p>
      <w:pPr>
        <w:spacing w:after="0" w:line="1" w:lineRule="exact"/>
        <w:rPr>
          <w:sz w:val="20"/>
          <w:szCs w:val="20"/>
          <w:color w:val="auto"/>
        </w:rPr>
      </w:pPr>
    </w:p>
    <w:p>
      <w:pPr>
        <w:ind w:right="440"/>
        <w:spacing w:after="0" w:line="231" w:lineRule="auto"/>
        <w:rPr>
          <w:sz w:val="20"/>
          <w:szCs w:val="20"/>
          <w:color w:val="auto"/>
        </w:rPr>
      </w:pPr>
      <w:r>
        <w:rPr>
          <w:rFonts w:ascii="Times New Roman" w:cs="Times New Roman" w:eastAsia="Times New Roman" w:hAnsi="Times New Roman"/>
          <w:sz w:val="15"/>
          <w:szCs w:val="15"/>
          <w:color w:val="auto"/>
        </w:rPr>
        <w:t>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5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As a public company, we continue to incur significant legal, accounting and other expenses that we did not incur as a private company. In addition, the Sarbanes-Oxley Act,</w:t>
      </w:r>
    </w:p>
    <w:p>
      <w:pPr>
        <w:spacing w:after="0" w:line="8"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5"/>
          <w:szCs w:val="15"/>
          <w:color w:val="auto"/>
        </w:rPr>
        <w:t>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more time-consuming and costly.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8"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66"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5"/>
          <w:szCs w:val="15"/>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disclosure controls and procedures may not prevent or detect all errors or acts of fraud.</w:t>
      </w:r>
    </w:p>
    <w:p>
      <w:pPr>
        <w:spacing w:after="0" w:line="211" w:lineRule="exact"/>
        <w:rPr>
          <w:sz w:val="20"/>
          <w:szCs w:val="20"/>
          <w:color w:val="auto"/>
        </w:rPr>
      </w:pPr>
    </w:p>
    <w:p>
      <w:pPr>
        <w:ind w:right="60" w:firstLine="750"/>
        <w:spacing w:after="0" w:line="257" w:lineRule="auto"/>
        <w:rPr>
          <w:sz w:val="20"/>
          <w:szCs w:val="20"/>
          <w:color w:val="auto"/>
        </w:rPr>
      </w:pPr>
      <w:r>
        <w:rPr>
          <w:rFonts w:ascii="Times New Roman" w:cs="Times New Roman" w:eastAsia="Times New Roman" w:hAnsi="Times New Roman"/>
          <w:sz w:val="15"/>
          <w:szCs w:val="15"/>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58"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5"/>
          <w:szCs w:val="15"/>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79" w:lineRule="exact"/>
        <w:rPr>
          <w:sz w:val="20"/>
          <w:szCs w:val="20"/>
          <w:color w:val="auto"/>
        </w:rPr>
      </w:pPr>
    </w:p>
    <w:p>
      <w:pPr>
        <w:ind w:right="380" w:firstLine="750"/>
        <w:spacing w:after="0" w:line="254" w:lineRule="auto"/>
        <w:rPr>
          <w:sz w:val="20"/>
          <w:szCs w:val="20"/>
          <w:color w:val="auto"/>
        </w:rPr>
      </w:pPr>
      <w:r>
        <w:rPr>
          <w:rFonts w:ascii="Times New Roman" w:cs="Times New Roman" w:eastAsia="Times New Roman" w:hAnsi="Times New Roman"/>
          <w:sz w:val="15"/>
          <w:szCs w:val="15"/>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and operations would suffer in the event of system failures.</w:t>
      </w:r>
    </w:p>
    <w:p>
      <w:pPr>
        <w:spacing w:after="0" w:line="211"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OWNERSHIP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our common stock may not be sustained.</w:t>
      </w:r>
    </w:p>
    <w:p>
      <w:pPr>
        <w:spacing w:after="0" w:line="211"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highly volatile.</w:t>
      </w:r>
    </w:p>
    <w:p>
      <w:pPr>
        <w:spacing w:after="0" w:line="198" w:lineRule="exact"/>
        <w:rPr>
          <w:sz w:val="20"/>
          <w:szCs w:val="20"/>
          <w:color w:val="auto"/>
        </w:rPr>
      </w:pPr>
    </w:p>
    <w:p>
      <w:pPr>
        <w:ind w:right="140" w:firstLine="750"/>
        <w:spacing w:after="0" w:line="257" w:lineRule="auto"/>
        <w:rPr>
          <w:sz w:val="20"/>
          <w:szCs w:val="20"/>
          <w:color w:val="auto"/>
        </w:rPr>
      </w:pPr>
      <w:r>
        <w:rPr>
          <w:rFonts w:ascii="Times New Roman" w:cs="Times New Roman" w:eastAsia="Times New Roman" w:hAnsi="Times New Roman"/>
          <w:sz w:val="15"/>
          <w:szCs w:val="15"/>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years 2020, 2021, and thus far in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71" w:lineRule="exact"/>
        <w:rPr>
          <w:sz w:val="20"/>
          <w:szCs w:val="20"/>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the commencement, enrollment, and ultimate completion, of our planned and ongoing Phase 3 clinical trials for our product candidates;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delay or refusal on the part of the FDA in approving an NDA for any of our current and future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commercial success of any of our current and future product candidates, if approved by the FDA;</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and stock price performance of other companies that investors deem comparable to ours;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recommendations by securities analysts;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news relating to our industry as a whole and news relating to trends in our markets;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clinical trials of any of our current and future product candidates or those of our competitors;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variations in quarterly or annual operating results;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meet or exceed financial projections we provide to the public, if any;</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meet or exceed the estimates and projections of the investment community, including securities analysts;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introduction of competitive products or technologies;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or developments in laws or regulations applicable to our product candidates;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perception of the pharmaceutical industry by the public, legislatures, regulators, and the investment community;</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market conditions and overall fluctuations in U.S. equity markets;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or security breaches;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concerning our sources of manufacturing supply, warehousing, and inventory control;</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or other developments relating to patents or other proprietary rights;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scientific or management personnel;</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investigations or regulatory scrutiny of our operations or lawsuits filed against us;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commitments;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investors’ general perception of our company and our business;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and expectations of additional financing efforts, including the issuance of debt, equity or convertible securities;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common stock, including sales by our directors and officers or significant stockholders;</w:t>
      </w:r>
    </w:p>
    <w:p>
      <w:pPr>
        <w:spacing w:after="0" w:line="193"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valuations of companies similar to us;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or divestitures;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conditions or trends in our industry;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factors described in this “Risk Factors” section.</w:t>
      </w:r>
    </w:p>
    <w:p>
      <w:pPr>
        <w:spacing w:after="0" w:line="207"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5"/>
          <w:szCs w:val="15"/>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3" w:lineRule="exact"/>
        <w:rPr>
          <w:sz w:val="20"/>
          <w:szCs w:val="20"/>
          <w:color w:val="auto"/>
        </w:rPr>
      </w:pPr>
    </w:p>
    <w:p>
      <w:pPr>
        <w:ind w:firstLine="750"/>
        <w:spacing w:after="0" w:line="280" w:lineRule="auto"/>
        <w:rPr>
          <w:sz w:val="20"/>
          <w:szCs w:val="20"/>
          <w:color w:val="auto"/>
        </w:rPr>
      </w:pPr>
      <w:r>
        <w:rPr>
          <w:rFonts w:ascii="Times New Roman" w:cs="Times New Roman" w:eastAsia="Times New Roman" w:hAnsi="Times New Roman"/>
          <w:sz w:val="15"/>
          <w:szCs w:val="15"/>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20" w:firstLine="750"/>
        <w:spacing w:after="0" w:line="257" w:lineRule="auto"/>
        <w:rPr>
          <w:sz w:val="20"/>
          <w:szCs w:val="20"/>
          <w:color w:val="auto"/>
        </w:rPr>
      </w:pPr>
      <w:r>
        <w:rPr>
          <w:rFonts w:ascii="Times New Roman" w:cs="Times New Roman" w:eastAsia="Times New Roman" w:hAnsi="Times New Roman"/>
          <w:sz w:val="15"/>
          <w:szCs w:val="15"/>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quarterly operating results may fluctuate significantly.</w:t>
      </w:r>
    </w:p>
    <w:p>
      <w:pPr>
        <w:spacing w:after="0" w:line="2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We expect our operating results to be subject to quarterly fluctuations. Our net loss and other operating results will be affected by numerous factors, including: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6832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left="760" w:right="320" w:hanging="384"/>
        <w:spacing w:after="0" w:line="280" w:lineRule="auto"/>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40" w:lineRule="exact"/>
        <w:rPr>
          <w:rFonts w:ascii="Times New Roman" w:cs="Times New Roman" w:eastAsia="Times New Roman" w:hAnsi="Times New Roman"/>
          <w:sz w:val="15"/>
          <w:szCs w:val="15"/>
          <w:color w:val="auto"/>
        </w:rPr>
      </w:pPr>
    </w:p>
    <w:p>
      <w:pPr>
        <w:ind w:left="760" w:right="120" w:hanging="384"/>
        <w:spacing w:after="0" w:line="263" w:lineRule="auto"/>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40" w:lineRule="exact"/>
        <w:rPr>
          <w:rFonts w:ascii="Times New Roman" w:cs="Times New Roman" w:eastAsia="Times New Roman" w:hAnsi="Times New Roman"/>
          <w:sz w:val="15"/>
          <w:szCs w:val="15"/>
          <w:color w:val="auto"/>
        </w:rPr>
      </w:pPr>
    </w:p>
    <w:p>
      <w:pPr>
        <w:ind w:left="760" w:right="460" w:hanging="384"/>
        <w:spacing w:after="0" w:line="200" w:lineRule="exact"/>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and enter into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manufacturing arrangements capable of manufacturing any of our current or future product candidates in commercial quantities;</w:t>
      </w:r>
    </w:p>
    <w:p>
      <w:pPr>
        <w:spacing w:after="0" w:line="169"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execution of other collaborative, licensing, or similar arrangements and the timing of payments we may make or receive under these arrangements;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the level of expenses related to our future development programs;</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liability or intellectual property infringement lawsuit in which we may become involved;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affecting our current and future product candidates, or the product candidates of our competitors; and</w:t>
      </w:r>
    </w:p>
    <w:p>
      <w:pPr>
        <w:spacing w:after="0" w:line="206" w:lineRule="exact"/>
        <w:rPr>
          <w:rFonts w:ascii="Times New Roman" w:cs="Times New Roman" w:eastAsia="Times New Roman" w:hAnsi="Times New Roman"/>
          <w:sz w:val="15"/>
          <w:szCs w:val="15"/>
          <w:color w:val="auto"/>
        </w:rPr>
      </w:pPr>
    </w:p>
    <w:p>
      <w:pPr>
        <w:ind w:left="760" w:hanging="384"/>
        <w:spacing w:after="0"/>
        <w:tabs>
          <w:tab w:leader="none" w:pos="7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of our current or future product candidates receive regulatory approval, the level of underlying demand for such product candidate and wholesaler buying patterns.</w:t>
      </w:r>
    </w:p>
    <w:p>
      <w:pPr>
        <w:spacing w:after="0" w:line="194" w:lineRule="exact"/>
        <w:rPr>
          <w:sz w:val="20"/>
          <w:szCs w:val="20"/>
          <w:color w:val="auto"/>
        </w:rPr>
      </w:pPr>
    </w:p>
    <w:p>
      <w:pPr>
        <w:ind w:right="160" w:firstLine="750"/>
        <w:spacing w:after="0" w:line="263" w:lineRule="auto"/>
        <w:rPr>
          <w:sz w:val="20"/>
          <w:szCs w:val="20"/>
          <w:color w:val="auto"/>
        </w:rPr>
      </w:pPr>
      <w:r>
        <w:rPr>
          <w:rFonts w:ascii="Times New Roman" w:cs="Times New Roman" w:eastAsia="Times New Roman" w:hAnsi="Times New Roman"/>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2" w:lineRule="exact"/>
        <w:rPr>
          <w:sz w:val="20"/>
          <w:szCs w:val="20"/>
          <w:color w:val="auto"/>
        </w:rPr>
      </w:pPr>
    </w:p>
    <w:p>
      <w:pPr>
        <w:ind w:right="64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38"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100" w:firstLine="750"/>
        <w:spacing w:after="0" w:line="249" w:lineRule="auto"/>
        <w:rPr>
          <w:sz w:val="20"/>
          <w:szCs w:val="20"/>
          <w:color w:val="auto"/>
        </w:rPr>
      </w:pPr>
      <w:r>
        <w:rPr>
          <w:rFonts w:ascii="Times New Roman" w:cs="Times New Roman" w:eastAsia="Times New Roman" w:hAnsi="Times New Roman"/>
          <w:sz w:val="15"/>
          <w:szCs w:val="15"/>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principal stockholders and management own a significant percentage of our stock and may be able to exert significant control over matters subject to stockholder approval.</w:t>
      </w:r>
    </w:p>
    <w:p>
      <w:pPr>
        <w:spacing w:after="0" w:line="211" w:lineRule="exact"/>
        <w:rPr>
          <w:sz w:val="20"/>
          <w:szCs w:val="20"/>
          <w:color w:val="auto"/>
        </w:rPr>
      </w:pPr>
    </w:p>
    <w:p>
      <w:pPr>
        <w:ind w:right="60" w:firstLine="750"/>
        <w:spacing w:after="0" w:line="230" w:lineRule="auto"/>
        <w:rPr>
          <w:sz w:val="20"/>
          <w:szCs w:val="20"/>
          <w:color w:val="auto"/>
        </w:rPr>
      </w:pPr>
      <w:r>
        <w:rPr>
          <w:rFonts w:ascii="Times New Roman" w:cs="Times New Roman" w:eastAsia="Times New Roman" w:hAnsi="Times New Roman"/>
          <w:sz w:val="15"/>
          <w:szCs w:val="15"/>
          <w:color w:val="auto"/>
        </w:rPr>
        <w:t>As of April 26, 2022,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5"/>
          <w:szCs w:val="15"/>
          <w:color w:val="auto"/>
        </w:rPr>
        <w:t>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8" w:lineRule="exact"/>
        <w:rPr>
          <w:sz w:val="20"/>
          <w:szCs w:val="20"/>
          <w:color w:val="auto"/>
        </w:rPr>
      </w:pPr>
    </w:p>
    <w:p>
      <w:pPr>
        <w:ind w:right="480" w:firstLine="750"/>
        <w:spacing w:after="0" w:line="230" w:lineRule="auto"/>
        <w:rPr>
          <w:sz w:val="20"/>
          <w:szCs w:val="20"/>
          <w:color w:val="auto"/>
        </w:rPr>
      </w:pPr>
      <w:r>
        <w:rPr>
          <w:rFonts w:ascii="Times New Roman" w:cs="Times New Roman" w:eastAsia="Times New Roman" w:hAnsi="Times New Roman"/>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5"/>
          <w:szCs w:val="15"/>
          <w:color w:val="auto"/>
        </w:rPr>
        <w:t>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might affect the prevailing market price for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in the public market by our existing stockholders could cause our stock price to fall.</w:t>
      </w:r>
    </w:p>
    <w:p>
      <w:pPr>
        <w:spacing w:after="0" w:line="198" w:lineRule="exact"/>
        <w:rPr>
          <w:sz w:val="20"/>
          <w:szCs w:val="20"/>
          <w:color w:val="auto"/>
        </w:rPr>
      </w:pPr>
    </w:p>
    <w:p>
      <w:pPr>
        <w:jc w:val="both"/>
        <w:ind w:right="440" w:firstLine="750"/>
        <w:spacing w:after="0" w:line="232"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9" w:lineRule="exact"/>
        <w:rPr>
          <w:sz w:val="20"/>
          <w:szCs w:val="20"/>
          <w:color w:val="auto"/>
        </w:rPr>
      </w:pPr>
    </w:p>
    <w:p>
      <w:pPr>
        <w:jc w:val="both"/>
        <w:ind w:right="60" w:firstLine="750"/>
        <w:spacing w:after="0" w:line="230" w:lineRule="auto"/>
        <w:rPr>
          <w:sz w:val="20"/>
          <w:szCs w:val="20"/>
          <w:color w:val="auto"/>
        </w:rPr>
      </w:pPr>
      <w:r>
        <w:rPr>
          <w:rFonts w:ascii="Times New Roman" w:cs="Times New Roman" w:eastAsia="Times New Roman" w:hAnsi="Times New Roman"/>
          <w:sz w:val="15"/>
          <w:szCs w:val="15"/>
          <w:color w:val="auto"/>
        </w:rPr>
        <w:t>As of April 26, 2022, we have outstanding 38,913,550 shares of common stock and 6,998,245 shares of common stock equivalents that would increase the number of common stock outstanding if these instruments were exercised or converted, including stock options to purchase common stock based on vesting requirements and warrants to purchase</w:t>
      </w:r>
    </w:p>
    <w:p>
      <w:pPr>
        <w:spacing w:after="0" w:line="1" w:lineRule="exact"/>
        <w:rPr>
          <w:sz w:val="20"/>
          <w:szCs w:val="20"/>
          <w:color w:val="auto"/>
        </w:rPr>
      </w:pPr>
    </w:p>
    <w:p>
      <w:pPr>
        <w:ind w:right="340"/>
        <w:spacing w:after="0" w:line="231" w:lineRule="auto"/>
        <w:rPr>
          <w:sz w:val="20"/>
          <w:szCs w:val="20"/>
          <w:color w:val="auto"/>
        </w:rPr>
      </w:pPr>
      <w:r>
        <w:rPr>
          <w:rFonts w:ascii="Times New Roman" w:cs="Times New Roman" w:eastAsia="Times New Roman" w:hAnsi="Times New Roman"/>
          <w:sz w:val="15"/>
          <w:szCs w:val="15"/>
          <w:color w:val="auto"/>
        </w:rPr>
        <w:t>common stock, as well as outstanding restricted stock units. Of our currently outstanding shares of common stock, 30,911,550 are freely tradable. The remainder of the outstanding shares of common stock are held by our affiliates and may be considered “control securities” for purposes of Rule 144 under the Securities Act.</w:t>
      </w:r>
    </w:p>
    <w:p>
      <w:pPr>
        <w:spacing w:after="0" w:line="132" w:lineRule="exact"/>
        <w:rPr>
          <w:sz w:val="20"/>
          <w:szCs w:val="20"/>
          <w:color w:val="auto"/>
        </w:rPr>
      </w:pPr>
    </w:p>
    <w:p>
      <w:pPr>
        <w:ind w:left="760"/>
        <w:spacing w:after="0" w:line="173" w:lineRule="exact"/>
        <w:rPr>
          <w:sz w:val="20"/>
          <w:szCs w:val="20"/>
          <w:color w:val="auto"/>
        </w:rPr>
      </w:pPr>
      <w:r>
        <w:rPr>
          <w:rFonts w:ascii="Times New Roman" w:cs="Times New Roman" w:eastAsia="Times New Roman" w:hAnsi="Times New Roman"/>
          <w:sz w:val="15"/>
          <w:szCs w:val="15"/>
          <w:color w:val="auto"/>
        </w:rPr>
        <w:t>In addition, we have filed one or more registration statements on Form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registering the issuance of an aggregate of 10,453,341 shares of common stock subject to options</w:t>
      </w:r>
    </w:p>
    <w:p>
      <w:pPr>
        <w:spacing w:after="0" w:line="33" w:lineRule="exact"/>
        <w:rPr>
          <w:sz w:val="20"/>
          <w:szCs w:val="20"/>
          <w:color w:val="auto"/>
        </w:rPr>
      </w:pPr>
    </w:p>
    <w:p>
      <w:pPr>
        <w:spacing w:after="0" w:line="158" w:lineRule="exact"/>
        <w:rPr>
          <w:sz w:val="20"/>
          <w:szCs w:val="20"/>
          <w:color w:val="auto"/>
        </w:rPr>
      </w:pPr>
      <w:r>
        <w:rPr>
          <w:rFonts w:ascii="Times New Roman" w:cs="Times New Roman" w:eastAsia="Times New Roman" w:hAnsi="Times New Roman"/>
          <w:sz w:val="15"/>
          <w:szCs w:val="15"/>
          <w:color w:val="auto"/>
        </w:rPr>
        <w:t>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will be available for sale in the public market subject to vesting arrangements and exercise of options, the lock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up agreements described above and the restrictions of Rule 144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case of our affiliates.</w:t>
      </w:r>
    </w:p>
    <w:p>
      <w:pPr>
        <w:spacing w:after="0" w:line="16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37" w:lineRule="exact"/>
        <w:rPr>
          <w:sz w:val="20"/>
          <w:szCs w:val="20"/>
          <w:color w:val="auto"/>
        </w:rPr>
      </w:pPr>
    </w:p>
    <w:p>
      <w:pPr>
        <w:ind w:right="240" w:firstLine="750"/>
        <w:spacing w:after="0" w:line="230"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our capital raises, which we refer to as our Capital Raises, including the proceeds from sales pursuant to our March 2022 “at-the-market” sales agreement with SVB Securities, which provides for the sale of up to $200.0 million of our common stock from time to</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w:t>
      </w:r>
    </w:p>
    <w:p>
      <w:pPr>
        <w:spacing w:after="0" w:line="1" w:lineRule="exact"/>
        <w:rPr>
          <w:sz w:val="20"/>
          <w:szCs w:val="20"/>
          <w:color w:val="auto"/>
        </w:rPr>
      </w:pPr>
    </w:p>
    <w:p>
      <w:pPr>
        <w:jc w:val="both"/>
        <w:ind w:right="60"/>
        <w:spacing w:after="0" w:line="216" w:lineRule="auto"/>
        <w:rPr>
          <w:sz w:val="20"/>
          <w:szCs w:val="20"/>
          <w:color w:val="auto"/>
        </w:rPr>
      </w:pPr>
      <w:r>
        <w:rPr>
          <w:rFonts w:ascii="Times New Roman" w:cs="Times New Roman" w:eastAsia="Times New Roman" w:hAnsi="Times New Roman"/>
          <w:sz w:val="15"/>
          <w:szCs w:val="15"/>
          <w:color w:val="auto"/>
        </w:rPr>
        <w:t>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w:t>
      </w:r>
    </w:p>
    <w:p>
      <w:pPr>
        <w:spacing w:after="0" w:line="2"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5"/>
          <w:szCs w:val="15"/>
          <w:color w:val="auto"/>
        </w:rPr>
        <w:t>proceeds from our Capital Raises in short-term, investment-grade, interest-bearing instruments and U.S. government securities. These temporary investments are not likely to yield a significant return.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use of our net operating loss carryforwards and research tax credits may be limited.</w:t>
      </w:r>
    </w:p>
    <w:p>
      <w:pPr>
        <w:spacing w:after="0" w:line="211" w:lineRule="exact"/>
        <w:rPr>
          <w:sz w:val="20"/>
          <w:szCs w:val="20"/>
          <w:color w:val="auto"/>
        </w:rPr>
      </w:pPr>
    </w:p>
    <w:p>
      <w:pPr>
        <w:jc w:val="both"/>
        <w:ind w:right="220" w:firstLine="750"/>
        <w:spacing w:after="0" w:line="224" w:lineRule="auto"/>
        <w:rPr>
          <w:sz w:val="20"/>
          <w:szCs w:val="20"/>
          <w:color w:val="auto"/>
        </w:rPr>
      </w:pPr>
      <w:r>
        <w:rPr>
          <w:rFonts w:ascii="Times New Roman" w:cs="Times New Roman" w:eastAsia="Times New Roman" w:hAnsi="Times New Roman"/>
          <w:sz w:val="15"/>
          <w:szCs w:val="15"/>
          <w:color w:val="auto"/>
        </w:rPr>
        <w:t>Our net operating loss carryforwards and any future research and development tax credits may expire and not be used. As of December 31, 2021, we had U.S. federal net operating loss, NOL, carryforwards of approximately $364 million. Net operating loss carry forwards amounting to $60 million generated before the 2018 tax year will start expiring beginning 2032, if we have not used them prior to that time, and the net operating losses of approximately $304 million generated in 2018 and later have an indefinite carryforward</w:t>
      </w:r>
    </w:p>
    <w:p>
      <w:pPr>
        <w:spacing w:after="0" w:line="1" w:lineRule="exact"/>
        <w:rPr>
          <w:sz w:val="20"/>
          <w:szCs w:val="20"/>
          <w:color w:val="auto"/>
        </w:rPr>
      </w:pPr>
    </w:p>
    <w:p>
      <w:pPr>
        <w:ind w:right="280"/>
        <w:spacing w:after="0" w:line="219" w:lineRule="auto"/>
        <w:rPr>
          <w:sz w:val="20"/>
          <w:szCs w:val="20"/>
          <w:color w:val="auto"/>
        </w:rPr>
      </w:pPr>
      <w:r>
        <w:rPr>
          <w:rFonts w:ascii="Times New Roman" w:cs="Times New Roman" w:eastAsia="Times New Roman" w:hAnsi="Times New Roman"/>
          <w:sz w:val="15"/>
          <w:szCs w:val="15"/>
          <w:color w:val="auto"/>
        </w:rPr>
        <w:t>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w:t>
      </w:r>
    </w:p>
    <w:p>
      <w:pPr>
        <w:spacing w:after="0" w:line="1"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5"/>
          <w:szCs w:val="15"/>
          <w:color w:val="auto"/>
        </w:rPr>
        <w:t>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w:t>
      </w:r>
    </w:p>
    <w:p>
      <w:pPr>
        <w:spacing w:after="0" w:line="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5"/>
          <w:szCs w:val="15"/>
          <w:color w:val="auto"/>
        </w:rPr>
        <w:t>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71" w:lineRule="exact"/>
        <w:rPr>
          <w:sz w:val="20"/>
          <w:szCs w:val="20"/>
          <w:color w:val="auto"/>
        </w:rPr>
      </w:pPr>
    </w:p>
    <w:p>
      <w:pPr>
        <w:ind w:right="180" w:firstLine="750"/>
        <w:spacing w:after="0" w:line="230" w:lineRule="auto"/>
        <w:rPr>
          <w:sz w:val="20"/>
          <w:szCs w:val="20"/>
          <w:color w:val="auto"/>
        </w:rPr>
      </w:pPr>
      <w:r>
        <w:rPr>
          <w:rFonts w:ascii="Times New Roman" w:cs="Times New Roman" w:eastAsia="Times New Roman" w:hAnsi="Times New Roman"/>
          <w:sz w:val="15"/>
          <w:szCs w:val="15"/>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w:t>
      </w:r>
    </w:p>
    <w:p>
      <w:pPr>
        <w:spacing w:after="0" w:line="1"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5"/>
          <w:szCs w:val="15"/>
          <w:color w:val="auto"/>
        </w:rPr>
        <w:t>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w:t>
      </w:r>
    </w:p>
    <w:p>
      <w:pPr>
        <w:spacing w:after="0" w:line="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5"/>
          <w:szCs w:val="15"/>
          <w:color w:val="auto"/>
        </w:rPr>
        <w:t>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Because we do not intend to pay dividends on our common stock, returns for our stockholders will be limited to any increase in the value of our stock.</w:t>
      </w:r>
    </w:p>
    <w:p>
      <w:pPr>
        <w:spacing w:after="0" w:line="211" w:lineRule="exact"/>
        <w:rPr>
          <w:sz w:val="20"/>
          <w:szCs w:val="20"/>
          <w:color w:val="auto"/>
        </w:rPr>
      </w:pPr>
    </w:p>
    <w:p>
      <w:pPr>
        <w:ind w:right="120" w:firstLine="750"/>
        <w:spacing w:after="0" w:line="251" w:lineRule="auto"/>
        <w:rPr>
          <w:sz w:val="20"/>
          <w:szCs w:val="20"/>
          <w:color w:val="auto"/>
        </w:rPr>
      </w:pPr>
      <w:r>
        <w:rPr>
          <w:rFonts w:ascii="Times New Roman" w:cs="Times New Roman" w:eastAsia="Times New Roman" w:hAnsi="Times New Roman"/>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8" w:lineRule="exact"/>
        <w:rPr>
          <w:sz w:val="20"/>
          <w:szCs w:val="20"/>
          <w:color w:val="auto"/>
        </w:rPr>
      </w:pPr>
    </w:p>
    <w:p>
      <w:pPr>
        <w:ind w:right="120" w:firstLine="750"/>
        <w:spacing w:after="0" w:line="249" w:lineRule="auto"/>
        <w:rPr>
          <w:sz w:val="20"/>
          <w:szCs w:val="20"/>
          <w:color w:val="auto"/>
        </w:rPr>
      </w:pPr>
      <w:r>
        <w:rPr>
          <w:rFonts w:ascii="Times New Roman" w:cs="Times New Roman" w:eastAsia="Times New Roman" w:hAnsi="Times New Roman"/>
          <w:sz w:val="15"/>
          <w:szCs w:val="15"/>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52" w:lineRule="exact"/>
        <w:rPr>
          <w:sz w:val="20"/>
          <w:szCs w:val="20"/>
          <w:color w:val="auto"/>
        </w:rPr>
      </w:pPr>
    </w:p>
    <w:p>
      <w:pPr>
        <w:ind w:right="80" w:firstLine="750"/>
        <w:spacing w:after="0" w:line="187" w:lineRule="exact"/>
        <w:rPr>
          <w:sz w:val="20"/>
          <w:szCs w:val="20"/>
          <w:color w:val="auto"/>
        </w:rPr>
      </w:pPr>
      <w:r>
        <w:rPr>
          <w:rFonts w:ascii="Times New Roman" w:cs="Times New Roman" w:eastAsia="Times New Roman" w:hAnsi="Times New Roman"/>
          <w:sz w:val="15"/>
          <w:szCs w:val="15"/>
          <w:color w:val="auto"/>
        </w:rPr>
        <w:t>In addition, we are subject to the anti</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0" w:lineRule="exact"/>
        <w:rPr>
          <w:sz w:val="20"/>
          <w:szCs w:val="20"/>
          <w:color w:val="auto"/>
        </w:rPr>
      </w:pPr>
    </w:p>
    <w:p>
      <w:pPr>
        <w:ind w:right="80" w:firstLine="750"/>
        <w:spacing w:after="0" w:line="250"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76" w:lineRule="exact"/>
        <w:rPr>
          <w:sz w:val="20"/>
          <w:szCs w:val="20"/>
          <w:color w:val="auto"/>
        </w:rPr>
      </w:pPr>
    </w:p>
    <w:p>
      <w:pPr>
        <w:ind w:firstLine="750"/>
        <w:spacing w:after="0" w:line="246" w:lineRule="auto"/>
        <w:rPr>
          <w:sz w:val="20"/>
          <w:szCs w:val="20"/>
          <w:color w:val="auto"/>
        </w:rPr>
      </w:pPr>
      <w:r>
        <w:rPr>
          <w:rFonts w:ascii="Times New Roman" w:cs="Times New Roman" w:eastAsia="Times New Roman" w:hAnsi="Times New Roman"/>
          <w:sz w:val="15"/>
          <w:szCs w:val="15"/>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8" w:lineRule="exact"/>
        <w:rPr>
          <w:sz w:val="20"/>
          <w:szCs w:val="20"/>
          <w:color w:val="auto"/>
        </w:rPr>
      </w:pPr>
    </w:p>
    <w:p>
      <w:pPr>
        <w:ind w:right="60" w:firstLine="750"/>
        <w:spacing w:after="0" w:line="251" w:lineRule="auto"/>
        <w:rPr>
          <w:sz w:val="20"/>
          <w:szCs w:val="20"/>
          <w:color w:val="auto"/>
        </w:rPr>
      </w:pPr>
      <w:r>
        <w:rPr>
          <w:rFonts w:ascii="Times New Roman" w:cs="Times New Roman" w:eastAsia="Times New Roman" w:hAnsi="Times New Roman"/>
          <w:sz w:val="15"/>
          <w:szCs w:val="15"/>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exhibits filed as part of this Quarterly Report on Form 10-Q are set forth on the Exhibit Index, which is incorporated herein by reference.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20" w:type="dxa"/>
            <w:vAlign w:val="bottom"/>
            <w:gridSpan w:val="9"/>
          </w:tcPr>
          <w:p>
            <w:pPr>
              <w:ind w:left="3140"/>
              <w:spacing w:after="0"/>
              <w:rPr>
                <w:sz w:val="20"/>
                <w:szCs w:val="20"/>
                <w:color w:val="auto"/>
              </w:rPr>
            </w:pPr>
            <w:r>
              <w:rPr>
                <w:rFonts w:ascii="Times New Roman" w:cs="Times New Roman" w:eastAsia="Times New Roman" w:hAnsi="Times New Roman"/>
                <w:sz w:val="15"/>
                <w:szCs w:val="15"/>
                <w:b w:val="1"/>
                <w:bCs w:val="1"/>
                <w:color w:val="auto"/>
              </w:rPr>
              <w:t>INDEX OF EXHIBITS</w:t>
            </w:r>
          </w:p>
        </w:tc>
      </w:tr>
      <w:tr>
        <w:trPr>
          <w:trHeight w:val="340"/>
        </w:trPr>
        <w:tc>
          <w:tcPr>
            <w:tcW w:w="10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7"/>
                <w:szCs w:val="17"/>
                <w:color w:val="0563C1"/>
              </w:rPr>
              <w:t>Second Amendment to Hercules Loan and Security Agreement, dated March 27, 2022, by and among Axsome Therapeutics, Inc., the Lenders who</w:t>
            </w:r>
          </w:p>
        </w:tc>
      </w:tr>
      <w:tr>
        <w:trPr>
          <w:trHeight w:val="157"/>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563C1"/>
            </w:tcBorders>
            <w:gridSpan w:val="6"/>
          </w:tcPr>
          <w:p>
            <w:pPr>
              <w:spacing w:after="0" w:line="157" w:lineRule="exact"/>
              <w:rPr>
                <w:sz w:val="20"/>
                <w:szCs w:val="20"/>
                <w:color w:val="auto"/>
              </w:rPr>
            </w:pPr>
            <w:r>
              <w:rPr>
                <w:rFonts w:ascii="Times New Roman" w:cs="Times New Roman" w:eastAsia="Times New Roman" w:hAnsi="Times New Roman"/>
                <w:sz w:val="17"/>
                <w:szCs w:val="17"/>
                <w:color w:val="0563C1"/>
              </w:rPr>
              <w:t>from time to time may be party thereto, and Hercules Capital, Inc., in its capacity as administrative agent and collateral agent for itself and the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563C1"/>
            </w:tcBorders>
            <w:gridSpan w:val="5"/>
          </w:tcPr>
          <w:p>
            <w:pPr>
              <w:spacing w:after="0" w:line="157" w:lineRule="exact"/>
              <w:rPr>
                <w:sz w:val="20"/>
                <w:szCs w:val="20"/>
                <w:color w:val="auto"/>
              </w:rPr>
            </w:pPr>
            <w:r>
              <w:rPr>
                <w:rFonts w:ascii="Times New Roman" w:cs="Times New Roman" w:eastAsia="Times New Roman" w:hAnsi="Times New Roman"/>
                <w:sz w:val="17"/>
                <w:szCs w:val="17"/>
                <w:color w:val="0563C1"/>
              </w:rPr>
              <w:t>Lenders.</w:t>
            </w: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5"/>
                <w:szCs w:val="15"/>
                <w:color w:val="0563C1"/>
              </w:rPr>
            </w:pPr>
            <w:hyperlink r:id="rId272">
              <w:r>
                <w:rPr>
                  <w:rFonts w:ascii="Times New Roman" w:cs="Times New Roman" w:eastAsia="Times New Roman" w:hAnsi="Times New Roman"/>
                  <w:sz w:val="15"/>
                  <w:szCs w:val="15"/>
                  <w:color w:val="0563C1"/>
                </w:rPr>
                <w:t>Asset Purchase Agreement, dated as of March 25, 2022, between Jazz Pharmaceuticals, plc and Axsome Therapeutics, Inc. (Incorporated by reference, Exhibit 10.1</w:t>
              </w:r>
            </w:hyperlink>
          </w:p>
        </w:tc>
      </w:tr>
      <w:tr>
        <w:trPr>
          <w:trHeight w:val="144"/>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563C1"/>
              <w:bottom w:val="single" w:sz="8" w:color="0000EE"/>
            </w:tcBorders>
            <w:gridSpan w:val="2"/>
          </w:tcPr>
          <w:p>
            <w:pPr>
              <w:spacing w:after="0" w:line="144" w:lineRule="exact"/>
              <w:rPr>
                <w:rFonts w:ascii="Times New Roman" w:cs="Times New Roman" w:eastAsia="Times New Roman" w:hAnsi="Times New Roman"/>
                <w:sz w:val="15"/>
                <w:szCs w:val="15"/>
                <w:color w:val="0563C1"/>
              </w:rPr>
            </w:pPr>
            <w:hyperlink r:id="rId272">
              <w:r>
                <w:rPr>
                  <w:rFonts w:ascii="Times New Roman" w:cs="Times New Roman" w:eastAsia="Times New Roman" w:hAnsi="Times New Roman"/>
                  <w:sz w:val="15"/>
                  <w:szCs w:val="15"/>
                  <w:color w:val="0563C1"/>
                </w:rPr>
                <w:t>to the Company’s Current Report on Form 8-K, filed March 31, 2022).</w:t>
              </w:r>
            </w:hyperlink>
          </w:p>
        </w:tc>
        <w:tc>
          <w:tcPr>
            <w:tcW w:w="5640" w:type="dxa"/>
            <w:vAlign w:val="bottom"/>
            <w:tcBorders>
              <w:top w:val="single" w:sz="8" w:color="0563C1"/>
            </w:tcBorders>
            <w:gridSpan w:val="5"/>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97"/>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0563C1"/>
              </w:rPr>
              <w:t>Certification of Principal Executive Officer pursuant to Rule 13a-14(a)/15d-14(a), as adopted pursuant to Section 302 of the Sarbanes-Oxley Act of 2002.</w:t>
            </w: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top w:val="single" w:sz="8" w:color="0563C1"/>
            </w:tcBorders>
            <w:gridSpan w:val="4"/>
          </w:tcPr>
          <w:p>
            <w:pPr>
              <w:spacing w:after="0"/>
              <w:rPr>
                <w:sz w:val="20"/>
                <w:szCs w:val="20"/>
                <w:color w:val="auto"/>
              </w:rPr>
            </w:pPr>
            <w:r>
              <w:rPr>
                <w:rFonts w:ascii="Times New Roman" w:cs="Times New Roman" w:eastAsia="Times New Roman" w:hAnsi="Times New Roman"/>
                <w:sz w:val="15"/>
                <w:szCs w:val="15"/>
                <w:color w:val="0563C1"/>
              </w:rPr>
              <w:t>Certification of Principal Financial Officer pursuant to Rule 13a-14(a)/15d-14(a), as adopted pursuant to Section 302 of the Sarbanes-Oxley Act of 2002.</w:t>
            </w:r>
          </w:p>
        </w:tc>
        <w:tc>
          <w:tcPr>
            <w:tcW w:w="780" w:type="dxa"/>
            <w:vAlign w:val="bottom"/>
            <w:gridSpan w:val="6"/>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80" w:type="dxa"/>
            <w:vAlign w:val="bottom"/>
            <w:gridSpan w:val="3"/>
            <w:shd w:val="clear" w:color="auto" w:fill="0563C1"/>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0563C1"/>
              </w:rPr>
              <w:t>Certification of Principal Executive Officer pursuant to 18 U.S.C. §1350, as adopted pursuant to Section 906 of the Sarbanes-Oxley Act of 2002 (furnished herewith).</w:t>
            </w: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top w:val="single" w:sz="8" w:color="0563C1"/>
            </w:tcBorders>
            <w:gridSpan w:val="9"/>
          </w:tcPr>
          <w:p>
            <w:pPr>
              <w:spacing w:after="0"/>
              <w:rPr>
                <w:sz w:val="20"/>
                <w:szCs w:val="20"/>
                <w:color w:val="auto"/>
              </w:rPr>
            </w:pPr>
            <w:r>
              <w:rPr>
                <w:rFonts w:ascii="Times New Roman" w:cs="Times New Roman" w:eastAsia="Times New Roman" w:hAnsi="Times New Roman"/>
                <w:sz w:val="15"/>
                <w:szCs w:val="15"/>
                <w:color w:val="0563C1"/>
              </w:rPr>
              <w:t>Certification of Principal Financial Officer pursuant to 18 U.S.C. §1350, as adopted pursuant to Section 906 of the Sarbanes-Oxley Act of 2002 (furnished herewith).</w:t>
            </w:r>
          </w:p>
        </w:tc>
        <w:tc>
          <w:tcPr>
            <w:tcW w:w="40" w:type="dxa"/>
            <w:vAlign w:val="bottom"/>
          </w:tcPr>
          <w:p>
            <w:pPr>
              <w:spacing w:after="0"/>
              <w:rPr>
                <w:sz w:val="24"/>
                <w:szCs w:val="24"/>
                <w:color w:val="auto"/>
              </w:rPr>
            </w:pPr>
          </w:p>
        </w:tc>
      </w:tr>
      <w:tr>
        <w:trPr>
          <w:trHeight w:val="347"/>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top w:val="single" w:sz="8" w:color="0563C1"/>
            </w:tcBorders>
            <w:gridSpan w:val="8"/>
          </w:tcPr>
          <w:p>
            <w:pPr>
              <w:spacing w:after="0"/>
              <w:rPr>
                <w:sz w:val="20"/>
                <w:szCs w:val="20"/>
                <w:color w:val="auto"/>
              </w:rPr>
            </w:pPr>
            <w:r>
              <w:rPr>
                <w:rFonts w:ascii="Times New Roman" w:cs="Times New Roman" w:eastAsia="Times New Roman" w:hAnsi="Times New Roman"/>
                <w:sz w:val="15"/>
                <w:szCs w:val="15"/>
                <w:color w:val="auto"/>
              </w:rPr>
              <w:t>Inline XBRL Instance Document (the instance document does not appear in the Interactive Data File because its XBRL tags are embedded within the Inline XBRL</w:t>
            </w:r>
          </w:p>
        </w:tc>
        <w:tc>
          <w:tcPr>
            <w:tcW w:w="80" w:type="dxa"/>
            <w:vAlign w:val="bottom"/>
            <w:gridSpan w:val="2"/>
          </w:tcPr>
          <w:p>
            <w:pPr>
              <w:spacing w:after="0"/>
              <w:rPr>
                <w:sz w:val="24"/>
                <w:szCs w:val="24"/>
                <w:color w:val="auto"/>
              </w:rPr>
            </w:pPr>
          </w:p>
        </w:tc>
      </w:tr>
      <w:tr>
        <w:trPr>
          <w:trHeight w:val="197"/>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document)</w:t>
            </w:r>
          </w:p>
        </w:tc>
      </w:tr>
      <w:tr>
        <w:trPr>
          <w:trHeight w:val="303"/>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Database Document</w:t>
            </w: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with applicable taxonomy extension information contained in Exhibits 101.)</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**Filed herewith.</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6832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7780" w:type="dxa"/>
            <w:vAlign w:val="bottom"/>
            <w:gridSpan w:val="2"/>
          </w:tcPr>
          <w:p>
            <w:pPr>
              <w:ind w:left="2300"/>
              <w:spacing w:after="0"/>
              <w:rPr>
                <w:sz w:val="20"/>
                <w:szCs w:val="20"/>
                <w:color w:val="auto"/>
              </w:rPr>
            </w:pPr>
            <w:r>
              <w:rPr>
                <w:rFonts w:ascii="Times New Roman" w:cs="Times New Roman" w:eastAsia="Times New Roman" w:hAnsi="Times New Roman"/>
                <w:sz w:val="15"/>
                <w:szCs w:val="15"/>
                <w:color w:val="auto"/>
              </w:rPr>
              <w:t>AXSOME THERAPEUTICS, INC.</w:t>
            </w:r>
          </w:p>
        </w:tc>
      </w:tr>
      <w:tr>
        <w:trPr>
          <w:trHeight w:val="482"/>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Date: May 2, 2022</w:t>
            </w:r>
          </w:p>
        </w:tc>
        <w:tc>
          <w:tcPr>
            <w:tcW w:w="2640" w:type="dxa"/>
            <w:vAlign w:val="bottom"/>
          </w:tcPr>
          <w:p>
            <w:pPr>
              <w:ind w:left="2300"/>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Herriot Tabuteau, M.D.</w:t>
            </w:r>
          </w:p>
        </w:tc>
      </w:tr>
      <w:tr>
        <w:trPr>
          <w:trHeight w:val="192"/>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Herriot Tabuteau, M.D.</w:t>
            </w:r>
          </w:p>
        </w:tc>
      </w:tr>
      <w:tr>
        <w:trPr>
          <w:trHeight w:val="228"/>
        </w:trPr>
        <w:tc>
          <w:tcPr>
            <w:tcW w:w="3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24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723"/>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Date: May 2, 2022</w:t>
            </w:r>
          </w:p>
        </w:tc>
        <w:tc>
          <w:tcPr>
            <w:tcW w:w="2640" w:type="dxa"/>
            <w:vAlign w:val="bottom"/>
          </w:tcPr>
          <w:p>
            <w:pPr>
              <w:ind w:left="2300"/>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Nick Pizzie</w:t>
            </w:r>
          </w:p>
        </w:tc>
      </w:tr>
      <w:tr>
        <w:trPr>
          <w:trHeight w:val="192"/>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Nick Pizzie</w:t>
            </w:r>
          </w:p>
        </w:tc>
      </w:tr>
    </w:tbl>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6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7166610"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ind w:left="3040" w:firstLine="856"/>
        <w:spacing w:after="0" w:line="239" w:lineRule="auto"/>
        <w:rPr>
          <w:sz w:val="20"/>
          <w:szCs w:val="20"/>
          <w:color w:val="auto"/>
        </w:rPr>
      </w:pPr>
      <w:r>
        <w:rPr>
          <w:rFonts w:ascii="Times New Roman" w:cs="Times New Roman" w:eastAsia="Times New Roman" w:hAnsi="Times New Roman"/>
          <w:sz w:val="17"/>
          <w:szCs w:val="17"/>
          <w:color w:val="auto"/>
        </w:rPr>
        <w:t xml:space="preserve">[Exhibit B intentionally omitted. It is not material and would be competitively harmful if publicly disclosed.] </w:t>
      </w:r>
      <w:r>
        <w:rPr>
          <w:rFonts w:ascii="Times New Roman" w:cs="Times New Roman" w:eastAsia="Times New Roman" w:hAnsi="Times New Roman"/>
          <w:sz w:val="17"/>
          <w:szCs w:val="17"/>
          <w:b w:val="1"/>
          <w:bCs w:val="1"/>
          <w:color w:val="auto"/>
        </w:rPr>
        <w:t>SECOND AMENDMENT TO LOAN AND SECURITY AGREEMENT</w:t>
      </w:r>
    </w:p>
    <w:p>
      <w:pPr>
        <w:spacing w:after="0" w:line="174" w:lineRule="exact"/>
        <w:rPr>
          <w:sz w:val="20"/>
          <w:szCs w:val="20"/>
          <w:color w:val="auto"/>
        </w:rPr>
      </w:pPr>
    </w:p>
    <w:p>
      <w:pPr>
        <w:jc w:val="both"/>
        <w:ind w:firstLine="750"/>
        <w:spacing w:after="0" w:line="247" w:lineRule="auto"/>
        <w:rPr>
          <w:sz w:val="20"/>
          <w:szCs w:val="20"/>
          <w:color w:val="auto"/>
        </w:rPr>
      </w:pPr>
      <w:r>
        <w:rPr>
          <w:rFonts w:ascii="Times New Roman" w:cs="Times New Roman" w:eastAsia="Times New Roman" w:hAnsi="Times New Roman"/>
          <w:sz w:val="17"/>
          <w:szCs w:val="17"/>
          <w:color w:val="auto"/>
        </w:rPr>
        <w:t>THIS SECOND AMENDMENT TO LOAN AND SECURITY AGREEMENT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dated as of March 27, 2022, is entered into by and among AXSOME THERAPEUTICS, INC., a Delaware corporation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the several banks and other financial institutions or entities party hereto as Lender, constituting the Required Lenders and HERCULES CAPITAL, INC., a Maryland corporation, in its capacity as administrative agent and collateral agent for Lender (in such capacity,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ind w:firstLine="751"/>
        <w:spacing w:after="0" w:line="246" w:lineRule="auto"/>
        <w:tabs>
          <w:tab w:leader="none" w:pos="149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Lenders and Agent are parties to that certain Loan and Security Agreement, dated as of September 25, 2020, (as amended by the First Amendment to Loan and Security Agreement, dated as of October 14, 2021, the “</w:t>
      </w:r>
      <w:r>
        <w:rPr>
          <w:rFonts w:ascii="Times New Roman" w:cs="Times New Roman" w:eastAsia="Times New Roman" w:hAnsi="Times New Roman"/>
          <w:sz w:val="17"/>
          <w:szCs w:val="17"/>
          <w:u w:val="single" w:color="auto"/>
          <w:color w:val="auto"/>
        </w:rPr>
        <w:t>Existing Loan Agreement</w:t>
      </w:r>
      <w:r>
        <w:rPr>
          <w:rFonts w:ascii="Times New Roman" w:cs="Times New Roman" w:eastAsia="Times New Roman" w:hAnsi="Times New Roman"/>
          <w:sz w:val="17"/>
          <w:szCs w:val="17"/>
          <w:color w:val="auto"/>
        </w:rPr>
        <w:t>”; and the Existing Loan Agreement, as amended by this Amendment and as further amended, restated, supplemented or otherwise modified from time to time,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Lenders and Agent desire to modify the terms of the Existing Loan Agreement as set forth in this Amendment.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1Definitions; Interpretation.</w:t>
      </w:r>
    </w:p>
    <w:p>
      <w:pPr>
        <w:spacing w:after="0" w:line="196" w:lineRule="exact"/>
        <w:rPr>
          <w:sz w:val="20"/>
          <w:szCs w:val="20"/>
          <w:color w:val="auto"/>
        </w:rPr>
      </w:pPr>
    </w:p>
    <w:p>
      <w:pPr>
        <w:ind w:firstLine="751"/>
        <w:spacing w:after="0" w:line="265" w:lineRule="auto"/>
        <w:tabs>
          <w:tab w:leader="none" w:pos="149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Terms Defined in Loan Agreement</w:t>
      </w:r>
      <w:r>
        <w:rPr>
          <w:rFonts w:ascii="Times New Roman" w:cs="Times New Roman" w:eastAsia="Times New Roman" w:hAnsi="Times New Roman"/>
          <w:sz w:val="17"/>
          <w:szCs w:val="17"/>
          <w:color w:val="auto"/>
        </w:rPr>
        <w:t>. All capitalized terms used in this Amendment (including in the recitals hereof) and not otherwise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shall have the meanings assigned to them in the Loan Agreement.</w:t>
      </w:r>
    </w:p>
    <w:p>
      <w:pPr>
        <w:spacing w:after="0" w:line="162" w:lineRule="exact"/>
        <w:rPr>
          <w:rFonts w:ascii="Times New Roman" w:cs="Times New Roman" w:eastAsia="Times New Roman" w:hAnsi="Times New Roman"/>
          <w:sz w:val="17"/>
          <w:szCs w:val="17"/>
          <w:color w:val="auto"/>
        </w:rPr>
      </w:pPr>
    </w:p>
    <w:p>
      <w:pPr>
        <w:ind w:firstLine="751"/>
        <w:spacing w:after="0" w:line="265" w:lineRule="auto"/>
        <w:tabs>
          <w:tab w:leader="none" w:pos="149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Rules of Construction</w:t>
      </w:r>
      <w:r>
        <w:rPr>
          <w:rFonts w:ascii="Times New Roman" w:cs="Times New Roman" w:eastAsia="Times New Roman" w:hAnsi="Times New Roman"/>
          <w:sz w:val="17"/>
          <w:szCs w:val="17"/>
          <w:color w:val="auto"/>
        </w:rPr>
        <w:t>. The rules of construction that appear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Agreement shall be applicable to this Amendment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incorporated herein by this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2Amendments to the Loan Agreement.</w:t>
      </w:r>
    </w:p>
    <w:p>
      <w:pPr>
        <w:spacing w:after="0" w:line="213" w:lineRule="exact"/>
        <w:rPr>
          <w:sz w:val="20"/>
          <w:szCs w:val="20"/>
          <w:color w:val="auto"/>
        </w:rPr>
      </w:pPr>
    </w:p>
    <w:p>
      <w:pPr>
        <w:ind w:left="1500" w:hanging="749"/>
        <w:spacing w:after="0"/>
        <w:tabs>
          <w:tab w:leader="none" w:pos="15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satisfaction of the conditions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hereof, the Existing Loan Agreement is hereby amended as follows:</w:t>
      </w:r>
    </w:p>
    <w:p>
      <w:pPr>
        <w:spacing w:after="0" w:line="19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sets forth a clean copy of the Loan Agreement as amended hereby;</w:t>
      </w:r>
    </w:p>
    <w:p>
      <w:pPr>
        <w:spacing w:after="0" w:line="196" w:lineRule="exact"/>
        <w:rPr>
          <w:sz w:val="20"/>
          <w:szCs w:val="20"/>
          <w:color w:val="auto"/>
        </w:rPr>
      </w:pPr>
    </w:p>
    <w:p>
      <w:pPr>
        <w:jc w:val="both"/>
        <w:ind w:firstLine="1500"/>
        <w:spacing w:after="0" w:line="254" w:lineRule="auto"/>
        <w:tabs>
          <w:tab w:leader="none" w:pos="29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deletions of the text in the Existing Loan Agreement (including, to the extent included in such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each Schedule or Exhibit to the Existing Loan Agreement) are indicated by </w:t>
      </w:r>
      <w:r>
        <w:rPr>
          <w:rFonts w:ascii="Times New Roman" w:cs="Times New Roman" w:eastAsia="Times New Roman" w:hAnsi="Times New Roman"/>
          <w:sz w:val="17"/>
          <w:szCs w:val="17"/>
          <w:color w:val="FF0000"/>
          <w:strike w:val="1"/>
        </w:rPr>
        <w:t>struck-through text</w:t>
      </w:r>
      <w:r>
        <w:rPr>
          <w:rFonts w:ascii="Times New Roman" w:cs="Times New Roman" w:eastAsia="Times New Roman" w:hAnsi="Times New Roman"/>
          <w:sz w:val="17"/>
          <w:szCs w:val="17"/>
          <w:color w:val="auto"/>
        </w:rPr>
        <w:t xml:space="preserve">, and insertions of text are indicated by </w:t>
      </w:r>
      <w:r>
        <w:rPr>
          <w:rFonts w:ascii="Times New Roman" w:cs="Times New Roman" w:eastAsia="Times New Roman" w:hAnsi="Times New Roman"/>
          <w:sz w:val="17"/>
          <w:szCs w:val="17"/>
          <w:b w:val="1"/>
          <w:bCs w:val="1"/>
          <w:u w:val="single" w:color="auto"/>
          <w:color w:val="0000FF"/>
        </w:rPr>
        <w:t>bold, double-underlined text</w:t>
      </w:r>
      <w:r>
        <w:rPr>
          <w:rFonts w:ascii="Times New Roman" w:cs="Times New Roman" w:eastAsia="Times New Roman" w:hAnsi="Times New Roman"/>
          <w:sz w:val="17"/>
          <w:szCs w:val="17"/>
          <w:color w:val="000000"/>
        </w:rPr>
        <w:t>.</w:t>
      </w:r>
    </w:p>
    <w:p>
      <w:pPr>
        <w:spacing w:after="0" w:line="158" w:lineRule="exact"/>
        <w:rPr>
          <w:rFonts w:ascii="Times New Roman" w:cs="Times New Roman" w:eastAsia="Times New Roman" w:hAnsi="Times New Roman"/>
          <w:sz w:val="17"/>
          <w:szCs w:val="17"/>
          <w:color w:val="auto"/>
        </w:rPr>
      </w:pPr>
    </w:p>
    <w:p>
      <w:pPr>
        <w:jc w:val="both"/>
        <w:ind w:firstLine="751"/>
        <w:spacing w:after="0" w:line="256" w:lineRule="auto"/>
        <w:tabs>
          <w:tab w:leader="none" w:pos="149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References Within Existing Loan Agreement</w:t>
      </w:r>
      <w:r>
        <w:rPr>
          <w:rFonts w:ascii="Times New Roman" w:cs="Times New Roman" w:eastAsia="Times New Roman" w:hAnsi="Times New Roman"/>
          <w:sz w:val="17"/>
          <w:szCs w:val="17"/>
          <w:color w:val="auto"/>
        </w:rPr>
        <w:t>. Each reference in the Existing Loan Agreement to “this Agreement” and the words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“hereunder,” or words of like import, shall mean and be a reference to the Existing Loan Agreement as amended by this Amendment. This Amendment shall be a Loan Document.</w:t>
      </w:r>
    </w:p>
    <w:p>
      <w:pPr>
        <w:spacing w:after="0" w:line="15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color w:val="auto"/>
        </w:rPr>
        <w:t>SECTION 3Conditions to Effectiveness of this Amendment</w:t>
      </w:r>
      <w:r>
        <w:rPr>
          <w:rFonts w:ascii="Times New Roman" w:cs="Times New Roman" w:eastAsia="Times New Roman" w:hAnsi="Times New Roman"/>
          <w:sz w:val="17"/>
          <w:szCs w:val="17"/>
          <w:color w:val="auto"/>
        </w:rPr>
        <w:t>. The effectiveness of this Amendment shall be subject to Agent’s receipt of the following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form and substance satisfactory to Agent, or, as applicable, the following conditions being met:</w:t>
      </w:r>
    </w:p>
    <w:p>
      <w:pPr>
        <w:spacing w:after="0" w:line="142" w:lineRule="exact"/>
        <w:rPr>
          <w:sz w:val="20"/>
          <w:szCs w:val="20"/>
          <w:color w:val="auto"/>
        </w:rPr>
      </w:pPr>
    </w:p>
    <w:p>
      <w:pPr>
        <w:ind w:left="1500" w:hanging="749"/>
        <w:spacing w:after="0"/>
        <w:tabs>
          <w:tab w:leader="none" w:pos="15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Agent’s receipt of this Amendment, executed by Agent, each Lender and Borrower;</w:t>
      </w:r>
    </w:p>
    <w:p>
      <w:pPr>
        <w:spacing w:after="0" w:line="196" w:lineRule="exact"/>
        <w:rPr>
          <w:rFonts w:ascii="Times New Roman" w:cs="Times New Roman" w:eastAsia="Times New Roman" w:hAnsi="Times New Roman"/>
          <w:sz w:val="17"/>
          <w:szCs w:val="17"/>
          <w:color w:val="auto"/>
        </w:rPr>
      </w:pPr>
    </w:p>
    <w:p>
      <w:pPr>
        <w:ind w:firstLine="751"/>
        <w:spacing w:after="0" w:line="260" w:lineRule="auto"/>
        <w:tabs>
          <w:tab w:leader="none" w:pos="14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hereof, (i) the representations and warranties contained in Section 6 shall be true and correct on and as of the date hereof as though made on and as of such date; and (ii) there exist no Events of Default or events that with the passage of time would result in an Event of Default;</w:t>
      </w:r>
    </w:p>
    <w:p>
      <w:pPr>
        <w:spacing w:after="0" w:line="170" w:lineRule="exact"/>
        <w:rPr>
          <w:rFonts w:ascii="Times New Roman" w:cs="Times New Roman" w:eastAsia="Times New Roman" w:hAnsi="Times New Roman"/>
          <w:sz w:val="17"/>
          <w:szCs w:val="17"/>
          <w:color w:val="auto"/>
        </w:rPr>
      </w:pPr>
    </w:p>
    <w:p>
      <w:pPr>
        <w:jc w:val="both"/>
        <w:ind w:firstLine="751"/>
        <w:spacing w:after="0" w:line="246" w:lineRule="auto"/>
        <w:tabs>
          <w:tab w:leader="none" w:pos="14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fee equal to $100,000 payable to the Agent on behalf of the Lender on the date hereof. If the due date of such fee would otherwise fall on a day that is not a Business Day (the “</w:t>
      </w:r>
      <w:r>
        <w:rPr>
          <w:rFonts w:ascii="Times New Roman" w:cs="Times New Roman" w:eastAsia="Times New Roman" w:hAnsi="Times New Roman"/>
          <w:sz w:val="17"/>
          <w:szCs w:val="17"/>
          <w:u w:val="single" w:color="auto"/>
          <w:color w:val="auto"/>
        </w:rPr>
        <w:t>Amendment Fee Due Date</w:t>
      </w:r>
      <w:r>
        <w:rPr>
          <w:rFonts w:ascii="Times New Roman" w:cs="Times New Roman" w:eastAsia="Times New Roman" w:hAnsi="Times New Roman"/>
          <w:sz w:val="17"/>
          <w:szCs w:val="17"/>
          <w:color w:val="auto"/>
        </w:rPr>
        <w:t>”), such fee shall be considered paid on the Amendment Fee Due Date, if received on the next succeeding Business Day;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418465</wp:posOffset>
            </wp:positionV>
            <wp:extent cx="716661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ind w:firstLine="751"/>
        <w:spacing w:after="0" w:line="275" w:lineRule="auto"/>
        <w:tabs>
          <w:tab w:leader="none" w:pos="149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have paid (i) all invoiced costs and expenses then due in accordance with Section 8(e), and (ii) all other fees, costs and expenses, if any, due and payable as of the date hereof under the Loan Agreement.</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color w:val="auto"/>
        </w:rPr>
        <w:t>SECTION 4Section 2 Effective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Amendment shall become effective (the “</w:t>
      </w:r>
      <w:r>
        <w:rPr>
          <w:rFonts w:ascii="Times New Roman" w:cs="Times New Roman" w:eastAsia="Times New Roman" w:hAnsi="Times New Roman"/>
          <w:sz w:val="17"/>
          <w:szCs w:val="17"/>
          <w:u w:val="single" w:color="auto"/>
          <w:color w:val="auto"/>
        </w:rPr>
        <w:t>Second Amendment Effective Date</w:t>
      </w:r>
      <w:r>
        <w:rPr>
          <w:rFonts w:ascii="Times New Roman" w:cs="Times New Roman" w:eastAsia="Times New Roman" w:hAnsi="Times New Roman"/>
          <w:sz w:val="17"/>
          <w:szCs w:val="17"/>
          <w:color w:val="auto"/>
        </w:rPr>
        <w:t>”) when Agent receives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evidence, in form and substance satisfactory to Agent, that all the conditions to effectiveness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 have been met which may be delivered at Borrower’s discretion; provided that Borrower shall deliver all the conditions to effectiveness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 within one Business Day of the effectiveness of that certain Asset Purchase Agreement, dated as of March 25, 2022, by and among Borrower and Jazz Pharmaceuticals PLC with terms and conditions substantially consistent with those represented to Lender as of the date hereof (the “</w:t>
      </w:r>
      <w:r>
        <w:rPr>
          <w:rFonts w:ascii="Times New Roman" w:cs="Times New Roman" w:eastAsia="Times New Roman" w:hAnsi="Times New Roman"/>
          <w:sz w:val="17"/>
          <w:szCs w:val="17"/>
          <w:u w:val="single" w:color="auto"/>
          <w:color w:val="auto"/>
        </w:rPr>
        <w:t>Project Light Agreement</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SECTION 5Conditions to Section 2 Effective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Amendment shall be subject to Agent’s receipt of each of the following documents, in 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substance satisfactory to Agent, or, as applicable, each of the following conditions being met:</w:t>
      </w:r>
    </w:p>
    <w:p>
      <w:pPr>
        <w:spacing w:after="0" w:line="154" w:lineRule="exact"/>
        <w:rPr>
          <w:sz w:val="20"/>
          <w:szCs w:val="20"/>
          <w:color w:val="auto"/>
        </w:rPr>
      </w:pPr>
    </w:p>
    <w:p>
      <w:pPr>
        <w:ind w:firstLine="751"/>
        <w:spacing w:after="0" w:line="275"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Agent’s receipt of Warrants for each Lender, dated the Second Amendment Effective Date, in form and substance satisfactory to Agent with respect to this Amendment (the “</w:t>
      </w:r>
      <w:r>
        <w:rPr>
          <w:rFonts w:ascii="Times New Roman" w:cs="Times New Roman" w:eastAsia="Times New Roman" w:hAnsi="Times New Roman"/>
          <w:sz w:val="17"/>
          <w:szCs w:val="17"/>
          <w:u w:val="single" w:color="auto"/>
          <w:color w:val="auto"/>
        </w:rPr>
        <w:t>Tranche 1B Warrants</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jc w:val="both"/>
        <w:ind w:firstLine="751"/>
        <w:spacing w:after="0" w:line="243"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certificate of an officer of Borrower certifying and attaching copies of (A) the Charter, certified as of a recent date by the jurisdiction of organization of Borrower and as in effect as of the Second Amendment Effective Date; (B) the bylaws of Borrower, as in effect as of the Second Amendment Effective Date; (C) resolutions of Borrower’s board of directors evidencing approval of this Amendment, the Tranche 1B Warrants and the Advance to be made on the Second Amendment Effective Date, as such resolutions remain in full force and effect as of the Second Amendment Effective Date; and (D) a schedule setting forth the name, title and specimen signature of officers or other authorized signers on behalf of Borrower;</w:t>
      </w:r>
    </w:p>
    <w:p>
      <w:pPr>
        <w:spacing w:after="0" w:line="172"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for Borrower from its jurisdiction of organization;</w:t>
      </w:r>
    </w:p>
    <w:p>
      <w:pPr>
        <w:spacing w:after="0" w:line="208"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satisfactory to Agent in its sole discretion of the effectiveness of the Project Light Agreement;</w:t>
      </w:r>
    </w:p>
    <w:p>
      <w:pPr>
        <w:spacing w:after="0" w:line="196"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perfection certificate, executed by Borrower, in form and substance reasonably satisfactory to Agent;</w:t>
      </w:r>
    </w:p>
    <w:p>
      <w:pPr>
        <w:spacing w:after="0" w:line="196"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legal opinion of Borrower’s counsel in form and substance reasonably acceptable to Agent;</w:t>
      </w:r>
    </w:p>
    <w:p>
      <w:pPr>
        <w:spacing w:after="0" w:line="208"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as Agent may reasonably request;</w:t>
      </w:r>
    </w:p>
    <w:p>
      <w:pPr>
        <w:spacing w:after="0" w:line="196" w:lineRule="exact"/>
        <w:rPr>
          <w:rFonts w:ascii="Times New Roman" w:cs="Times New Roman" w:eastAsia="Times New Roman" w:hAnsi="Times New Roman"/>
          <w:sz w:val="17"/>
          <w:szCs w:val="17"/>
          <w:color w:val="auto"/>
        </w:rPr>
      </w:pPr>
    </w:p>
    <w:p>
      <w:pPr>
        <w:ind w:firstLine="751"/>
        <w:spacing w:after="0" w:line="260"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California law governed Joinder Agreement, executed by Axsome Malta Ltd., a limited company organized under the laws of Malta (the “</w:t>
      </w:r>
      <w:r>
        <w:rPr>
          <w:rFonts w:ascii="Times New Roman" w:cs="Times New Roman" w:eastAsia="Times New Roman" w:hAnsi="Times New Roman"/>
          <w:sz w:val="17"/>
          <w:szCs w:val="17"/>
          <w:u w:val="single" w:color="auto"/>
          <w:color w:val="auto"/>
        </w:rPr>
        <w:t>Malta Subsidiary</w:t>
      </w:r>
      <w:r>
        <w:rPr>
          <w:rFonts w:ascii="Times New Roman" w:cs="Times New Roman" w:eastAsia="Times New Roman" w:hAnsi="Times New Roman"/>
          <w:sz w:val="17"/>
          <w:szCs w:val="17"/>
          <w:color w:val="auto"/>
        </w:rPr>
        <w:t>”) and Agent, in form and substance reasonably acceptable to Agent;</w:t>
      </w:r>
    </w:p>
    <w:p>
      <w:pPr>
        <w:spacing w:after="0" w:line="170"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California law governed Joinder Agreement, executed by Axsome International Holdings LLC and Agent, in form and substance reasonably</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acceptable to Agent;</w:t>
      </w:r>
    </w:p>
    <w:p>
      <w:pPr>
        <w:spacing w:after="0" w:line="178" w:lineRule="exact"/>
        <w:rPr>
          <w:rFonts w:ascii="Times New Roman" w:cs="Times New Roman" w:eastAsia="Times New Roman" w:hAnsi="Times New Roman"/>
          <w:sz w:val="17"/>
          <w:szCs w:val="17"/>
          <w:color w:val="auto"/>
        </w:rPr>
      </w:pPr>
    </w:p>
    <w:p>
      <w:pPr>
        <w:ind w:firstLine="751"/>
        <w:spacing w:after="0" w:line="275"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California law governed Amended and Restated Pledge Agreement, executed by Borrower, Axsome International Holdings LLC and Agent, in form and substance reasonably acceptable to Agent;</w:t>
      </w:r>
    </w:p>
    <w:p>
      <w:pPr>
        <w:spacing w:after="0" w:line="145" w:lineRule="exact"/>
        <w:rPr>
          <w:rFonts w:ascii="Times New Roman" w:cs="Times New Roman" w:eastAsia="Times New Roman" w:hAnsi="Times New Roman"/>
          <w:sz w:val="17"/>
          <w:szCs w:val="17"/>
          <w:color w:val="auto"/>
        </w:rPr>
      </w:pPr>
    </w:p>
    <w:p>
      <w:pPr>
        <w:jc w:val="both"/>
        <w:ind w:firstLine="751"/>
        <w:spacing w:after="0" w:line="243"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have issued and sold to Agent, between $5,000,000 and $8,000,000 of the Borrower’s common stock, at a share price equal to the lesser of (a) the three-day volume weighted average price as of the date hereof or (b) the three-day volume weighted average price as of the Second Amendment Effective Date pursuant to that certain Stock Purchase Agreement, dated the Second Amendment Effective Date, by and between the Borrower and Agent; provided that in no case shall the share price be less than a 20% discount to the three-day volume weighted average price of Borrower’s common stock at the time of the purchase;</w:t>
      </w:r>
    </w:p>
    <w:p>
      <w:pPr>
        <w:spacing w:after="0" w:line="172" w:lineRule="exact"/>
        <w:rPr>
          <w:rFonts w:ascii="Times New Roman" w:cs="Times New Roman" w:eastAsia="Times New Roman" w:hAnsi="Times New Roman"/>
          <w:sz w:val="17"/>
          <w:szCs w:val="17"/>
          <w:color w:val="auto"/>
        </w:rPr>
      </w:pPr>
    </w:p>
    <w:p>
      <w:pPr>
        <w:ind w:firstLine="751"/>
        <w:spacing w:after="0" w:line="275" w:lineRule="auto"/>
        <w:tabs>
          <w:tab w:leader="none" w:pos="14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Second Amendment Effective Date, after giving effect to the amendment of the Existing Loan Agreement contemplated hereby: (i) the representations and warranties contained in Section 6 shall be true and correct</w:t>
      </w:r>
    </w:p>
    <w:p>
      <w:pPr>
        <w:spacing w:after="0" w:line="1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154305</wp:posOffset>
            </wp:positionV>
            <wp:extent cx="7166610"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3" w:name="page94"/>
    <w:bookmarkEnd w:id="93"/>
    <w:p>
      <w:pPr>
        <w:spacing w:after="0" w:line="275" w:lineRule="auto"/>
        <w:rPr>
          <w:sz w:val="20"/>
          <w:szCs w:val="20"/>
          <w:color w:val="auto"/>
        </w:rPr>
      </w:pPr>
      <w:r>
        <w:rPr>
          <w:rFonts w:ascii="Times New Roman" w:cs="Times New Roman" w:eastAsia="Times New Roman" w:hAnsi="Times New Roman"/>
          <w:sz w:val="17"/>
          <w:szCs w:val="17"/>
          <w:color w:val="auto"/>
        </w:rPr>
        <w:t>on and as of the Second Amendment Effective Date as though made on and as of such date; and (ii) there exist no Events of Default or events that with the passage of time would result in an Event of Default; and</w:t>
      </w:r>
    </w:p>
    <w:p>
      <w:pPr>
        <w:spacing w:after="0" w:line="146" w:lineRule="exact"/>
        <w:rPr>
          <w:sz w:val="20"/>
          <w:szCs w:val="20"/>
          <w:color w:val="auto"/>
        </w:rPr>
      </w:pPr>
    </w:p>
    <w:p>
      <w:pPr>
        <w:ind w:firstLine="751"/>
        <w:spacing w:after="0" w:line="260" w:lineRule="auto"/>
        <w:tabs>
          <w:tab w:leader="none" w:pos="149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have paid (i) all invoiced costs and expenses then due in accordance with Section 8(e), and (ii) all other fees, costs and expenses, if any, due and payable as of the Second Amendment Effective Date under the Loan Agreement.</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color w:val="auto"/>
        </w:rPr>
        <w:t>SECTION 6Representations and Warranties</w:t>
      </w:r>
      <w:r>
        <w:rPr>
          <w:rFonts w:ascii="Times New Roman" w:cs="Times New Roman" w:eastAsia="Times New Roman" w:hAnsi="Times New Roman"/>
          <w:sz w:val="16"/>
          <w:szCs w:val="16"/>
          <w:color w:val="auto"/>
        </w:rPr>
        <w:t>. To induce Agent and Lender to enter into this Amendment, Borrower hereby confirms, as of the date hereof, (a)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representations and warranties made by it in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of the Loan Agreement and in the other Loan Documents are true and correct in all material respects;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such materiality qualifier shall not be applicable to any representations and warranties that already are qualified or modified by materiality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text thereof and that any representations and warranties made as of a specific date are only true and correct in all material respects as of such date, and that no Event of Default has occurred and is continuing, (b) that no event that has had or could reasonably be expected to have a Material Adverse Effect has occurred and is continuing and Borrower is not aware of any event likely to occur that is reasonably expected to result in a Material Adverse Effect; (c) that the information included in the Perfection Certificate delivered to Agent on the date hereof is true and correct; (d)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Section 6, each reference in Section 5 of the Loan Agreement to “this Agreement,” and the words “hereof,” “herein,” “hereunder,” or words of like import in such Section, shall mean and be a reference to the Loan Agreement as amended by this Amendment.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SECTION 7Post-Closing. </w:t>
      </w:r>
      <w:r>
        <w:rPr>
          <w:rFonts w:ascii="Times New Roman" w:cs="Times New Roman" w:eastAsia="Times New Roman" w:hAnsi="Times New Roman"/>
          <w:sz w:val="17"/>
          <w:szCs w:val="17"/>
          <w:color w:val="auto"/>
        </w:rPr>
        <w:t>Notwithstanding any provision herein or in the Loan Documents to the contrary, to the extent not actually delivered on or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Second Amendment Effective Date, Borrower shall deliver to Agent:</w:t>
      </w:r>
    </w:p>
    <w:p>
      <w:pPr>
        <w:spacing w:after="0" w:line="180" w:lineRule="exact"/>
        <w:rPr>
          <w:sz w:val="20"/>
          <w:szCs w:val="20"/>
          <w:color w:val="auto"/>
        </w:rPr>
      </w:pPr>
    </w:p>
    <w:p>
      <w:pPr>
        <w:jc w:val="both"/>
        <w:ind w:firstLine="751"/>
        <w:spacing w:after="0" w:line="243" w:lineRule="auto"/>
        <w:tabs>
          <w:tab w:leader="none" w:pos="149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forty-five (45) days of the Second Amendment Effective Date, (i) a Maltese debenture or security agreement granting a lien in substantially all of the assets of the Malta Subsidiary, (ii) a Maltese law governed bank account pledge agreement in favor of Agent, as applicable, (iii) a Maltese law governed receivables pledge agreement in favor of Agent, as applicable, (iv) a Maltese law governed intellectual property pledge agreement in favor of Agent, as applicable, (v) a customary legal opinion of local Malta counsel for the Malta Subsidiary and (vi) such other documentation relating to such categories of assets as the Borrower and Agent may reasonably agree, in each case, in form and substance satisfactory to Agent in its sole discretion.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8Miscellaneous.</w:t>
      </w:r>
    </w:p>
    <w:p>
      <w:pPr>
        <w:spacing w:after="0" w:line="196" w:lineRule="exact"/>
        <w:rPr>
          <w:sz w:val="20"/>
          <w:szCs w:val="20"/>
          <w:color w:val="auto"/>
        </w:rPr>
      </w:pPr>
    </w:p>
    <w:p>
      <w:pPr>
        <w:ind w:left="1500" w:hanging="749"/>
        <w:spacing w:after="0"/>
        <w:tabs>
          <w:tab w:leader="none" w:pos="1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Loan Documents Otherwise Not Affected; Reaffirmation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17"/>
          <w:szCs w:val="17"/>
          <w:color w:val="auto"/>
        </w:rPr>
        <w:t>(i) 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68" w:lineRule="exact"/>
        <w:rPr>
          <w:sz w:val="20"/>
          <w:szCs w:val="20"/>
          <w:color w:val="auto"/>
        </w:rPr>
      </w:pPr>
    </w:p>
    <w:p>
      <w:pPr>
        <w:jc w:val="both"/>
        <w:ind w:firstLine="1500"/>
        <w:spacing w:after="0" w:line="277" w:lineRule="auto"/>
        <w:tabs>
          <w:tab w:leader="none" w:pos="299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hereby expressly (1) reaffirms, ratifies and confirms all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and with effect from (and including) the Second Amendment Effective Date, such grant</w:t>
      </w:r>
    </w:p>
    <w:p>
      <w:pPr>
        <w:spacing w:after="0" w:line="1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154305</wp:posOffset>
            </wp:positionV>
            <wp:extent cx="716661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4" w:name="page95"/>
    <w:bookmarkEnd w:id="94"/>
    <w:p>
      <w:pPr>
        <w:jc w:val="both"/>
        <w:spacing w:after="0" w:line="247" w:lineRule="auto"/>
        <w:rPr>
          <w:sz w:val="20"/>
          <w:szCs w:val="20"/>
          <w:color w:val="auto"/>
        </w:rPr>
      </w:pPr>
      <w:r>
        <w:rPr>
          <w:rFonts w:ascii="Times New Roman" w:cs="Times New Roman" w:eastAsia="Times New Roman" w:hAnsi="Times New Roman"/>
          <w:sz w:val="17"/>
          <w:szCs w:val="17"/>
          <w:color w:val="auto"/>
        </w:rPr>
        <w:t>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81" w:lineRule="exact"/>
        <w:rPr>
          <w:sz w:val="20"/>
          <w:szCs w:val="20"/>
          <w:color w:val="auto"/>
        </w:rPr>
      </w:pPr>
    </w:p>
    <w:p>
      <w:pPr>
        <w:jc w:val="both"/>
        <w:ind w:firstLine="1500"/>
        <w:spacing w:after="0" w:line="243" w:lineRule="auto"/>
        <w:tabs>
          <w:tab w:leader="none" w:pos="299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68" w:lineRule="exact"/>
        <w:rPr>
          <w:rFonts w:ascii="Times New Roman" w:cs="Times New Roman" w:eastAsia="Times New Roman" w:hAnsi="Times New Roman"/>
          <w:sz w:val="17"/>
          <w:szCs w:val="17"/>
          <w:color w:val="auto"/>
        </w:rPr>
      </w:pPr>
    </w:p>
    <w:p>
      <w:pPr>
        <w:jc w:val="both"/>
        <w:ind w:firstLine="751"/>
        <w:spacing w:after="0" w:line="248" w:lineRule="auto"/>
        <w:tabs>
          <w:tab w:leader="none" w:pos="149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Conditions</w:t>
      </w:r>
      <w:r>
        <w:rPr>
          <w:rFonts w:ascii="Times New Roman" w:cs="Times New Roman" w:eastAsia="Times New Roman" w:hAnsi="Times New Roman"/>
          <w:sz w:val="17"/>
          <w:szCs w:val="17"/>
          <w:color w:val="auto"/>
        </w:rPr>
        <w:t>. For purposes of determining compliance with the conditions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each Lender that has signed this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deemed to have consented to, approved or accepted or to be satisfied with, each document or other matter required thereunder to be consented to or approved by or acceptable or satisfactory to a Lender unless Agent shall have received notice from such Lender prior to the Second Amendment Effective Date specifying its objection thereto.</w:t>
      </w:r>
    </w:p>
    <w:p>
      <w:pPr>
        <w:spacing w:after="0" w:line="164" w:lineRule="exact"/>
        <w:rPr>
          <w:rFonts w:ascii="Times New Roman" w:cs="Times New Roman" w:eastAsia="Times New Roman" w:hAnsi="Times New Roman"/>
          <w:sz w:val="17"/>
          <w:szCs w:val="17"/>
          <w:color w:val="auto"/>
        </w:rPr>
      </w:pPr>
    </w:p>
    <w:p>
      <w:pPr>
        <w:jc w:val="both"/>
        <w:ind w:firstLine="751"/>
        <w:spacing w:after="0" w:line="241" w:lineRule="auto"/>
        <w:tabs>
          <w:tab w:leader="none" w:pos="149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In consideration of the agreements of Agent and each Lender contained herein and for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17"/>
          <w:szCs w:val="17"/>
          <w:u w:val="single" w:color="auto"/>
          <w:color w:val="auto"/>
        </w:rPr>
        <w:t>Releasees</w:t>
      </w:r>
      <w:r>
        <w:rPr>
          <w:rFonts w:ascii="Times New Roman" w:cs="Times New Roman" w:eastAsia="Times New Roman" w:hAnsi="Times New Roman"/>
          <w:sz w:val="17"/>
          <w:szCs w:val="17"/>
          <w:color w:val="auto"/>
        </w:rPr>
        <w:t>” and individually as a “</w:t>
      </w:r>
      <w:r>
        <w:rPr>
          <w:rFonts w:ascii="Times New Roman" w:cs="Times New Roman" w:eastAsia="Times New Roman" w:hAnsi="Times New Roman"/>
          <w:sz w:val="17"/>
          <w:szCs w:val="17"/>
          <w:u w:val="single" w:color="auto"/>
          <w:color w:val="auto"/>
        </w:rPr>
        <w:t>Releasee</w:t>
      </w:r>
      <w:r>
        <w:rPr>
          <w:rFonts w:ascii="Times New Roman" w:cs="Times New Roman" w:eastAsia="Times New Roman" w:hAnsi="Times New Roman"/>
          <w:sz w:val="17"/>
          <w:szCs w:val="17"/>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both at law and in equity, to the extent Borrower has actual knowledge as of the date hereof that it owns, holds, has or claims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Borrower has actual knowledge of could now be asserted or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69" w:lineRule="exact"/>
        <w:rPr>
          <w:sz w:val="20"/>
          <w:szCs w:val="20"/>
          <w:color w:val="auto"/>
        </w:rPr>
      </w:pPr>
    </w:p>
    <w:p>
      <w:pPr>
        <w:jc w:val="both"/>
        <w:ind w:firstLine="751"/>
        <w:spacing w:after="0" w:line="256" w:lineRule="auto"/>
        <w:tabs>
          <w:tab w:leader="none" w:pos="149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Reliance</w:t>
      </w:r>
      <w:r>
        <w:rPr>
          <w:rFonts w:ascii="Times New Roman" w:cs="Times New Roman" w:eastAsia="Times New Roman" w:hAnsi="Times New Roman"/>
          <w:sz w:val="17"/>
          <w:szCs w:val="17"/>
          <w:color w:val="auto"/>
        </w:rPr>
        <w:t>. Borrower hereby acknowledges and confirms to Agent and Lenders that Borrower is executing this Amendment on the basis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own investigation and for its own reasons without reliance upon any agreement, representation, understanding or communication by or on behalf of any other Person.</w:t>
      </w:r>
    </w:p>
    <w:p>
      <w:pPr>
        <w:spacing w:after="0" w:line="157" w:lineRule="exact"/>
        <w:rPr>
          <w:rFonts w:ascii="Times New Roman" w:cs="Times New Roman" w:eastAsia="Times New Roman" w:hAnsi="Times New Roman"/>
          <w:sz w:val="17"/>
          <w:szCs w:val="17"/>
          <w:color w:val="auto"/>
        </w:rPr>
      </w:pPr>
    </w:p>
    <w:p>
      <w:pPr>
        <w:jc w:val="both"/>
        <w:ind w:firstLine="751"/>
        <w:spacing w:after="0" w:line="256" w:lineRule="auto"/>
        <w:tabs>
          <w:tab w:leader="none" w:pos="149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Costs and Expenses</w:t>
      </w:r>
      <w:r>
        <w:rPr>
          <w:rFonts w:ascii="Times New Roman" w:cs="Times New Roman" w:eastAsia="Times New Roman" w:hAnsi="Times New Roman"/>
          <w:sz w:val="17"/>
          <w:szCs w:val="17"/>
          <w:color w:val="auto"/>
        </w:rPr>
        <w:t>. Borrower agrees to pay to Agent on the date hereof the reasonable out-of-pocket costs and expenses of Agent and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hereto, and the fees and disbursements of counsel to Agent and Lender party hereto in connection with the negotiation, preparation, execution and delivery of this Amendment and any other documents to be delivered in connection herewith on the Second Amendment Effective Date.</w:t>
      </w:r>
    </w:p>
    <w:p>
      <w:pPr>
        <w:spacing w:after="0" w:line="157"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This Amendment binds and is for the benefit of the successors and permitted assigns of each party.</w:t>
      </w:r>
    </w:p>
    <w:p>
      <w:pPr>
        <w:spacing w:after="0" w:line="196" w:lineRule="exact"/>
        <w:rPr>
          <w:rFonts w:ascii="Times New Roman" w:cs="Times New Roman" w:eastAsia="Times New Roman" w:hAnsi="Times New Roman"/>
          <w:sz w:val="17"/>
          <w:szCs w:val="17"/>
          <w:color w:val="auto"/>
        </w:rPr>
      </w:pPr>
    </w:p>
    <w:p>
      <w:pPr>
        <w:ind w:firstLine="751"/>
        <w:spacing w:after="0" w:line="280" w:lineRule="auto"/>
        <w:tabs>
          <w:tab w:leader="none" w:pos="149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Governing Law. </w:t>
      </w:r>
      <w:r>
        <w:rPr>
          <w:rFonts w:ascii="Times New Roman" w:cs="Times New Roman" w:eastAsia="Times New Roman" w:hAnsi="Times New Roman"/>
          <w:sz w:val="17"/>
          <w:szCs w:val="17"/>
          <w:color w:val="auto"/>
        </w:rPr>
        <w:t>THIS AMENDMENT AND THE RIGHTS AND OBLIGATIONS OF THE PARTIES HEREUNDER SHALL IN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RESPECTS BE GOVERNED BY AND CONSTRUED IN ACCORDANCE WITH,</w:t>
      </w:r>
    </w:p>
    <w:p>
      <w:pPr>
        <w:spacing w:after="0" w:line="14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154305</wp:posOffset>
            </wp:positionV>
            <wp:extent cx="7166610"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5" w:name="page96"/>
    <w:bookmarkEnd w:id="95"/>
    <w:p>
      <w:pPr>
        <w:jc w:val="both"/>
        <w:spacing w:after="0" w:line="254" w:lineRule="auto"/>
        <w:rPr>
          <w:sz w:val="20"/>
          <w:szCs w:val="20"/>
          <w:color w:val="auto"/>
        </w:rPr>
      </w:pPr>
      <w:r>
        <w:rPr>
          <w:rFonts w:ascii="Times New Roman" w:cs="Times New Roman" w:eastAsia="Times New Roman" w:hAnsi="Times New Roman"/>
          <w:sz w:val="17"/>
          <w:szCs w:val="17"/>
          <w:color w:val="auto"/>
        </w:rPr>
        <w:t>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59" w:lineRule="exact"/>
        <w:rPr>
          <w:sz w:val="20"/>
          <w:szCs w:val="20"/>
          <w:color w:val="auto"/>
        </w:rPr>
      </w:pPr>
    </w:p>
    <w:p>
      <w:pPr>
        <w:jc w:val="both"/>
        <w:ind w:firstLine="751"/>
        <w:spacing w:after="0" w:line="256" w:lineRule="auto"/>
        <w:tabs>
          <w:tab w:leader="none" w:pos="149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Complete Agreement; Amendments</w:t>
      </w:r>
      <w:r>
        <w:rPr>
          <w:rFonts w:ascii="Times New Roman" w:cs="Times New Roman" w:eastAsia="Times New Roman" w:hAnsi="Times New Roman"/>
          <w:sz w:val="17"/>
          <w:szCs w:val="17"/>
          <w:color w:val="auto"/>
        </w:rPr>
        <w:t>. This Amendment and the Loan Documents represent the entire agreement about this subject matter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57" w:lineRule="exact"/>
        <w:rPr>
          <w:rFonts w:ascii="Times New Roman" w:cs="Times New Roman" w:eastAsia="Times New Roman" w:hAnsi="Times New Roman"/>
          <w:sz w:val="17"/>
          <w:szCs w:val="17"/>
          <w:color w:val="auto"/>
        </w:rPr>
      </w:pPr>
    </w:p>
    <w:p>
      <w:pPr>
        <w:ind w:left="1500" w:hanging="749"/>
        <w:spacing w:after="0"/>
        <w:tabs>
          <w:tab w:leader="none" w:pos="1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Severability of Provisions. </w:t>
      </w:r>
      <w:r>
        <w:rPr>
          <w:rFonts w:ascii="Times New Roman" w:cs="Times New Roman" w:eastAsia="Times New Roman" w:hAnsi="Times New Roman"/>
          <w:sz w:val="16"/>
          <w:szCs w:val="16"/>
          <w:color w:val="auto"/>
        </w:rPr>
        <w:t>Each provision of this Amendment is severable from every other provision in determining the enforceability of any</w:t>
      </w:r>
    </w:p>
    <w:p>
      <w:pPr>
        <w:spacing w:after="0" w:line="3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provision.</w:t>
      </w:r>
    </w:p>
    <w:p>
      <w:pPr>
        <w:spacing w:after="0" w:line="176" w:lineRule="exact"/>
        <w:rPr>
          <w:rFonts w:ascii="Times New Roman" w:cs="Times New Roman" w:eastAsia="Times New Roman" w:hAnsi="Times New Roman"/>
          <w:sz w:val="16"/>
          <w:szCs w:val="16"/>
          <w:color w:val="auto"/>
        </w:rPr>
      </w:pPr>
    </w:p>
    <w:p>
      <w:pPr>
        <w:jc w:val="both"/>
        <w:ind w:firstLine="751"/>
        <w:spacing w:after="0" w:line="280" w:lineRule="auto"/>
        <w:tabs>
          <w:tab w:leader="none" w:pos="149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Amendment may be executed in any number of counterparts and by different parties on separate counterparts, each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39" w:lineRule="exact"/>
        <w:rPr>
          <w:rFonts w:ascii="Times New Roman" w:cs="Times New Roman" w:eastAsia="Times New Roman" w:hAnsi="Times New Roman"/>
          <w:sz w:val="16"/>
          <w:szCs w:val="16"/>
          <w:color w:val="auto"/>
        </w:rPr>
      </w:pPr>
    </w:p>
    <w:p>
      <w:pPr>
        <w:ind w:left="1500" w:hanging="749"/>
        <w:spacing w:after="0"/>
        <w:tabs>
          <w:tab w:leader="none" w:pos="15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This Amendment and the documents related thereto shall constitute a Loan Document.</w:t>
      </w:r>
    </w:p>
    <w:p>
      <w:pPr>
        <w:spacing w:after="0" w:line="196" w:lineRule="exact"/>
        <w:rPr>
          <w:rFonts w:ascii="Times New Roman" w:cs="Times New Roman" w:eastAsia="Times New Roman" w:hAnsi="Times New Roman"/>
          <w:sz w:val="17"/>
          <w:szCs w:val="17"/>
          <w:color w:val="auto"/>
        </w:rPr>
      </w:pPr>
    </w:p>
    <w:p>
      <w:pPr>
        <w:jc w:val="both"/>
        <w:ind w:firstLine="751"/>
        <w:spacing w:after="0" w:line="243" w:lineRule="auto"/>
        <w:tabs>
          <w:tab w:leader="none" w:pos="149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Electronic Execution of Certain Other Documents</w:t>
      </w:r>
      <w:r>
        <w:rPr>
          <w:rFonts w:ascii="Times New Roman" w:cs="Times New Roman" w:eastAsia="Times New Roman" w:hAnsi="Times New Roman"/>
          <w:sz w:val="17"/>
          <w:szCs w:val="17"/>
          <w:color w:val="auto"/>
        </w:rPr>
        <w:t>. The words “execution,” “execute”, “signed,” “signature,” and words of like import 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154305</wp:posOffset>
            </wp:positionV>
            <wp:extent cx="7166610"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16"/>
          <w:szCs w:val="16"/>
          <w:color w:val="auto"/>
        </w:rPr>
        <w:t>IN WITNESS WHEREOF, the parties hereto have duly executed this Amendment, as of the date first above written.</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BORROWER:</w:t>
      </w:r>
    </w:p>
    <w:p>
      <w:pPr>
        <w:spacing w:after="0" w:line="1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196" w:lineRule="exact"/>
        <w:rPr>
          <w:sz w:val="20"/>
          <w:szCs w:val="20"/>
          <w:color w:val="auto"/>
        </w:rPr>
      </w:pPr>
    </w:p>
    <w:p>
      <w:pPr>
        <w:ind w:left="5240"/>
        <w:spacing w:after="0"/>
        <w:tabs>
          <w:tab w:leader="none" w:pos="624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u w:val="single" w:color="auto"/>
          <w:color w:val="auto"/>
        </w:rPr>
        <w:t>/s/ Herriot Tabuteau, M.D.</w:t>
      </w:r>
    </w:p>
    <w:p>
      <w:pPr>
        <w:spacing w:after="0" w:line="209" w:lineRule="exact"/>
        <w:rPr>
          <w:sz w:val="20"/>
          <w:szCs w:val="20"/>
          <w:color w:val="auto"/>
        </w:rPr>
      </w:pPr>
    </w:p>
    <w:p>
      <w:pPr>
        <w:ind w:left="5240"/>
        <w:spacing w:after="0"/>
        <w:tabs>
          <w:tab w:leader="none" w:pos="6240" w:val="left"/>
        </w:tabs>
        <w:rPr>
          <w:sz w:val="20"/>
          <w:szCs w:val="20"/>
          <w:color w:val="auto"/>
        </w:rPr>
      </w:pPr>
      <w:r>
        <w:rPr>
          <w:rFonts w:ascii="Times New Roman" w:cs="Times New Roman" w:eastAsia="Times New Roman" w:hAnsi="Times New Roman"/>
          <w:sz w:val="17"/>
          <w:szCs w:val="17"/>
          <w:color w:val="auto"/>
        </w:rPr>
        <w:t>Print Name:</w:t>
      </w:r>
      <w:r>
        <w:rPr>
          <w:sz w:val="20"/>
          <w:szCs w:val="20"/>
          <w:color w:val="auto"/>
        </w:rPr>
        <w:tab/>
      </w:r>
      <w:r>
        <w:rPr>
          <w:rFonts w:ascii="Times New Roman" w:cs="Times New Roman" w:eastAsia="Times New Roman" w:hAnsi="Times New Roman"/>
          <w:sz w:val="16"/>
          <w:szCs w:val="16"/>
          <w:u w:val="single" w:color="auto"/>
          <w:color w:val="auto"/>
        </w:rPr>
        <w:t>Herriot Tabuteau, M.D.</w:t>
      </w:r>
    </w:p>
    <w:p>
      <w:pPr>
        <w:spacing w:after="0" w:line="196" w:lineRule="exact"/>
        <w:rPr>
          <w:sz w:val="20"/>
          <w:szCs w:val="20"/>
          <w:color w:val="auto"/>
        </w:rPr>
      </w:pPr>
    </w:p>
    <w:p>
      <w:pPr>
        <w:ind w:left="5240"/>
        <w:spacing w:after="0"/>
        <w:tabs>
          <w:tab w:leader="none" w:pos="59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u w:val="single" w:color="auto"/>
          <w:color w:val="auto"/>
        </w:rPr>
        <w:t>President and Chief Executive Officer</w:t>
      </w:r>
    </w:p>
    <w:p>
      <w:pPr>
        <w:spacing w:after="0" w:line="39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[SIGNATURES CONTINUE ON THE NEXT PAGE]</w:t>
      </w:r>
    </w:p>
    <w:p>
      <w:pPr>
        <w:spacing w:after="0" w:line="39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[Signature Page to Second Amendment to Loan and Security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|US-DOCS\129792129.9||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97" w:name="page98"/>
    <w:bookmarkEnd w:id="97"/>
    <w:p>
      <w:pPr>
        <w:ind w:left="5240"/>
        <w:spacing w:after="0"/>
        <w:rPr>
          <w:sz w:val="20"/>
          <w:szCs w:val="20"/>
          <w:color w:val="auto"/>
        </w:rPr>
      </w:pPr>
      <w:r>
        <w:rPr>
          <w:rFonts w:ascii="Times New Roman" w:cs="Times New Roman" w:eastAsia="Times New Roman" w:hAnsi="Times New Roman"/>
          <w:sz w:val="17"/>
          <w:szCs w:val="17"/>
          <w:color w:val="auto"/>
        </w:rPr>
        <w:t>AGENT:</w:t>
      </w: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HERCULES CAPITAL, INC.</w:t>
      </w:r>
    </w:p>
    <w:p>
      <w:pPr>
        <w:spacing w:after="0" w:line="181" w:lineRule="exact"/>
        <w:rPr>
          <w:sz w:val="20"/>
          <w:szCs w:val="20"/>
          <w:color w:val="auto"/>
        </w:rPr>
      </w:pPr>
    </w:p>
    <w:tbl>
      <w:tblPr>
        <w:tblLayout w:type="fixed"/>
        <w:tblInd w:w="524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Seth Meyer</w:t>
            </w:r>
          </w:p>
        </w:tc>
        <w:tc>
          <w:tcPr>
            <w:tcW w:w="220" w:type="dxa"/>
            <w:vAlign w:val="bottom"/>
          </w:tcPr>
          <w:p>
            <w:pPr>
              <w:spacing w:after="0"/>
              <w:rPr>
                <w:sz w:val="17"/>
                <w:szCs w:val="17"/>
                <w:color w:val="auto"/>
              </w:rPr>
            </w:pP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Seth Meyer</w:t>
            </w:r>
          </w:p>
        </w:tc>
      </w:tr>
      <w:tr>
        <w:trPr>
          <w:trHeight w:val="404"/>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Financial Officer</w:t>
            </w:r>
          </w:p>
        </w:tc>
      </w:tr>
    </w:tbl>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LENDER:</w:t>
      </w:r>
    </w:p>
    <w:p>
      <w:pPr>
        <w:spacing w:after="0" w:line="1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HERCULES CAPITAL, INC.</w:t>
      </w:r>
    </w:p>
    <w:p>
      <w:pPr>
        <w:spacing w:after="0" w:line="194" w:lineRule="exact"/>
        <w:rPr>
          <w:sz w:val="20"/>
          <w:szCs w:val="20"/>
          <w:color w:val="auto"/>
        </w:rPr>
      </w:pPr>
    </w:p>
    <w:tbl>
      <w:tblPr>
        <w:tblLayout w:type="fixed"/>
        <w:tblInd w:w="524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Seth Meyer</w:t>
            </w:r>
          </w:p>
        </w:tc>
        <w:tc>
          <w:tcPr>
            <w:tcW w:w="220" w:type="dxa"/>
            <w:vAlign w:val="bottom"/>
          </w:tcPr>
          <w:p>
            <w:pPr>
              <w:spacing w:after="0"/>
              <w:rPr>
                <w:sz w:val="17"/>
                <w:szCs w:val="17"/>
                <w:color w:val="auto"/>
              </w:rPr>
            </w:pP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Seth Meyer</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Financial Officer</w:t>
            </w:r>
          </w:p>
        </w:tc>
      </w:tr>
    </w:tbl>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HERCULES PRIVATE CREDIT FUND I L.P.</w:t>
      </w:r>
    </w:p>
    <w:p>
      <w:pPr>
        <w:spacing w:after="0" w:line="1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By: Hercules Private Global Venture Growth Fund GP I LLC, its general partner</w:t>
      </w: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By: Hercules Adviser LLC, its sole member</w:t>
      </w:r>
    </w:p>
    <w:p>
      <w:pPr>
        <w:spacing w:after="0" w:line="200" w:lineRule="exact"/>
        <w:rPr>
          <w:sz w:val="20"/>
          <w:szCs w:val="20"/>
          <w:color w:val="auto"/>
        </w:rPr>
      </w:pPr>
    </w:p>
    <w:p>
      <w:pPr>
        <w:spacing w:after="0" w:line="386" w:lineRule="exact"/>
        <w:rPr>
          <w:sz w:val="20"/>
          <w:szCs w:val="20"/>
          <w:color w:val="auto"/>
        </w:rPr>
      </w:pPr>
    </w:p>
    <w:tbl>
      <w:tblPr>
        <w:tblLayout w:type="fixed"/>
        <w:tblInd w:w="524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Seth Meyer</w:t>
            </w:r>
          </w:p>
        </w:tc>
        <w:tc>
          <w:tcPr>
            <w:tcW w:w="120" w:type="dxa"/>
            <w:vAlign w:val="bottom"/>
          </w:tcPr>
          <w:p>
            <w:pPr>
              <w:spacing w:after="0"/>
              <w:rPr>
                <w:sz w:val="16"/>
                <w:szCs w:val="16"/>
                <w:color w:val="auto"/>
              </w:rPr>
            </w:pP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Seth Meyer</w:t>
            </w:r>
          </w:p>
        </w:tc>
      </w:tr>
      <w:tr>
        <w:trPr>
          <w:trHeight w:val="404"/>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[Signature Page to Second Amendment to Loan and Security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|US-DOCS\129792129.9||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73660</wp:posOffset>
            </wp:positionV>
            <wp:extent cx="716661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680"/>
          </w:cols>
          <w:pgMar w:left="320" w:top="755" w:right="899" w:bottom="1440" w:gutter="0" w:footer="0" w:header="0"/>
        </w:sectPr>
      </w:pPr>
    </w:p>
    <w:bookmarkStart w:id="98" w:name="page99"/>
    <w:bookmarkEnd w:id="98"/>
    <w:p>
      <w:pPr>
        <w:ind w:left="5240"/>
        <w:spacing w:after="0"/>
        <w:rPr>
          <w:sz w:val="20"/>
          <w:szCs w:val="20"/>
          <w:color w:val="auto"/>
        </w:rPr>
      </w:pPr>
      <w:r>
        <w:rPr>
          <w:rFonts w:ascii="Times New Roman" w:cs="Times New Roman" w:eastAsia="Times New Roman" w:hAnsi="Times New Roman"/>
          <w:sz w:val="17"/>
          <w:szCs w:val="17"/>
          <w:color w:val="auto"/>
        </w:rPr>
        <w:t>HERCULES PRIVATE GLOBAL VENTURE GROWTH FUND I L.P.</w:t>
      </w: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By: Hercules Private Global Venture Growth Fund GP I LLC, its general partner</w:t>
      </w: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By: Hercules Adviser LLC, its sole member</w:t>
      </w:r>
    </w:p>
    <w:p>
      <w:pPr>
        <w:spacing w:after="0" w:line="200" w:lineRule="exact"/>
        <w:rPr>
          <w:sz w:val="20"/>
          <w:szCs w:val="20"/>
          <w:color w:val="auto"/>
        </w:rPr>
      </w:pPr>
    </w:p>
    <w:p>
      <w:pPr>
        <w:spacing w:after="0" w:line="386" w:lineRule="exact"/>
        <w:rPr>
          <w:sz w:val="20"/>
          <w:szCs w:val="20"/>
          <w:color w:val="auto"/>
        </w:rPr>
      </w:pPr>
    </w:p>
    <w:tbl>
      <w:tblPr>
        <w:tblLayout w:type="fixed"/>
        <w:tblInd w:w="524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Seth Meyer</w:t>
            </w:r>
          </w:p>
        </w:tc>
        <w:tc>
          <w:tcPr>
            <w:tcW w:w="120" w:type="dxa"/>
            <w:vAlign w:val="bottom"/>
          </w:tcPr>
          <w:p>
            <w:pPr>
              <w:spacing w:after="0"/>
              <w:rPr>
                <w:sz w:val="17"/>
                <w:szCs w:val="17"/>
                <w:color w:val="auto"/>
              </w:rPr>
            </w:pP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Print Name:</w:t>
            </w: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Seth Meyer</w:t>
            </w: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[Signature Page to Second Amendment to Loan and Security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|US-DOCS\129792129.9||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66040</wp:posOffset>
            </wp:positionV>
            <wp:extent cx="7166610"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680"/>
          </w:cols>
          <w:pgMar w:left="320" w:top="351" w:right="89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418465</wp:posOffset>
            </wp:positionV>
            <wp:extent cx="7166610"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B intentionally omitted.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290195</wp:posOffset>
            </wp:positionV>
            <wp:extent cx="7166610"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color w:val="auto"/>
        </w:rPr>
        <w:t>LOAN AND SECURITY AGREEMENT</w:t>
      </w:r>
    </w:p>
    <w:p>
      <w:pPr>
        <w:spacing w:after="0" w:line="99" w:lineRule="exact"/>
        <w:rPr>
          <w:sz w:val="20"/>
          <w:szCs w:val="20"/>
          <w:color w:val="auto"/>
        </w:rPr>
      </w:pPr>
    </w:p>
    <w:p>
      <w:pPr>
        <w:jc w:val="both"/>
        <w:ind w:firstLine="750"/>
        <w:spacing w:after="0" w:line="252" w:lineRule="auto"/>
        <w:rPr>
          <w:sz w:val="20"/>
          <w:szCs w:val="20"/>
          <w:color w:val="auto"/>
        </w:rPr>
      </w:pPr>
      <w:r>
        <w:rPr>
          <w:rFonts w:ascii="Times New Roman" w:cs="Times New Roman" w:eastAsia="Times New Roman" w:hAnsi="Times New Roman"/>
          <w:sz w:val="20"/>
          <w:szCs w:val="20"/>
          <w:color w:val="auto"/>
        </w:rPr>
        <w:t>THIS LOAN AND SECURITY AGREEMENT is made and dated as of September 25, 2020 and is entered into by and among AXSOME THERAPEUTICS, INC., a Delaware corporation, and each of its Subsidiaries other than Excluded Subsidiaries (individually and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ind w:right="20" w:firstLine="751"/>
        <w:spacing w:after="0" w:line="270" w:lineRule="auto"/>
        <w:tabs>
          <w:tab w:leader="none" w:pos="115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has requested the Lenders make available to Borrower a loan in an aggregate principal amount of up to Three Hundred Million Dollars ($300,000,000) (the “Term Loan”); and</w:t>
      </w:r>
    </w:p>
    <w:p>
      <w:pPr>
        <w:spacing w:after="0" w:line="139" w:lineRule="exact"/>
        <w:rPr>
          <w:rFonts w:ascii="Times New Roman" w:cs="Times New Roman" w:eastAsia="Times New Roman" w:hAnsi="Times New Roman"/>
          <w:sz w:val="20"/>
          <w:szCs w:val="20"/>
          <w:color w:val="auto"/>
        </w:rPr>
      </w:pPr>
    </w:p>
    <w:p>
      <w:pPr>
        <w:ind w:left="1160" w:hanging="409"/>
        <w:spacing w:after="0"/>
        <w:tabs>
          <w:tab w:leader="none" w:pos="11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are willing to make the Term Loan on the terms and conditions set forth in this Agreement.</w:t>
      </w:r>
    </w:p>
    <w:p>
      <w:pPr>
        <w:spacing w:after="0" w:line="20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Borrower, Agent and the Lenders agree as follows:</w:t>
      </w:r>
    </w:p>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b w:val="1"/>
          <w:bCs w:val="1"/>
          <w:u w:val="single" w:color="auto"/>
          <w:color w:val="auto"/>
        </w:rPr>
        <w:t>DEFINITIONS AND RULES OF CONSTRUCTION</w:t>
      </w:r>
    </w:p>
    <w:p>
      <w:pPr>
        <w:spacing w:after="0" w:line="216" w:lineRule="exact"/>
        <w:rPr>
          <w:sz w:val="20"/>
          <w:szCs w:val="20"/>
          <w:color w:val="auto"/>
        </w:rPr>
      </w:pPr>
    </w:p>
    <w:p>
      <w:pPr>
        <w:ind w:left="2160" w:hanging="753"/>
        <w:spacing w:after="0"/>
        <w:tabs>
          <w:tab w:leader="none" w:pos="21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the following capitalized terms shall have the following meanings:</w:t>
      </w:r>
    </w:p>
    <w:p>
      <w:pPr>
        <w:spacing w:after="0" w:line="20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5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“ACH Authorization” means the ACH Debit Authorization Agreement in substantially the form of Exhibit H, which account numbers shall be redacted for security purposes if and when filed publicly by the Borrower.</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“ACH Failure” means the failure of the Automated Clearing House (ACH) system to effect a transfer of funds requested by Lender to be used to satisfy all or part of Borrower’s obligations to pay principal and interest due hereunder, unless any such failure results from insufficient funds in Borrower’s account(s).</w:t>
      </w:r>
    </w:p>
    <w:p>
      <w:pPr>
        <w:spacing w:after="0" w:line="15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“Acquisition” means any transaction or series of related transactions for the purpose of or resulting, directly or indirectly, in (a) the acquisition of all or substantially all of the assets of</w:t>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IF "1" = "1" "WEST\296323106.2" "" WEST\296323106.2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358775</wp:posOffset>
            </wp:positionV>
            <wp:extent cx="7166610"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02" w:name="page103"/>
    <w:bookmarkEnd w:id="102"/>
    <w:p>
      <w:pPr>
        <w:jc w:val="both"/>
        <w:spacing w:after="0" w:line="257" w:lineRule="auto"/>
        <w:rPr>
          <w:sz w:val="20"/>
          <w:szCs w:val="20"/>
          <w:color w:val="auto"/>
        </w:rPr>
      </w:pPr>
      <w:r>
        <w:rPr>
          <w:rFonts w:ascii="Times New Roman" w:cs="Times New Roman" w:eastAsia="Times New Roman" w:hAnsi="Times New Roman"/>
          <w:sz w:val="20"/>
          <w:szCs w:val="20"/>
          <w:color w:val="auto"/>
        </w:rPr>
        <w:t>a Person, or any division, line of business or other business unit of another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any product that would constitute a Borrower Product upon acquisition.</w:t>
      </w:r>
    </w:p>
    <w:p>
      <w:pPr>
        <w:spacing w:after="0" w:line="15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“Acquisition Deferred Payments”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“Advance(s)” means a Term Loan Advance.</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“Advance Date” means the funding date of any Advance.</w:t>
      </w:r>
    </w:p>
    <w:p>
      <w:pPr>
        <w:spacing w:after="0" w:line="20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25"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20"/>
          <w:szCs w:val="20"/>
          <w:color w:val="auto"/>
        </w:rPr>
        <w:t>“Affiliate” means with respect to any Person (a) any Person that directly or indirectly controls, is controlled by, or is under common control with such Person, (b) any Person directly or indirectly owning, controlling or holding with power to vote ten percent (10%) or more of the outstanding voting securities of such Person, and (c) any Person ten percent (10%) or more of whose outstanding voting securities are directly or indirectly owned, controlled or held by such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“Agreement” means this Loan and Security Agreement, as amended from time to time.</w:t>
      </w:r>
    </w:p>
    <w:p>
      <w:pPr>
        <w:spacing w:after="0" w:line="21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“Amortization Date” means November 1, 2025; provided however, (x) if the First Interest Only Extension Conditions are satisfied, then May 1, 2026, and (y) if the Second Interest Only Extension Conditions are satisfied, then November 1, 2026.</w:t>
      </w:r>
    </w:p>
    <w:p>
      <w:pPr>
        <w:spacing w:after="0" w:line="15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“Antecip License Agreement” means that certain License Agreement, dated as of April 17, 2012 by and between Borrower and Antecip Bioventures II LLC, as amended by the First Amendment to License Agreement dated as of August 21, 2015, as amended by the Antecip Direct Agreement and as may be further amended from time to time pursuant to terms of the Antecip Direct Agreement.</w:t>
      </w:r>
    </w:p>
    <w:p>
      <w:pPr>
        <w:spacing w:after="0" w:line="159"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“Antecip Direct Agreement” means that certain Direct Agreement dated as of the date hereof, by and among the Company, Antecip Bioventures II LLC and the Agent (as amended, supplemented or otherwise modified from time to time).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29" w:lineRule="exact"/>
        <w:rPr>
          <w:sz w:val="20"/>
          <w:szCs w:val="20"/>
          <w:color w:val="auto"/>
        </w:rPr>
      </w:pPr>
    </w:p>
    <w:p>
      <w:pPr>
        <w:jc w:val="both"/>
        <w:ind w:firstLine="1499"/>
        <w:spacing w:after="0" w:line="251" w:lineRule="exact"/>
        <w:rPr>
          <w:sz w:val="20"/>
          <w:szCs w:val="20"/>
          <w:color w:val="auto"/>
        </w:rPr>
      </w:pPr>
      <w:r>
        <w:rPr>
          <w:rFonts w:ascii="Times New Roman" w:cs="Times New Roman" w:eastAsia="Times New Roman" w:hAnsi="Times New Roman"/>
          <w:sz w:val="20"/>
          <w:szCs w:val="20"/>
          <w:color w:val="auto"/>
        </w:rPr>
        <w:t>“Anti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“Australian Subsidiary” means Axsome Therapeutics Australia Pty Ltd, a company organized under the laws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Australia.</w:t>
      </w:r>
    </w:p>
    <w:p>
      <w:pPr>
        <w:spacing w:after="0" w:line="190"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“AXS-05” means Borrower’s AXS-05 product candidate (bupropion and dextromethorphan) for the treatment of Major Depressive Disorder (MDD) and other indications.</w:t>
      </w:r>
    </w:p>
    <w:p>
      <w:pPr>
        <w:spacing w:after="0" w:line="14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“AXS-05 Milestone” means Borrower shall have provided evidence reasonably satisfactory to Agent that the FDA has approved Borrower’s New Drug Application for AXS-05 for the treatment of MDD with a label claim that is generally consistent with that sought in Borrower’s New Drug Application filing.</w:t>
      </w:r>
    </w:p>
    <w:p>
      <w:pPr>
        <w:spacing w:after="0" w:line="150" w:lineRule="exact"/>
        <w:rPr>
          <w:sz w:val="20"/>
          <w:szCs w:val="20"/>
          <w:color w:val="auto"/>
        </w:rPr>
      </w:pPr>
    </w:p>
    <w:p>
      <w:pPr>
        <w:ind w:left="1500" w:firstLine="51"/>
        <w:spacing w:after="0" w:line="360" w:lineRule="auto"/>
        <w:rPr>
          <w:sz w:val="20"/>
          <w:szCs w:val="20"/>
          <w:color w:val="auto"/>
        </w:rPr>
      </w:pPr>
      <w:r>
        <w:rPr>
          <w:rFonts w:ascii="Times New Roman" w:cs="Times New Roman" w:eastAsia="Times New Roman" w:hAnsi="Times New Roman"/>
          <w:sz w:val="20"/>
          <w:szCs w:val="20"/>
          <w:color w:val="auto"/>
        </w:rPr>
        <w:t>“AXS-05 Milestone Date” means the date on which the Borrower achieves the AXS-05 Milestone. “AXS-07” means Borrower’s AXS-07 product candidate (MoSEIC meloxicam and rizatriptan) for the acute treatment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migraine.</w:t>
      </w:r>
    </w:p>
    <w:p>
      <w:pPr>
        <w:spacing w:after="0" w:line="190" w:lineRule="exact"/>
        <w:rPr>
          <w:sz w:val="20"/>
          <w:szCs w:val="20"/>
          <w:color w:val="auto"/>
        </w:rPr>
      </w:pPr>
    </w:p>
    <w:p>
      <w:pPr>
        <w:jc w:val="both"/>
        <w:ind w:firstLine="1499"/>
        <w:spacing w:after="0" w:line="254" w:lineRule="auto"/>
        <w:rPr>
          <w:sz w:val="20"/>
          <w:szCs w:val="20"/>
          <w:color w:val="auto"/>
        </w:rPr>
      </w:pPr>
      <w:r>
        <w:rPr>
          <w:rFonts w:ascii="Times New Roman" w:cs="Times New Roman" w:eastAsia="Times New Roman" w:hAnsi="Times New Roman"/>
          <w:sz w:val="20"/>
          <w:szCs w:val="20"/>
          <w:color w:val="auto"/>
        </w:rPr>
        <w:t>“AXS-07 Milestone” means Borrower shall have provided evidence reasonably satisfactory to Agent that the FDA has approved Borrower’s New Drug Application for AXS-07 for the acute treatment of migraine with a label claim that is generally consistent with that sought in Borrower’s New Drug Application filing.</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“AXS-07 Milestone Date” means the date on which the Borrower achieves the AXS-07 Milestone.</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“AXS-12” means Borrower’s AXS-12 product candidate (reboxetine) for the treatment of narcolepsy.</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“AXS-14” means Borrower’s AXS-14 product candidate (esreboxetine) for the treatment of fibromyalgia.</w:t>
      </w:r>
    </w:p>
    <w:p>
      <w:pPr>
        <w:spacing w:after="0" w:line="200"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jc w:val="both"/>
        <w:spacing w:after="0" w:line="284" w:lineRule="auto"/>
        <w:rPr>
          <w:sz w:val="20"/>
          <w:szCs w:val="20"/>
          <w:color w:val="auto"/>
        </w:rPr>
      </w:pPr>
      <w:r>
        <w:rPr>
          <w:rFonts w:ascii="Times New Roman" w:cs="Times New Roman" w:eastAsia="Times New Roman" w:hAnsi="Times New Roman"/>
          <w:sz w:val="20"/>
          <w:szCs w:val="20"/>
          <w:color w:val="auto"/>
        </w:rPr>
        <w:t>No. 13224, or (e) a Person that is named a “specially designated national” or “blocked person” on the most current list published by OFAC or other similar list.</w:t>
      </w:r>
    </w:p>
    <w:p>
      <w:pPr>
        <w:spacing w:after="0" w:line="125"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“Borrower Products” means all products currently being designed, manufactured or that are under preclinical or clinical investigation or development by Borrower or which Borrower intends to sell, license, or distribute in the future subject to applicable regulatory approvals including any products under development, collectively, together with all products that have been sold, licensed or distributed by Borrower since its incorporation.</w:t>
      </w:r>
    </w:p>
    <w:p>
      <w:pPr>
        <w:spacing w:after="0" w:line="171"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50"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“Business Day” means any day other than Saturday, Sunday and any other day on which banking institutions in the State of California are closed for business.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“Cash” means all cash, cash equivalents and liquid funds.</w:t>
      </w:r>
    </w:p>
    <w:p>
      <w:pPr>
        <w:spacing w:after="0" w:line="200"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“Change in Control” 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(y) “change of control”, “fundamental change”, “make-whole fundamental change” or any comparable term under and as defined in any indenture governing any Permitted Convertible Debt has occurred.</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“Closing Date” means the date of this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“Common Stock” means the Common Stock, $0.0001 par value per share, of the Borrower.</w:t>
      </w:r>
    </w:p>
    <w:p>
      <w:pPr>
        <w:spacing w:after="0" w:line="200"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“Company IP” means any and all of the following, as they exist in and throughout the United States: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20"/>
          <w:szCs w:val="20"/>
          <w:color w:val="auto"/>
        </w:rPr>
        <w:t>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Borrower Products;</w:t>
      </w:r>
    </w:p>
    <w:p>
      <w:pPr>
        <w:spacing w:after="0" w:line="2" w:lineRule="exact"/>
        <w:rPr>
          <w:sz w:val="20"/>
          <w:szCs w:val="20"/>
          <w:color w:val="auto"/>
        </w:rPr>
      </w:pPr>
    </w:p>
    <w:p>
      <w:pPr>
        <w:jc w:val="both"/>
        <w:ind w:firstLine="1"/>
        <w:spacing w:after="0" w:line="242" w:lineRule="auto"/>
        <w:tabs>
          <w:tab w:leader="none" w:pos="31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Borrower Products and all data provided in any of the foregoing.</w:t>
      </w:r>
    </w:p>
    <w:p>
      <w:pPr>
        <w:spacing w:after="0" w:line="179" w:lineRule="exact"/>
        <w:rPr>
          <w:sz w:val="20"/>
          <w:szCs w:val="20"/>
          <w:color w:val="auto"/>
        </w:rPr>
      </w:pPr>
    </w:p>
    <w:p>
      <w:pPr>
        <w:jc w:val="both"/>
        <w:ind w:firstLine="1499"/>
        <w:spacing w:after="0" w:line="245" w:lineRule="auto"/>
        <w:rPr>
          <w:sz w:val="20"/>
          <w:szCs w:val="20"/>
          <w:color w:val="auto"/>
        </w:rPr>
      </w:pPr>
      <w:r>
        <w:rPr>
          <w:rFonts w:ascii="Times New Roman" w:cs="Times New Roman" w:eastAsia="Times New Roman" w:hAnsi="Times New Roman"/>
          <w:sz w:val="20"/>
          <w:szCs w:val="20"/>
          <w:color w:val="auto"/>
        </w:rPr>
        <w:t xml:space="preserve">“Contingent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or guaranties of operating leases that do not constitute Indebtedness.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spacing w:after="0" w:line="398"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25"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“Copyrights” means all copyrights, whether registered or unregistered, held pursuant to the laws of the United States of America, any State thereof, or of any other country.</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“Cross-Default Reference Obligation” has the meaning assigned to such term in the definition of “Permitted Convertible Debt.”</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“Deposit Accounts” means any “deposit accounts,” as such term is defined in the UCC, and includes any checking account, savings account, or certificate of deposit.</w:t>
      </w:r>
    </w:p>
    <w:p>
      <w:pPr>
        <w:spacing w:after="0" w:line="14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“Domestic Subsidiary” means any Subsidiary organized under the laws of the United States of America, any State thereof, the District of Columbia, or any other jurisdiction within the United States of America.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“Due Diligence Fee” means $75,000, which fee has been paid to the Lenders prior to the Closing Date, and shall be deemed fully earned on such date regardless of the early termination of this Agreement.</w:t>
      </w:r>
    </w:p>
    <w:p>
      <w:pPr>
        <w:spacing w:after="0" w:line="125"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“Equity Interests” means, with respect to any Person, the capital stock, partnership or limited liability company interest, or other equity securities or equity ownership interests of such Person.</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“ERISA” means the Employee Retirement Income Security Act of 1974, as amended, and the regulations promulgated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190"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20"/>
          <w:szCs w:val="20"/>
          <w:color w:val="auto"/>
        </w:rPr>
        <w:t>“Excluded Account” means (i) accounts used solely to fund payroll or employee benefits in an aggregate amount not to exceed the then-next two payroll cycles, (ii) any Account (including, for the avoidance of doubt, any cash, cash equivalents, or other property contained therein) to the extent, and for so long as, such Account is pledged and used exclusively to secure performance of obligations arising and permitted under clauses (vi), (xiv) and (xv) of the definition of “Permitted Liens” and (iii) other Accounts that have a balance not to exceed One Hundred Thousand Dollars ($100,000.00) in the aggregate at any time.</w:t>
      </w:r>
    </w:p>
    <w:p>
      <w:pPr>
        <w:spacing w:after="0" w:line="17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“Excluded Subsidiary” means (a) the Irish Subsidiary, (b) the Australian Subsidiary, and (c) each Foreign Subsidiary of Borrower designated by Borrower as an “Excluded Subsidiary”; provided that, in each of the foregoing cases, the Excluded Subsidiary Condition is satisfied with respect to such Subsidiary at all times, and in each case as long as no Excluded Subsidiary owns any Intellectual Property.</w:t>
      </w:r>
    </w:p>
    <w:p>
      <w:pPr>
        <w:spacing w:after="0" w:line="159"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“Excluded Subsidiary Condition” means (a) the aggregate revenues (under GAAP) of all Excluded Subsidiaries does not exceed five percent (5%) of the consolidated revenues (under GAAP) of Borrower and its Subsidiaries; and (b) value of the total assets of all Excluded Subsidiaries does not exceed five percent (5%) of the consolidated total assets of Borrower and its Subsidiaries.</w:t>
      </w:r>
    </w:p>
    <w:p>
      <w:pPr>
        <w:spacing w:after="0" w:line="150"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“FDA” means the U.S. Food and Drug Administration or any successor thereto.</w:t>
      </w:r>
    </w:p>
    <w:p>
      <w:pPr>
        <w:spacing w:after="0" w:line="21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2. “FDA Good Manufacturing Practices” means the applicable requirements and standards set forth in the Food, Drug, and Cosmetic Act (“FDCA”) and its implementing regulations (for example, for pharmaceuticals being used in Phase 2 or 3 studies, and commercial pharmaceuticals, 21 C.F.R. Parts 210 and 211) and relevant FDA guidance documents (for example, for pharmaceuticals in Phase 1, FDA guidance entitled “CGMP for Phase 1 Investigational Drugs”).</w:t>
      </w:r>
    </w:p>
    <w:p>
      <w:pPr>
        <w:spacing w:after="0" w:line="159"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3. “FDA Laws” means all applicable statutes, rules, regulations, standards, guidelines, policies and orders and Requirements of Law administered, implemented, enforced or issued by FDA or any comparable governmental authority.</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4. “Federal Health Care Program Laws” means collectively, federal Medicare or federal or state Medicaid statutes, Sections 1128, 1128A, 1128B, 1128C or 1877 of the Social Security Act (42 U.S.C. §§ 1320a-7, 1320a-7a, 1320a-7b, 1320a-7c, 1320a-7h and 1395nn),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jc w:val="both"/>
        <w:spacing w:after="0" w:line="246" w:lineRule="auto"/>
        <w:rPr>
          <w:sz w:val="20"/>
          <w:szCs w:val="20"/>
          <w:color w:val="auto"/>
        </w:rPr>
      </w:pPr>
      <w:r>
        <w:rPr>
          <w:rFonts w:ascii="Times New Roman" w:cs="Times New Roman" w:eastAsia="Times New Roman" w:hAnsi="Times New Roman"/>
          <w:sz w:val="20"/>
          <w:szCs w:val="20"/>
          <w:color w:val="auto"/>
        </w:rPr>
        <w:t>federal TRICARE statute (10 U.S.C. § 1071 et seq.), the civil False Claims Act of 1863 (31 U.S.C. § 3729 et seq.), criminal false claims statutes (e.g., 18 U.S.C. §§ 287 and 1001), the Program Fraud Civil Remedies Act of 1986 (31 U.S.C. § 3801 et seq.), HIPAA, or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“First Amendment Closing Date” means October 14, 2021.</w:t>
      </w:r>
    </w:p>
    <w:p>
      <w:pPr>
        <w:spacing w:after="0" w:line="212" w:lineRule="exact"/>
        <w:rPr>
          <w:sz w:val="20"/>
          <w:szCs w:val="20"/>
          <w:color w:val="auto"/>
        </w:rPr>
      </w:pPr>
    </w:p>
    <w:p>
      <w:pPr>
        <w:jc w:val="both"/>
        <w:ind w:firstLine="1499"/>
        <w:spacing w:after="0" w:line="254" w:lineRule="auto"/>
        <w:rPr>
          <w:sz w:val="20"/>
          <w:szCs w:val="20"/>
          <w:color w:val="auto"/>
        </w:rPr>
      </w:pPr>
      <w:r>
        <w:rPr>
          <w:rFonts w:ascii="Times New Roman" w:cs="Times New Roman" w:eastAsia="Times New Roman" w:hAnsi="Times New Roman"/>
          <w:sz w:val="20"/>
          <w:szCs w:val="20"/>
          <w:color w:val="auto"/>
        </w:rPr>
        <w:t>5. “First Interest Only Extension Conditions” shall mean satisfaction of each of the following events: (a) no default or Event of Default shall have occurred and be continuing; and (b) either the AXS-05 Milestone or the AXS-07 Milestone have been achieved on or prior to October 31, 2025.</w:t>
      </w:r>
    </w:p>
    <w:p>
      <w:pPr>
        <w:spacing w:after="0" w:line="167" w:lineRule="exact"/>
        <w:rPr>
          <w:sz w:val="20"/>
          <w:szCs w:val="20"/>
          <w:color w:val="auto"/>
        </w:rPr>
      </w:pPr>
    </w:p>
    <w:p>
      <w:pPr>
        <w:jc w:val="both"/>
        <w:ind w:firstLine="1499"/>
        <w:spacing w:after="0" w:line="245" w:lineRule="auto"/>
        <w:rPr>
          <w:sz w:val="20"/>
          <w:szCs w:val="20"/>
          <w:color w:val="auto"/>
        </w:rPr>
      </w:pPr>
      <w:r>
        <w:rPr>
          <w:rFonts w:ascii="Times New Roman" w:cs="Times New Roman" w:eastAsia="Times New Roman" w:hAnsi="Times New Roman"/>
          <w:sz w:val="20"/>
          <w:szCs w:val="20"/>
          <w:color w:val="auto"/>
        </w:rPr>
        <w:t xml:space="preserve">6. “Forecast” means the projections for Borrower as delivered and accepted by Agent on or before the Second Amendment Closing Date;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Borrower may from time to time update the Forecast with a forecast approved by the board of directors of the Borrower, subject to the consent of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it is acknowledged that the Forecast is premised on, among other things, certain assumptions about (i) the effectiveness of the Project Light Agreement and (ii) possible timing of a launch date for AXS-05 and AXS-07 and to the extent the assumed launch dates are deferred or delayed, then, for purposes of this Agreement and the other Loan Documents, the Forecast shall be deemed to be automatically updated and revised to defer the expected dates for receipt or recognition of revenues from AXS-05 and AXS-07, as applicable, by the same amount of time as the deferral or delay of the actual launch dates;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Forecast must be updated prior to December 31, 2023 to include projections for 2024 and beyond based on a forecast approved by the board of directors demonstrating reasonable growth rates.</w:t>
      </w:r>
    </w:p>
    <w:p>
      <w:pPr>
        <w:spacing w:after="0" w:line="200" w:lineRule="exact"/>
        <w:rPr>
          <w:sz w:val="20"/>
          <w:szCs w:val="20"/>
          <w:color w:val="auto"/>
        </w:rPr>
      </w:pPr>
    </w:p>
    <w:p>
      <w:pPr>
        <w:spacing w:after="0" w:line="214"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20"/>
          <w:szCs w:val="20"/>
          <w:color w:val="auto"/>
        </w:rPr>
        <w:t>“Foreign Subsidiary” means any Subsidiary other than a Domestic Subsidiary.</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“GAAP” means generally accepted accounting principles in the United States of America, as in effect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78"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“Hedge Agreement” 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jc w:val="both"/>
        <w:ind w:firstLine="1499"/>
        <w:spacing w:after="0" w:line="246" w:lineRule="auto"/>
        <w:rPr>
          <w:sz w:val="20"/>
          <w:szCs w:val="20"/>
          <w:color w:val="auto"/>
        </w:rPr>
      </w:pPr>
      <w:r>
        <w:rPr>
          <w:rFonts w:ascii="Times New Roman" w:cs="Times New Roman" w:eastAsia="Times New Roman" w:hAnsi="Times New Roman"/>
          <w:sz w:val="20"/>
          <w:szCs w:val="20"/>
          <w:color w:val="auto"/>
        </w:rPr>
        <w:t>“Indebtedness” means (a) all indebtedness for borrowed money or the deferred purchase price of property or services (excluding trade credit entered into in the ordinary course of business not past due for more than one hundred eighty (180)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non-contingent “earnouts”, purchase price adjustments, profit sharing arrangements, deferred purchase money amounts and similar payment obligations arising out of purchase and sale contracts but only as and to the extent of the amount required to be reflected as a liability on the balance sheet of such Person in accordance with GAAP, (f) non-contingent obligations to reimburse any bank or Person in respect of amounts paid under a letter of credit, banker’s acceptance or similar instrument, and (g) all Contingent Obligations. For the avoidance of doubt no Permitted Bond Hedge Transaction or Permitted Warrant Transaction shall be considered Indebtedness of the Borrower.</w:t>
      </w:r>
    </w:p>
    <w:p>
      <w:pPr>
        <w:spacing w:after="0" w:line="170"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20"/>
          <w:szCs w:val="20"/>
          <w:color w:val="auto"/>
        </w:rPr>
        <w:t>“Initial Facility Charge” means $737,500, which is payable to the Lenders in accordance with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4.1(f).</w:t>
      </w:r>
    </w:p>
    <w:p>
      <w:pPr>
        <w:spacing w:after="0" w:line="178"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“Initial Performance Covenant Test Date” means the last calendar month of the calendar quarter that is nine months following the earlier of (i) the AXS-05 Milestone Date, (ii) the AXS-07 Milestone Date, or (iii) the Final Closing Date (as defined in the Project Light Agreement).</w:t>
      </w:r>
    </w:p>
    <w:p>
      <w:pPr>
        <w:spacing w:after="0" w:line="15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50" w:lineRule="exact"/>
        <w:rPr>
          <w:sz w:val="20"/>
          <w:szCs w:val="20"/>
          <w:color w:val="auto"/>
        </w:rPr>
      </w:pPr>
    </w:p>
    <w:p>
      <w:pPr>
        <w:jc w:val="both"/>
        <w:ind w:firstLine="1499"/>
        <w:spacing w:after="0" w:line="257" w:lineRule="auto"/>
        <w:rPr>
          <w:sz w:val="20"/>
          <w:szCs w:val="20"/>
          <w:color w:val="auto"/>
        </w:rPr>
      </w:pPr>
      <w:r>
        <w:rPr>
          <w:rFonts w:ascii="Times New Roman" w:cs="Times New Roman" w:eastAsia="Times New Roman" w:hAnsi="Times New Roman"/>
          <w:sz w:val="20"/>
          <w:szCs w:val="20"/>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“Intellectual Property Security Agreement” means the Intellectual Property Security Agreement dated as of the Closing Date between the Borrower and Agent, as the same may from time to time be amended, restated, modified or otherwise supplemented.</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5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p>
      <w:pPr>
        <w:jc w:val="both"/>
        <w:spacing w:after="0" w:line="284" w:lineRule="auto"/>
        <w:rPr>
          <w:sz w:val="20"/>
          <w:szCs w:val="20"/>
          <w:color w:val="auto"/>
        </w:rPr>
      </w:pPr>
      <w:r>
        <w:rPr>
          <w:rFonts w:ascii="Times New Roman" w:cs="Times New Roman" w:eastAsia="Times New Roman" w:hAnsi="Times New Roman"/>
          <w:sz w:val="20"/>
          <w:szCs w:val="20"/>
          <w:color w:val="auto"/>
        </w:rPr>
        <w:t>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“Irish Subsidiary” is Axsome Therapeutics Limited, a company organized under the laws of Ireland.</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“IRS” means the United States Internal Revenue Service.</w:t>
      </w:r>
    </w:p>
    <w:p>
      <w:pPr>
        <w:spacing w:after="0" w:line="200"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“Joinder Agreements” means for each Subsidiary (other than an Excluded Subsidiary), a completed and executed Joinder Agreement in substantially the form attached hereto as Exhibit F.</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“License” means any Copyright License, Patent License, Trademark License or other license of rights or interests.</w:t>
      </w:r>
    </w:p>
    <w:p>
      <w:pPr>
        <w:spacing w:after="0" w:line="20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“Loan” means the Advances made under this Agreement.</w:t>
      </w:r>
    </w:p>
    <w:p>
      <w:pPr>
        <w:spacing w:after="0" w:line="21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“Loan Documents” means this Agreement, the promissory notes (if any), the ACH Authorization, the Account Control Agreements, the Joinder Agreements, all UCC Financing Statements, the Warrant, the Pledge Agreement, the Intellectual Property Security Agreement, the Antecip Direct Agreement, and any other documents executed in connection with the Secured Obligations or the transactions contemplated hereby, as the same may from time to time be amended, modified, supplemented or restated.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“Malta Subsidiary” is Axsome Malta Ltd., a company organized under the laws of the Republic of Malta.</w:t>
      </w:r>
    </w:p>
    <w:p>
      <w:pPr>
        <w:spacing w:after="0" w:line="21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59"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0" w:name="page111"/>
    <w:bookmarkEnd w:id="110"/>
    <w:p>
      <w:pPr>
        <w:jc w:val="both"/>
        <w:ind w:firstLine="1499"/>
        <w:spacing w:after="0" w:line="257" w:lineRule="auto"/>
        <w:rPr>
          <w:sz w:val="20"/>
          <w:szCs w:val="20"/>
          <w:color w:val="auto"/>
        </w:rPr>
      </w:pPr>
      <w:r>
        <w:rPr>
          <w:rFonts w:ascii="Times New Roman" w:cs="Times New Roman" w:eastAsia="Times New Roman" w:hAnsi="Times New Roman"/>
          <w:sz w:val="20"/>
          <w:szCs w:val="20"/>
          <w:color w:val="auto"/>
        </w:rPr>
        <w:t>“Material Agreement” means (a) the Antecip License Agreement, (b) that certain license agreement dated as of January 10, 2020 by and between Borrower and Pfizer, Inc., (c) the Project Light Agreement and (d) any other license, agreement or other contractual arrangement whereby Borrower or any of its Subsidiaries is required to transfer, either in-kind or in cash, prior to the Term Loan Maturity Date, assets or property valued (book or market) at more than Ten Million Dollars ($10,000,000.00) in the aggregate.</w:t>
      </w:r>
    </w:p>
    <w:p>
      <w:pPr>
        <w:spacing w:after="0" w:line="152"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“Material Regulatory Liabilities” means (a)(i) any liabilities arising from the violation of Public Health Laws, Federal Health Care Program Laws, and other applicable comparable Requirements of Law, or from any non-routing terms, conditions of or requirements 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exceed $2,000,000 individually or in the aggregate, or (b) any Material Adverse Effect.</w:t>
      </w:r>
    </w:p>
    <w:p>
      <w:pPr>
        <w:spacing w:after="0" w:line="166"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“Maturity Extension Conditions” means (i) the Borrower achieves T6M Net Product Revenue of at least 60% of the T6M Net Product Revenue included in the Forecast and (ii) the Borrower notifies the Agent in writing of its desire to extend the Term Loan Maturity Date on or within five (5) Business Days of the third anniversary of the First Amendment Closing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“Maximum Term Loan Amount” means Three Hundred Million Dollars ($300,000,000).</w:t>
      </w:r>
    </w:p>
    <w:p>
      <w:pPr>
        <w:spacing w:after="0" w:line="21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“Net Product Revenue Ratio” means, as of any date of determination, the ratio of (a) the outstanding amount of the Term Loan Advances to (b) T3M Net Product Revenue.</w:t>
      </w:r>
    </w:p>
    <w:p>
      <w:pPr>
        <w:spacing w:after="0" w:line="14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9. “New Drug Application” means a new drug application in the United States for authorization to market a product, as defined in the applicable laws and regulations and submitted to the FDA.</w:t>
      </w:r>
    </w:p>
    <w:p>
      <w:pPr>
        <w:spacing w:after="0" w:line="125"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“Non-Disclosure Agreement” means that certain Non-Disclosure Agreement by and between Borrower and Agent, dated as of August 11, 2020.</w:t>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“OFAC” is the U.S. Department of Treasury Office of Foreign Assets Control.</w:t>
      </w:r>
    </w:p>
    <w:p>
      <w:pPr>
        <w:spacing w:after="0" w:line="20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6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1" w:name="page112"/>
    <w:bookmarkEnd w:id="111"/>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62" w:lineRule="exact"/>
        <w:rPr>
          <w:sz w:val="20"/>
          <w:szCs w:val="20"/>
          <w:color w:val="auto"/>
        </w:rPr>
      </w:pPr>
    </w:p>
    <w:p>
      <w:pPr>
        <w:jc w:val="both"/>
        <w:ind w:firstLine="1499"/>
        <w:spacing w:after="0" w:line="254" w:lineRule="auto"/>
        <w:rPr>
          <w:sz w:val="20"/>
          <w:szCs w:val="20"/>
          <w:color w:val="auto"/>
        </w:rPr>
      </w:pPr>
      <w:r>
        <w:rPr>
          <w:rFonts w:ascii="Times New Roman" w:cs="Times New Roman" w:eastAsia="Times New Roman" w:hAnsi="Times New Roman"/>
          <w:sz w:val="20"/>
          <w:szCs w:val="20"/>
          <w:color w:val="auto"/>
        </w:rPr>
        <w:t xml:space="preserve">“Performance Covenant A” means satisfaction of each of the following at all times: (i) Borrower’s Market Capitalization exceeds One Billion Dollars ($1,000,000,000) and (ii) Borrower maintains Qualified Cash in an amount not less than fifty percent (50%) of the sum of the outstanding principal 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w:t>
      </w:r>
    </w:p>
    <w:p>
      <w:pPr>
        <w:spacing w:after="0" w:line="167"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 xml:space="preserve">“Performance Covenant B” means Borrower at all times maintains Qualified Cash in an amount not less than eighty five percent (85%) of the sum of the outstanding principal 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“Performance Covenant C” means Borrower achieves T6M Net Product Revenue of at least 60% of the T6M Net Product Revenue included in the Forecast, determined on a quarterly basis.</w:t>
      </w:r>
    </w:p>
    <w:p>
      <w:pPr>
        <w:spacing w:after="0" w:line="14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“Permitted Acquisition” means: (a) the Acquisition conducted in accordance with the Project Light Agreement and (b) any Acquisition (including by way of merger), in each case located entirely within the United States of America, which is conducted in accordance with the following requirements:</w:t>
      </w:r>
    </w:p>
    <w:p>
      <w:pPr>
        <w:spacing w:after="0" w:line="150" w:lineRule="exact"/>
        <w:rPr>
          <w:sz w:val="20"/>
          <w:szCs w:val="20"/>
          <w:color w:val="auto"/>
        </w:rPr>
      </w:pPr>
    </w:p>
    <w:p>
      <w:pPr>
        <w:ind w:left="760" w:firstLine="1115"/>
        <w:spacing w:after="0" w:line="284" w:lineRule="auto"/>
        <w:tabs>
          <w:tab w:leader="none" w:pos="300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assets, Equity Interests, businesses, Persons or products engaged in a line of business incidental or related to that of the Borrower or its Subsidiaries or reasonable extensions thereof;</w:t>
      </w:r>
    </w:p>
    <w:p>
      <w:pPr>
        <w:spacing w:after="0" w:line="125" w:lineRule="exact"/>
        <w:rPr>
          <w:rFonts w:ascii="Times New Roman" w:cs="Times New Roman" w:eastAsia="Times New Roman" w:hAnsi="Times New Roman"/>
          <w:sz w:val="19"/>
          <w:szCs w:val="19"/>
          <w:color w:val="auto"/>
        </w:rPr>
      </w:pPr>
    </w:p>
    <w:p>
      <w:pPr>
        <w:jc w:val="both"/>
        <w:ind w:left="760" w:firstLine="1115"/>
        <w:spacing w:after="0" w:line="252" w:lineRule="auto"/>
        <w:tabs>
          <w:tab w:leader="none" w:pos="300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unless otherwise agreed by Agent in its sole discretion, if such Acquisition is structured as a stock acquisition, then the Person so acquired shall either (i) become a wholly-owned (other than issuance of shares necessary under local law for the qualification of directors) Subsidiary of Borrower or of a Subsidiary and the Borrower shall comply, or cause such Subsidiary to comply, with 7.13 hereof, as applicable, or (ii) such Person shall be merged with and into Borrower (with the Borrower being the surviving entity);</w:t>
      </w:r>
    </w:p>
    <w:p>
      <w:pPr>
        <w:spacing w:after="0" w:line="157" w:lineRule="exact"/>
        <w:rPr>
          <w:rFonts w:ascii="Times New Roman" w:cs="Times New Roman" w:eastAsia="Times New Roman" w:hAnsi="Times New Roman"/>
          <w:sz w:val="19"/>
          <w:szCs w:val="19"/>
          <w:color w:val="auto"/>
        </w:rPr>
      </w:pPr>
    </w:p>
    <w:p>
      <w:pPr>
        <w:ind w:left="760" w:firstLine="1115"/>
        <w:spacing w:after="0" w:line="284" w:lineRule="auto"/>
        <w:tabs>
          <w:tab w:leader="none" w:pos="300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 such Acquisition is structured as the acquisition or in-licensing of assets, such assets shall be acquired by a Borrower, and shall be free and clear of Liens other than Permitted Liens;</w:t>
      </w:r>
    </w:p>
    <w:p>
      <w:pPr>
        <w:spacing w:after="0" w:line="125" w:lineRule="exact"/>
        <w:rPr>
          <w:rFonts w:ascii="Times New Roman" w:cs="Times New Roman" w:eastAsia="Times New Roman" w:hAnsi="Times New Roman"/>
          <w:sz w:val="19"/>
          <w:szCs w:val="19"/>
          <w:color w:val="auto"/>
        </w:rPr>
      </w:pPr>
    </w:p>
    <w:p>
      <w:pPr>
        <w:jc w:val="both"/>
        <w:ind w:left="760" w:firstLine="1115"/>
        <w:spacing w:after="0" w:line="247" w:lineRule="auto"/>
        <w:tabs>
          <w:tab w:leader="none" w:pos="300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Borrower shall have delivered to the Lenders not less than ten (10) days (or such shorter period as Agent may agree in its sole discretion) nor more than forty five (45) days prior to the date of such Acquisition, notice of such Acquisition together with pro forma projected financial information, copies of all material documents relating to such acquisition reasonably requested by Agent, and historical financial statements for such acquired entity (to the extent available), division or line of business, in each case in form reasonably satisfactory to the Lenders and demonstrating compliance with the covenants set forth in Section 7.20 hereof on a pro forma basis as if the Acquisition occurred on the first day of the most recent measurement period;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2" w:name="page113"/>
    <w:bookmarkEnd w:id="112"/>
    <w:p>
      <w:pPr>
        <w:ind w:left="760" w:firstLine="1115"/>
        <w:spacing w:after="0" w:line="284" w:lineRule="auto"/>
        <w:tabs>
          <w:tab w:leader="none" w:pos="300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both immediately before and after such Acquisition no Default or Event of Default shall have occurred and be continuing; and</w:t>
      </w:r>
    </w:p>
    <w:p>
      <w:pPr>
        <w:spacing w:after="0" w:line="125" w:lineRule="exact"/>
        <w:rPr>
          <w:rFonts w:ascii="Times New Roman" w:cs="Times New Roman" w:eastAsia="Times New Roman" w:hAnsi="Times New Roman"/>
          <w:sz w:val="19"/>
          <w:szCs w:val="19"/>
          <w:color w:val="auto"/>
        </w:rPr>
      </w:pPr>
    </w:p>
    <w:p>
      <w:pPr>
        <w:jc w:val="both"/>
        <w:ind w:left="760" w:firstLine="1115"/>
        <w:spacing w:after="0" w:line="247" w:lineRule="auto"/>
        <w:tabs>
          <w:tab w:leader="none" w:pos="300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the sum of the purchase price of such proposed new Permitted Acquisition (together with all prior Permitted Acquisitions consummated during the term of this Agreement), computed on the basis of total acquisition consideration paid or incurred, or to be paid or incurred, by Borrower with respect thereto (but excluding for such purpose: any unpaid Acquisition Deferred Payments, in each case except to the extent required to be reflected as liabilities on the balance sheet of Borrower), including the amount of Permitted Indebtedness assumed or to which such assets, businesses or business or ownership interest or shares, or any Person so acquired, is subject, shall not be greater than Twenty Five Million Dollars $25,000,000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amount of Tranche 5 Advances approved by Lenders’ investment committee for Acquisitions </w:t>
      </w:r>
      <w:r>
        <w:rPr>
          <w:rFonts w:ascii="Times New Roman" w:cs="Times New Roman" w:eastAsia="Times New Roman" w:hAnsi="Times New Roman"/>
          <w:sz w:val="20"/>
          <w:szCs w:val="20"/>
          <w:i w:val="1"/>
          <w:iCs w:val="1"/>
          <w:color w:val="auto"/>
        </w:rPr>
        <w:t xml:space="preserve">minus </w:t>
      </w:r>
      <w:r>
        <w:rPr>
          <w:rFonts w:ascii="Times New Roman" w:cs="Times New Roman" w:eastAsia="Times New Roman" w:hAnsi="Times New Roman"/>
          <w:sz w:val="20"/>
          <w:szCs w:val="20"/>
          <w:color w:val="auto"/>
        </w:rPr>
        <w:t>the aggregate amount of all Acquisition Deferred Payments that have been paid.</w:t>
      </w:r>
    </w:p>
    <w:p>
      <w:pPr>
        <w:spacing w:after="0" w:line="166"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 xml:space="preserve">“Permitted Bond Hedge Transaction” 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net purchase price of any such call option transaction, less the amount received by Borrower in respect of any Permitted Warrant Transaction in connection with such issuance of Permitted Convertible Debt, shall not exceed 25% of the gross proceeds to Borrower from such issuance of Permitted Convertible Debt;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terms, conditions and covenants of each such call option transaction are customary for agreements of such type, as determined in good faith by the board of directors of the Borrower or a committee thereof.</w:t>
      </w:r>
    </w:p>
    <w:p>
      <w:pPr>
        <w:spacing w:after="0" w:line="166" w:lineRule="exact"/>
        <w:rPr>
          <w:sz w:val="20"/>
          <w:szCs w:val="20"/>
          <w:color w:val="auto"/>
        </w:rPr>
      </w:pPr>
    </w:p>
    <w:p>
      <w:pPr>
        <w:jc w:val="both"/>
        <w:ind w:firstLine="1500"/>
        <w:spacing w:after="0" w:line="245" w:lineRule="auto"/>
        <w:tabs>
          <w:tab w:leader="none" w:pos="299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Convertible Debt” means Indebtedness of the Borrower that is convertible into a fixed number (subject to customary anti-dilution adjustments, “make-whole” increases and other customary changes thereto) of shares of Common Stock (or other securities or property following a merger event or other change of the Common Stock),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Indebtedness shall (a) not require any scheduled amortization or otherwise require payment of principal prior to, or have a scheduled maturity date, earlier than, one hundred eighty (180) days after the Term Loan Maturity Date, (b) be unsecured, (c) not be guaranteed by any Subsidiary of Borrower, (d) contain usual and customary subordination terms for underwritten offerings of senior subordinated convertible notes as determined in good faith by the board of directors of the Borrower or a committee thereof, (e)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 and (f) be on terms and conditions customary for Indebtedness of such type, as determined in good faith by the board of directors of the Borrower or a committee thereof;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cs="Times New Roman" w:eastAsia="Times New Roman" w:hAnsi="Times New Roman"/>
          <w:sz w:val="20"/>
          <w:szCs w:val="20"/>
          <w:u w:val="single" w:color="auto"/>
          <w:color w:val="auto"/>
        </w:rPr>
        <w:t>Cross-Default Reference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contains a cure period of at least thirty (30)</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3" w:name="page114"/>
    <w:bookmarkEnd w:id="113"/>
    <w:p>
      <w:pPr>
        <w:jc w:val="both"/>
        <w:spacing w:after="0" w:line="257" w:lineRule="auto"/>
        <w:rPr>
          <w:sz w:val="20"/>
          <w:szCs w:val="20"/>
          <w:color w:val="auto"/>
        </w:rPr>
      </w:pPr>
      <w:r>
        <w:rPr>
          <w:rFonts w:ascii="Times New Roman" w:cs="Times New Roman" w:eastAsia="Times New Roman" w:hAnsi="Times New Roman"/>
          <w:sz w:val="20"/>
          <w:szCs w:val="20"/>
          <w:color w:val="auto"/>
        </w:rPr>
        <w:t>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“Permitted Indebtedness” means:</w:t>
      </w:r>
    </w:p>
    <w:p>
      <w:pPr>
        <w:spacing w:after="0" w:line="200" w:lineRule="exact"/>
        <w:rPr>
          <w:sz w:val="20"/>
          <w:szCs w:val="20"/>
          <w:color w:val="auto"/>
        </w:rPr>
      </w:pPr>
    </w:p>
    <w:p>
      <w:pPr>
        <w:ind w:left="3000" w:hanging="1125"/>
        <w:spacing w:after="0"/>
        <w:tabs>
          <w:tab w:leader="none" w:pos="30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of Borrower in favor of the Lenders or Agent arising under this Agreement or any other</w:t>
      </w:r>
    </w:p>
    <w:p>
      <w:pPr>
        <w:spacing w:after="0" w:line="3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Loan Document;</w:t>
      </w:r>
    </w:p>
    <w:p>
      <w:pPr>
        <w:spacing w:after="0" w:line="177"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existing on the Closing Date which is disclosed in Schedule 1A;</w:t>
      </w:r>
    </w:p>
    <w:p>
      <w:pPr>
        <w:spacing w:after="0" w:line="212" w:lineRule="exact"/>
        <w:rPr>
          <w:rFonts w:ascii="Times New Roman" w:cs="Times New Roman" w:eastAsia="Times New Roman" w:hAnsi="Times New Roman"/>
          <w:sz w:val="19"/>
          <w:szCs w:val="19"/>
          <w:color w:val="auto"/>
        </w:rPr>
      </w:pPr>
    </w:p>
    <w:p>
      <w:pPr>
        <w:jc w:val="both"/>
        <w:ind w:left="760" w:firstLine="1115"/>
        <w:spacing w:after="0" w:line="254"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of up to $500,000 outstanding at any time secured by a Lien described in clause (vii) of the defined term “Permitted Liens,” provided such Indebtedness does not exceed the cost of the Equipment and related software financed with such Indebtedness;</w:t>
      </w:r>
    </w:p>
    <w:p>
      <w:pPr>
        <w:spacing w:after="0" w:line="166" w:lineRule="exact"/>
        <w:rPr>
          <w:rFonts w:ascii="Times New Roman" w:cs="Times New Roman" w:eastAsia="Times New Roman" w:hAnsi="Times New Roman"/>
          <w:sz w:val="19"/>
          <w:szCs w:val="19"/>
          <w:color w:val="auto"/>
        </w:rPr>
      </w:pPr>
    </w:p>
    <w:p>
      <w:pPr>
        <w:ind w:left="760" w:firstLine="1115"/>
        <w:spacing w:after="0" w:line="270"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to trade creditors incurred in the ordinary course of business (other than any trade credit that is past due for more than one hundred eighty (180) days);</w:t>
      </w:r>
    </w:p>
    <w:p>
      <w:pPr>
        <w:spacing w:after="0" w:line="139"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that also constitutes a Permitted Investment;</w:t>
      </w:r>
    </w:p>
    <w:p>
      <w:pPr>
        <w:spacing w:after="0" w:line="212"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Subordinated Indebtedness;</w:t>
      </w:r>
    </w:p>
    <w:p>
      <w:pPr>
        <w:spacing w:after="0" w:line="199" w:lineRule="exact"/>
        <w:rPr>
          <w:rFonts w:ascii="Times New Roman" w:cs="Times New Roman" w:eastAsia="Times New Roman" w:hAnsi="Times New Roman"/>
          <w:sz w:val="19"/>
          <w:szCs w:val="19"/>
          <w:color w:val="auto"/>
        </w:rPr>
      </w:pPr>
    </w:p>
    <w:p>
      <w:pPr>
        <w:jc w:val="both"/>
        <w:ind w:left="760" w:firstLine="1115"/>
        <w:spacing w:after="0" w:line="252"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including reimbursement obligations, in connection with (A) letters of credit, (B) foreign exchange services, ACH Services, and, cash management services (including credit cards, debit cards and similar instruments) and (C) Hedge Agreements (entered into in order to manage existing or anticipated interest rate, exchange rate or commodity price risks and not for speculative purposes), in each case that may or be unsecured or secured by Cash and issued on behalf of the Borrower or a Subsidiary thereof in an aggregate amount not to exceed $3,000,000 at any time outstanding,</w:t>
      </w:r>
    </w:p>
    <w:p>
      <w:pPr>
        <w:spacing w:after="0" w:line="157"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other unsecured Indebtedness in an amount not to exceed $250,000 at any time outstanding,</w:t>
      </w:r>
    </w:p>
    <w:p>
      <w:pPr>
        <w:spacing w:after="0" w:line="212" w:lineRule="exact"/>
        <w:rPr>
          <w:rFonts w:ascii="Times New Roman" w:cs="Times New Roman" w:eastAsia="Times New Roman" w:hAnsi="Times New Roman"/>
          <w:sz w:val="19"/>
          <w:szCs w:val="19"/>
          <w:color w:val="auto"/>
        </w:rPr>
      </w:pPr>
    </w:p>
    <w:p>
      <w:pPr>
        <w:jc w:val="both"/>
        <w:ind w:left="760" w:firstLine="1115"/>
        <w:spacing w:after="0" w:line="254"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intercompany Indebtedness as long as either (A) each of the Subsidiary obligor and the Subsidiary obligee under such Indebtedness is a Subsidiary that has executed a Joinder Agreement, or (B) it is Indebtedness of an Excluded Subsidiary permitted under clause (x) of the definition of Permitted Investments;</w:t>
      </w:r>
    </w:p>
    <w:p>
      <w:pPr>
        <w:spacing w:after="0" w:line="166" w:lineRule="exact"/>
        <w:rPr>
          <w:rFonts w:ascii="Times New Roman" w:cs="Times New Roman" w:eastAsia="Times New Roman" w:hAnsi="Times New Roman"/>
          <w:sz w:val="19"/>
          <w:szCs w:val="19"/>
          <w:color w:val="auto"/>
        </w:rPr>
      </w:pPr>
    </w:p>
    <w:p>
      <w:pPr>
        <w:ind w:left="760" w:firstLine="1115"/>
        <w:spacing w:after="0" w:line="270"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Permitted Convertible Debt not to exceed Five Hundred Million Dollars ($500,000,000) in principal amount at any one time outstanding;</w:t>
      </w:r>
    </w:p>
    <w:p>
      <w:pPr>
        <w:spacing w:after="0" w:line="152" w:lineRule="exact"/>
        <w:rPr>
          <w:rFonts w:ascii="Times New Roman" w:cs="Times New Roman" w:eastAsia="Times New Roman" w:hAnsi="Times New Roman"/>
          <w:sz w:val="19"/>
          <w:szCs w:val="19"/>
          <w:color w:val="auto"/>
        </w:rPr>
      </w:pPr>
    </w:p>
    <w:p>
      <w:pPr>
        <w:jc w:val="both"/>
        <w:ind w:left="760" w:firstLine="1115"/>
        <w:spacing w:after="0" w:line="254" w:lineRule="auto"/>
        <w:tabs>
          <w:tab w:leader="none" w:pos="300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with respect to a Permitted Royalty Transaction that (a) is subordinated to the Secured Obligations pursuant to a subordination or intercreditor agreement on terms and conditions reasonably satisfactory to Agent, (b) does not have a scheduled maturity date earlier than one hundred eighty (180) days after the Term Loan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9"/>
        <w:spacing w:after="0" w:line="255" w:lineRule="auto"/>
        <w:rPr>
          <w:sz w:val="20"/>
          <w:szCs w:val="20"/>
          <w:color w:val="auto"/>
        </w:rPr>
      </w:pPr>
      <w:r>
        <w:rPr>
          <w:rFonts w:ascii="Times New Roman" w:cs="Times New Roman" w:eastAsia="Times New Roman" w:hAnsi="Times New Roman"/>
          <w:sz w:val="20"/>
          <w:szCs w:val="20"/>
          <w:color w:val="auto"/>
        </w:rPr>
        <w:t>Maturity Date, (c) is in an aggregate amount not to exceed $250,000,000, and (d) shall specifically designate this Agreement and all Secured Obligations as “designated senior indebtedness” or similar term so that the subordination terms referred to in clause</w:t>
      </w:r>
    </w:p>
    <w:p>
      <w:pPr>
        <w:spacing w:after="0" w:line="1" w:lineRule="exact"/>
        <w:rPr>
          <w:sz w:val="20"/>
          <w:szCs w:val="20"/>
          <w:color w:val="auto"/>
        </w:rPr>
      </w:pPr>
    </w:p>
    <w:p>
      <w:pPr>
        <w:ind w:left="9" w:hanging="9"/>
        <w:spacing w:after="0" w:line="261" w:lineRule="auto"/>
        <w:tabs>
          <w:tab w:leader="none" w:pos="28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clause specifically refer to such notes as being subordinated to the Secured Obligations pursuant to such subordination terms;</w:t>
      </w:r>
    </w:p>
    <w:p>
      <w:pPr>
        <w:spacing w:after="0" w:line="147" w:lineRule="exact"/>
        <w:rPr>
          <w:rFonts w:ascii="Times New Roman" w:cs="Times New Roman" w:eastAsia="Times New Roman" w:hAnsi="Times New Roman"/>
          <w:sz w:val="20"/>
          <w:szCs w:val="20"/>
          <w:color w:val="auto"/>
        </w:rPr>
      </w:pPr>
    </w:p>
    <w:p>
      <w:pPr>
        <w:ind w:left="2249" w:hanging="1125"/>
        <w:spacing w:after="0"/>
        <w:tabs>
          <w:tab w:leader="none" w:pos="224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incurred as a result of endorsing negotiable instruments received in the ordinary course</w:t>
      </w:r>
    </w:p>
    <w:p>
      <w:pPr>
        <w:spacing w:after="0" w:line="19" w:lineRule="exact"/>
        <w:rPr>
          <w:rFonts w:ascii="Times New Roman" w:cs="Times New Roman" w:eastAsia="Times New Roman" w:hAnsi="Times New Roman"/>
          <w:sz w:val="19"/>
          <w:szCs w:val="19"/>
          <w:color w:val="auto"/>
        </w:rPr>
      </w:pPr>
    </w:p>
    <w:p>
      <w:pPr>
        <w:ind w:left="9"/>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business;</w:t>
      </w:r>
    </w:p>
    <w:p>
      <w:pPr>
        <w:spacing w:after="0" w:line="190" w:lineRule="exact"/>
        <w:rPr>
          <w:rFonts w:ascii="Times New Roman" w:cs="Times New Roman" w:eastAsia="Times New Roman" w:hAnsi="Times New Roman"/>
          <w:sz w:val="19"/>
          <w:szCs w:val="19"/>
          <w:color w:val="auto"/>
        </w:rPr>
      </w:pPr>
    </w:p>
    <w:p>
      <w:pPr>
        <w:ind w:left="9" w:firstLine="1115"/>
        <w:spacing w:after="0" w:line="270" w:lineRule="auto"/>
        <w:tabs>
          <w:tab w:leader="none" w:pos="225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in respect of surety bonds and other indemnities and similar obligations up to an aggregate amount of Five Hundred Thousand Dollars ($500,000) at any one time outstanding;</w:t>
      </w:r>
    </w:p>
    <w:p>
      <w:pPr>
        <w:spacing w:after="0" w:line="152" w:lineRule="exact"/>
        <w:rPr>
          <w:rFonts w:ascii="Times New Roman" w:cs="Times New Roman" w:eastAsia="Times New Roman" w:hAnsi="Times New Roman"/>
          <w:sz w:val="19"/>
          <w:szCs w:val="19"/>
          <w:color w:val="auto"/>
        </w:rPr>
      </w:pPr>
    </w:p>
    <w:p>
      <w:pPr>
        <w:ind w:left="9" w:firstLine="1115"/>
        <w:spacing w:after="0" w:line="270" w:lineRule="auto"/>
        <w:tabs>
          <w:tab w:leader="none" w:pos="225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arising with respect to Borrower’s real property lease and operating lease obligations in the ordinary course of Borrower’s business; and</w:t>
      </w:r>
    </w:p>
    <w:p>
      <w:pPr>
        <w:spacing w:after="0" w:line="139" w:lineRule="exact"/>
        <w:rPr>
          <w:rFonts w:ascii="Times New Roman" w:cs="Times New Roman" w:eastAsia="Times New Roman" w:hAnsi="Times New Roman"/>
          <w:sz w:val="19"/>
          <w:szCs w:val="19"/>
          <w:color w:val="auto"/>
        </w:rPr>
      </w:pPr>
    </w:p>
    <w:p>
      <w:pPr>
        <w:ind w:left="2249" w:hanging="1125"/>
        <w:spacing w:after="0"/>
        <w:tabs>
          <w:tab w:leader="none" w:pos="224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 in respect of Acquisition Deferred Payments incurred in connection with Permitted</w:t>
      </w:r>
    </w:p>
    <w:p>
      <w:pPr>
        <w:spacing w:after="0" w:line="32" w:lineRule="exact"/>
        <w:rPr>
          <w:rFonts w:ascii="Times New Roman" w:cs="Times New Roman" w:eastAsia="Times New Roman" w:hAnsi="Times New Roman"/>
          <w:sz w:val="19"/>
          <w:szCs w:val="19"/>
          <w:color w:val="auto"/>
        </w:rPr>
      </w:pPr>
    </w:p>
    <w:p>
      <w:pPr>
        <w:ind w:left="9"/>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Acquisitions;</w:t>
      </w:r>
    </w:p>
    <w:p>
      <w:pPr>
        <w:spacing w:after="0" w:line="177" w:lineRule="exact"/>
        <w:rPr>
          <w:rFonts w:ascii="Times New Roman" w:cs="Times New Roman" w:eastAsia="Times New Roman" w:hAnsi="Times New Roman"/>
          <w:sz w:val="19"/>
          <w:szCs w:val="19"/>
          <w:color w:val="auto"/>
        </w:rPr>
      </w:pPr>
    </w:p>
    <w:p>
      <w:pPr>
        <w:jc w:val="both"/>
        <w:ind w:left="9" w:firstLine="1115"/>
        <w:spacing w:after="0" w:line="260" w:lineRule="auto"/>
        <w:tabs>
          <w:tab w:leader="none" w:pos="225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extensions, refinancings, renewals, modifications, amendments or restatements of any items of Permitted Indebtedness; provided that the principal amount is not increased or the terms modified to impose materially more burdensome terms upon Borrower or its Subsidiary, as the case may be.</w:t>
      </w:r>
    </w:p>
    <w:p>
      <w:pPr>
        <w:spacing w:after="0" w:line="150"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20"/>
          <w:szCs w:val="20"/>
          <w:color w:val="auto"/>
        </w:rPr>
        <w:t>“Permitted Investment” means:</w:t>
      </w:r>
    </w:p>
    <w:p>
      <w:pPr>
        <w:spacing w:after="0" w:line="212" w:lineRule="exact"/>
        <w:rPr>
          <w:sz w:val="20"/>
          <w:szCs w:val="20"/>
          <w:color w:val="auto"/>
        </w:rPr>
      </w:pPr>
    </w:p>
    <w:p>
      <w:pPr>
        <w:ind w:left="2249" w:hanging="1125"/>
        <w:spacing w:after="0"/>
        <w:tabs>
          <w:tab w:leader="none" w:pos="2249"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existing on the Closing Date which are disclosed in Schedule 1B;</w:t>
      </w:r>
    </w:p>
    <w:p>
      <w:pPr>
        <w:spacing w:after="0" w:line="199" w:lineRule="exact"/>
        <w:rPr>
          <w:rFonts w:ascii="Times New Roman" w:cs="Times New Roman" w:eastAsia="Times New Roman" w:hAnsi="Times New Roman"/>
          <w:sz w:val="19"/>
          <w:szCs w:val="19"/>
          <w:color w:val="auto"/>
        </w:rPr>
      </w:pPr>
    </w:p>
    <w:p>
      <w:pPr>
        <w:jc w:val="both"/>
        <w:ind w:left="9" w:firstLine="1115"/>
        <w:spacing w:after="0" w:line="246" w:lineRule="auto"/>
        <w:tabs>
          <w:tab w:leader="none" w:pos="225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Investments permitted by Borrower’s Investment Policy and Guidelines dated as of August 2016 and provided to the Agent and Lenders, as amended from time to time; provided that any material amendments thereto have been approved by Agent and the Lenders in their reasonable discretion;</w:t>
      </w:r>
    </w:p>
    <w:p>
      <w:pPr>
        <w:spacing w:after="0" w:line="178" w:lineRule="exact"/>
        <w:rPr>
          <w:rFonts w:ascii="Times New Roman" w:cs="Times New Roman" w:eastAsia="Times New Roman" w:hAnsi="Times New Roman"/>
          <w:sz w:val="19"/>
          <w:szCs w:val="19"/>
          <w:color w:val="auto"/>
        </w:rPr>
      </w:pPr>
    </w:p>
    <w:p>
      <w:pPr>
        <w:jc w:val="both"/>
        <w:ind w:left="9" w:firstLine="1115"/>
        <w:spacing w:after="0" w:line="249" w:lineRule="auto"/>
        <w:tabs>
          <w:tab w:leader="none" w:pos="225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repurchases of Equity Interests from current or former employees, officers, directors, or consultants of Borrower under the terms of applicable repurchase agreements at the original issuance price of such securities (1) in an aggregate amount not to exceed $250,000 in any fiscal year; provided that no Event of Default has occurred, is continuing or would exist after giving effect to the repurchases or (2) in any amount where the consideration for the repurchase is the cancellation of indebtedness owed by such former employees, officers, directors or consultants to Borrower;</w:t>
      </w:r>
    </w:p>
    <w:p>
      <w:pPr>
        <w:spacing w:after="0" w:line="146"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106045</wp:posOffset>
            </wp:positionV>
            <wp:extent cx="7166610"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89"/>
          </w:cols>
          <w:pgMar w:left="1071" w:top="544" w:right="339" w:bottom="1440" w:gutter="0" w:footer="0" w:header="0"/>
        </w:sectPr>
      </w:pPr>
    </w:p>
    <w:bookmarkStart w:id="115" w:name="page116"/>
    <w:bookmarkEnd w:id="115"/>
    <w:p>
      <w:pPr>
        <w:ind w:left="2240" w:hanging="1125"/>
        <w:spacing w:after="0"/>
        <w:tabs>
          <w:tab w:leader="none" w:pos="2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accepted in connection with Permitted Transfers;</w:t>
      </w:r>
    </w:p>
    <w:p>
      <w:pPr>
        <w:spacing w:after="0" w:line="212" w:lineRule="exact"/>
        <w:rPr>
          <w:rFonts w:ascii="Times New Roman" w:cs="Times New Roman" w:eastAsia="Times New Roman" w:hAnsi="Times New Roman"/>
          <w:sz w:val="19"/>
          <w:szCs w:val="19"/>
          <w:color w:val="auto"/>
        </w:rPr>
      </w:pPr>
    </w:p>
    <w:p>
      <w:pPr>
        <w:jc w:val="both"/>
        <w:ind w:firstLine="1115"/>
        <w:spacing w:after="0" w:line="260"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49" w:lineRule="exact"/>
        <w:rPr>
          <w:rFonts w:ascii="Times New Roman" w:cs="Times New Roman" w:eastAsia="Times New Roman" w:hAnsi="Times New Roman"/>
          <w:sz w:val="19"/>
          <w:szCs w:val="19"/>
          <w:color w:val="auto"/>
        </w:rPr>
      </w:pPr>
    </w:p>
    <w:p>
      <w:pPr>
        <w:jc w:val="both"/>
        <w:ind w:firstLine="1115"/>
        <w:spacing w:after="0" w:line="260"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49" w:lineRule="exact"/>
        <w:rPr>
          <w:rFonts w:ascii="Times New Roman" w:cs="Times New Roman" w:eastAsia="Times New Roman" w:hAnsi="Times New Roman"/>
          <w:sz w:val="19"/>
          <w:szCs w:val="19"/>
          <w:color w:val="auto"/>
        </w:rPr>
      </w:pPr>
    </w:p>
    <w:p>
      <w:pPr>
        <w:jc w:val="both"/>
        <w:ind w:firstLine="1115"/>
        <w:spacing w:after="0" w:line="260"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pacing w:after="0" w:line="149" w:lineRule="exact"/>
        <w:rPr>
          <w:rFonts w:ascii="Times New Roman" w:cs="Times New Roman" w:eastAsia="Times New Roman" w:hAnsi="Times New Roman"/>
          <w:sz w:val="19"/>
          <w:szCs w:val="19"/>
          <w:color w:val="auto"/>
        </w:rPr>
      </w:pPr>
    </w:p>
    <w:p>
      <w:pPr>
        <w:ind w:left="2240" w:hanging="1125"/>
        <w:spacing w:after="0"/>
        <w:tabs>
          <w:tab w:leader="none" w:pos="2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consisting of travel advances and employee relocation loans in the ordinary course of</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w:t>
      </w:r>
    </w:p>
    <w:p>
      <w:pPr>
        <w:spacing w:after="0" w:line="177" w:lineRule="exact"/>
        <w:rPr>
          <w:rFonts w:ascii="Times New Roman" w:cs="Times New Roman" w:eastAsia="Times New Roman" w:hAnsi="Times New Roman"/>
          <w:sz w:val="19"/>
          <w:szCs w:val="19"/>
          <w:color w:val="auto"/>
        </w:rPr>
      </w:pPr>
    </w:p>
    <w:p>
      <w:pPr>
        <w:jc w:val="both"/>
        <w:ind w:firstLine="1115"/>
        <w:spacing w:after="0" w:line="252"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in Subsidiaries (including creation of a Subsidiary in anticipation of a proposed Permitted Acquisition); provided that, unless such Subsidiary is an Excluded Subsidiary (after giving pro forma effect to such Investment), each such Subsidiary enters into a Joinder Agreement promptly after its formation by Borrower and execute such other related documents as shall be reasonably requested by Agent;</w:t>
      </w:r>
    </w:p>
    <w:p>
      <w:pPr>
        <w:spacing w:after="0" w:line="171" w:lineRule="exact"/>
        <w:rPr>
          <w:rFonts w:ascii="Times New Roman" w:cs="Times New Roman" w:eastAsia="Times New Roman" w:hAnsi="Times New Roman"/>
          <w:sz w:val="19"/>
          <w:szCs w:val="19"/>
          <w:color w:val="auto"/>
        </w:rPr>
      </w:pPr>
    </w:p>
    <w:p>
      <w:pPr>
        <w:jc w:val="both"/>
        <w:ind w:firstLine="1115"/>
        <w:spacing w:after="0" w:line="254"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Investments in Excluded Subsidiaries to cover ordinary course of business operating and entity maintenance and regulatory (and, if applicable, wind-down and liquidation) costs and expenses in an aggregate amount not to exceed $500,000 in any fiscal year, and other amounts approved in advance in writing by Agent;</w:t>
      </w:r>
    </w:p>
    <w:p>
      <w:pPr>
        <w:spacing w:after="0" w:line="166" w:lineRule="exact"/>
        <w:rPr>
          <w:rFonts w:ascii="Times New Roman" w:cs="Times New Roman" w:eastAsia="Times New Roman" w:hAnsi="Times New Roman"/>
          <w:sz w:val="19"/>
          <w:szCs w:val="19"/>
          <w:color w:val="auto"/>
        </w:rPr>
      </w:pPr>
    </w:p>
    <w:p>
      <w:pPr>
        <w:jc w:val="both"/>
        <w:ind w:firstLine="1115"/>
        <w:spacing w:after="0" w:line="260"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49" w:lineRule="exact"/>
        <w:rPr>
          <w:rFonts w:ascii="Times New Roman" w:cs="Times New Roman" w:eastAsia="Times New Roman" w:hAnsi="Times New Roman"/>
          <w:sz w:val="19"/>
          <w:szCs w:val="19"/>
          <w:color w:val="auto"/>
        </w:rPr>
      </w:pPr>
    </w:p>
    <w:p>
      <w:pPr>
        <w:ind w:left="2240" w:hanging="1125"/>
        <w:spacing w:after="0"/>
        <w:tabs>
          <w:tab w:leader="none" w:pos="2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Permitted Acquisitions;</w:t>
      </w:r>
    </w:p>
    <w:p>
      <w:pPr>
        <w:spacing w:after="0" w:line="199" w:lineRule="exact"/>
        <w:rPr>
          <w:rFonts w:ascii="Times New Roman" w:cs="Times New Roman" w:eastAsia="Times New Roman" w:hAnsi="Times New Roman"/>
          <w:sz w:val="19"/>
          <w:szCs w:val="19"/>
          <w:color w:val="auto"/>
        </w:rPr>
      </w:pPr>
    </w:p>
    <w:p>
      <w:pPr>
        <w:jc w:val="both"/>
        <w:ind w:firstLine="1115"/>
        <w:spacing w:after="0" w:line="260" w:lineRule="auto"/>
        <w:tabs>
          <w:tab w:leader="none" w:pos="22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Borrower’s entry into (including payments of premiums in connection therewith), and the performance of obligations under, any Permitted Bond Hedge Transactions and Permitted Warrant Transactions in accordance with their terms;</w:t>
      </w:r>
    </w:p>
    <w:p>
      <w:pPr>
        <w:spacing w:after="0" w:line="162" w:lineRule="exact"/>
        <w:rPr>
          <w:rFonts w:ascii="Times New Roman" w:cs="Times New Roman" w:eastAsia="Times New Roman" w:hAnsi="Times New Roman"/>
          <w:sz w:val="19"/>
          <w:szCs w:val="19"/>
          <w:color w:val="auto"/>
        </w:rPr>
      </w:pPr>
    </w:p>
    <w:p>
      <w:pPr>
        <w:ind w:left="2240" w:hanging="1125"/>
        <w:spacing w:after="0"/>
        <w:tabs>
          <w:tab w:leader="none" w:pos="2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Hedge Agreements constituting Permitted Indebtedness pursuant to clause (vii) thereof; and</w:t>
      </w:r>
    </w:p>
    <w:p>
      <w:pPr>
        <w:spacing w:after="0" w:line="199" w:lineRule="exact"/>
        <w:rPr>
          <w:rFonts w:ascii="Times New Roman" w:cs="Times New Roman" w:eastAsia="Times New Roman" w:hAnsi="Times New Roman"/>
          <w:sz w:val="19"/>
          <w:szCs w:val="19"/>
          <w:color w:val="auto"/>
        </w:rPr>
      </w:pPr>
    </w:p>
    <w:p>
      <w:pPr>
        <w:ind w:left="2240" w:hanging="1125"/>
        <w:spacing w:after="0"/>
        <w:tabs>
          <w:tab w:leader="none" w:pos="22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additional Investments that do not exceed $250,000 in the aggregate in any fiscal year.</w:t>
      </w:r>
    </w:p>
    <w:p>
      <w:pPr>
        <w:spacing w:after="0" w:line="17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114300</wp:posOffset>
            </wp:positionV>
            <wp:extent cx="7166610"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116" w:name="page117"/>
    <w:bookmarkEnd w:id="116"/>
    <w:p>
      <w:pPr>
        <w:ind w:left="380"/>
        <w:spacing w:after="0"/>
        <w:rPr>
          <w:sz w:val="20"/>
          <w:szCs w:val="20"/>
          <w:color w:val="auto"/>
        </w:rPr>
      </w:pPr>
      <w:r>
        <w:rPr>
          <w:rFonts w:ascii="Times New Roman" w:cs="Times New Roman" w:eastAsia="Times New Roman" w:hAnsi="Times New Roman"/>
          <w:sz w:val="20"/>
          <w:szCs w:val="20"/>
          <w:color w:val="auto"/>
        </w:rPr>
        <w:t>“Permitted Liens” means:</w:t>
      </w:r>
    </w:p>
    <w:p>
      <w:pPr>
        <w:spacing w:after="0" w:line="212" w:lineRule="exact"/>
        <w:rPr>
          <w:sz w:val="20"/>
          <w:szCs w:val="20"/>
          <w:color w:val="auto"/>
        </w:rPr>
      </w:pPr>
    </w:p>
    <w:p>
      <w:pPr>
        <w:ind w:left="1880" w:hanging="1125"/>
        <w:spacing w:after="0"/>
        <w:tabs>
          <w:tab w:leader="none" w:pos="18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in favor of Agent or the Lenders;</w:t>
      </w:r>
    </w:p>
    <w:p>
      <w:pPr>
        <w:spacing w:after="0" w:line="199" w:lineRule="exact"/>
        <w:rPr>
          <w:rFonts w:ascii="Times New Roman" w:cs="Times New Roman" w:eastAsia="Times New Roman" w:hAnsi="Times New Roman"/>
          <w:sz w:val="19"/>
          <w:szCs w:val="19"/>
          <w:color w:val="auto"/>
        </w:rPr>
      </w:pPr>
    </w:p>
    <w:p>
      <w:pPr>
        <w:ind w:left="1880" w:hanging="1125"/>
        <w:spacing w:after="0"/>
        <w:tabs>
          <w:tab w:leader="none" w:pos="18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existing on the Closing Date which are disclosed in Schedule 1C;</w:t>
      </w:r>
    </w:p>
    <w:p>
      <w:pPr>
        <w:spacing w:after="0" w:line="212" w:lineRule="exact"/>
        <w:rPr>
          <w:rFonts w:ascii="Times New Roman" w:cs="Times New Roman" w:eastAsia="Times New Roman" w:hAnsi="Times New Roman"/>
          <w:sz w:val="19"/>
          <w:szCs w:val="19"/>
          <w:color w:val="auto"/>
        </w:rPr>
      </w:pPr>
    </w:p>
    <w:p>
      <w:pPr>
        <w:jc w:val="both"/>
        <w:ind w:left="-360" w:firstLine="1115"/>
        <w:spacing w:after="0" w:line="254"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for taxes, fees, assessments or other governmental charges or levies, either not yet delinquent or being contested in good faith by appropriate proceedings diligently conducted; provided, that Borrower maintains adequate reserves therefor on Borrower’s Books in accordance with GAAP;</w:t>
      </w:r>
    </w:p>
    <w:p>
      <w:pPr>
        <w:spacing w:after="0" w:line="166" w:lineRule="exact"/>
        <w:rPr>
          <w:rFonts w:ascii="Times New Roman" w:cs="Times New Roman" w:eastAsia="Times New Roman" w:hAnsi="Times New Roman"/>
          <w:sz w:val="19"/>
          <w:szCs w:val="19"/>
          <w:color w:val="auto"/>
        </w:rPr>
      </w:pPr>
    </w:p>
    <w:p>
      <w:pPr>
        <w:jc w:val="both"/>
        <w:ind w:left="-360" w:firstLine="1115"/>
        <w:spacing w:after="0" w:line="249"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delinquent or remain payable without penalty, or that are being contested in good faith and by appropriate proceedings which proceedings have the effect of preventing the forfeiture or sale of the property subject thereto;</w:t>
      </w:r>
    </w:p>
    <w:p>
      <w:pPr>
        <w:spacing w:after="0" w:line="171" w:lineRule="exact"/>
        <w:rPr>
          <w:rFonts w:ascii="Times New Roman" w:cs="Times New Roman" w:eastAsia="Times New Roman" w:hAnsi="Times New Roman"/>
          <w:sz w:val="19"/>
          <w:szCs w:val="19"/>
          <w:color w:val="auto"/>
        </w:rPr>
      </w:pPr>
    </w:p>
    <w:p>
      <w:pPr>
        <w:ind w:left="-360" w:firstLine="1115"/>
        <w:spacing w:after="0" w:line="270"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arising from judgments, decrees or attachments in circumstances which do not constitute an Event of Default hereunder;</w:t>
      </w:r>
    </w:p>
    <w:p>
      <w:pPr>
        <w:spacing w:after="0" w:line="139" w:lineRule="exact"/>
        <w:rPr>
          <w:rFonts w:ascii="Times New Roman" w:cs="Times New Roman" w:eastAsia="Times New Roman" w:hAnsi="Times New Roman"/>
          <w:sz w:val="19"/>
          <w:szCs w:val="19"/>
          <w:color w:val="auto"/>
        </w:rPr>
      </w:pPr>
    </w:p>
    <w:p>
      <w:pPr>
        <w:jc w:val="both"/>
        <w:ind w:left="-360" w:firstLine="1115"/>
        <w:spacing w:after="0" w:line="249"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following Liens, to the extent made in the ordinary course of business: deposits and pledges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3" w:lineRule="exact"/>
        <w:rPr>
          <w:rFonts w:ascii="Times New Roman" w:cs="Times New Roman" w:eastAsia="Times New Roman" w:hAnsi="Times New Roman"/>
          <w:sz w:val="19"/>
          <w:szCs w:val="19"/>
          <w:color w:val="auto"/>
        </w:rPr>
      </w:pPr>
    </w:p>
    <w:p>
      <w:pPr>
        <w:ind w:left="-360" w:firstLine="1115"/>
        <w:spacing w:after="0" w:line="270"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on Equipment or software or other intellectual property constituting purchase money Liens and Liens in connection with capital leases securing Indebtedness permitted in clause (iii) of “Permitted Indebtedness”;</w:t>
      </w:r>
    </w:p>
    <w:p>
      <w:pPr>
        <w:spacing w:after="0" w:line="152" w:lineRule="exact"/>
        <w:rPr>
          <w:rFonts w:ascii="Times New Roman" w:cs="Times New Roman" w:eastAsia="Times New Roman" w:hAnsi="Times New Roman"/>
          <w:sz w:val="19"/>
          <w:szCs w:val="19"/>
          <w:color w:val="auto"/>
        </w:rPr>
      </w:pPr>
    </w:p>
    <w:p>
      <w:pPr>
        <w:ind w:left="1880" w:hanging="1125"/>
        <w:spacing w:after="0"/>
        <w:tabs>
          <w:tab w:leader="none" w:pos="18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incurred in connection with Subordinated Indebtedness;</w:t>
      </w:r>
    </w:p>
    <w:p>
      <w:pPr>
        <w:spacing w:after="0" w:line="199" w:lineRule="exact"/>
        <w:rPr>
          <w:rFonts w:ascii="Times New Roman" w:cs="Times New Roman" w:eastAsia="Times New Roman" w:hAnsi="Times New Roman"/>
          <w:sz w:val="19"/>
          <w:szCs w:val="19"/>
          <w:color w:val="auto"/>
        </w:rPr>
      </w:pPr>
    </w:p>
    <w:p>
      <w:pPr>
        <w:ind w:left="-360" w:firstLine="1115"/>
        <w:spacing w:after="0" w:line="270"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leasehold interests in leases or subleases and licenses and sublicenses granted in the ordinary course of business and not interfering in any material respect with the business of the licensor;</w:t>
      </w:r>
    </w:p>
    <w:p>
      <w:pPr>
        <w:spacing w:after="0" w:line="152" w:lineRule="exact"/>
        <w:rPr>
          <w:rFonts w:ascii="Times New Roman" w:cs="Times New Roman" w:eastAsia="Times New Roman" w:hAnsi="Times New Roman"/>
          <w:sz w:val="19"/>
          <w:szCs w:val="19"/>
          <w:color w:val="auto"/>
        </w:rPr>
      </w:pPr>
    </w:p>
    <w:p>
      <w:pPr>
        <w:ind w:left="-360" w:firstLine="1115"/>
        <w:spacing w:after="0" w:line="270"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 duties that are promptly paid on or before the date they become due;</w:t>
      </w:r>
    </w:p>
    <w:p>
      <w:pPr>
        <w:spacing w:after="0" w:line="152" w:lineRule="exact"/>
        <w:rPr>
          <w:rFonts w:ascii="Times New Roman" w:cs="Times New Roman" w:eastAsia="Times New Roman" w:hAnsi="Times New Roman"/>
          <w:sz w:val="19"/>
          <w:szCs w:val="19"/>
          <w:color w:val="auto"/>
        </w:rPr>
      </w:pPr>
    </w:p>
    <w:p>
      <w:pPr>
        <w:jc w:val="both"/>
        <w:ind w:left="-360" w:firstLine="1115"/>
        <w:spacing w:after="0" w:line="254" w:lineRule="auto"/>
        <w:tabs>
          <w:tab w:leader="none" w:pos="18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17" w:name="page118"/>
    <w:bookmarkEnd w:id="117"/>
    <w:p>
      <w:pPr>
        <w:ind w:left="760" w:firstLine="1115"/>
        <w:spacing w:after="0" w:line="284"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statutory and common law rights of set-off and other similar rights as to deposits of cash and securities in favor of banks, other depository institutions and brokerage firms;</w:t>
      </w:r>
    </w:p>
    <w:p>
      <w:pPr>
        <w:spacing w:after="0" w:line="125" w:lineRule="exact"/>
        <w:rPr>
          <w:rFonts w:ascii="Times New Roman" w:cs="Times New Roman" w:eastAsia="Times New Roman" w:hAnsi="Times New Roman"/>
          <w:sz w:val="19"/>
          <w:szCs w:val="19"/>
          <w:color w:val="auto"/>
        </w:rPr>
      </w:pPr>
    </w:p>
    <w:p>
      <w:pPr>
        <w:jc w:val="both"/>
        <w:ind w:left="760" w:firstLine="1115"/>
        <w:spacing w:after="0" w:line="260"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49" w:lineRule="exact"/>
        <w:rPr>
          <w:rFonts w:ascii="Times New Roman" w:cs="Times New Roman" w:eastAsia="Times New Roman" w:hAnsi="Times New Roman"/>
          <w:sz w:val="19"/>
          <w:szCs w:val="19"/>
          <w:color w:val="auto"/>
        </w:rPr>
      </w:pPr>
    </w:p>
    <w:p>
      <w:pPr>
        <w:jc w:val="both"/>
        <w:ind w:left="760" w:firstLine="1115"/>
        <w:spacing w:after="0" w:line="257"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Without duplication of any Indebtedness incurred pursuant to clause (vii) of the definition of Permitted Indebtedness, Liens on Cash securing obligations permitted under clause (vii) of the definition of Permitted Indebtedness, and (B) security deposits in connection with real property leases, the combination of (A) and (B) in an aggregate amount not to exceed $3,000,000 at any time;</w:t>
      </w:r>
    </w:p>
    <w:p>
      <w:pPr>
        <w:spacing w:after="0" w:line="152" w:lineRule="exact"/>
        <w:rPr>
          <w:rFonts w:ascii="Times New Roman" w:cs="Times New Roman" w:eastAsia="Times New Roman" w:hAnsi="Times New Roman"/>
          <w:sz w:val="19"/>
          <w:szCs w:val="19"/>
          <w:color w:val="auto"/>
        </w:rPr>
      </w:pPr>
    </w:p>
    <w:p>
      <w:pPr>
        <w:jc w:val="both"/>
        <w:ind w:left="760" w:firstLine="1115"/>
        <w:spacing w:after="0" w:line="260"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that constitutes a Permitted Acquisition in an aggregate amount not to exceed five percent (5%) of the aggregate purchase consideration paid in connection thereto;</w:t>
      </w:r>
    </w:p>
    <w:p>
      <w:pPr>
        <w:spacing w:after="0" w:line="149" w:lineRule="exact"/>
        <w:rPr>
          <w:rFonts w:ascii="Times New Roman" w:cs="Times New Roman" w:eastAsia="Times New Roman" w:hAnsi="Times New Roman"/>
          <w:sz w:val="19"/>
          <w:szCs w:val="19"/>
          <w:color w:val="auto"/>
        </w:rPr>
      </w:pPr>
    </w:p>
    <w:p>
      <w:pPr>
        <w:ind w:left="760" w:firstLine="1115"/>
        <w:spacing w:after="0" w:line="270"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solely on the royalty interests purchased pursuant to a Permitted Royalty Transaction and proceeds thereof and Intellectual Property being financed by such facility;</w:t>
      </w:r>
    </w:p>
    <w:p>
      <w:pPr>
        <w:spacing w:after="0" w:line="152"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Licenses that qualify as Permitted Transfers; and</w:t>
      </w:r>
    </w:p>
    <w:p>
      <w:pPr>
        <w:spacing w:after="0" w:line="199" w:lineRule="exact"/>
        <w:rPr>
          <w:rFonts w:ascii="Times New Roman" w:cs="Times New Roman" w:eastAsia="Times New Roman" w:hAnsi="Times New Roman"/>
          <w:sz w:val="19"/>
          <w:szCs w:val="19"/>
          <w:color w:val="auto"/>
        </w:rPr>
      </w:pPr>
    </w:p>
    <w:p>
      <w:pPr>
        <w:jc w:val="both"/>
        <w:ind w:left="760" w:firstLine="1115"/>
        <w:spacing w:after="0" w:line="252" w:lineRule="auto"/>
        <w:tabs>
          <w:tab w:leader="none" w:pos="3009"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Liens incurred in connection with the extension, renewal or refinancing of the 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71"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“Permitted Royalty Transaction” means any synthetic royalty participations (and not royalty purchases or buyouts) with respect to any of AXS-05, AXS-07, AXS-12, AXS-14 and/or any other proprietary assets of the Borrower whereby Borrower receives upfront unrestricted (including, not subject to any redemption, clawback, escrow or similar encumbrance or restriction) net cash proceeds of at least $100,000,000 in exchange for rights to participation payments based on net sales of AXS-05, AXS-07, AXS-12, AXS-14 and/or any other proprietary assets of the Borrower in an amount not to exceed 7.5% of net sales, and on terms (including without limitation, that any security granted in connection with such Permitted Royalty Transaction is limited solely to the respective Intellectual Property being financed by such facility) and with a purchaser satisfactory to Agent.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“Permitted Transfers” means:</w:t>
      </w:r>
    </w:p>
    <w:p>
      <w:pPr>
        <w:spacing w:after="0" w:line="200" w:lineRule="exact"/>
        <w:rPr>
          <w:sz w:val="20"/>
          <w:szCs w:val="20"/>
          <w:color w:val="auto"/>
        </w:rPr>
      </w:pPr>
    </w:p>
    <w:p>
      <w:pPr>
        <w:ind w:left="5520" w:right="3960" w:hanging="3645"/>
        <w:spacing w:after="0" w:line="455" w:lineRule="auto"/>
        <w:tabs>
          <w:tab w:leader="none" w:pos="2997"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sales of Inventory in the ordinary course of business,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16661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8" w:name="page119"/>
    <w:bookmarkEnd w:id="118"/>
    <w:p>
      <w:pPr>
        <w:jc w:val="both"/>
        <w:ind w:left="760" w:firstLine="1115"/>
        <w:spacing w:after="0" w:line="249" w:lineRule="auto"/>
        <w:tabs>
          <w:tab w:leader="none" w:pos="300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licenses and similar arrangements for the use of Intellectual Property in the ordinary course of business that could not result in a legal transfer of title of the licensed property that are non-exclusive or may be exclusive in respects other than territory or may be exclusive as to territory but only as to discreet geographical areas outside of the United States of America in the ordinary course; and (B) the abandonment, permitted lapse, cancellation, termination and/or cessation of any immaterial Company IP that is, in the reasonable judgment of the Borrower, no longer economically practicable, commercially desirable to maintain or useful, in each case, in the conduct of business of the Borrower and its Subsidiaries taken as a whole,</w:t>
      </w:r>
    </w:p>
    <w:p>
      <w:pPr>
        <w:spacing w:after="0" w:line="161"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dispositions of worn-out, obsolete or surplus Equipment at fair market value in the ordinary course of</w:t>
      </w:r>
    </w:p>
    <w:p>
      <w:pPr>
        <w:spacing w:after="0" w:line="3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business,</w:t>
      </w:r>
    </w:p>
    <w:p>
      <w:pPr>
        <w:spacing w:after="0" w:line="177"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extent constituting Transfers, Permitted Liens and Permitted Investments,</w:t>
      </w:r>
    </w:p>
    <w:p>
      <w:pPr>
        <w:spacing w:after="0" w:line="199" w:lineRule="exact"/>
        <w:rPr>
          <w:rFonts w:ascii="Times New Roman" w:cs="Times New Roman" w:eastAsia="Times New Roman" w:hAnsi="Times New Roman"/>
          <w:sz w:val="19"/>
          <w:szCs w:val="19"/>
          <w:color w:val="auto"/>
        </w:rPr>
      </w:pPr>
    </w:p>
    <w:p>
      <w:pPr>
        <w:ind w:left="2260" w:hanging="385"/>
        <w:spacing w:after="0"/>
        <w:tabs>
          <w:tab w:leader="none" w:pos="22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Permitted Royalty Transactions,</w:t>
      </w:r>
    </w:p>
    <w:p>
      <w:pPr>
        <w:spacing w:after="0" w:line="212" w:lineRule="exact"/>
        <w:rPr>
          <w:rFonts w:ascii="Times New Roman" w:cs="Times New Roman" w:eastAsia="Times New Roman" w:hAnsi="Times New Roman"/>
          <w:sz w:val="19"/>
          <w:szCs w:val="19"/>
          <w:color w:val="auto"/>
        </w:rPr>
      </w:pPr>
    </w:p>
    <w:p>
      <w:pPr>
        <w:ind w:left="760" w:firstLine="1115"/>
        <w:spacing w:after="0" w:line="270" w:lineRule="auto"/>
        <w:tabs>
          <w:tab w:leader="none" w:pos="300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disposition of any Permitted Convertible Debt, any Hedge Agreement or in connection with any Permitted Bond Hedge Transaction or Permitted Warrant Transaction, in each case as permitted hereunder,</w:t>
      </w:r>
    </w:p>
    <w:p>
      <w:pPr>
        <w:spacing w:after="0" w:line="139" w:lineRule="exact"/>
        <w:rPr>
          <w:rFonts w:ascii="Times New Roman" w:cs="Times New Roman" w:eastAsia="Times New Roman" w:hAnsi="Times New Roman"/>
          <w:sz w:val="19"/>
          <w:szCs w:val="19"/>
          <w:color w:val="auto"/>
        </w:rPr>
      </w:pPr>
    </w:p>
    <w:p>
      <w:pPr>
        <w:ind w:left="760" w:firstLine="1115"/>
        <w:spacing w:after="0" w:line="284" w:lineRule="auto"/>
        <w:tabs>
          <w:tab w:leader="none" w:pos="300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use or transfer of Cash in a manner that is not prohibited by the terms of this Agreement or the other Loan Documents and in the ordinary course of business,</w:t>
      </w:r>
    </w:p>
    <w:p>
      <w:pPr>
        <w:spacing w:after="0" w:line="125" w:lineRule="exact"/>
        <w:rPr>
          <w:rFonts w:ascii="Times New Roman" w:cs="Times New Roman" w:eastAsia="Times New Roman" w:hAnsi="Times New Roman"/>
          <w:sz w:val="19"/>
          <w:szCs w:val="19"/>
          <w:color w:val="auto"/>
        </w:rPr>
      </w:pPr>
    </w:p>
    <w:p>
      <w:pPr>
        <w:jc w:val="both"/>
        <w:ind w:left="760" w:firstLine="1115"/>
        <w:spacing w:after="0" w:line="252" w:lineRule="auto"/>
        <w:tabs>
          <w:tab w:leader="none" w:pos="300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transfers by and among the Borrower and any of its Subsidiaries (other than Permitted Investments); provided that (a)(x) such transfers are in the ordinary course of business and (y) with respect to any transfers to an Excluded Subsidiary, such transfers do not involve any transfer of any Intellectual Property and are in an aggregate amount not to exceed $500,000 in any fiscal year or (b) such Subsidiary has entered into a Joinder Agreement and such other documents as shall reasonably be required by Agent, and</w:t>
      </w:r>
    </w:p>
    <w:p>
      <w:pPr>
        <w:spacing w:after="0" w:line="157" w:lineRule="exact"/>
        <w:rPr>
          <w:rFonts w:ascii="Times New Roman" w:cs="Times New Roman" w:eastAsia="Times New Roman" w:hAnsi="Times New Roman"/>
          <w:sz w:val="19"/>
          <w:szCs w:val="19"/>
          <w:color w:val="auto"/>
        </w:rPr>
      </w:pPr>
    </w:p>
    <w:p>
      <w:pPr>
        <w:ind w:left="3000" w:hanging="1125"/>
        <w:spacing w:after="0"/>
        <w:tabs>
          <w:tab w:leader="none" w:pos="30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other transfers of assets having a fair market value of not more than $500,000 in the aggregate in any</w:t>
      </w:r>
    </w:p>
    <w:p>
      <w:pPr>
        <w:spacing w:after="0" w:line="32"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fiscal year.</w:t>
      </w:r>
    </w:p>
    <w:p>
      <w:pPr>
        <w:spacing w:after="0" w:line="178"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“Permitted Warrant Transaction”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board of directors of the Borrower or a committee thereof and (y) such call option transaction would be classified as an equity instrument in accordance with GAAP.</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9" w:name="page120"/>
    <w:bookmarkEnd w:id="119"/>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25"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“Pledge Agreement” means the Pledge Agreement dated as of the Closing Date between Borrower and Agent, as the same may from time to time be amended, restated, modified or otherwise supplemented.</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“Project Light Agreement” means that certain Asset Purchase Agreement, dated as of March 25, 2022, by and among Borrower and Jazz Pharmaceuticals PLC, the effectiveness of which is solely conditioned on the early termination or expiration of the waiting period under the Hart-Scott-Rodino Antitrust Improvements Act of 1976.</w:t>
      </w:r>
    </w:p>
    <w:p>
      <w:pPr>
        <w:spacing w:after="0" w:line="150"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0"/>
          <w:szCs w:val="20"/>
          <w:color w:val="auto"/>
        </w:rPr>
        <w:t>“Public Health Laws”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and all applicable regulations promulgated by the National Institutes of Health (“</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and codified at Title 42 of the Code of Federal Regulations, and guidance, compliance, guides, and other policies issued by the FDA, the NIH and other comparable governmental authorities.</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“Qualified Cash” means the amount of Borrower’s Cash held in accounts subject to an Account Control Agreement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favor of Agent.</w:t>
      </w:r>
    </w:p>
    <w:p>
      <w:pPr>
        <w:spacing w:after="0" w:line="178"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“Qualified Cash A/P Amount” means the amount of Borrower’s accounts payable under GAAP not paid after the 180th day following the invoice for such account payable.</w:t>
      </w:r>
    </w:p>
    <w:p>
      <w:pPr>
        <w:spacing w:after="0" w:line="152"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50"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“Redemption Conditions”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outstanding principal amount of the Secured Obligations plus the Qualified Cash A/P Amount.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“Register” has the meaning specified in Section 11.7.</w:t>
      </w:r>
    </w:p>
    <w:p>
      <w:pPr>
        <w:spacing w:after="0" w:line="20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“Registrations” shall mean authorizations, approvals, licenses, permits, certificates, registrations, listings, certificates, or exemptions of or issued by any governmental authority (including marketing approvals, investigational new drug applications, product recertifications, drug manufacturing establishment registration and product listing, pricing and reimbursement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0" w:name="page121"/>
    <w:bookmarkEnd w:id="120"/>
    <w:p>
      <w:pPr>
        <w:jc w:val="both"/>
        <w:spacing w:after="0" w:line="284" w:lineRule="auto"/>
        <w:rPr>
          <w:sz w:val="20"/>
          <w:szCs w:val="20"/>
          <w:color w:val="auto"/>
        </w:rPr>
      </w:pPr>
      <w:r>
        <w:rPr>
          <w:rFonts w:ascii="Times New Roman" w:cs="Times New Roman" w:eastAsia="Times New Roman" w:hAnsi="Times New Roman"/>
          <w:sz w:val="20"/>
          <w:szCs w:val="20"/>
          <w:color w:val="auto"/>
        </w:rPr>
        <w:t>approvals, labeling approvals or their foreign equivalent) that are required for the research, development, manufacture, commercialization, distribution, marketing, storage, transportation, pricing, governmental authority reimbursement, use and sale of Borrower Products.</w:t>
      </w:r>
    </w:p>
    <w:p>
      <w:pPr>
        <w:spacing w:after="0" w:line="125"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71"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“Required Lenders” means at any time, the holders of more than 50% of the sum of the aggregate unpaid principal amount of the Term Loans then outstanding.</w:t>
      </w:r>
    </w:p>
    <w:p>
      <w:pPr>
        <w:spacing w:after="0" w:line="152" w:lineRule="exact"/>
        <w:rPr>
          <w:sz w:val="20"/>
          <w:szCs w:val="20"/>
          <w:color w:val="auto"/>
        </w:rPr>
      </w:pPr>
    </w:p>
    <w:p>
      <w:pPr>
        <w:jc w:val="both"/>
        <w:ind w:firstLine="1499"/>
        <w:spacing w:after="0" w:line="246" w:lineRule="auto"/>
        <w:rPr>
          <w:sz w:val="20"/>
          <w:szCs w:val="20"/>
          <w:color w:val="auto"/>
        </w:rPr>
      </w:pPr>
      <w:r>
        <w:rPr>
          <w:rFonts w:ascii="Times New Roman" w:cs="Times New Roman" w:eastAsia="Times New Roman" w:hAnsi="Times New Roman"/>
          <w:sz w:val="20"/>
          <w:szCs w:val="20"/>
          <w:color w:val="auto"/>
        </w:rPr>
        <w:t>“Requirements of Law”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200" w:lineRule="exact"/>
        <w:rPr>
          <w:sz w:val="20"/>
          <w:szCs w:val="20"/>
          <w:color w:val="auto"/>
        </w:rPr>
      </w:pPr>
    </w:p>
    <w:p>
      <w:pPr>
        <w:spacing w:after="0" w:line="213"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“Restricted License” means any Material Agreement with respect to which Borrower is the licensee (other than over-the-counter software and software that is commercially available to the public) (a) that prohibits or otherwise restricts Borrower from granting a security interest in Borrower’s interest in such Material Agreement or any other property, or (b) for which a default under or termination of could reasonably be expected to interfere in any material respect with the Agent’s right to sell any Collateral.</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“Sanctioned Country” means, at any time, a country or territory which is the subject or target of any Sanctions.</w:t>
      </w:r>
    </w:p>
    <w:p>
      <w:pPr>
        <w:spacing w:after="0" w:line="21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59" w:lineRule="exact"/>
        <w:rPr>
          <w:sz w:val="20"/>
          <w:szCs w:val="20"/>
          <w:color w:val="auto"/>
        </w:rPr>
      </w:pPr>
    </w:p>
    <w:p>
      <w:pPr>
        <w:jc w:val="both"/>
        <w:ind w:firstLine="1499"/>
        <w:spacing w:after="0" w:line="257" w:lineRule="auto"/>
        <w:rPr>
          <w:sz w:val="20"/>
          <w:szCs w:val="20"/>
          <w:color w:val="auto"/>
        </w:rPr>
      </w:pPr>
      <w:r>
        <w:rPr>
          <w:rFonts w:ascii="Times New Roman" w:cs="Times New Roman" w:eastAsia="Times New Roman" w:hAnsi="Times New Roman"/>
          <w:sz w:val="20"/>
          <w:szCs w:val="20"/>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“Second Amendment” means that certain Second Amendment to Loan and Security Agreement, effective as of the Second Amendment Closing Date, by and among the Borrower, Agent and the Lenders.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1" w:name="page122"/>
    <w:bookmarkEnd w:id="121"/>
    <w:p>
      <w:pPr>
        <w:ind w:left="1500"/>
        <w:spacing w:after="0"/>
        <w:rPr>
          <w:sz w:val="20"/>
          <w:szCs w:val="20"/>
          <w:color w:val="auto"/>
        </w:rPr>
      </w:pPr>
      <w:r>
        <w:rPr>
          <w:rFonts w:ascii="Times New Roman" w:cs="Times New Roman" w:eastAsia="Times New Roman" w:hAnsi="Times New Roman"/>
          <w:sz w:val="20"/>
          <w:szCs w:val="20"/>
          <w:color w:val="auto"/>
        </w:rPr>
        <w:t>“Second Amendment Closing Date” means the effective date of the Project Light Agreement.</w:t>
      </w:r>
    </w:p>
    <w:p>
      <w:pPr>
        <w:spacing w:after="0" w:line="21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“Second Amendment Signing Date” means the date on which the Second Amendment is executed by the Borrower, Agent and the Lenders.</w:t>
      </w:r>
    </w:p>
    <w:p>
      <w:pPr>
        <w:spacing w:after="0" w:line="152" w:lineRule="exact"/>
        <w:rPr>
          <w:sz w:val="20"/>
          <w:szCs w:val="20"/>
          <w:color w:val="auto"/>
        </w:rPr>
      </w:pPr>
    </w:p>
    <w:p>
      <w:pPr>
        <w:jc w:val="both"/>
        <w:ind w:firstLine="1499"/>
        <w:spacing w:after="0" w:line="254" w:lineRule="auto"/>
        <w:rPr>
          <w:sz w:val="20"/>
          <w:szCs w:val="20"/>
          <w:color w:val="auto"/>
        </w:rPr>
      </w:pPr>
      <w:r>
        <w:rPr>
          <w:rFonts w:ascii="Times New Roman" w:cs="Times New Roman" w:eastAsia="Times New Roman" w:hAnsi="Times New Roman"/>
          <w:sz w:val="20"/>
          <w:szCs w:val="20"/>
          <w:color w:val="auto"/>
        </w:rPr>
        <w:t>“Second Interest Only Extension Conditions” shall mean satisfaction of each of the following events: (a) no default or Event of Default shall have occurred and be continuing; (b) the AXS-05 Milestone has been achieved; and (c) the AXS-07 Milestone has been achieved on or prior to April 30, 2026.</w:t>
      </w:r>
    </w:p>
    <w:p>
      <w:pPr>
        <w:spacing w:after="0" w:line="167"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“Secured Obligations” means Borrower’s obligations under this Agreement and any Loan Document (other than the Warrant), including any obligation to pay any amount now owing or later arising.</w:t>
      </w:r>
    </w:p>
    <w:p>
      <w:pPr>
        <w:spacing w:after="0" w:line="152" w:lineRule="exact"/>
        <w:rPr>
          <w:sz w:val="20"/>
          <w:szCs w:val="20"/>
          <w:color w:val="auto"/>
        </w:rPr>
      </w:pPr>
    </w:p>
    <w:p>
      <w:pPr>
        <w:jc w:val="both"/>
        <w:ind w:firstLine="1499"/>
        <w:spacing w:after="0" w:line="254" w:lineRule="auto"/>
        <w:rPr>
          <w:sz w:val="20"/>
          <w:szCs w:val="20"/>
          <w:color w:val="auto"/>
        </w:rPr>
      </w:pPr>
      <w:r>
        <w:rPr>
          <w:rFonts w:ascii="Times New Roman" w:cs="Times New Roman" w:eastAsia="Times New Roman" w:hAnsi="Times New Roman"/>
          <w:sz w:val="20"/>
          <w:szCs w:val="20"/>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67" w:lineRule="exact"/>
        <w:rPr>
          <w:sz w:val="20"/>
          <w:szCs w:val="20"/>
          <w:color w:val="auto"/>
        </w:rPr>
      </w:pPr>
    </w:p>
    <w:p>
      <w:pPr>
        <w:jc w:val="both"/>
        <w:ind w:firstLine="1499"/>
        <w:spacing w:after="0" w:line="244" w:lineRule="auto"/>
        <w:rPr>
          <w:sz w:val="20"/>
          <w:szCs w:val="20"/>
          <w:color w:val="auto"/>
        </w:rPr>
      </w:pPr>
      <w:r>
        <w:rPr>
          <w:rFonts w:ascii="Times New Roman" w:cs="Times New Roman" w:eastAsia="Times New Roman" w:hAnsi="Times New Roman"/>
          <w:sz w:val="20"/>
          <w:szCs w:val="20"/>
          <w:color w:val="auto"/>
        </w:rPr>
        <w:t xml:space="preserve">“Subsequent Financing” means the closing of any equity financing which becomes effective after the Closing Date in which Borrower receives net cash proceeds in excess of $25,000,000 from the sale and issuance of its Equity Interests for Cash primarily for capital raising purposes and that is broadly marketed to multiple investors, which shall not include any Permitted Convertible Debt offering (or any Permitted Bond Hedge Transaction or Permitted Warrant Transaction) or any issuance or sale by Borrower of its Equity Interests (i) pursuant to benefit plans or arrangements, including under Borrower’s equity incentive plans (whether currently in effect or adopted by Borrower after the Closing Date) or otherwise as equity compensation, (ii) as dividends or distributions or upon stock splits, recapitalizations or similar transactions, (iii) pursuant to a merger, consolidation, acquisition, strategic alliance or similar business combination or acquisition, (iv) to banks, funds, equipment or real property lessors or other financial institutions pursuant to a non-convertible debt financing, equipment lease, loan or credit arrangement or commercial leasing transaction entered into for primarily non-equity financing purposes, (v) in connection with strategic transactions, including (A) joint ventures, manufacturing, marketing, OEM, sponsored research, collaboration or distribution arrangements or (B) technology transfer or development arrangements, (vi) securities issued or issuable to suppliers or third party service providers in connection with the provision of goods or services, (vii) in an at-the-market (ATM) offering, and (viii) securities issued in connection with options, warrants, convertible securities or other arrangement in existence on the Closing Date or issued in transactions excluded from the definition of Subsequent Financing pursuant to clause (i) through (vii)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Borrower or its agents attempts to “wall-cross” the Lender or its assignee or nominee in conjunction with any Subsequent Financing and the Lender or its assignee or nominee declines to be “wall-crossed,” then the issuance and sale of such equity securities shall not be considered a Subsequent Financing hereunder.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25" w:lineRule="exact"/>
        <w:rPr>
          <w:sz w:val="20"/>
          <w:szCs w:val="20"/>
          <w:color w:val="auto"/>
        </w:rPr>
      </w:pPr>
    </w:p>
    <w:p>
      <w:pPr>
        <w:jc w:val="both"/>
        <w:ind w:firstLine="1499"/>
        <w:spacing w:after="0" w:line="245" w:lineRule="auto"/>
        <w:rPr>
          <w:sz w:val="20"/>
          <w:szCs w:val="20"/>
          <w:color w:val="auto"/>
        </w:rPr>
      </w:pPr>
      <w:r>
        <w:rPr>
          <w:rFonts w:ascii="Times New Roman" w:cs="Times New Roman" w:eastAsia="Times New Roman" w:hAnsi="Times New Roman"/>
          <w:sz w:val="20"/>
          <w:szCs w:val="20"/>
          <w:color w:val="auto"/>
        </w:rPr>
        <w:t>“T3M Net Product Revenue” means Borrower’s net product revenue (as determined in accordance with GAAP) solely from the sale of AXS-05, AXS-07, AXS-12, AXS-14, any products acquired pursuant to the Project Light Agreement and any other proprietary assets of the Borrower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 Notwithstanding anything to the contrary herein, T3M Net Product Revenue shall not include any royalty payments associated with a Permitted Royalty Transaction or otherwise.</w:t>
      </w:r>
    </w:p>
    <w:p>
      <w:pPr>
        <w:spacing w:after="0" w:line="177" w:lineRule="exact"/>
        <w:rPr>
          <w:sz w:val="20"/>
          <w:szCs w:val="20"/>
          <w:color w:val="auto"/>
        </w:rPr>
      </w:pPr>
    </w:p>
    <w:p>
      <w:pPr>
        <w:jc w:val="both"/>
        <w:ind w:firstLine="1499"/>
        <w:spacing w:after="0" w:line="245" w:lineRule="auto"/>
        <w:rPr>
          <w:sz w:val="20"/>
          <w:szCs w:val="20"/>
          <w:color w:val="auto"/>
        </w:rPr>
      </w:pPr>
      <w:r>
        <w:rPr>
          <w:rFonts w:ascii="Times New Roman" w:cs="Times New Roman" w:eastAsia="Times New Roman" w:hAnsi="Times New Roman"/>
          <w:sz w:val="20"/>
          <w:szCs w:val="20"/>
          <w:color w:val="auto"/>
        </w:rPr>
        <w:t>“T6M Net Product Revenue” means Borrower’s net product revenue (as determined in accordance with GAAP) solely from the sale of AXS-05, AXS-07 and any products acquired pursuant to the Project Light Agreement (which may include royalty, profit sharing, or sales-based milestone revenue recognized in accordance with GAAP, but which shall not include any upfront or non-sales-based milestone payments under business development or licensing transactions), measured on a trailing six-month basis as of the date of the most recently quarterly financial statement filed with its most recent 10-Q filing.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spacing w:after="0" w:line="179"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5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“Term Loan Advance” means each Tranche 1 Advance, Tranche 2 Advance, Tranche 3 Advance, Tranche 4 Advance, Tranche 5 Advance and any other Term Loan funds advanced under this Agreement.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3" w:name="page124"/>
    <w:bookmarkEnd w:id="123"/>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“Term Loan Cash Interest Rate” means for any day a per annum rate of interest equal to the greater of either (i) the prime rate as reported in The Wall Street Journal plus 5.70%, and (ii) 8.95% but in no event greater than 10.70%.</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“Term Loan Maturity Date” means October 1, 2026; provided however, if on or within five (5) Business Days of the third anniversary of the First Amendment Closing Date the Maturity Extension Conditions are satisfied, then, October 1, 2027; provided further that if such day is not a Business Day, the Term Loan Maturity Date shall be the immediately preceding Business Day.</w:t>
      </w:r>
    </w:p>
    <w:p>
      <w:pPr>
        <w:spacing w:after="0" w:line="150" w:lineRule="exact"/>
        <w:rPr>
          <w:sz w:val="20"/>
          <w:szCs w:val="20"/>
          <w:color w:val="auto"/>
        </w:rPr>
      </w:pPr>
    </w:p>
    <w:p>
      <w:pPr>
        <w:jc w:val="both"/>
        <w:ind w:firstLine="1499"/>
        <w:spacing w:after="0" w:line="284" w:lineRule="auto"/>
        <w:rPr>
          <w:sz w:val="20"/>
          <w:szCs w:val="20"/>
          <w:color w:val="auto"/>
        </w:rPr>
      </w:pPr>
      <w:r>
        <w:rPr>
          <w:rFonts w:ascii="Times New Roman" w:cs="Times New Roman" w:eastAsia="Times New Roman" w:hAnsi="Times New Roman"/>
          <w:sz w:val="20"/>
          <w:szCs w:val="20"/>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50"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“Tranche 1A Commitment” means as to any Lender, the obligation of such Lender, if any, to make a Term Loan Advance to Borrowers in a principal amount not to exceed the amount set forth under the heading “Tranche 1A Term Commitment” opposite such Lender’s name on Schedule 1.1.</w:t>
      </w:r>
    </w:p>
    <w:p>
      <w:pPr>
        <w:spacing w:after="0" w:line="150" w:lineRule="exact"/>
        <w:rPr>
          <w:sz w:val="20"/>
          <w:szCs w:val="20"/>
          <w:color w:val="auto"/>
        </w:rPr>
      </w:pPr>
    </w:p>
    <w:p>
      <w:pPr>
        <w:ind w:firstLine="1500"/>
        <w:spacing w:after="0" w:line="284" w:lineRule="auto"/>
        <w:tabs>
          <w:tab w:leader="none" w:pos="299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1B Facility Charge” means three-quarter percent (0.75%) of the Tranche 1B Advances funded, which is payable to the Lenders in accordance with Section 4.2(d).</w:t>
      </w:r>
    </w:p>
    <w:p>
      <w:pPr>
        <w:spacing w:after="0" w:line="125"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20"/>
          <w:szCs w:val="20"/>
          <w:color w:val="auto"/>
        </w:rPr>
        <w:t>“Tranche 1B Commitment” means as to any Lender, the obligation of such Lender, if any, to make a Term Loan Advance to Borrowers in a principal amount not to exceed the amount set forth under the heading “Tranche 1B Term Commitment” opposite such Lender’s name on Schedule 1.1.</w:t>
      </w:r>
    </w:p>
    <w:p>
      <w:pPr>
        <w:spacing w:after="0" w:line="150" w:lineRule="exact"/>
        <w:rPr>
          <w:sz w:val="20"/>
          <w:szCs w:val="20"/>
          <w:color w:val="auto"/>
        </w:rPr>
      </w:pPr>
    </w:p>
    <w:p>
      <w:pPr>
        <w:jc w:val="both"/>
        <w:ind w:firstLine="1499"/>
        <w:spacing w:after="0" w:line="257" w:lineRule="auto"/>
        <w:rPr>
          <w:sz w:val="20"/>
          <w:szCs w:val="20"/>
          <w:color w:val="auto"/>
        </w:rPr>
      </w:pPr>
      <w:r>
        <w:rPr>
          <w:rFonts w:ascii="Times New Roman" w:cs="Times New Roman" w:eastAsia="Times New Roman" w:hAnsi="Times New Roman"/>
          <w:sz w:val="20"/>
          <w:szCs w:val="20"/>
          <w:color w:val="auto"/>
        </w:rPr>
        <w:t>“Tranche 2B Draw Period” means the period beginning on the AXS-05 Milestone Date and ending on, as of the applicable date of determination, (A) if the full amount of the Tranche 2A Advances have not been drawn, the earlier of (x) 181 days following the AXS-05 Milestone Date and (y) March 31, 2023 and (B) if the full amount of the Tranche 2A Advances have been drawn, March 31, 2023.</w:t>
      </w:r>
    </w:p>
    <w:p>
      <w:pPr>
        <w:spacing w:after="0" w:line="15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20"/>
          <w:szCs w:val="20"/>
          <w:color w:val="auto"/>
        </w:rPr>
        <w:t>“Tranche 2C Advance Aggregate Amounts Facility Charge” means $300,000, which is payable to the Lenders in accordance with Section 4.2(j).</w:t>
      </w:r>
    </w:p>
    <w:p>
      <w:pPr>
        <w:spacing w:after="0" w:line="152"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“Tranche 2C Availability Conditions” means (i) that the Tranche 2C Draw Period has expired without Borrower requesting a Tranche 2C Advance, and (ii), if the Tranche 2C Advance Aggregate Amounts are to be added to the Tranche 4 Advances, (x) the Tranche 4 Draw Conditions have been met and (y) the Tranche 2C Advance Aggregate Amounts Facility Charge has been paid in accordance with Section 2.2(vii).</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4" w:name="page125"/>
    <w:bookmarkEnd w:id="124"/>
    <w:p>
      <w:pPr>
        <w:jc w:val="both"/>
        <w:ind w:firstLine="1500"/>
        <w:spacing w:after="0" w:line="260"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2C Draw Period” means the period beginning on the AXS-05 Milestone Date and ending on, December 31, 2023 and subject to approval by the Lenders’ investment committee in its sole and unfettered discretion based on the launch of AXS-05 and other factors.</w:t>
      </w:r>
    </w:p>
    <w:p>
      <w:pPr>
        <w:spacing w:after="0" w:line="162" w:lineRule="exact"/>
        <w:rPr>
          <w:rFonts w:ascii="Times New Roman" w:cs="Times New Roman" w:eastAsia="Times New Roman" w:hAnsi="Times New Roman"/>
          <w:sz w:val="20"/>
          <w:szCs w:val="20"/>
          <w:color w:val="auto"/>
        </w:rPr>
      </w:pPr>
    </w:p>
    <w:p>
      <w:pPr>
        <w:ind w:firstLine="1500"/>
        <w:spacing w:after="0" w:line="270"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2 Facility Charge” means three-quarter percent (0.75%) of the Tranche 2 Advances funded, which is payable to the Lenders in accordance with Section 4.2(e).</w:t>
      </w:r>
    </w:p>
    <w:p>
      <w:pPr>
        <w:spacing w:after="0" w:line="139" w:lineRule="exact"/>
        <w:rPr>
          <w:rFonts w:ascii="Times New Roman" w:cs="Times New Roman" w:eastAsia="Times New Roman" w:hAnsi="Times New Roman"/>
          <w:sz w:val="20"/>
          <w:szCs w:val="20"/>
          <w:color w:val="auto"/>
        </w:rPr>
      </w:pPr>
    </w:p>
    <w:p>
      <w:pPr>
        <w:ind w:left="3000" w:hanging="1500"/>
        <w:spacing w:after="0"/>
        <w:tabs>
          <w:tab w:leader="none" w:pos="30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3B Advance Facility Charge” means $50,000, which is payable to the Lenders in</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accordance with Section 4.2(k).</w:t>
      </w:r>
    </w:p>
    <w:p>
      <w:pPr>
        <w:spacing w:after="0" w:line="177" w:lineRule="exact"/>
        <w:rPr>
          <w:rFonts w:ascii="Times New Roman" w:cs="Times New Roman" w:eastAsia="Times New Roman" w:hAnsi="Times New Roman"/>
          <w:sz w:val="20"/>
          <w:szCs w:val="20"/>
          <w:color w:val="auto"/>
        </w:rPr>
      </w:pPr>
    </w:p>
    <w:p>
      <w:pPr>
        <w:jc w:val="both"/>
        <w:ind w:firstLine="1500"/>
        <w:spacing w:after="0" w:line="252"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3B Availability Conditions” means (i) that the Tranche 3B Draw Period has expired without Borrower requesting the Tranche 3B Advance, and (ii), if the Tranche 3B Advance is to be added to the Tranche 4 Advances, (x) the Tranche 4 Draw Conditions have been met and (y) the Tranche 3B Advance Facility Charge has been paid in accordance with Section 2.2(viii).</w:t>
      </w:r>
    </w:p>
    <w:p>
      <w:pPr>
        <w:spacing w:after="0" w:line="171" w:lineRule="exact"/>
        <w:rPr>
          <w:rFonts w:ascii="Times New Roman" w:cs="Times New Roman" w:eastAsia="Times New Roman" w:hAnsi="Times New Roman"/>
          <w:sz w:val="20"/>
          <w:szCs w:val="20"/>
          <w:color w:val="auto"/>
        </w:rPr>
      </w:pPr>
    </w:p>
    <w:p>
      <w:pPr>
        <w:jc w:val="both"/>
        <w:ind w:firstLine="1500"/>
        <w:spacing w:after="0" w:line="254"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3B Draw Period” means the period beginning on the AXS-07 Milestone Date and ending on, December 31, 2023 and subject to approval by the Lenders’ investment committee in its sole and unfettered discretion based on the launch of AXS-07 and other factors.</w:t>
      </w:r>
    </w:p>
    <w:p>
      <w:pPr>
        <w:spacing w:after="0" w:line="166" w:lineRule="exact"/>
        <w:rPr>
          <w:rFonts w:ascii="Times New Roman" w:cs="Times New Roman" w:eastAsia="Times New Roman" w:hAnsi="Times New Roman"/>
          <w:sz w:val="20"/>
          <w:szCs w:val="20"/>
          <w:color w:val="auto"/>
        </w:rPr>
      </w:pPr>
    </w:p>
    <w:p>
      <w:pPr>
        <w:ind w:firstLine="1500"/>
        <w:spacing w:after="0" w:line="270"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3 Facility Charge” means three-quarter percent (0.75%) of the Tranche 3 Advances funded, which is payable to the Lenders in accordance with Section 4.2(f).</w:t>
      </w:r>
    </w:p>
    <w:p>
      <w:pPr>
        <w:spacing w:after="0" w:line="152" w:lineRule="exact"/>
        <w:rPr>
          <w:rFonts w:ascii="Times New Roman" w:cs="Times New Roman" w:eastAsia="Times New Roman" w:hAnsi="Times New Roman"/>
          <w:sz w:val="20"/>
          <w:szCs w:val="20"/>
          <w:color w:val="auto"/>
        </w:rPr>
      </w:pPr>
    </w:p>
    <w:p>
      <w:pPr>
        <w:jc w:val="both"/>
        <w:ind w:firstLine="1500"/>
        <w:spacing w:after="0" w:line="254"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4 Draw Conditions” means (i) Borrower’s achievement of the AXS-05 Milestone or the AXS-07 Milestone and (ii) both before and after giving effect to any such Tranche 4 Advance, (a) the Net Product Revenue Ratio shall be no greater than 4.00:1.00 and (b) no Default or Event of Default shall have occurred and be continuing.</w:t>
      </w:r>
    </w:p>
    <w:p>
      <w:pPr>
        <w:spacing w:after="0" w:line="166" w:lineRule="exact"/>
        <w:rPr>
          <w:rFonts w:ascii="Times New Roman" w:cs="Times New Roman" w:eastAsia="Times New Roman" w:hAnsi="Times New Roman"/>
          <w:sz w:val="20"/>
          <w:szCs w:val="20"/>
          <w:color w:val="auto"/>
        </w:rPr>
      </w:pPr>
    </w:p>
    <w:p>
      <w:pPr>
        <w:jc w:val="both"/>
        <w:ind w:firstLine="1500"/>
        <w:spacing w:after="0" w:line="249"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4 Facility Charge” means (i) with respect to each Tranche 4 Advance (other than any Tranche 2C Advance Aggregate Amounts and/or the Tranche 3B Advance), one percent (1.00%) of the Tranche 4 Advances funded, which is payable to the Lenders in accordance with Section 4.2(g) and (ii) with respect to each Tranche 4 Advance consisting of the Tranche 2C Advance Aggregate Amounts and/or the Tranche 3B Advance, zero percent (0.00%) of the Tranche 5 Advances funded from such amounts.</w:t>
      </w: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firstLine="1500"/>
        <w:spacing w:after="0" w:line="270" w:lineRule="auto"/>
        <w:tabs>
          <w:tab w:leader="none" w:pos="29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5 Facility Charge” means one percent (1.00%) of the Tranche 5 Advances funded, which is payable to the Lenders in accordance with Section 4.2(h).</w:t>
      </w:r>
    </w:p>
    <w:p>
      <w:pPr>
        <w:spacing w:after="0" w:line="152"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20"/>
          <w:szCs w:val="20"/>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5" w:name="page126"/>
    <w:bookmarkEnd w:id="125"/>
    <w:p>
      <w:pPr>
        <w:ind w:left="1500"/>
        <w:spacing w:after="0" w:line="360" w:lineRule="auto"/>
        <w:rPr>
          <w:sz w:val="20"/>
          <w:szCs w:val="20"/>
          <w:color w:val="auto"/>
        </w:rPr>
      </w:pPr>
      <w:r>
        <w:rPr>
          <w:rFonts w:ascii="Times New Roman" w:cs="Times New Roman" w:eastAsia="Times New Roman" w:hAnsi="Times New Roman"/>
          <w:sz w:val="20"/>
          <w:szCs w:val="20"/>
          <w:color w:val="auto"/>
        </w:rPr>
        <w:t>“U.S. Person” means any Person that is a “United States person” as defined in Section 7701(a)(30) of the Code. “Warrant” means any warrant entered into in connection with the Loan, as may be amended, restated or modified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90" w:lineRule="exact"/>
        <w:rPr>
          <w:sz w:val="20"/>
          <w:szCs w:val="20"/>
          <w:color w:val="auto"/>
        </w:rPr>
      </w:pPr>
    </w:p>
    <w:p>
      <w:pPr>
        <w:ind w:left="5520" w:right="2020" w:hanging="4769"/>
        <w:spacing w:after="0" w:line="455" w:lineRule="auto"/>
        <w:tabs>
          <w:tab w:leader="none" w:pos="15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are defined in the Sections or subsections referenced opposite such terms: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-44450</wp:posOffset>
            </wp:positionV>
            <wp:extent cx="7166610"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6" w:name="page127"/>
    <w:bookmarkEnd w:id="126"/>
    <w:tbl>
      <w:tblPr>
        <w:tblLayout w:type="fixed"/>
        <w:tblInd w:w="2550" w:type="dxa"/>
        <w:tblCellMar>
          <w:top w:w="0" w:type="dxa"/>
          <w:left w:w="0" w:type="dxa"/>
          <w:bottom w:w="0" w:type="dxa"/>
          <w:right w:w="0" w:type="dxa"/>
        </w:tblCellMar>
      </w:tblPr>
      <w:tr>
        <w:trPr>
          <w:trHeight w:val="265"/>
        </w:trPr>
        <w:tc>
          <w:tcPr>
            <w:tcW w:w="3260" w:type="dxa"/>
            <w:vAlign w:val="bottom"/>
            <w:tcBorders>
              <w:left w:val="single" w:sz="8" w:color="auto"/>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0"/>
                <w:szCs w:val="20"/>
                <w:b w:val="1"/>
                <w:bCs w:val="1"/>
                <w:color w:val="FFFFFF"/>
              </w:rPr>
              <w:t>Defined Term</w:t>
            </w:r>
          </w:p>
        </w:tc>
        <w:tc>
          <w:tcPr>
            <w:tcW w:w="2920" w:type="dxa"/>
            <w:vAlign w:val="bottom"/>
            <w:tcBorders>
              <w:right w:val="single" w:sz="8" w:color="auto"/>
            </w:tcBorders>
            <w:shd w:val="clear" w:color="auto" w:fill="000000"/>
          </w:tcPr>
          <w:p>
            <w:pPr>
              <w:ind w:left="80"/>
              <w:spacing w:after="0"/>
              <w:rPr>
                <w:sz w:val="20"/>
                <w:szCs w:val="20"/>
                <w:color w:val="auto"/>
              </w:rPr>
            </w:pPr>
            <w:r>
              <w:rPr>
                <w:rFonts w:ascii="Times New Roman" w:cs="Times New Roman" w:eastAsia="Times New Roman" w:hAnsi="Times New Roman"/>
                <w:sz w:val="20"/>
                <w:szCs w:val="20"/>
                <w:b w:val="1"/>
                <w:bCs w:val="1"/>
                <w:color w:val="FFFFFF"/>
              </w:rPr>
              <w:t>Section</w:t>
            </w:r>
          </w:p>
        </w:tc>
      </w:tr>
      <w:tr>
        <w:trPr>
          <w:trHeight w:val="24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Agent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Preamble</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Assignee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11.14</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Borrower</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Preamble</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Claims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11.11</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Collateral</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3.1</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Confidential Information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11.13</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Current Company IP</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5.10(a)</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2.6</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Event of Default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9</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Extension 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2.6</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7.1</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Indemnified Person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6.3</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Initial End of Term Charge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2.6</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Preamble</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6.3</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Maximum Rate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2.3</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Open Source License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5.10(p)</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Participant Register</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11.8</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Prepayment Charge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2.5</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Publicity Materials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11.19</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Register</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11.7</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Rights to Payment</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3.1</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Specified Disputes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5.10(g)</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Third Party IP</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5.10(i)</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1A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2.2(a)(i)</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1B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2.2(a)(ii)</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1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2.2(a)(ii)</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2A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2.2(a)(iii)</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2B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2.2(a)(iii)</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2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2.2(a)(iii)</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3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2.2(a)(iv)</w:t>
            </w:r>
          </w:p>
        </w:tc>
      </w:tr>
      <w:tr>
        <w:trPr>
          <w:trHeight w:val="233"/>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4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color w:val="auto"/>
              </w:rPr>
              <w:t>2.2(a)(v)</w:t>
            </w:r>
          </w:p>
        </w:tc>
      </w:tr>
      <w:tr>
        <w:trPr>
          <w:trHeight w:val="233"/>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Times New Roman" w:cs="Times New Roman" w:eastAsia="Times New Roman" w:hAnsi="Times New Roman"/>
                <w:sz w:val="20"/>
                <w:szCs w:val="20"/>
                <w:b w:val="1"/>
                <w:bCs w:val="1"/>
                <w:color w:val="auto"/>
              </w:rPr>
              <w:t>Tranche 5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color w:val="auto"/>
              </w:rPr>
              <w:t>2.2(a)(vi)</w:t>
            </w:r>
          </w:p>
        </w:tc>
      </w:tr>
    </w:tbl>
    <w:p>
      <w:pPr>
        <w:spacing w:after="0" w:line="200" w:lineRule="exact"/>
        <w:rPr>
          <w:sz w:val="20"/>
          <w:szCs w:val="20"/>
          <w:color w:val="auto"/>
        </w:rPr>
      </w:pPr>
    </w:p>
    <w:p>
      <w:pPr>
        <w:spacing w:after="0" w:line="217" w:lineRule="exact"/>
        <w:rPr>
          <w:sz w:val="20"/>
          <w:szCs w:val="20"/>
          <w:color w:val="auto"/>
        </w:rPr>
      </w:pPr>
    </w:p>
    <w:p>
      <w:pPr>
        <w:jc w:val="both"/>
        <w:ind w:firstLine="751"/>
        <w:spacing w:after="0" w:line="252" w:lineRule="auto"/>
        <w:tabs>
          <w:tab w:leader="none" w:pos="149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27" w:name="page128"/>
    <w:bookmarkEnd w:id="127"/>
    <w:p>
      <w:pPr>
        <w:jc w:val="both"/>
        <w:spacing w:after="0" w:line="244" w:lineRule="auto"/>
        <w:rPr>
          <w:sz w:val="20"/>
          <w:szCs w:val="20"/>
          <w:color w:val="auto"/>
        </w:rPr>
      </w:pPr>
      <w:r>
        <w:rPr>
          <w:rFonts w:ascii="Times New Roman" w:cs="Times New Roman" w:eastAsia="Times New Roman" w:hAnsi="Times New Roman"/>
          <w:sz w:val="20"/>
          <w:szCs w:val="20"/>
          <w:color w:val="auto"/>
        </w:rPr>
        <w:t>and all financial computations hereunder shall be computed in accordance with GAAP, consistently applied; provided that if at any time any change in GAAP would affect the computation of any financial covenant or ratio or requirement set forth in any Loan Document, and either Borrower or Agent shall so request, Borrower, Agent and the Lenders shall negotiate in good faith to amend such ratio or requirement to preserve the original intent thereof in light of such change in GAAP; provided, further, that, until so amended, (a) such ratio or requirement shall continue to be computed in accordance with GAAP prior to such change therein and (b) Borrower shall provide Agent financial statements and other documents required under this Agreement or as reasonably requested hereunder setting forth a reconciliation between calculations of such ratio covenant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(other than for purposes of the delivery of financial statements prepared in accordance with GAAP).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jc w:val="both"/>
        <w:ind w:firstLine="751"/>
        <w:spacing w:after="0" w:line="247" w:lineRule="auto"/>
        <w:tabs>
          <w:tab w:leader="none" w:pos="149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6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b w:val="1"/>
          <w:bCs w:val="1"/>
          <w:u w:val="single" w:color="auto"/>
          <w:color w:val="auto"/>
        </w:rPr>
        <w:t>THE LOAN</w:t>
      </w:r>
    </w:p>
    <w:p>
      <w:pPr>
        <w:spacing w:after="0" w:line="204" w:lineRule="exact"/>
        <w:rPr>
          <w:sz w:val="20"/>
          <w:szCs w:val="20"/>
          <w:color w:val="auto"/>
        </w:rPr>
      </w:pPr>
    </w:p>
    <w:p>
      <w:pPr>
        <w:ind w:left="2160" w:hanging="753"/>
        <w:spacing w:after="0"/>
        <w:tabs>
          <w:tab w:leader="none" w:pos="21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ind w:left="2160" w:hanging="753"/>
        <w:spacing w:after="0"/>
        <w:tabs>
          <w:tab w:leader="none" w:pos="21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w:t>
      </w:r>
    </w:p>
    <w:p>
      <w:pPr>
        <w:spacing w:after="0" w:line="19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i.Advances.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8" w:name="page129"/>
    <w:bookmarkEnd w:id="128"/>
    <w:p>
      <w:pPr>
        <w:jc w:val="both"/>
        <w:ind w:left="380" w:firstLine="750"/>
        <w:spacing w:after="0" w:line="260" w:lineRule="auto"/>
        <w:tabs>
          <w:tab w:leader="none" w:pos="187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the Lenders will severally (and not jointly) make in an amount not to exceed their respective Tranche 1A Commitments, and Borrower agrees to draw, a Term Loan Advance of Fifty Million Dollars ($50,000,000) on the Closing Date (the “Tranche 1A Advance”).</w:t>
      </w:r>
    </w:p>
    <w:p>
      <w:pPr>
        <w:spacing w:after="0" w:line="162" w:lineRule="exact"/>
        <w:rPr>
          <w:rFonts w:ascii="Times New Roman" w:cs="Times New Roman" w:eastAsia="Times New Roman" w:hAnsi="Times New Roman"/>
          <w:sz w:val="20"/>
          <w:szCs w:val="20"/>
          <w:color w:val="auto"/>
        </w:rPr>
      </w:pPr>
    </w:p>
    <w:p>
      <w:pPr>
        <w:jc w:val="both"/>
        <w:ind w:left="380" w:firstLine="750"/>
        <w:spacing w:after="0" w:line="252" w:lineRule="auto"/>
        <w:tabs>
          <w:tab w:leader="none" w:pos="187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Lenders will severally (and not jointly) make, in an amount not to exceed their respective Tranche 1B Commitments, an additional Term Loan Advance in an aggregate principal amount of Forty-Five Million Dollars ($45,000,000) on the Second Amendment Closing Date (the “Tranche 1B Advance” and together with the Tranche 1A Advance, each a “Tranche 1 Advance”).</w:t>
      </w:r>
    </w:p>
    <w:p>
      <w:pPr>
        <w:spacing w:after="0" w:line="158" w:lineRule="exact"/>
        <w:rPr>
          <w:rFonts w:ascii="Times New Roman" w:cs="Times New Roman" w:eastAsia="Times New Roman" w:hAnsi="Times New Roman"/>
          <w:sz w:val="20"/>
          <w:szCs w:val="20"/>
          <w:color w:val="auto"/>
        </w:rPr>
      </w:pPr>
    </w:p>
    <w:p>
      <w:pPr>
        <w:jc w:val="both"/>
        <w:ind w:left="380" w:firstLine="750"/>
        <w:spacing w:after="0" w:line="245" w:lineRule="auto"/>
        <w:tabs>
          <w:tab w:leader="none" w:pos="187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 beginning on the AXS-05 Milestone Date and continuing through the earlier of (x) 90 days following the AXS-05 Milestone Date and (y) December 31, 2022, Borrower may request and the Lenders shall severally (and not jointly) make additional Term Loan Advances in an aggregate principal amount of up to Thirty Five Million Dollars ($35,000,000), in minimum increments of Five Million Dollars ($5,000,000) (each, a “Tranche 2A Advance”) (B) during the Tranche 2B Draw Period, Borrower may request and the Lenders shall severally (and not jointly) make additional Term Loan Advances in an aggregate principal amount of up to Thirty Five Million Dollars ($35,000,000), in minimum increments of Five Million Dollars ($5,000,000) (each, a “Tranche 2B Advance”) and (C) during the Tranche 2C Draw Period, subject to approval by the Lenders’ investment committee in its sole and unfettered discretion based on the launch of AXS-05 and other factors, Borrower may request and the Lenders shall severally (and not jointly) make additional Term Loan Advances in an aggregate principal amount of up to Thirty Million Dollars ($30,000,000) (the “Tranche 2C Advance Aggregate Amount”), in minimum increments of Five Million Dollars ($5,000,000) (each, a “Tranche 2C Advance” and together with each Tranche 2B Advance and Tranche 2A Advance, each a “Tranche 2 Advance”).</w:t>
      </w:r>
    </w:p>
    <w:p>
      <w:pPr>
        <w:spacing w:after="0" w:line="170" w:lineRule="exact"/>
        <w:rPr>
          <w:rFonts w:ascii="Times New Roman" w:cs="Times New Roman" w:eastAsia="Times New Roman" w:hAnsi="Times New Roman"/>
          <w:sz w:val="20"/>
          <w:szCs w:val="20"/>
          <w:color w:val="auto"/>
        </w:rPr>
      </w:pPr>
    </w:p>
    <w:p>
      <w:pPr>
        <w:jc w:val="both"/>
        <w:ind w:left="380" w:firstLine="750"/>
        <w:spacing w:after="0" w:line="246" w:lineRule="auto"/>
        <w:tabs>
          <w:tab w:leader="none" w:pos="187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 beginning on the AXS-07 Milestone Date and continuing through the earlier of (x) 181 days following the AXS-07 Milestone Date and (y) June 30, 2023, Borrower may request and the Lenders shall severally (and not jointly) make additional Term Loan Advances in an aggregate principal amount of up to Fifteen Million Dollars ($15,000,000), in minimum increments of Five Million Dollars ($5,000,000) (each, a “Tranche 3A Advance”)and (B) during the Tranche 3B Draw Period, subject to approval by the Lenders’ investment committee in its sole and unfettered discretion based on the launch of AXS-07 and other factors, Borrower may request and the Lenders shall severally (and not jointly) make an additional Term Loan Advance in an aggregate principal amount of up to Five Million Dollars ($5,000,000) (the “Tranche 3B Advance” and together with the Tranche 3A Advances, each, a “Tranche 3 Advance”).</w:t>
      </w:r>
    </w:p>
    <w:p>
      <w:pPr>
        <w:spacing w:after="0" w:line="178" w:lineRule="exact"/>
        <w:rPr>
          <w:rFonts w:ascii="Times New Roman" w:cs="Times New Roman" w:eastAsia="Times New Roman" w:hAnsi="Times New Roman"/>
          <w:sz w:val="20"/>
          <w:szCs w:val="20"/>
          <w:color w:val="auto"/>
        </w:rPr>
      </w:pPr>
    </w:p>
    <w:p>
      <w:pPr>
        <w:ind w:left="380" w:firstLine="750"/>
        <w:spacing w:after="0" w:line="270" w:lineRule="auto"/>
        <w:tabs>
          <w:tab w:leader="none" w:pos="187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subject to the satisfaction of Tranche 4 Draw Conditions, beginning on January 1, 2022 and</w:t>
      </w:r>
    </w:p>
    <w:p>
      <w:pPr>
        <w:spacing w:after="0" w:line="1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29" w:name="page130"/>
    <w:bookmarkEnd w:id="129"/>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continuing through December 31, 2024, Borrower may request additional Term Loan Advances in an aggregate principal amount of up to Fifty Million Dollars ($50,000,000) (the “Tranche 4 Commitments”), plus subject to the Tranche 2C Availability Conditions, the Tranche 2C Advance Aggregate Amount, plus, subject to the Tranche 3B Availability Conditions, the Tranche 3B Advance, in minimum increments of Five Million Dollars ($5,000,000) (each, a “Tranche 4 Advance”). Tranche 4 Advances shall be funded first from the Tranche 4 Commitments, second from the Tranche 2C Advance Aggregate Amounts, if any and third from the Tranche 3B Advance, if any.</w:t>
      </w:r>
    </w:p>
    <w:p>
      <w:pPr>
        <w:spacing w:after="0" w:line="173" w:lineRule="exact"/>
        <w:rPr>
          <w:sz w:val="20"/>
          <w:szCs w:val="20"/>
          <w:color w:val="auto"/>
        </w:rPr>
      </w:pPr>
    </w:p>
    <w:p>
      <w:pPr>
        <w:jc w:val="both"/>
        <w:ind w:left="380" w:firstLine="750"/>
        <w:spacing w:after="0" w:line="247" w:lineRule="auto"/>
        <w:tabs>
          <w:tab w:leader="none" w:pos="187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and conditioned on approval by the Lenders’ investment committee in its sole and unfettered discretion, on or before December 31, 2025, Borrower may request additional Term Loan Advances in an aggregate principal amount of up to Thirty Five Million Dollars ($35,000,000) plus subject to the Tranche 2C Availability Conditions, the Tranche 2C Advance Aggregate Amount if such amount has not been added to the Tranche 4 Advance, plus, subject to the Tranche 3B Availability Conditions, the Tranche 3B Advance if such advance has not been added to Tranche 4 Advance, in minimum increments of Five Million Dollars ($5,000,000) (each, a “Tranche 5 Advance”).</w:t>
      </w:r>
    </w:p>
    <w:p>
      <w:pPr>
        <w:spacing w:after="0" w:line="162" w:lineRule="exact"/>
        <w:rPr>
          <w:rFonts w:ascii="Times New Roman" w:cs="Times New Roman" w:eastAsia="Times New Roman" w:hAnsi="Times New Roman"/>
          <w:sz w:val="20"/>
          <w:szCs w:val="20"/>
          <w:color w:val="auto"/>
        </w:rPr>
      </w:pPr>
    </w:p>
    <w:p>
      <w:pPr>
        <w:jc w:val="both"/>
        <w:ind w:left="380" w:firstLine="750"/>
        <w:spacing w:after="0" w:line="252" w:lineRule="auto"/>
        <w:tabs>
          <w:tab w:leader="none" w:pos="187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elect and give written notice to Agent to add the Tranche 2C Advance Aggregate Amount upon the occurrence of the Tranche 2C Availability Conditions to either the Tranche 4 Advance or the Tranche 5 Advance on or prior to December 31, 2023; provided that as a condition to selecting to add the Tranche 2C Advance Aggregate Amount to the Tranche 4 Advance, Borrower shall have paid the Tranche 2C Advance Aggregate Amounts Facility Charge.</w:t>
      </w:r>
    </w:p>
    <w:p>
      <w:pPr>
        <w:spacing w:after="0" w:line="157" w:lineRule="exact"/>
        <w:rPr>
          <w:rFonts w:ascii="Times New Roman" w:cs="Times New Roman" w:eastAsia="Times New Roman" w:hAnsi="Times New Roman"/>
          <w:sz w:val="20"/>
          <w:szCs w:val="20"/>
          <w:color w:val="auto"/>
        </w:rPr>
      </w:pPr>
    </w:p>
    <w:p>
      <w:pPr>
        <w:jc w:val="both"/>
        <w:ind w:left="380" w:firstLine="750"/>
        <w:spacing w:after="0" w:line="257" w:lineRule="auto"/>
        <w:tabs>
          <w:tab w:leader="none" w:pos="187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elect and give written notice to Agent to add the Tranche 3B Advance upon the occurrence of the Tranche 3B Availability Conditions to either the Tranche 4 Advance or the Tranche 5 Advance on or prior to December 31, 2023; provided that as a condition to selecting to add the Tranche 3B Advance to the Tranche 4 Advance, Borrower shall have paid the Tranche 3B Advance Facility Charge.</w:t>
      </w:r>
    </w:p>
    <w:p>
      <w:pPr>
        <w:spacing w:after="0" w:line="152" w:lineRule="exact"/>
        <w:rPr>
          <w:rFonts w:ascii="Times New Roman" w:cs="Times New Roman" w:eastAsia="Times New Roman" w:hAnsi="Times New Roman"/>
          <w:sz w:val="20"/>
          <w:szCs w:val="20"/>
          <w:color w:val="auto"/>
        </w:rPr>
      </w:pPr>
    </w:p>
    <w:p>
      <w:pPr>
        <w:ind w:left="1880" w:hanging="750"/>
        <w:spacing w:after="0"/>
        <w:tabs>
          <w:tab w:leader="none" w:pos="188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outstanding Term Loan Advances may be up to the Maximum Term Loan Amount.</w:t>
      </w:r>
    </w:p>
    <w:p>
      <w:pPr>
        <w:spacing w:after="0" w:line="199" w:lineRule="exact"/>
        <w:rPr>
          <w:rFonts w:ascii="Times New Roman" w:cs="Times New Roman" w:eastAsia="Times New Roman" w:hAnsi="Times New Roman"/>
          <w:sz w:val="20"/>
          <w:szCs w:val="20"/>
          <w:color w:val="auto"/>
        </w:rPr>
      </w:pPr>
    </w:p>
    <w:p>
      <w:pPr>
        <w:jc w:val="both"/>
        <w:ind w:left="-360" w:firstLine="740"/>
        <w:spacing w:after="0" w:line="253" w:lineRule="auto"/>
        <w:tabs>
          <w:tab w:leader="none" w:pos="120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394"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w:t>
      </w:r>
    </w:p>
    <w:p>
      <w:pPr>
        <w:spacing w:after="0" w:line="1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30" w:name="page131"/>
    <w:bookmarkEnd w:id="130"/>
    <w:p>
      <w:pPr>
        <w:jc w:val="both"/>
        <w:ind w:left="380" w:firstLine="750"/>
        <w:spacing w:after="0" w:line="257" w:lineRule="auto"/>
        <w:tabs>
          <w:tab w:leader="none" w:pos="187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 Cash Interest Rate. The principal balance of each Term Loan Advance shall bear interest thereon from such Advance Date at the Term Loan Cash Interest Rate based on a year consisting of 360 days, with interest computed daily based on the actual number of days elapsed. The Term Loan Cash Interest Rate will float and change on the day the prime rate changes from time to time.</w:t>
      </w:r>
    </w:p>
    <w:p>
      <w:pPr>
        <w:spacing w:after="0" w:line="152" w:lineRule="exact"/>
        <w:rPr>
          <w:rFonts w:ascii="Times New Roman" w:cs="Times New Roman" w:eastAsia="Times New Roman" w:hAnsi="Times New Roman"/>
          <w:sz w:val="20"/>
          <w:szCs w:val="20"/>
          <w:color w:val="auto"/>
        </w:rPr>
      </w:pPr>
    </w:p>
    <w:p>
      <w:pPr>
        <w:ind w:left="1880" w:hanging="750"/>
        <w:spacing w:after="0"/>
        <w:tabs>
          <w:tab w:leader="none" w:pos="18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9" w:lineRule="exact"/>
        <w:rPr>
          <w:rFonts w:ascii="Times New Roman" w:cs="Times New Roman" w:eastAsia="Times New Roman" w:hAnsi="Times New Roman"/>
          <w:sz w:val="20"/>
          <w:szCs w:val="20"/>
          <w:color w:val="auto"/>
        </w:rPr>
      </w:pPr>
    </w:p>
    <w:p>
      <w:pPr>
        <w:ind w:left="1880" w:hanging="750"/>
        <w:spacing w:after="0"/>
        <w:tabs>
          <w:tab w:leader="none" w:pos="18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jc w:val="both"/>
        <w:ind w:left="-360" w:firstLine="740"/>
        <w:spacing w:after="0" w:line="243" w:lineRule="auto"/>
        <w:tabs>
          <w:tab w:leader="none" w:pos="113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Borrower will pay interest on each Term Loan Advance on the first Business Day of each month, beginning the month after the Advance Date (each an “Interest Payment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any inchoate indemnity obligations and any other obligations which, by their terms, are to survive the termination of this Agreement) are repaid; provided, that if the Term Loan Cash Interest Rate is adjusted in accordance with its terms, the amount of each subsequent monthly installment shall be recalculated so that the remaining payments shall be equal monthly installments of principal and interest beginning on the first Business Day of the month following such recalculation and continuing on the first Business Day of each month thereafter until the Secured Obligations (other than any inchoate indemnity obligations and any other obligations which, by their terms, are to survive the termination of this Agreement) are repaid in full.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reasonable, documented out-of-pocket legal fees and costs incurred by Agent or the</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Lenders, Borrower shall pay to the Lenders such amount in full in immediately available funds within three (3) Business Days.</w:t>
      </w:r>
    </w:p>
    <w:p>
      <w:pPr>
        <w:spacing w:after="0" w:line="212" w:lineRule="exact"/>
        <w:rPr>
          <w:sz w:val="20"/>
          <w:szCs w:val="20"/>
          <w:color w:val="auto"/>
        </w:rPr>
      </w:pPr>
    </w:p>
    <w:p>
      <w:pPr>
        <w:jc w:val="both"/>
        <w:ind w:left="-100" w:firstLine="747"/>
        <w:spacing w:after="0" w:line="245" w:lineRule="auto"/>
        <w:tabs>
          <w:tab w:leader="none" w:pos="139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jc w:val="both"/>
        <w:ind w:left="-100" w:firstLine="747"/>
        <w:spacing w:after="0" w:line="245" w:lineRule="auto"/>
        <w:tabs>
          <w:tab w:leader="none" w:pos="139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Interest. In the event any payment is not paid on the scheduled payment date (or promptly following resolution of an ACH Failure (and in no event later than three (3) Business Days of the scheduled payment date); provided that such late payment is due to an ACH Failure),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81" w:lineRule="exact"/>
        <w:rPr>
          <w:rFonts w:ascii="Times New Roman" w:cs="Times New Roman" w:eastAsia="Times New Roman" w:hAnsi="Times New Roman"/>
          <w:sz w:val="20"/>
          <w:szCs w:val="20"/>
          <w:color w:val="auto"/>
        </w:rPr>
      </w:pPr>
    </w:p>
    <w:p>
      <w:pPr>
        <w:jc w:val="both"/>
        <w:ind w:left="-100" w:firstLine="747"/>
        <w:spacing w:after="0" w:line="245" w:lineRule="auto"/>
        <w:tabs>
          <w:tab w:leader="none" w:pos="139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 At its option, upon at least seven (7) Business Days prior written notice to Agent (or such shorter notice period as agreed by Agent in its sole discretion), Borrower may at any time and from time to time, prepay all or a portion of the outstanding Advances by paying the entire principal balance, or such portion thereof in minimum increments of Five Million Dollars ($5,000,000), all accrued and unpaid interest thereon, together with a prepayment charge equal to the following percentage of the Advance amount being prepaid: with respect to each Advance, if such Advance amounts are prepaid in any of the first twelve (12) months following the First Amendment Closing Date, 2.0%; on or after the date that is twelve (12) months following the First Amendment Closing Date but prior to twenty four (24) months following the First Amendment Closing Date, 1.5%; and on or after the date that is twenty four (24) months following the First Amendment Closing Date but prior to thirty six (36) months following the First Amendment Closing Date, 1.0% (each, a “Prepayment Charge”).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w:t>
      </w:r>
    </w:p>
    <w:p>
      <w:pPr>
        <w:spacing w:after="0" w:line="1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106045</wp:posOffset>
            </wp:positionV>
            <wp:extent cx="716661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132" w:name="page133"/>
    <w:bookmarkEnd w:id="132"/>
    <w:p>
      <w:pPr>
        <w:jc w:val="both"/>
        <w:spacing w:after="0" w:line="245" w:lineRule="auto"/>
        <w:rPr>
          <w:sz w:val="20"/>
          <w:szCs w:val="20"/>
          <w:color w:val="auto"/>
        </w:rPr>
      </w:pPr>
      <w:r>
        <w:rPr>
          <w:rFonts w:ascii="Times New Roman" w:cs="Times New Roman" w:eastAsia="Times New Roman" w:hAnsi="Times New Roman"/>
          <w:sz w:val="20"/>
          <w:szCs w:val="20"/>
          <w:color w:val="auto"/>
        </w:rPr>
        <w:t>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if any,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 Notwithstanding anything to the contrary contained in this Agreement, so long as Borrower provided notice to the Agent no less than seven (7) Business Days prior to the proposed prepayment date, Borrower may rescind any notice of prepayment if such prepayment would have resulted from a refinancing of all or a portion of the Term Loan Advances, which refinancing shall not be consummated or shall otherwise be delayed.</w:t>
      </w:r>
    </w:p>
    <w:p>
      <w:pPr>
        <w:spacing w:after="0" w:line="175" w:lineRule="exact"/>
        <w:rPr>
          <w:sz w:val="20"/>
          <w:szCs w:val="20"/>
          <w:color w:val="auto"/>
        </w:rPr>
      </w:pPr>
    </w:p>
    <w:p>
      <w:pPr>
        <w:ind w:left="1500" w:hanging="753"/>
        <w:spacing w:after="0"/>
        <w:tabs>
          <w:tab w:leader="none" w:pos="15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 of Term Charge.</w:t>
      </w:r>
    </w:p>
    <w:p>
      <w:pPr>
        <w:spacing w:after="0" w:line="199" w:lineRule="exact"/>
        <w:rPr>
          <w:rFonts w:ascii="Times New Roman" w:cs="Times New Roman" w:eastAsia="Times New Roman" w:hAnsi="Times New Roman"/>
          <w:sz w:val="20"/>
          <w:szCs w:val="20"/>
          <w:color w:val="auto"/>
        </w:rPr>
      </w:pPr>
    </w:p>
    <w:p>
      <w:pPr>
        <w:jc w:val="both"/>
        <w:ind w:left="100" w:firstLine="740"/>
        <w:spacing w:after="0" w:line="252" w:lineRule="auto"/>
        <w:tabs>
          <w:tab w:leader="none" w:pos="159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date that Borrower partially prepays the outstanding Secured Obligations pursuant to Section 2.5, Borrower shall pay the Lenders (x) with respect to any repayment of any Tranche 1A Advances, a charge of 4.85% of the principal amount of such Term Loan Advances being repaid and (y) for all other Advances repaid, a charge of 4.50% of the principal amount of such Term Loan Advances being repaid.</w:t>
      </w:r>
    </w:p>
    <w:p>
      <w:pPr>
        <w:spacing w:after="0" w:line="171" w:lineRule="exact"/>
        <w:rPr>
          <w:rFonts w:ascii="Times New Roman" w:cs="Times New Roman" w:eastAsia="Times New Roman" w:hAnsi="Times New Roman"/>
          <w:sz w:val="20"/>
          <w:szCs w:val="20"/>
          <w:color w:val="auto"/>
        </w:rPr>
      </w:pPr>
    </w:p>
    <w:p>
      <w:pPr>
        <w:jc w:val="both"/>
        <w:ind w:left="100" w:firstLine="740"/>
        <w:spacing w:after="0" w:line="247" w:lineRule="auto"/>
        <w:tabs>
          <w:tab w:leader="none" w:pos="159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earliest to occur of (i) October 1, 2026,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and amortization payments), Borrower shall pay the Lenders a charge equal to (x) Two Million Nine Hundred and Ten Thousand Dollars ($2,910,000), plus (y) 4.50% of the aggregate amount of all Term Loan Advances (other than Tranche 1A Advances) funded, minus (z) the aggregate amount of payments made pursuant to Section 2.6(a) (the “Initial End of Term Charge”).</w:t>
      </w:r>
    </w:p>
    <w:p>
      <w:pPr>
        <w:spacing w:after="0" w:line="175" w:lineRule="exact"/>
        <w:rPr>
          <w:rFonts w:ascii="Times New Roman" w:cs="Times New Roman" w:eastAsia="Times New Roman" w:hAnsi="Times New Roman"/>
          <w:sz w:val="20"/>
          <w:szCs w:val="20"/>
          <w:color w:val="auto"/>
        </w:rPr>
      </w:pPr>
    </w:p>
    <w:p>
      <w:pPr>
        <w:jc w:val="both"/>
        <w:ind w:left="100" w:firstLine="740"/>
        <w:spacing w:after="0" w:line="249" w:lineRule="auto"/>
        <w:tabs>
          <w:tab w:leader="none" w:pos="159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Maturity Extension Conditions are satisfied, on the earliest to occur of (i) October 1, 2027,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and amortization payments), Borrower shall pay the Lenders an additional charge equal to 1.50% of the aggregate amount of all Term Loan Advances outstanding as of the date on which the Maturity Extension Conditions are satisfied (the “Extension End of Term</w:t>
      </w:r>
    </w:p>
    <w:p>
      <w:pPr>
        <w:spacing w:after="0" w:line="1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33" w:name="page134"/>
    <w:bookmarkEnd w:id="133"/>
    <w:p>
      <w:pPr>
        <w:spacing w:after="0" w:line="284" w:lineRule="auto"/>
        <w:rPr>
          <w:sz w:val="20"/>
          <w:szCs w:val="20"/>
          <w:color w:val="auto"/>
        </w:rPr>
      </w:pPr>
      <w:r>
        <w:rPr>
          <w:rFonts w:ascii="Times New Roman" w:cs="Times New Roman" w:eastAsia="Times New Roman" w:hAnsi="Times New Roman"/>
          <w:sz w:val="20"/>
          <w:szCs w:val="20"/>
          <w:color w:val="auto"/>
        </w:rPr>
        <w:t>Charge”, collectively with any charge made pursuant to Section 2.6(a) and the Initial End of Term Charge, the “End of Term Charge”).</w:t>
      </w:r>
    </w:p>
    <w:p>
      <w:pPr>
        <w:spacing w:after="0" w:line="125" w:lineRule="exact"/>
        <w:rPr>
          <w:sz w:val="20"/>
          <w:szCs w:val="20"/>
          <w:color w:val="auto"/>
        </w:rPr>
      </w:pPr>
    </w:p>
    <w:p>
      <w:pPr>
        <w:jc w:val="both"/>
        <w:ind w:firstLine="740"/>
        <w:spacing w:after="0" w:line="252" w:lineRule="auto"/>
        <w:tabs>
          <w:tab w:leader="none" w:pos="149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71" w:lineRule="exact"/>
        <w:rPr>
          <w:rFonts w:ascii="Times New Roman" w:cs="Times New Roman" w:eastAsia="Times New Roman" w:hAnsi="Times New Roman"/>
          <w:sz w:val="20"/>
          <w:szCs w:val="20"/>
          <w:color w:val="auto"/>
        </w:rPr>
      </w:pPr>
    </w:p>
    <w:p>
      <w:pPr>
        <w:ind w:left="-100" w:firstLine="747"/>
        <w:spacing w:after="0" w:line="270" w:lineRule="auto"/>
        <w:tabs>
          <w:tab w:leader="none" w:pos="139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Rata Treatment. Each payment (including prepayment) on account of any fee and any reduction of the Term Loans shall be made pro rata according to the Term Commitments of the relevant Lender.</w:t>
      </w:r>
    </w:p>
    <w:p>
      <w:pPr>
        <w:spacing w:after="0" w:line="152" w:lineRule="exact"/>
        <w:rPr>
          <w:rFonts w:ascii="Times New Roman" w:cs="Times New Roman" w:eastAsia="Times New Roman" w:hAnsi="Times New Roman"/>
          <w:sz w:val="20"/>
          <w:szCs w:val="20"/>
          <w:color w:val="auto"/>
        </w:rPr>
      </w:pPr>
    </w:p>
    <w:p>
      <w:pPr>
        <w:ind w:left="-100" w:firstLine="747"/>
        <w:spacing w:after="0" w:line="270" w:lineRule="auto"/>
        <w:tabs>
          <w:tab w:leader="none" w:pos="139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Increased Costs. The Borrower, the Agent and the Lenders each hereby agree to the terms and conditions set forth on Addendum 1 attached hereto.</w:t>
      </w:r>
    </w:p>
    <w:p>
      <w:pPr>
        <w:spacing w:after="0" w:line="139" w:lineRule="exact"/>
        <w:rPr>
          <w:rFonts w:ascii="Times New Roman" w:cs="Times New Roman" w:eastAsia="Times New Roman" w:hAnsi="Times New Roman"/>
          <w:sz w:val="20"/>
          <w:szCs w:val="20"/>
          <w:color w:val="auto"/>
        </w:rPr>
      </w:pPr>
    </w:p>
    <w:p>
      <w:pPr>
        <w:jc w:val="both"/>
        <w:ind w:left="-100" w:firstLine="747"/>
        <w:spacing w:after="0" w:line="245" w:lineRule="auto"/>
        <w:tabs>
          <w:tab w:leader="none" w:pos="139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and the Second Amendment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the Second Amendment Closing Date and continues to be a material inducement to the Lenders to provide the Term Loans.</w:t>
      </w:r>
    </w:p>
    <w:p>
      <w:pPr>
        <w:spacing w:after="0" w:line="16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b w:val="1"/>
          <w:bCs w:val="1"/>
          <w:u w:val="single" w:color="auto"/>
          <w:color w:val="auto"/>
        </w:rPr>
        <w:t>SECURITY INTEREST</w:t>
      </w:r>
    </w:p>
    <w:p>
      <w:pPr>
        <w:spacing w:after="0" w:line="204" w:lineRule="exact"/>
        <w:rPr>
          <w:sz w:val="20"/>
          <w:szCs w:val="20"/>
          <w:color w:val="auto"/>
        </w:rPr>
      </w:pPr>
    </w:p>
    <w:p>
      <w:pPr>
        <w:jc w:val="both"/>
        <w:ind w:left="-100" w:firstLine="747"/>
        <w:spacing w:after="0" w:line="260" w:lineRule="auto"/>
        <w:tabs>
          <w:tab w:leader="none" w:pos="139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w:t>
      </w:r>
    </w:p>
    <w:p>
      <w:pPr>
        <w:spacing w:after="0" w:line="1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106045</wp:posOffset>
            </wp:positionV>
            <wp:extent cx="716661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0"/>
          <w:szCs w:val="20"/>
          <w:color w:val="auto"/>
        </w:rPr>
        <w:t>(except as set forth herein) whether now owned or hereafter acquired (collectively, the “Collateral”): (a) Receivables; (b) Equipment; (c) Fixtures; (d) General Intangibles; (e) Inventory; (f) Investment Property; (g) Deposit Accounts; (h) Cash; (i) Goods; (j) the Antecip License Agreement and all proceeds thereof;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200" w:lineRule="exact"/>
        <w:rPr>
          <w:sz w:val="20"/>
          <w:szCs w:val="20"/>
          <w:color w:val="auto"/>
        </w:rPr>
      </w:pPr>
    </w:p>
    <w:p>
      <w:pPr>
        <w:spacing w:after="0" w:line="201" w:lineRule="exact"/>
        <w:rPr>
          <w:sz w:val="20"/>
          <w:szCs w:val="20"/>
          <w:color w:val="auto"/>
        </w:rPr>
      </w:pPr>
    </w:p>
    <w:p>
      <w:pPr>
        <w:jc w:val="both"/>
        <w:ind w:firstLine="747"/>
        <w:spacing w:after="0" w:line="244" w:lineRule="auto"/>
        <w:tabs>
          <w:tab w:leader="none" w:pos="149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broad grant of the security interest set forth in Section 3.1, above, the Collateral shall not include (collectively, the “Excluded Property”) (a)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property, licenses or contracts, which by their terms require the consent of the licensor thereof or another party (but only to the extent such prohibition on transfer is enforceable under applicable law, including, without limitation, Sections 9406, 9407 and 9408 of the UCC), (c) any particular asset if the pledge thereof or the security interest therein is prohibited or restricted by applicable law, rule or regulation (including any requirement to obtain the consent of any governmental authority, regulatory authority or third party), provided that the foregoing exclusion of this clause (c) shall in no way be construed (1) to apply to the extent that any described prohibition or restriction is unenforceable under Section 9406, 9407 or 9408 of the UCC or other applicable law or (2) to apply to the extent that any consent or waiver has been obtained, or is hereafter obtained, that would permit the Agent’s security interest or Lien notwithstanding the prohibition or restriction on the pledge of such asset, (d) any Excluded Accounts, including cash pledged pursuant to Permitted Liens and any Deposit Account, securities account, commodities account or other account to the extent solely and exclusively used to hold any cash pledged as a Permitted Lien, and (e) Equipment and software (and the products and proceeds thereof) subject to Permitted Liens of the type described in clause (vii) of the definition of Permitted Liens, but only to the extent and for so long as the agreements under which the equipment is financed prohibit granting a security interest therein to Lender.</w:t>
      </w:r>
    </w:p>
    <w:p>
      <w:pPr>
        <w:spacing w:after="0" w:line="176" w:lineRule="exact"/>
        <w:rPr>
          <w:rFonts w:ascii="Times New Roman" w:cs="Times New Roman" w:eastAsia="Times New Roman" w:hAnsi="Times New Roman"/>
          <w:sz w:val="20"/>
          <w:szCs w:val="20"/>
          <w:color w:val="auto"/>
        </w:rPr>
      </w:pPr>
    </w:p>
    <w:p>
      <w:pPr>
        <w:jc w:val="both"/>
        <w:ind w:firstLine="747"/>
        <w:spacing w:after="0" w:line="252" w:lineRule="auto"/>
        <w:tabs>
          <w:tab w:leader="none" w:pos="155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and repayment if full of all Secured Obligations (other than any inchoate indemnity obligations and any other obligations which, by their terms, are to survive the termination of this Agreement), all security interest in the Collateral granted under this Agreement shall terminate and all rights on the Collateral shall revert to Borrower. Agent shall execute such documents and take such other steps as are reasonably necessary for Borrower to accomplish the foregoing, all at Borrower’s sole cost and expense.</w:t>
      </w:r>
    </w:p>
    <w:p>
      <w:pPr>
        <w:spacing w:after="0" w:line="15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b w:val="1"/>
          <w:bCs w:val="1"/>
          <w:u w:val="single" w:color="auto"/>
          <w:color w:val="auto"/>
        </w:rPr>
        <w:t>CONDITIONS PRECEDENT TO LOAN</w:t>
      </w:r>
    </w:p>
    <w:p>
      <w:pPr>
        <w:spacing w:after="0" w:line="1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35" w:name="page136"/>
    <w:bookmarkEnd w:id="135"/>
    <w:p>
      <w:pPr>
        <w:ind w:firstLine="750"/>
        <w:spacing w:after="0" w:line="262" w:lineRule="auto"/>
        <w:rPr>
          <w:sz w:val="20"/>
          <w:szCs w:val="20"/>
          <w:color w:val="auto"/>
        </w:rPr>
      </w:pPr>
      <w:r>
        <w:rPr>
          <w:rFonts w:ascii="Times New Roman" w:cs="Times New Roman" w:eastAsia="Times New Roman" w:hAnsi="Times New Roman"/>
          <w:sz w:val="20"/>
          <w:szCs w:val="20"/>
          <w:color w:val="auto"/>
        </w:rPr>
        <w:t>The obligations of the Lenders to make the Loan hereunder are subject to the satisfaction by Borrower of the following conditions:</w:t>
      </w:r>
    </w:p>
    <w:p>
      <w:pPr>
        <w:spacing w:after="0" w:line="200" w:lineRule="exact"/>
        <w:rPr>
          <w:sz w:val="20"/>
          <w:szCs w:val="20"/>
          <w:color w:val="auto"/>
        </w:rPr>
      </w:pPr>
    </w:p>
    <w:p>
      <w:pPr>
        <w:spacing w:after="0" w:line="219" w:lineRule="exact"/>
        <w:rPr>
          <w:sz w:val="20"/>
          <w:szCs w:val="20"/>
          <w:color w:val="auto"/>
        </w:rPr>
      </w:pPr>
    </w:p>
    <w:p>
      <w:pPr>
        <w:ind w:left="2160" w:hanging="753"/>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Advance. On or prior to the Closing Date, Borrower shall have delivered to Agent the following:</w:t>
      </w:r>
    </w:p>
    <w:p>
      <w:pPr>
        <w:spacing w:after="0" w:line="212" w:lineRule="exact"/>
        <w:rPr>
          <w:rFonts w:ascii="Times New Roman" w:cs="Times New Roman" w:eastAsia="Times New Roman" w:hAnsi="Times New Roman"/>
          <w:sz w:val="20"/>
          <w:szCs w:val="20"/>
          <w:color w:val="auto"/>
        </w:rPr>
      </w:pPr>
    </w:p>
    <w:p>
      <w:pPr>
        <w:jc w:val="both"/>
        <w:ind w:left="760" w:firstLine="740"/>
        <w:spacing w:after="0" w:line="252"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58" w:lineRule="exact"/>
        <w:rPr>
          <w:rFonts w:ascii="Times New Roman" w:cs="Times New Roman" w:eastAsia="Times New Roman" w:hAnsi="Times New Roman"/>
          <w:sz w:val="20"/>
          <w:szCs w:val="20"/>
          <w:color w:val="auto"/>
        </w:rPr>
      </w:pPr>
    </w:p>
    <w:p>
      <w:pPr>
        <w:ind w:left="2260" w:hanging="760"/>
        <w:spacing w:after="0"/>
        <w:tabs>
          <w:tab w:leader="none" w:pos="22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legal opinion of Borrower’s counsel in form and substance reasonably acceptable to Agent,</w:t>
      </w:r>
    </w:p>
    <w:p>
      <w:pPr>
        <w:spacing w:after="0" w:line="212" w:lineRule="exact"/>
        <w:rPr>
          <w:rFonts w:ascii="Times New Roman" w:cs="Times New Roman" w:eastAsia="Times New Roman" w:hAnsi="Times New Roman"/>
          <w:sz w:val="20"/>
          <w:szCs w:val="20"/>
          <w:color w:val="auto"/>
        </w:rPr>
      </w:pPr>
    </w:p>
    <w:p>
      <w:pPr>
        <w:ind w:left="760" w:firstLine="740"/>
        <w:spacing w:after="0" w:line="270"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copy of resolutions of Borrower’s board of directors evidencing approval of (i) the Loan and other transactions evidenced by the Loan Documents; and (ii) the Warrant and transactions evidenced thereby;</w:t>
      </w:r>
    </w:p>
    <w:p>
      <w:pPr>
        <w:spacing w:after="0" w:line="139" w:lineRule="exact"/>
        <w:rPr>
          <w:rFonts w:ascii="Times New Roman" w:cs="Times New Roman" w:eastAsia="Times New Roman" w:hAnsi="Times New Roman"/>
          <w:sz w:val="20"/>
          <w:szCs w:val="20"/>
          <w:color w:val="auto"/>
        </w:rPr>
      </w:pPr>
    </w:p>
    <w:p>
      <w:pPr>
        <w:ind w:left="2260" w:hanging="760"/>
        <w:spacing w:after="0"/>
        <w:tabs>
          <w:tab w:leader="none" w:pos="22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copies of the Certificate of Incorporation and the Bylaws, as amended through the Closing Date, of</w:t>
      </w:r>
    </w:p>
    <w:p>
      <w:pPr>
        <w:spacing w:after="0" w:line="32"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w:t>
      </w:r>
    </w:p>
    <w:p>
      <w:pPr>
        <w:spacing w:after="0" w:line="177" w:lineRule="exact"/>
        <w:rPr>
          <w:rFonts w:ascii="Times New Roman" w:cs="Times New Roman" w:eastAsia="Times New Roman" w:hAnsi="Times New Roman"/>
          <w:sz w:val="20"/>
          <w:szCs w:val="20"/>
          <w:color w:val="auto"/>
        </w:rPr>
      </w:pPr>
    </w:p>
    <w:p>
      <w:pPr>
        <w:ind w:left="760" w:firstLine="740"/>
        <w:spacing w:after="0" w:line="270"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152" w:lineRule="exact"/>
        <w:rPr>
          <w:rFonts w:ascii="Times New Roman" w:cs="Times New Roman" w:eastAsia="Times New Roman" w:hAnsi="Times New Roman"/>
          <w:sz w:val="20"/>
          <w:szCs w:val="20"/>
          <w:color w:val="auto"/>
        </w:rPr>
      </w:pPr>
    </w:p>
    <w:p>
      <w:pPr>
        <w:ind w:left="760" w:firstLine="740"/>
        <w:spacing w:after="0" w:line="270"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Due Diligence Fee, Initial Facility Charge and reimbursement of Agent’s and the Lenders’ current expenses reimbursable pursuant to this Agreement, which amounts may be deducted from the initial Advance;</w:t>
      </w:r>
    </w:p>
    <w:p>
      <w:pPr>
        <w:spacing w:after="0" w:line="152" w:lineRule="exact"/>
        <w:rPr>
          <w:rFonts w:ascii="Times New Roman" w:cs="Times New Roman" w:eastAsia="Times New Roman" w:hAnsi="Times New Roman"/>
          <w:sz w:val="20"/>
          <w:szCs w:val="20"/>
          <w:color w:val="auto"/>
        </w:rPr>
      </w:pPr>
    </w:p>
    <w:p>
      <w:pPr>
        <w:ind w:left="2260" w:hanging="760"/>
        <w:spacing w:after="0"/>
        <w:tabs>
          <w:tab w:leader="none" w:pos="22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of insurance and copies of each insurance policy required hereunder;</w:t>
      </w:r>
    </w:p>
    <w:p>
      <w:pPr>
        <w:spacing w:after="0" w:line="199" w:lineRule="exact"/>
        <w:rPr>
          <w:rFonts w:ascii="Times New Roman" w:cs="Times New Roman" w:eastAsia="Times New Roman" w:hAnsi="Times New Roman"/>
          <w:sz w:val="20"/>
          <w:szCs w:val="20"/>
          <w:color w:val="auto"/>
        </w:rPr>
      </w:pPr>
    </w:p>
    <w:p>
      <w:pPr>
        <w:ind w:left="2260" w:hanging="760"/>
        <w:spacing w:after="0"/>
        <w:tabs>
          <w:tab w:leader="none" w:pos="22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copy of the Antecip Direct Agreement; and</w:t>
      </w:r>
    </w:p>
    <w:p>
      <w:pPr>
        <w:spacing w:after="0" w:line="199" w:lineRule="exact"/>
        <w:rPr>
          <w:rFonts w:ascii="Times New Roman" w:cs="Times New Roman" w:eastAsia="Times New Roman" w:hAnsi="Times New Roman"/>
          <w:sz w:val="20"/>
          <w:szCs w:val="20"/>
          <w:color w:val="auto"/>
        </w:rPr>
      </w:pPr>
    </w:p>
    <w:p>
      <w:pPr>
        <w:ind w:left="2260" w:hanging="760"/>
        <w:spacing w:after="0"/>
        <w:tabs>
          <w:tab w:leader="none" w:pos="22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as Agent may reasonably request.</w:t>
      </w:r>
    </w:p>
    <w:p>
      <w:pPr>
        <w:spacing w:after="0" w:line="212" w:lineRule="exact"/>
        <w:rPr>
          <w:rFonts w:ascii="Times New Roman" w:cs="Times New Roman" w:eastAsia="Times New Roman" w:hAnsi="Times New Roman"/>
          <w:sz w:val="20"/>
          <w:szCs w:val="20"/>
          <w:color w:val="auto"/>
        </w:rPr>
      </w:pPr>
    </w:p>
    <w:p>
      <w:pPr>
        <w:ind w:left="2160" w:hanging="753"/>
        <w:spacing w:after="0"/>
        <w:tabs>
          <w:tab w:leader="none" w:pos="21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Advances. On each Advance Date:</w:t>
      </w:r>
    </w:p>
    <w:p>
      <w:pPr>
        <w:spacing w:after="0" w:line="199" w:lineRule="exact"/>
        <w:rPr>
          <w:rFonts w:ascii="Times New Roman" w:cs="Times New Roman" w:eastAsia="Times New Roman" w:hAnsi="Times New Roman"/>
          <w:sz w:val="20"/>
          <w:szCs w:val="20"/>
          <w:color w:val="auto"/>
        </w:rPr>
      </w:pPr>
    </w:p>
    <w:p>
      <w:pPr>
        <w:jc w:val="both"/>
        <w:ind w:left="760" w:firstLine="740"/>
        <w:spacing w:after="0" w:line="260"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49" w:lineRule="exact"/>
        <w:rPr>
          <w:rFonts w:ascii="Times New Roman" w:cs="Times New Roman" w:eastAsia="Times New Roman" w:hAnsi="Times New Roman"/>
          <w:sz w:val="20"/>
          <w:szCs w:val="20"/>
          <w:color w:val="auto"/>
        </w:rPr>
      </w:pPr>
    </w:p>
    <w:p>
      <w:pPr>
        <w:jc w:val="both"/>
        <w:ind w:left="760" w:firstLine="740"/>
        <w:spacing w:after="0" w:line="260" w:lineRule="auto"/>
        <w:tabs>
          <w:tab w:leader="none" w:pos="225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6" w:name="page137"/>
    <w:bookmarkEnd w:id="136"/>
    <w:p>
      <w:pPr>
        <w:jc w:val="both"/>
        <w:ind w:left="-360" w:firstLine="740"/>
        <w:spacing w:after="0" w:line="26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62"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1B Advance, the Borrower shall have paid the Tranche 1B Facility Charge.</w:t>
      </w:r>
    </w:p>
    <w:p>
      <w:pPr>
        <w:spacing w:after="0" w:line="199"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2 Advance, the Borrower shall have paid the Tranche 2 Facility Charge.</w:t>
      </w:r>
    </w:p>
    <w:p>
      <w:pPr>
        <w:spacing w:after="0" w:line="199"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3 Advance, the Borrower shall have paid the Tranche 3 Facility Charge.</w:t>
      </w:r>
    </w:p>
    <w:p>
      <w:pPr>
        <w:spacing w:after="0" w:line="212"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4 Advance, the Borrower shall have paid the Tranche 4 Facility Charge.</w:t>
      </w:r>
    </w:p>
    <w:p>
      <w:pPr>
        <w:spacing w:after="0" w:line="199" w:lineRule="exact"/>
        <w:rPr>
          <w:rFonts w:ascii="Times New Roman" w:cs="Times New Roman" w:eastAsia="Times New Roman" w:hAnsi="Times New Roman"/>
          <w:sz w:val="20"/>
          <w:szCs w:val="20"/>
          <w:color w:val="auto"/>
        </w:rPr>
      </w:pPr>
    </w:p>
    <w:p>
      <w:pPr>
        <w:ind w:left="1140" w:hanging="760"/>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5 Advance, the Borrower shall have paid the Tranche 5 Facility Charge.</w:t>
      </w:r>
    </w:p>
    <w:p>
      <w:pPr>
        <w:spacing w:after="0" w:line="212" w:lineRule="exact"/>
        <w:rPr>
          <w:rFonts w:ascii="Times New Roman" w:cs="Times New Roman" w:eastAsia="Times New Roman" w:hAnsi="Times New Roman"/>
          <w:sz w:val="20"/>
          <w:szCs w:val="20"/>
          <w:color w:val="auto"/>
        </w:rPr>
      </w:pPr>
    </w:p>
    <w:p>
      <w:pPr>
        <w:ind w:left="-360" w:firstLine="740"/>
        <w:spacing w:after="0" w:line="27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on and after the Second Amendment Effective Date, a Warrant substantially in the form of Exhibit K which shall be in form and substance satisfactory to Agent.</w:t>
      </w:r>
    </w:p>
    <w:p>
      <w:pPr>
        <w:spacing w:after="0" w:line="139" w:lineRule="exact"/>
        <w:rPr>
          <w:rFonts w:ascii="Times New Roman" w:cs="Times New Roman" w:eastAsia="Times New Roman" w:hAnsi="Times New Roman"/>
          <w:sz w:val="20"/>
          <w:szCs w:val="20"/>
          <w:color w:val="auto"/>
        </w:rPr>
      </w:pPr>
    </w:p>
    <w:p>
      <w:pPr>
        <w:jc w:val="both"/>
        <w:ind w:left="-360" w:firstLine="740"/>
        <w:spacing w:after="0" w:line="26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adding any Tranche 2C Advance Aggregate Amounts to the Tranche 4 Advances in accordance with Section 2(a)(vii), the Borrower shall have paid the Tranche 2C Advance Aggregate Amounts Facility Charge on or prior to December 31, 2023.</w:t>
      </w:r>
    </w:p>
    <w:p>
      <w:pPr>
        <w:spacing w:after="0" w:line="149" w:lineRule="exact"/>
        <w:rPr>
          <w:rFonts w:ascii="Times New Roman" w:cs="Times New Roman" w:eastAsia="Times New Roman" w:hAnsi="Times New Roman"/>
          <w:sz w:val="20"/>
          <w:szCs w:val="20"/>
          <w:color w:val="auto"/>
        </w:rPr>
      </w:pPr>
    </w:p>
    <w:p>
      <w:pPr>
        <w:ind w:left="-360" w:firstLine="740"/>
        <w:spacing w:after="0" w:line="284"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adding the Tranche 3B Advance to the Tranche 4 Advances in accordance with Section 2(a)(viii), the Borrower shall have paid the Tranche 3B Advance Facility Charge on or prior to December 31, 2023.</w:t>
      </w:r>
    </w:p>
    <w:p>
      <w:pPr>
        <w:spacing w:after="0" w:line="125" w:lineRule="exact"/>
        <w:rPr>
          <w:rFonts w:ascii="Times New Roman" w:cs="Times New Roman" w:eastAsia="Times New Roman" w:hAnsi="Times New Roman"/>
          <w:sz w:val="20"/>
          <w:szCs w:val="20"/>
          <w:color w:val="auto"/>
        </w:rPr>
      </w:pPr>
    </w:p>
    <w:p>
      <w:pPr>
        <w:jc w:val="both"/>
        <w:ind w:left="-360" w:firstLine="740"/>
        <w:spacing w:after="0" w:line="26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funding of any Tranche 4 Advance, Borrower shall deliver to Agent a calculation detailing the Net Product Revenue Ratio and demonstrating compliance with the Tranche 4 Draw Conditions in form and substance reasonably acceptable to Agent.</w:t>
      </w:r>
    </w:p>
    <w:p>
      <w:pPr>
        <w:spacing w:after="0" w:line="149" w:lineRule="exact"/>
        <w:rPr>
          <w:rFonts w:ascii="Times New Roman" w:cs="Times New Roman" w:eastAsia="Times New Roman" w:hAnsi="Times New Roman"/>
          <w:sz w:val="20"/>
          <w:szCs w:val="20"/>
          <w:color w:val="auto"/>
        </w:rPr>
      </w:pPr>
    </w:p>
    <w:p>
      <w:pPr>
        <w:jc w:val="both"/>
        <w:ind w:left="-360" w:firstLine="740"/>
        <w:spacing w:after="0" w:line="26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62" w:lineRule="exact"/>
        <w:rPr>
          <w:sz w:val="20"/>
          <w:szCs w:val="20"/>
          <w:color w:val="auto"/>
        </w:rPr>
      </w:pPr>
    </w:p>
    <w:p>
      <w:pPr>
        <w:jc w:val="both"/>
        <w:ind w:left="-460" w:firstLine="747"/>
        <w:spacing w:after="0" w:line="254" w:lineRule="auto"/>
        <w:tabs>
          <w:tab w:leader="none" w:pos="103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67" w:lineRule="exact"/>
        <w:rPr>
          <w:sz w:val="20"/>
          <w:szCs w:val="20"/>
          <w:color w:val="auto"/>
        </w:rPr>
      </w:pPr>
    </w:p>
    <w:p>
      <w:pPr>
        <w:jc w:val="both"/>
        <w:ind w:left="-460" w:firstLine="747"/>
        <w:spacing w:after="0" w:line="260" w:lineRule="auto"/>
        <w:tabs>
          <w:tab w:leader="none" w:pos="103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Post-Close Obligations. Notwithstanding any provision herein or in any other Loan Document to the contrary, to the extent not actually delivered on or prior to the Closing Date, Borrower shall deliver to Agent (or its designated attorney or representative), within</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37" w:name="page138"/>
    <w:bookmarkEnd w:id="137"/>
    <w:p>
      <w:pPr>
        <w:spacing w:after="0" w:line="284" w:lineRule="auto"/>
        <w:rPr>
          <w:sz w:val="20"/>
          <w:szCs w:val="20"/>
          <w:color w:val="auto"/>
        </w:rPr>
      </w:pPr>
      <w:r>
        <w:rPr>
          <w:rFonts w:ascii="Times New Roman" w:cs="Times New Roman" w:eastAsia="Times New Roman" w:hAnsi="Times New Roman"/>
          <w:sz w:val="20"/>
          <w:szCs w:val="20"/>
          <w:color w:val="auto"/>
        </w:rPr>
        <w:t>two (2) Business Days after the Closing Date, an Account Control Agreement for Borrower’s accounts (other than Excluded Accounts) maintained with Silicon Valley Bank.</w:t>
      </w:r>
    </w:p>
    <w:p>
      <w:pPr>
        <w:spacing w:after="0" w:line="121" w:lineRule="exact"/>
        <w:rPr>
          <w:sz w:val="20"/>
          <w:szCs w:val="20"/>
          <w:color w:val="auto"/>
        </w:rPr>
      </w:pPr>
    </w:p>
    <w:p>
      <w:pPr>
        <w:ind w:left="100" w:right="2620" w:firstLine="2249"/>
        <w:spacing w:after="0" w:line="457" w:lineRule="auto"/>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u w:val="single" w:color="auto"/>
          <w:color w:val="auto"/>
        </w:rPr>
        <w:t>REPRESENTATIONS AND WARRANTIES OF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represents and warrants that:</w:t>
      </w:r>
    </w:p>
    <w:p>
      <w:pPr>
        <w:jc w:val="both"/>
        <w:ind w:firstLine="747"/>
        <w:spacing w:after="0" w:line="249"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Status. Borrower is a corporation duly organized, legally existing and in good standing under the laws of its state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60" w:lineRule="exact"/>
        <w:rPr>
          <w:rFonts w:ascii="Times New Roman" w:cs="Times New Roman" w:eastAsia="Times New Roman" w:hAnsi="Times New Roman"/>
          <w:sz w:val="20"/>
          <w:szCs w:val="20"/>
          <w:color w:val="auto"/>
        </w:rPr>
      </w:pPr>
    </w:p>
    <w:p>
      <w:pPr>
        <w:ind w:firstLine="747"/>
        <w:spacing w:after="0" w:line="284"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Borrower owns the Collateral, free of all Liens, except for Permitted Liens. Borrower has the power and authority to grant to Agent a Lien in the Collateral as security for the Secured Obligations.</w:t>
      </w:r>
    </w:p>
    <w:p>
      <w:pPr>
        <w:spacing w:after="0" w:line="125" w:lineRule="exact"/>
        <w:rPr>
          <w:rFonts w:ascii="Times New Roman" w:cs="Times New Roman" w:eastAsia="Times New Roman" w:hAnsi="Times New Roman"/>
          <w:sz w:val="20"/>
          <w:szCs w:val="20"/>
          <w:color w:val="auto"/>
        </w:rPr>
      </w:pPr>
    </w:p>
    <w:p>
      <w:pPr>
        <w:jc w:val="both"/>
        <w:ind w:firstLine="747"/>
        <w:spacing w:after="0" w:line="247"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Borrower’s execution, delivery and performance of this Agreement and all other Loan Documents, and Borrower’s execution of the Warrant,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66" w:lineRule="exact"/>
        <w:rPr>
          <w:rFonts w:ascii="Times New Roman" w:cs="Times New Roman" w:eastAsia="Times New Roman" w:hAnsi="Times New Roman"/>
          <w:sz w:val="20"/>
          <w:szCs w:val="20"/>
          <w:color w:val="auto"/>
        </w:rPr>
      </w:pPr>
    </w:p>
    <w:p>
      <w:pPr>
        <w:jc w:val="both"/>
        <w:ind w:firstLine="747"/>
        <w:spacing w:after="0" w:line="260"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49" w:lineRule="exact"/>
        <w:rPr>
          <w:rFonts w:ascii="Times New Roman" w:cs="Times New Roman" w:eastAsia="Times New Roman" w:hAnsi="Times New Roman"/>
          <w:sz w:val="20"/>
          <w:szCs w:val="20"/>
          <w:color w:val="auto"/>
        </w:rPr>
      </w:pPr>
    </w:p>
    <w:p>
      <w:pPr>
        <w:jc w:val="both"/>
        <w:ind w:firstLine="747"/>
        <w:spacing w:after="0" w:line="260"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Before Governmental Authorities. There are no actions, suits or proceedings at law or in equity or by or before any governmental authority now pending or, to the knowledge of Borrower, threatened in writing against Borrower or its property, that is reasonably expected to result in a Material Adverse Effect.</w:t>
      </w:r>
    </w:p>
    <w:p>
      <w:pPr>
        <w:spacing w:after="0" w:line="162" w:lineRule="exact"/>
        <w:rPr>
          <w:rFonts w:ascii="Times New Roman" w:cs="Times New Roman" w:eastAsia="Times New Roman" w:hAnsi="Times New Roman"/>
          <w:sz w:val="20"/>
          <w:szCs w:val="20"/>
          <w:color w:val="auto"/>
        </w:rPr>
      </w:pPr>
    </w:p>
    <w:p>
      <w:pPr>
        <w:jc w:val="both"/>
        <w:ind w:firstLine="747"/>
        <w:spacing w:after="0" w:line="254" w:lineRule="auto"/>
        <w:tabs>
          <w:tab w:leader="none" w:pos="149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w:t>
      </w:r>
    </w:p>
    <w:p>
      <w:pPr>
        <w:spacing w:after="0" w:line="14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38" w:name="page139"/>
    <w:bookmarkEnd w:id="138"/>
    <w:p>
      <w:pPr>
        <w:ind w:left="100"/>
        <w:spacing w:after="0" w:line="284" w:lineRule="auto"/>
        <w:rPr>
          <w:sz w:val="20"/>
          <w:szCs w:val="20"/>
          <w:color w:val="auto"/>
        </w:rPr>
      </w:pPr>
      <w:r>
        <w:rPr>
          <w:rFonts w:ascii="Times New Roman" w:cs="Times New Roman" w:eastAsia="Times New Roman" w:hAnsi="Times New Roman"/>
          <w:sz w:val="20"/>
          <w:szCs w:val="20"/>
          <w:color w:val="auto"/>
        </w:rPr>
        <w:t>of any agreement or instrument evidencing (i) material Indebtedness, or any other Material Agreement to which it is a party or by which it is bound or (ii) any other agreement which default is reasonably expected to result in a Material Adverse Effect.</w:t>
      </w:r>
    </w:p>
    <w:p>
      <w:pPr>
        <w:spacing w:after="0" w:line="125" w:lineRule="exact"/>
        <w:rPr>
          <w:sz w:val="20"/>
          <w:szCs w:val="20"/>
          <w:color w:val="auto"/>
        </w:rPr>
      </w:pPr>
    </w:p>
    <w:p>
      <w:pPr>
        <w:jc w:val="both"/>
        <w:ind w:firstLine="937"/>
        <w:spacing w:after="0" w:line="245" w:lineRule="auto"/>
        <w:rPr>
          <w:sz w:val="20"/>
          <w:szCs w:val="20"/>
          <w:color w:val="auto"/>
        </w:rPr>
      </w:pPr>
      <w:r>
        <w:rPr>
          <w:rFonts w:ascii="Times New Roman" w:cs="Times New Roman" w:eastAsia="Times New Roman" w:hAnsi="Times New Roman"/>
          <w:sz w:val="20"/>
          <w:szCs w:val="20"/>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2" w:lineRule="exact"/>
        <w:rPr>
          <w:sz w:val="20"/>
          <w:szCs w:val="20"/>
          <w:color w:val="auto"/>
        </w:rPr>
      </w:pPr>
    </w:p>
    <w:p>
      <w:pPr>
        <w:jc w:val="both"/>
        <w:ind w:firstLine="937"/>
        <w:spacing w:after="0" w:line="246" w:lineRule="auto"/>
        <w:rPr>
          <w:sz w:val="20"/>
          <w:szCs w:val="20"/>
          <w:color w:val="auto"/>
        </w:rPr>
      </w:pPr>
      <w:r>
        <w:rPr>
          <w:rFonts w:ascii="Times New Roman" w:cs="Times New Roman" w:eastAsia="Times New Roman" w:hAnsi="Times New Roman"/>
          <w:sz w:val="20"/>
          <w:szCs w:val="20"/>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398" w:lineRule="exact"/>
        <w:rPr>
          <w:sz w:val="20"/>
          <w:szCs w:val="20"/>
          <w:color w:val="auto"/>
        </w:rPr>
      </w:pPr>
    </w:p>
    <w:p>
      <w:pPr>
        <w:jc w:val="both"/>
        <w:ind w:left="100" w:firstLine="747"/>
        <w:spacing w:after="0" w:line="252" w:lineRule="auto"/>
        <w:tabs>
          <w:tab w:leader="none" w:pos="159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any material misstatement of fact or, when taken together with all other such information or documents, omitted or omits to state any material fact necessary to make the statements therein, in the light of the circumstances under which they were, are or will be made, not materially misleading at the time such</w:t>
      </w:r>
    </w:p>
    <w:p>
      <w:pPr>
        <w:spacing w:after="0" w:line="1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106045</wp:posOffset>
            </wp:positionV>
            <wp:extent cx="716661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680"/>
          </w:cols>
          <w:pgMar w:left="880" w:top="544" w:right="339" w:bottom="1440" w:gutter="0" w:footer="0" w:header="0"/>
        </w:sectPr>
      </w:pPr>
    </w:p>
    <w:bookmarkStart w:id="139" w:name="page140"/>
    <w:bookmarkEnd w:id="139"/>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statement was made or deemed made. Additionally, any and all financial or business projections provided by Borrower to Agent, whether prior to or after the Closing Date, shall be (i) provided in good faith and based on the most current data and information available to Borrower and subject to normal year-end adjustments,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that actual results may differ).</w:t>
      </w:r>
    </w:p>
    <w:p>
      <w:pPr>
        <w:spacing w:after="0" w:line="173" w:lineRule="exact"/>
        <w:rPr>
          <w:sz w:val="20"/>
          <w:szCs w:val="20"/>
          <w:color w:val="auto"/>
        </w:rPr>
      </w:pPr>
    </w:p>
    <w:p>
      <w:pPr>
        <w:jc w:val="both"/>
        <w:ind w:left="660" w:firstLine="747"/>
        <w:spacing w:after="0" w:line="247" w:lineRule="auto"/>
        <w:tabs>
          <w:tab w:leader="none" w:pos="215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Matters. Except as described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62" w:lineRule="exact"/>
        <w:rPr>
          <w:rFonts w:ascii="Times New Roman" w:cs="Times New Roman" w:eastAsia="Times New Roman" w:hAnsi="Times New Roman"/>
          <w:sz w:val="20"/>
          <w:szCs w:val="20"/>
          <w:color w:val="auto"/>
        </w:rPr>
      </w:pPr>
    </w:p>
    <w:p>
      <w:pPr>
        <w:jc w:val="both"/>
        <w:ind w:left="660" w:firstLine="747"/>
        <w:spacing w:after="0" w:line="245" w:lineRule="auto"/>
        <w:tabs>
          <w:tab w:leader="none" w:pos="215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Claims. Borrower is the sole owner of, or otherwise has the right to use, the Intellectual Property material to Borrower’s business. Except as described on Schedule 5.9 and as may be updated by Borrower in a written notice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Borrower in writing that any material part of the Intellectual Property violates the rights of any third party. Exhibit C (and as may be updated by Borrower in a written notice provided from time to time after the Closing Date) is a true, correct and complete list of each of Borrower’s registered Patents and filed Patent applications, registered Trademarks, registered Copyrights, and Material Agreements under which Borrower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 Borrower in the ordinary course of business),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68" w:lineRule="exact"/>
        <w:rPr>
          <w:rFonts w:ascii="Times New Roman" w:cs="Times New Roman" w:eastAsia="Times New Roman" w:hAnsi="Times New Roman"/>
          <w:sz w:val="20"/>
          <w:szCs w:val="20"/>
          <w:color w:val="auto"/>
        </w:rPr>
      </w:pPr>
    </w:p>
    <w:p>
      <w:pPr>
        <w:ind w:left="2160" w:hanging="753"/>
        <w:spacing w:after="0"/>
        <w:tabs>
          <w:tab w:leader="none" w:pos="21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w:t>
      </w:r>
    </w:p>
    <w:p>
      <w:pPr>
        <w:spacing w:after="0" w:line="212" w:lineRule="exact"/>
        <w:rPr>
          <w:sz w:val="20"/>
          <w:szCs w:val="20"/>
          <w:color w:val="auto"/>
        </w:rPr>
      </w:pPr>
    </w:p>
    <w:p>
      <w:pPr>
        <w:ind w:firstLine="1499"/>
        <w:spacing w:after="0" w:line="270"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20"/>
          <w:szCs w:val="20"/>
          <w:color w:val="auto"/>
        </w:rPr>
        <w:t>A true, correct and complete list of each pending, registered, issued or in-licensed 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Property that, individually or taken together with any other such Intellectual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0" w:name="page141"/>
    <w:bookmarkEnd w:id="140"/>
    <w:p>
      <w:pPr>
        <w:jc w:val="both"/>
        <w:spacing w:after="0" w:line="244" w:lineRule="auto"/>
        <w:rPr>
          <w:sz w:val="20"/>
          <w:szCs w:val="20"/>
          <w:color w:val="auto"/>
        </w:rPr>
      </w:pPr>
      <w:r>
        <w:rPr>
          <w:rFonts w:ascii="Times New Roman" w:cs="Times New Roman" w:eastAsia="Times New Roman" w:hAnsi="Times New Roman"/>
          <w:sz w:val="20"/>
          <w:szCs w:val="20"/>
          <w:color w:val="auto"/>
        </w:rPr>
        <w:t>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or non-exclusively licensed to the Borrower or any of its Subsidiaries (collectively, the “Current Company IP”), including its name/title, current owner or co-owners (including ownership interest), registration, patent or application number, and registration or application date, issued or filed in the United States, is set forth on Schedule 5.10(a).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Borrower, there are no published patents, patent applications, articles or prior art references that would reasonably be expected to materially adversely affect the exploitation of the Borrower Products. Except as set forth on Schedule 5.10(a), (x) each Person who has or has had any rights in or to owned Current Company IP or any trade secrets owned by the Borrower or any of its Subsidiaries, including each inventor named on the Patents within such owned Current Company IP filed by the Borrower or any of its Subsidiaries, and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Borrower Products or entitle such Person to ongoing payments.</w:t>
      </w:r>
    </w:p>
    <w:p>
      <w:pPr>
        <w:spacing w:after="0" w:line="182" w:lineRule="exact"/>
        <w:rPr>
          <w:sz w:val="20"/>
          <w:szCs w:val="20"/>
          <w:color w:val="auto"/>
        </w:rPr>
      </w:pPr>
    </w:p>
    <w:p>
      <w:pPr>
        <w:jc w:val="both"/>
        <w:ind w:firstLine="1499"/>
        <w:spacing w:after="0" w:line="270"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20"/>
          <w:szCs w:val="20"/>
          <w:color w:val="auto"/>
        </w:rPr>
        <w:t>(i) The Borrower or any of its Subsidiaries possesses valid title to the Current Company IP for which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it is listed as the owner or co-owner, as applicable, on Schedule 5.10(a); and (ii) there are no Liens on any Current Company IP.</w:t>
      </w:r>
    </w:p>
    <w:p>
      <w:pPr>
        <w:spacing w:after="0" w:line="140"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20"/>
          <w:szCs w:val="20"/>
          <w:color w:val="auto"/>
        </w:rPr>
        <w:t>There are no maintenance, annuity or renewal fees that are currently overdue beyond their allotted</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grace period for any of the Current Company IP which is owned by or exclusively licensed to the Borrower or any of its Subsidiaries, nor have any applications or registrations therefor lapsed or become abandoned, been cancelled or expired. There are no maintenance, annuity or renewal fees that are currently overdue beyond their allotted grace period for any of the Current Company IP which is non-exclusively licensed to the Borrower or any of its Subsidiaries, nor have any applications or registrations therefor lapsed or become abandoned, been cancelled or expired.</w:t>
      </w:r>
    </w:p>
    <w:p>
      <w:pPr>
        <w:spacing w:after="0" w:line="178" w:lineRule="exact"/>
        <w:rPr>
          <w:sz w:val="20"/>
          <w:szCs w:val="20"/>
          <w:color w:val="auto"/>
        </w:rPr>
      </w:pPr>
    </w:p>
    <w:p>
      <w:pPr>
        <w:jc w:val="both"/>
        <w:ind w:firstLine="1500"/>
        <w:spacing w:after="0" w:line="254" w:lineRule="auto"/>
        <w:tabs>
          <w:tab w:leader="none" w:pos="299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114300</wp:posOffset>
            </wp:positionV>
            <wp:extent cx="7166610"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1" w:name="page142"/>
    <w:bookmarkEnd w:id="141"/>
    <w:p>
      <w:pPr>
        <w:jc w:val="both"/>
        <w:spacing w:after="0" w:line="249" w:lineRule="auto"/>
        <w:rPr>
          <w:sz w:val="20"/>
          <w:szCs w:val="20"/>
          <w:color w:val="auto"/>
        </w:rPr>
      </w:pPr>
      <w:r>
        <w:rPr>
          <w:rFonts w:ascii="Times New Roman" w:cs="Times New Roman" w:eastAsia="Times New Roman" w:hAnsi="Times New Roman"/>
          <w:sz w:val="20"/>
          <w:szCs w:val="20"/>
          <w:color w:val="auto"/>
        </w:rPr>
        <w:t>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Borrower Products under any Material Agreement to which it is a party or may otherwise be bound, and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200" w:lineRule="exact"/>
        <w:rPr>
          <w:sz w:val="20"/>
          <w:szCs w:val="20"/>
          <w:color w:val="auto"/>
        </w:rPr>
      </w:pPr>
    </w:p>
    <w:p>
      <w:pPr>
        <w:spacing w:after="0" w:line="212"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20"/>
          <w:szCs w:val="20"/>
          <w:color w:val="auto"/>
        </w:rPr>
        <w:t>No payments by the Borrower or any of its Subsidiaries are due to any other Person in respect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Current Company IP, other than pursuant to the Material Agreements and those fees payable to patent offices in connection with the prosecution and maintenance of the Current Company IP, any applicable taxes and associated attorney fees.</w:t>
      </w:r>
    </w:p>
    <w:p>
      <w:pPr>
        <w:spacing w:after="0" w:line="150"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20"/>
          <w:szCs w:val="20"/>
          <w:color w:val="auto"/>
        </w:rPr>
        <w:t>Neither the Borrower nor any of its Subsidiaries has undertaken or omitted to undertake any acts,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no circumstance or grounds exist that would invalidate or reduce, in whole or in part, the enforceability or scope of (i) the Current Company IP in any manner that could reasonably be expected to materially adversely affect the Borrower Products, or (ii) in the case of Current Company IP owned or co-owned or exclusively or non-exclusively licensed by the Borrower or any of its Subsidiaries, except as set forth on Schedule 5.10(f), the Borrower’s or Subsidiary’s entitlement to own or license and exploit such Current Company IP.</w:t>
      </w:r>
    </w:p>
    <w:p>
      <w:pPr>
        <w:spacing w:after="0" w:line="172" w:lineRule="exact"/>
        <w:rPr>
          <w:sz w:val="20"/>
          <w:szCs w:val="20"/>
          <w:color w:val="auto"/>
        </w:rPr>
      </w:pPr>
    </w:p>
    <w:p>
      <w:pPr>
        <w:jc w:val="both"/>
        <w:ind w:firstLine="1500"/>
        <w:spacing w:after="0" w:line="247" w:lineRule="auto"/>
        <w:tabs>
          <w:tab w:leader="none" w:pos="299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Borrower, has any such Specified Dispute been threatened in writing, in each case challenging the legality, validity, enforceability or ownership of any Current Company IP, in each case that would have a material adverse effect on the Borrower Products.</w:t>
      </w:r>
    </w:p>
    <w:p>
      <w:pPr>
        <w:spacing w:after="0" w:line="166" w:lineRule="exact"/>
        <w:rPr>
          <w:rFonts w:ascii="Times New Roman" w:cs="Times New Roman" w:eastAsia="Times New Roman" w:hAnsi="Times New Roman"/>
          <w:sz w:val="17"/>
          <w:szCs w:val="17"/>
          <w:color w:val="auto"/>
        </w:rPr>
      </w:pPr>
    </w:p>
    <w:p>
      <w:pPr>
        <w:ind w:firstLine="1500"/>
        <w:spacing w:after="0" w:line="270" w:lineRule="auto"/>
        <w:tabs>
          <w:tab w:leader="none" w:pos="299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In each case where an issued Patent within the Current Company IP is owned or co-owned by the Borrower or any of its Subsidiaries by assignment, the assignment has been duly recorded with the U.S. Patent and Trademark Office.</w:t>
      </w:r>
    </w:p>
    <w:p>
      <w:pPr>
        <w:spacing w:after="0" w:line="152"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20"/>
          <w:szCs w:val="20"/>
          <w:color w:val="auto"/>
        </w:rPr>
        <w:t>Except as set forth on Schedule 5.10(i) there are no pending or, to the knowledge of Borrower,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threatened claims against Borrower or any of its Subsidiaries alleging (i) that any research, development, manufacture, production, use, commercialization, marketing, importing, storage, transport, offer for sale, distribution or sale of the Borrower Products in the United States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2" w:name="page143"/>
    <w:bookmarkEnd w:id="142"/>
    <w:p>
      <w:pPr>
        <w:jc w:val="both"/>
        <w:ind w:firstLine="1499"/>
        <w:spacing w:after="0" w:line="257"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20"/>
          <w:szCs w:val="20"/>
          <w:color w:val="auto"/>
        </w:rPr>
        <w:t>Except as set forth on Schedule 5.10(j), the manufacture, production, use, commercialization,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marketing, importing, storage, transport, offer for sale, distribution or sale of the Borrower Products does not, to the knowledge of Borrower, infringe or violate (or in the past infringed or violated) any issued or registered Third Party IP (including any issued Patent within the Third Party IP) or constitute a misappropriation of (or in the past constituted a misappropriation of) any Third Party IP.</w:t>
      </w:r>
    </w:p>
    <w:p>
      <w:pPr>
        <w:spacing w:after="0" w:line="152" w:lineRule="exact"/>
        <w:rPr>
          <w:sz w:val="20"/>
          <w:szCs w:val="20"/>
          <w:color w:val="auto"/>
        </w:rPr>
      </w:pPr>
    </w:p>
    <w:p>
      <w:pPr>
        <w:jc w:val="both"/>
        <w:ind w:firstLine="1500"/>
        <w:spacing w:after="0" w:line="252" w:lineRule="auto"/>
        <w:tabs>
          <w:tab w:leader="none" w:pos="299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Except as set forth on Schedule 5.10(k),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Company IP.</w:t>
      </w:r>
    </w:p>
    <w:p>
      <w:pPr>
        <w:spacing w:after="0" w:line="157" w:lineRule="exact"/>
        <w:rPr>
          <w:sz w:val="20"/>
          <w:szCs w:val="20"/>
          <w:color w:val="auto"/>
        </w:rPr>
      </w:pPr>
    </w:p>
    <w:p>
      <w:pPr>
        <w:jc w:val="both"/>
        <w:ind w:firstLine="1499"/>
        <w:spacing w:after="0" w:line="260"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20"/>
          <w:szCs w:val="20"/>
          <w:color w:val="auto"/>
        </w:rPr>
        <w:t>Except as set forth on Schedule 5.10(l), to the knowledge of Borrower (i) there is no, nor has there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been any, infringement or violation by any Person of any of the Company IP or the rights therein, and (ii) there is no, nor has there been any, misappropriation by any Person of any of the Company IP or the subject matter thereof.</w:t>
      </w:r>
    </w:p>
    <w:p>
      <w:pPr>
        <w:spacing w:after="0" w:line="150" w:lineRule="exact"/>
        <w:rPr>
          <w:sz w:val="20"/>
          <w:szCs w:val="20"/>
          <w:color w:val="auto"/>
        </w:rPr>
      </w:pPr>
    </w:p>
    <w:p>
      <w:pPr>
        <w:jc w:val="both"/>
        <w:ind w:firstLine="1500"/>
        <w:spacing w:after="0" w:line="252" w:lineRule="auto"/>
        <w:tabs>
          <w:tab w:leader="none" w:pos="299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The Borrower and each of its Subsidiaries has taken all commercially reasonable measures customary in the biopharmaceutical industry to protect the confidentiality and value of all trade secrets owned by the Borrower or any of its Subsidiaries or used or held for use by the Borrower or any of its Subsidiaries, in each case relating to the research, development, manufacture, production, use, commercialization, marketing, importing, storage, transport, offer for sale, distribution or sale of the Borrower Products.</w:t>
      </w:r>
    </w:p>
    <w:p>
      <w:pPr>
        <w:spacing w:after="0" w:line="157" w:lineRule="exact"/>
        <w:rPr>
          <w:rFonts w:ascii="Times New Roman" w:cs="Times New Roman" w:eastAsia="Times New Roman" w:hAnsi="Times New Roman"/>
          <w:sz w:val="17"/>
          <w:szCs w:val="17"/>
          <w:color w:val="auto"/>
        </w:rPr>
      </w:pPr>
    </w:p>
    <w:p>
      <w:pPr>
        <w:jc w:val="both"/>
        <w:ind w:firstLine="1500"/>
        <w:spacing w:after="0" w:line="260" w:lineRule="auto"/>
        <w:tabs>
          <w:tab w:leader="none" w:pos="299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Except as set forth on Schedule 5.10(n), at the time of any shipment of Borrower Product in the United States occurring prior to the Closing Date, the units thereof so shipped complied with their relevant specifications and were manufactured in all material respects in accordance with current FDA Good Manufacturing Practices.</w:t>
      </w:r>
    </w:p>
    <w:p>
      <w:pPr>
        <w:spacing w:after="0" w:line="149" w:lineRule="exact"/>
        <w:rPr>
          <w:rFonts w:ascii="Times New Roman" w:cs="Times New Roman" w:eastAsia="Times New Roman" w:hAnsi="Times New Roman"/>
          <w:sz w:val="17"/>
          <w:szCs w:val="17"/>
          <w:color w:val="auto"/>
        </w:rPr>
      </w:pPr>
    </w:p>
    <w:p>
      <w:pPr>
        <w:jc w:val="both"/>
        <w:ind w:firstLine="1500"/>
        <w:spacing w:after="0" w:line="246" w:lineRule="auto"/>
        <w:tabs>
          <w:tab w:leader="none" w:pos="299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Except as described on Schedule 5.10(o),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inbound license agreements and equipment leases where Borrower is the licensee or lessee. Except as has been disclosed in the Perfection Certificate or pursuant to Section 7.1(d), Borrower is not a party to, nor is it bound by, any Restricted License.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p>
      <w:pPr>
        <w:jc w:val="both"/>
        <w:spacing w:after="0" w:line="249" w:lineRule="auto"/>
        <w:rPr>
          <w:sz w:val="20"/>
          <w:szCs w:val="20"/>
          <w:color w:val="auto"/>
        </w:rPr>
      </w:pPr>
      <w:r>
        <w:rPr>
          <w:rFonts w:ascii="Times New Roman" w:cs="Times New Roman" w:eastAsia="Times New Roman" w:hAnsi="Times New Roman"/>
          <w:sz w:val="20"/>
          <w:szCs w:val="20"/>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73" w:lineRule="exact"/>
        <w:rPr>
          <w:sz w:val="20"/>
          <w:szCs w:val="20"/>
          <w:color w:val="auto"/>
        </w:rPr>
      </w:pPr>
    </w:p>
    <w:p>
      <w:pPr>
        <w:jc w:val="both"/>
        <w:ind w:left="660" w:firstLine="747"/>
        <w:spacing w:after="0" w:line="244" w:lineRule="auto"/>
        <w:tabs>
          <w:tab w:leader="none" w:pos="215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Products. Except as described on Schedule 5.11 or in the most recently delivered Compliance Certificate in accordance with Section 7.1(d), no material Intellectual Property owned by Borrower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affect the validity, use or enforceability thereof. Except as described in the most recently delivered Compliance Certificate in accordance with Section 7.1(d),there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Except as described in the most recently delivered Compliance Certificate in accordance with Section 7.1(d),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nor, to Borrower’s knowledge, is there a reasonable basis for any such claim. Neither Borrower’s use of its Intellectual Property material to Borrower’s business nor the production and sale of Borrower Products material to Borrower’s business infringes the Intellectual Property or other rights of others.</w:t>
      </w:r>
    </w:p>
    <w:p>
      <w:pPr>
        <w:spacing w:after="0" w:line="169" w:lineRule="exact"/>
        <w:rPr>
          <w:rFonts w:ascii="Times New Roman" w:cs="Times New Roman" w:eastAsia="Times New Roman" w:hAnsi="Times New Roman"/>
          <w:sz w:val="20"/>
          <w:szCs w:val="20"/>
          <w:color w:val="auto"/>
        </w:rPr>
      </w:pPr>
    </w:p>
    <w:p>
      <w:pPr>
        <w:jc w:val="both"/>
        <w:ind w:left="660" w:firstLine="747"/>
        <w:spacing w:after="0" w:line="249" w:lineRule="auto"/>
        <w:tabs>
          <w:tab w:leader="none" w:pos="215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200" w:lineRule="exact"/>
        <w:rPr>
          <w:rFonts w:ascii="Times New Roman" w:cs="Times New Roman" w:eastAsia="Times New Roman" w:hAnsi="Times New Roman"/>
          <w:sz w:val="20"/>
          <w:szCs w:val="20"/>
          <w:color w:val="auto"/>
        </w:rPr>
      </w:pPr>
    </w:p>
    <w:p>
      <w:pPr>
        <w:spacing w:after="0" w:line="211" w:lineRule="exact"/>
        <w:rPr>
          <w:rFonts w:ascii="Times New Roman" w:cs="Times New Roman" w:eastAsia="Times New Roman" w:hAnsi="Times New Roman"/>
          <w:sz w:val="20"/>
          <w:szCs w:val="20"/>
          <w:color w:val="auto"/>
        </w:rPr>
      </w:pPr>
    </w:p>
    <w:p>
      <w:pPr>
        <w:jc w:val="both"/>
        <w:ind w:left="660" w:firstLine="747"/>
        <w:spacing w:after="0" w:line="260" w:lineRule="auto"/>
        <w:tabs>
          <w:tab w:leader="none" w:pos="215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Loans. Except for Permitted Investments, Borrower has no outstanding loans to any employee, officer or director of the Borrower nor has Borrower guaranteed the payment of any loan made to an employee, officer or director of the Borrower by a third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4" w:name="page145"/>
    <w:bookmarkEnd w:id="144"/>
    <w:p>
      <w:pPr>
        <w:jc w:val="both"/>
        <w:ind w:left="-460" w:firstLine="747"/>
        <w:spacing w:after="0" w:line="257" w:lineRule="auto"/>
        <w:tabs>
          <w:tab w:leader="none" w:pos="10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b w:val="1"/>
          <w:bCs w:val="1"/>
          <w:u w:val="single" w:color="auto"/>
          <w:color w:val="auto"/>
        </w:rPr>
        <w:t>INSURANCE; INDEMNIFICATION</w:t>
      </w:r>
    </w:p>
    <w:p>
      <w:pPr>
        <w:spacing w:after="0" w:line="204" w:lineRule="exact"/>
        <w:rPr>
          <w:sz w:val="20"/>
          <w:szCs w:val="20"/>
          <w:color w:val="auto"/>
        </w:rPr>
      </w:pPr>
    </w:p>
    <w:p>
      <w:pPr>
        <w:jc w:val="both"/>
        <w:ind w:left="-460" w:firstLine="747"/>
        <w:spacing w:after="0" w:line="244" w:lineRule="auto"/>
        <w:tabs>
          <w:tab w:leader="none" w:pos="103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and other obligations which are expressly stated to survive termination of this Agreement)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88" w:lineRule="exact"/>
        <w:rPr>
          <w:rFonts w:ascii="Times New Roman" w:cs="Times New Roman" w:eastAsia="Times New Roman" w:hAnsi="Times New Roman"/>
          <w:sz w:val="20"/>
          <w:szCs w:val="20"/>
          <w:color w:val="auto"/>
        </w:rPr>
      </w:pPr>
    </w:p>
    <w:p>
      <w:pPr>
        <w:jc w:val="both"/>
        <w:ind w:left="-460" w:firstLine="747"/>
        <w:spacing w:after="0" w:line="245" w:lineRule="auto"/>
        <w:tabs>
          <w:tab w:leader="none" w:pos="103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w:t>
      </w:r>
    </w:p>
    <w:p>
      <w:pPr>
        <w:spacing w:after="0" w:line="1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45" w:name="page146"/>
    <w:bookmarkEnd w:id="145"/>
    <w:p>
      <w:pPr>
        <w:spacing w:after="0" w:line="284" w:lineRule="auto"/>
        <w:rPr>
          <w:sz w:val="20"/>
          <w:szCs w:val="20"/>
          <w:color w:val="auto"/>
        </w:rPr>
      </w:pPr>
      <w:r>
        <w:rPr>
          <w:rFonts w:ascii="Times New Roman" w:cs="Times New Roman" w:eastAsia="Times New Roman" w:hAnsi="Times New Roman"/>
          <w:sz w:val="20"/>
          <w:szCs w:val="20"/>
          <w:color w:val="auto"/>
        </w:rPr>
        <w:t>any insurance policy required hereunder, Borrower shall provide Agent with copies of such policies and shall promptly deliver to Agent updated insurance certificates with respect to such policies.</w:t>
      </w:r>
    </w:p>
    <w:p>
      <w:pPr>
        <w:spacing w:after="0" w:line="125" w:lineRule="exact"/>
        <w:rPr>
          <w:sz w:val="20"/>
          <w:szCs w:val="20"/>
          <w:color w:val="auto"/>
        </w:rPr>
      </w:pPr>
    </w:p>
    <w:p>
      <w:pPr>
        <w:jc w:val="both"/>
        <w:ind w:firstLine="747"/>
        <w:spacing w:after="0" w:line="245" w:lineRule="auto"/>
        <w:tabs>
          <w:tab w:leader="none" w:pos="149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documented, out-of-pocket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7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20"/>
          <w:szCs w:val="20"/>
          <w:b w:val="1"/>
          <w:bCs w:val="1"/>
          <w:u w:val="single" w:color="auto"/>
          <w:color w:val="auto"/>
        </w:rPr>
        <w:t>COVENANTS OF BORROWER</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Borrower agrees as follows:</w:t>
      </w:r>
    </w:p>
    <w:p>
      <w:pPr>
        <w:spacing w:after="0" w:line="200" w:lineRule="exact"/>
        <w:rPr>
          <w:sz w:val="20"/>
          <w:szCs w:val="20"/>
          <w:color w:val="auto"/>
        </w:rPr>
      </w:pPr>
    </w:p>
    <w:p>
      <w:pPr>
        <w:ind w:firstLine="747"/>
        <w:spacing w:after="0" w:line="284" w:lineRule="auto"/>
        <w:tabs>
          <w:tab w:leader="none" w:pos="149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Reports. Borrower shall furnish to Agent the financial statements and reports listed hereinafter (the “Financial Statements”):</w:t>
      </w:r>
    </w:p>
    <w:p>
      <w:pPr>
        <w:spacing w:after="0" w:line="125" w:lineRule="exact"/>
        <w:rPr>
          <w:rFonts w:ascii="Times New Roman" w:cs="Times New Roman" w:eastAsia="Times New Roman" w:hAnsi="Times New Roman"/>
          <w:sz w:val="20"/>
          <w:szCs w:val="20"/>
          <w:color w:val="auto"/>
        </w:rPr>
      </w:pPr>
    </w:p>
    <w:p>
      <w:pPr>
        <w:jc w:val="both"/>
        <w:ind w:left="100" w:firstLine="740"/>
        <w:spacing w:after="0" w:line="247" w:lineRule="auto"/>
        <w:tabs>
          <w:tab w:leader="none" w:pos="159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thirty (30) days unless extended by Agent in connection with quarter-end closes)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66" w:lineRule="exact"/>
        <w:rPr>
          <w:rFonts w:ascii="Times New Roman" w:cs="Times New Roman" w:eastAsia="Times New Roman" w:hAnsi="Times New Roman"/>
          <w:sz w:val="20"/>
          <w:szCs w:val="20"/>
          <w:color w:val="auto"/>
        </w:rPr>
      </w:pPr>
    </w:p>
    <w:p>
      <w:pPr>
        <w:ind w:left="100" w:firstLine="740"/>
        <w:spacing w:after="0" w:line="284" w:lineRule="auto"/>
        <w:tabs>
          <w:tab w:leader="none" w:pos="159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forty-five (45) days) after the end of each calendar quarter, unaudited interim and year-to-date financial statements as of the</w:t>
      </w:r>
    </w:p>
    <w:p>
      <w:pPr>
        <w:spacing w:after="0" w:line="1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46" w:name="page147"/>
    <w:bookmarkEnd w:id="146"/>
    <w:p>
      <w:pPr>
        <w:jc w:val="both"/>
        <w:ind w:left="360"/>
        <w:spacing w:after="0" w:line="249" w:lineRule="auto"/>
        <w:rPr>
          <w:sz w:val="20"/>
          <w:szCs w:val="20"/>
          <w:color w:val="auto"/>
        </w:rPr>
      </w:pPr>
      <w:r>
        <w:rPr>
          <w:rFonts w:ascii="Times New Roman" w:cs="Times New Roman" w:eastAsia="Times New Roman" w:hAnsi="Times New Roman"/>
          <w:sz w:val="20"/>
          <w:szCs w:val="20"/>
          <w:color w:val="auto"/>
        </w:rPr>
        <w:t>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73" w:lineRule="exact"/>
        <w:rPr>
          <w:sz w:val="20"/>
          <w:szCs w:val="20"/>
          <w:color w:val="auto"/>
        </w:rPr>
      </w:pPr>
    </w:p>
    <w:p>
      <w:pPr>
        <w:jc w:val="both"/>
        <w:ind w:left="360" w:firstLine="740"/>
        <w:spacing w:after="0" w:line="249" w:lineRule="auto"/>
        <w:tabs>
          <w:tab w:leader="none" w:pos="18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ninety (90)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71" w:lineRule="exact"/>
        <w:rPr>
          <w:rFonts w:ascii="Times New Roman" w:cs="Times New Roman" w:eastAsia="Times New Roman" w:hAnsi="Times New Roman"/>
          <w:sz w:val="20"/>
          <w:szCs w:val="20"/>
          <w:color w:val="auto"/>
        </w:rPr>
      </w:pPr>
    </w:p>
    <w:p>
      <w:pPr>
        <w:ind w:left="360" w:firstLine="740"/>
        <w:spacing w:after="0" w:line="270" w:lineRule="auto"/>
        <w:tabs>
          <w:tab w:leader="none" w:pos="191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thirty (30) days unless extended by Agent in connection with quarter-end closes) after the end of each month, a Compliance Certificate in the form of Exhibit E;</w:t>
      </w:r>
    </w:p>
    <w:p>
      <w:pPr>
        <w:spacing w:after="0" w:line="139" w:lineRule="exact"/>
        <w:rPr>
          <w:rFonts w:ascii="Times New Roman" w:cs="Times New Roman" w:eastAsia="Times New Roman" w:hAnsi="Times New Roman"/>
          <w:sz w:val="20"/>
          <w:szCs w:val="20"/>
          <w:color w:val="auto"/>
        </w:rPr>
      </w:pPr>
    </w:p>
    <w:p>
      <w:pPr>
        <w:ind w:left="360" w:firstLine="740"/>
        <w:spacing w:after="0" w:line="284" w:lineRule="auto"/>
        <w:tabs>
          <w:tab w:leader="none" w:pos="18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thirty (30) days unless extended by Agent in connection with quarter-end closes) after the end of each month, a report showing agings of accounts receivable and accounts payable;</w:t>
      </w:r>
    </w:p>
    <w:p>
      <w:pPr>
        <w:spacing w:after="0" w:line="125" w:lineRule="exact"/>
        <w:rPr>
          <w:rFonts w:ascii="Times New Roman" w:cs="Times New Roman" w:eastAsia="Times New Roman" w:hAnsi="Times New Roman"/>
          <w:sz w:val="20"/>
          <w:szCs w:val="20"/>
          <w:color w:val="auto"/>
        </w:rPr>
      </w:pPr>
    </w:p>
    <w:p>
      <w:pPr>
        <w:jc w:val="both"/>
        <w:ind w:left="360" w:firstLine="740"/>
        <w:spacing w:after="0" w:line="252" w:lineRule="auto"/>
        <w:tabs>
          <w:tab w:leader="none" w:pos="18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5 days after the sending or filing thereof, as the case may be, copies of any proxy statements, financial statements or reports that Borrower has made generally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71" w:lineRule="exact"/>
        <w:rPr>
          <w:rFonts w:ascii="Times New Roman" w:cs="Times New Roman" w:eastAsia="Times New Roman" w:hAnsi="Times New Roman"/>
          <w:sz w:val="20"/>
          <w:szCs w:val="20"/>
          <w:color w:val="auto"/>
        </w:rPr>
      </w:pPr>
    </w:p>
    <w:p>
      <w:pPr>
        <w:ind w:left="1860" w:hanging="760"/>
        <w:spacing w:after="0"/>
        <w:tabs>
          <w:tab w:leader="none" w:pos="18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99" w:lineRule="exact"/>
        <w:rPr>
          <w:rFonts w:ascii="Times New Roman" w:cs="Times New Roman" w:eastAsia="Times New Roman" w:hAnsi="Times New Roman"/>
          <w:sz w:val="20"/>
          <w:szCs w:val="20"/>
          <w:color w:val="auto"/>
        </w:rPr>
      </w:pPr>
    </w:p>
    <w:p>
      <w:pPr>
        <w:jc w:val="both"/>
        <w:ind w:left="360" w:firstLine="740"/>
        <w:spacing w:after="0" w:line="260" w:lineRule="auto"/>
        <w:tabs>
          <w:tab w:leader="none" w:pos="18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and business projections promptly following their approval by Borrower’s board of directors, and in any event, within sixty (60) days after the end of Borrower’s fiscal year, as well as budgets, operating plans and other financial information reasonably requested by Agent; and</w:t>
      </w:r>
    </w:p>
    <w:p>
      <w:pPr>
        <w:spacing w:after="0" w:line="149" w:lineRule="exact"/>
        <w:rPr>
          <w:rFonts w:ascii="Times New Roman" w:cs="Times New Roman" w:eastAsia="Times New Roman" w:hAnsi="Times New Roman"/>
          <w:sz w:val="20"/>
          <w:szCs w:val="20"/>
          <w:color w:val="auto"/>
        </w:rPr>
      </w:pPr>
    </w:p>
    <w:p>
      <w:pPr>
        <w:jc w:val="both"/>
        <w:ind w:left="360" w:firstLine="740"/>
        <w:spacing w:after="0" w:line="260" w:lineRule="auto"/>
        <w:tabs>
          <w:tab w:leader="none" w:pos="185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 notice if Borrower or any Subsidiary has knowledge that Borrower, or any Subsidiary or Affiliate of Borrower, is listed on the OFAC Lists or (a) is convicted on, (b) pleads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(c) is indicted on, or (d) is arraigned and held over on charges involving money laundering or predicate crimes to money laundering.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shall not (without the consent of Agent, such consent not to be unreasonably withheld or delayed), make any change in its</w:t>
      </w:r>
    </w:p>
    <w:p>
      <w:pPr>
        <w:spacing w:after="0" w:line="19" w:lineRule="exact"/>
        <w:rPr>
          <w:sz w:val="20"/>
          <w:szCs w:val="20"/>
          <w:color w:val="auto"/>
        </w:rPr>
      </w:pPr>
    </w:p>
    <w:p>
      <w:pPr>
        <w:ind w:left="160" w:firstLine="3"/>
        <w:spacing w:after="0" w:line="247" w:lineRule="auto"/>
        <w:tabs>
          <w:tab w:leader="none" w:pos="45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policies or reporting practices, except as required by GAAP or (b) fiscal years or fiscal quarters, unless Borrower shall have</w:t>
      </w:r>
    </w:p>
    <w:p>
      <w:pPr>
        <w:spacing w:after="0" w:line="14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106045</wp:posOffset>
            </wp:positionV>
            <wp:extent cx="716661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840"/>
          </w:cols>
          <w:pgMar w:left="720" w:top="544" w:right="339" w:bottom="1440" w:gutter="0" w:footer="0" w:header="0"/>
        </w:sectPr>
      </w:pPr>
    </w:p>
    <w:bookmarkStart w:id="147" w:name="page148"/>
    <w:bookmarkEnd w:id="147"/>
    <w:p>
      <w:pPr>
        <w:ind w:left="160"/>
        <w:spacing w:after="0"/>
        <w:rPr>
          <w:sz w:val="20"/>
          <w:szCs w:val="20"/>
          <w:color w:val="auto"/>
        </w:rPr>
      </w:pPr>
      <w:r>
        <w:rPr>
          <w:rFonts w:ascii="Times New Roman" w:cs="Times New Roman" w:eastAsia="Times New Roman" w:hAnsi="Times New Roman"/>
          <w:sz w:val="20"/>
          <w:szCs w:val="20"/>
          <w:color w:val="auto"/>
        </w:rPr>
        <w:t>notified Agent in writing within thirty (30) days in advance of such change. The fiscal year of Borrower shall end on December 31.</w:t>
      </w:r>
    </w:p>
    <w:p>
      <w:pPr>
        <w:spacing w:after="0" w:line="212" w:lineRule="exact"/>
        <w:rPr>
          <w:sz w:val="20"/>
          <w:szCs w:val="20"/>
          <w:color w:val="auto"/>
        </w:rPr>
      </w:pPr>
    </w:p>
    <w:p>
      <w:pPr>
        <w:jc w:val="both"/>
        <w:ind w:left="160" w:hanging="157"/>
        <w:spacing w:after="0" w:line="252" w:lineRule="auto"/>
        <w:rPr>
          <w:sz w:val="20"/>
          <w:szCs w:val="20"/>
          <w:color w:val="auto"/>
        </w:rPr>
      </w:pPr>
      <w:r>
        <w:rPr>
          <w:rFonts w:ascii="Times New Roman" w:cs="Times New Roman" w:eastAsia="Times New Roman" w:hAnsi="Times New Roman"/>
          <w:sz w:val="20"/>
          <w:szCs w:val="20"/>
          <w:color w:val="auto"/>
        </w:rPr>
        <w:t>The executed Compliance Certificate, and all Financial Statements required to be delivered pursuant to clauses (a), (b), (c) and (d) shall be sent via e-mail to financialstatements@htgc.com with a copy to legal@htgc.com and mdutra@htgc.com provided, that if e-mail is not available or sending such Financial Statements via e-mail is not possible, they shall be faxed to Agent at: (650) 473-9194, attention Account Manager: Axsome Therapeutics, Inc.</w:t>
      </w:r>
    </w:p>
    <w:p>
      <w:pPr>
        <w:spacing w:after="0" w:line="58" w:lineRule="exact"/>
        <w:rPr>
          <w:sz w:val="20"/>
          <w:szCs w:val="20"/>
          <w:color w:val="auto"/>
        </w:rPr>
      </w:pPr>
    </w:p>
    <w:p>
      <w:pPr>
        <w:jc w:val="both"/>
        <w:ind w:left="160" w:hanging="157"/>
        <w:spacing w:after="0" w:line="260" w:lineRule="auto"/>
        <w:rPr>
          <w:sz w:val="20"/>
          <w:szCs w:val="20"/>
          <w:color w:val="auto"/>
        </w:rPr>
      </w:pPr>
      <w:r>
        <w:rPr>
          <w:rFonts w:ascii="Times New Roman" w:cs="Times New Roman" w:eastAsia="Times New Roman" w:hAnsi="Times New Roman"/>
          <w:sz w:val="20"/>
          <w:szCs w:val="20"/>
          <w:color w:val="auto"/>
        </w:rPr>
        <w:t>Notwithstanding the foregoing, documents required to be delivered under Sections 7.1(a), (b), (c) or (f) pursuant to the terms hereof (to the extent any such documents are included in materials otherwise filed with the SEC) may be delivered electronically and if so delivered, shall be deemed to have been delivered on the date on which Borrower emails a link thereto to Agent.</w:t>
      </w:r>
    </w:p>
    <w:p>
      <w:pPr>
        <w:spacing w:after="0" w:line="61" w:lineRule="exact"/>
        <w:rPr>
          <w:sz w:val="20"/>
          <w:szCs w:val="20"/>
          <w:color w:val="auto"/>
        </w:rPr>
      </w:pPr>
    </w:p>
    <w:p>
      <w:pPr>
        <w:jc w:val="both"/>
        <w:ind w:left="260" w:firstLine="747"/>
        <w:spacing w:after="0" w:line="245" w:lineRule="auto"/>
        <w:tabs>
          <w:tab w:leader="none" w:pos="175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so long as no Event of Default has occurred and is continuing, such examinations shall be limited to no more often than twice per fiscal year. In addition, any such representative shall have the right to meet with management and officers of Borrower to discuss such books of account and records in connection with such examinations.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2510.3- 101(d)(3)(ii),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64" w:lineRule="exact"/>
        <w:rPr>
          <w:rFonts w:ascii="Times New Roman" w:cs="Times New Roman" w:eastAsia="Times New Roman" w:hAnsi="Times New Roman"/>
          <w:sz w:val="20"/>
          <w:szCs w:val="20"/>
          <w:color w:val="auto"/>
        </w:rPr>
      </w:pPr>
    </w:p>
    <w:p>
      <w:pPr>
        <w:jc w:val="both"/>
        <w:ind w:left="260" w:firstLine="747"/>
        <w:spacing w:after="0" w:line="246" w:lineRule="auto"/>
        <w:tabs>
          <w:tab w:leader="none" w:pos="175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Assurances. Borrower shall from time to time following Agent’s written request execute, deliver and file, alone or with Agent, any financing statements, security agreements, collateral assignments, notices, control agreements, or other documents to perfect, give the highest priority to Agent’s Lien on the Collateral (subject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w:t>
      </w:r>
    </w:p>
    <w:p>
      <w:pPr>
        <w:spacing w:after="0" w:line="1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106045</wp:posOffset>
            </wp:positionV>
            <wp:extent cx="7166610"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840"/>
          </w:cols>
          <w:pgMar w:left="720" w:top="544" w:right="339" w:bottom="1440" w:gutter="0" w:footer="0" w:header="0"/>
        </w:sectPr>
      </w:pPr>
    </w:p>
    <w:bookmarkStart w:id="148" w:name="page149"/>
    <w:bookmarkEnd w:id="148"/>
    <w:p>
      <w:pPr>
        <w:spacing w:after="0" w:line="284" w:lineRule="auto"/>
        <w:rPr>
          <w:sz w:val="20"/>
          <w:szCs w:val="20"/>
          <w:color w:val="auto"/>
        </w:rPr>
      </w:pPr>
      <w:r>
        <w:rPr>
          <w:rFonts w:ascii="Times New Roman" w:cs="Times New Roman" w:eastAsia="Times New Roman" w:hAnsi="Times New Roman"/>
          <w:sz w:val="20"/>
          <w:szCs w:val="20"/>
          <w:color w:val="auto"/>
        </w:rPr>
        <w:t>Borrower’s title to the Collateral and Agent’s Lien thereon against all Persons claiming any interest adverse to Borrower or Agent other than Permitted Liens.</w:t>
      </w:r>
    </w:p>
    <w:p>
      <w:pPr>
        <w:spacing w:after="0" w:line="125" w:lineRule="exact"/>
        <w:rPr>
          <w:sz w:val="20"/>
          <w:szCs w:val="20"/>
          <w:color w:val="auto"/>
        </w:rPr>
      </w:pPr>
    </w:p>
    <w:p>
      <w:pPr>
        <w:jc w:val="both"/>
        <w:ind w:firstLine="747"/>
        <w:spacing w:after="0" w:line="247" w:lineRule="auto"/>
        <w:tabs>
          <w:tab w:leader="none" w:pos="149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payment and prepayment of purchase money Indebtedness and capital leases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principal payments in cash (other than cash in lieu of fractional shares) shall only be allowed if the Redemption Conditions are satisfied in respect of such payment and at all times after such 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w:t>
      </w:r>
    </w:p>
    <w:p>
      <w:pPr>
        <w:spacing w:after="0" w:line="1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114300</wp:posOffset>
            </wp:positionV>
            <wp:extent cx="716661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49" w:name="page150"/>
    <w:bookmarkEnd w:id="149"/>
    <w:p>
      <w:pPr>
        <w:jc w:val="both"/>
        <w:spacing w:after="0" w:line="257" w:lineRule="auto"/>
        <w:rPr>
          <w:sz w:val="20"/>
          <w:szCs w:val="20"/>
          <w:color w:val="auto"/>
        </w:rPr>
      </w:pPr>
      <w:r>
        <w:rPr>
          <w:rFonts w:ascii="Times New Roman" w:cs="Times New Roman" w:eastAsia="Times New Roman" w:hAnsi="Times New Roman"/>
          <w:sz w:val="20"/>
          <w:szCs w:val="20"/>
          <w:color w:val="auto"/>
        </w:rPr>
        <w:t>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52" w:lineRule="exact"/>
        <w:rPr>
          <w:sz w:val="20"/>
          <w:szCs w:val="20"/>
          <w:color w:val="auto"/>
        </w:rPr>
      </w:pPr>
    </w:p>
    <w:p>
      <w:pPr>
        <w:jc w:val="both"/>
        <w:ind w:firstLine="747"/>
        <w:spacing w:after="0" w:line="245" w:lineRule="auto"/>
        <w:tabs>
          <w:tab w:leader="none" w:pos="149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Borrower shall at all times keep the Collateral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such other property and assets, or any Liens thereon, provided however, that the Collateral and such other property and assets may be subject to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w:t>
      </w:r>
    </w:p>
    <w:p>
      <w:pPr>
        <w:spacing w:after="0" w:line="162" w:lineRule="exact"/>
        <w:rPr>
          <w:rFonts w:ascii="Times New Roman" w:cs="Times New Roman" w:eastAsia="Times New Roman" w:hAnsi="Times New Roman"/>
          <w:sz w:val="20"/>
          <w:szCs w:val="20"/>
          <w:color w:val="auto"/>
        </w:rPr>
      </w:pPr>
    </w:p>
    <w:p>
      <w:pPr>
        <w:ind w:firstLine="747"/>
        <w:spacing w:after="0" w:line="284" w:lineRule="auto"/>
        <w:tabs>
          <w:tab w:leader="none" w:pos="149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Borrower shall not directly or indirectly acquire or own, or make any Investment in or to any Person, or permit any of its Subsidiaries to do so, other than Permitted Investments.</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w:t>
      </w:r>
    </w:p>
    <w:p>
      <w:pPr>
        <w:spacing w:after="0" w:line="1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50" w:name="page151"/>
    <w:bookmarkEnd w:id="150"/>
    <w:p>
      <w:pPr>
        <w:jc w:val="both"/>
        <w:ind w:left="3"/>
        <w:spacing w:after="0" w:line="260" w:lineRule="auto"/>
        <w:rPr>
          <w:sz w:val="20"/>
          <w:szCs w:val="20"/>
          <w:color w:val="auto"/>
        </w:rPr>
      </w:pPr>
      <w:r>
        <w:rPr>
          <w:rFonts w:ascii="Times New Roman" w:cs="Times New Roman" w:eastAsia="Times New Roman" w:hAnsi="Times New Roman"/>
          <w:sz w:val="20"/>
          <w:szCs w:val="20"/>
          <w:color w:val="auto"/>
        </w:rPr>
        <w:t>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62" w:lineRule="exact"/>
        <w:rPr>
          <w:sz w:val="20"/>
          <w:szCs w:val="20"/>
          <w:color w:val="auto"/>
        </w:rPr>
      </w:pPr>
    </w:p>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67" w:lineRule="exact"/>
        <w:rPr>
          <w:sz w:val="20"/>
          <w:szCs w:val="20"/>
          <w:color w:val="auto"/>
        </w:rPr>
      </w:pPr>
    </w:p>
    <w:p>
      <w:pPr>
        <w:jc w:val="both"/>
        <w:ind w:left="3" w:firstLine="747"/>
        <w:spacing w:after="0" w:line="245" w:lineRule="auto"/>
        <w:tabs>
          <w:tab w:leader="none" w:pos="150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Borrower shall not, and shall not allow any Subsidiary to, (a) repurchase or redeem any class of stock or other Equity Interest other than pursuant to employee, director or consultant repurchase plans or other similar agreements that are Permitted Investments or the conversion of any of its convertible securities pursuant to the terms of such convertible securities; provided, however, in each case the repurchase or redemption price does not exceed the original consideration paid for such stock or Equity Interest unless required by the terms of such agreement or plan, or pursuant to a public repurchase of securities in compliance with the requirements of SEC Rule 10b-18, or (b) declare or pay any cash dividend or make any other cash distribution on any class of stock or other Equity Interest, except that a Subsidiary may pay dividends or make other distributions to Borrower or any Subsidiary of Borrower, (c) except for Permitted Investments, lend money to any employees, officers or directors or guarantee the payment of any such loans granted by a third party in excess of $100,000 in the aggregate or</w:t>
      </w:r>
    </w:p>
    <w:p>
      <w:pPr>
        <w:spacing w:after="0" w:line="6" w:lineRule="exact"/>
        <w:rPr>
          <w:rFonts w:ascii="Times New Roman" w:cs="Times New Roman" w:eastAsia="Times New Roman" w:hAnsi="Times New Roman"/>
          <w:sz w:val="20"/>
          <w:szCs w:val="20"/>
          <w:color w:val="auto"/>
        </w:rPr>
      </w:pPr>
    </w:p>
    <w:p>
      <w:pPr>
        <w:jc w:val="both"/>
        <w:ind w:left="3" w:hanging="3"/>
        <w:spacing w:after="0" w:line="246" w:lineRule="auto"/>
        <w:tabs>
          <w:tab w:leader="none" w:pos="29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release or forgive any Indebtedness owed by any employees, officers or directors in excess of $100,000 in the aggregate other than cancellation of Indebtedness in connection with the repurchase of Equity Interests permitted under clause (a) above. Notwithstanding the foregoing, Borrower may redeem or repurchase stock and other Equity Interests and may declare and pay dividends and make distributions in any amount, so long as the Redemption Conditions (as applied to such redemption, repurchase, dividend or distribution) are satisfied.</w:t>
      </w:r>
    </w:p>
    <w:p>
      <w:pPr>
        <w:spacing w:after="0" w:line="164"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20"/>
          <w:szCs w:val="20"/>
          <w:color w:val="auto"/>
        </w:rPr>
        <w:t>Notwithstanding the foregoing, and for the avoidance of doubt, this Section 7.7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w:t>
      </w:r>
    </w:p>
    <w:p>
      <w:pPr>
        <w:spacing w:after="0" w:line="132"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106045</wp:posOffset>
            </wp:positionV>
            <wp:extent cx="7166610"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51" w:name="page152"/>
    <w:bookmarkEnd w:id="151"/>
    <w:p>
      <w:pPr>
        <w:jc w:val="both"/>
        <w:spacing w:after="0" w:line="246" w:lineRule="auto"/>
        <w:rPr>
          <w:sz w:val="20"/>
          <w:szCs w:val="20"/>
          <w:color w:val="auto"/>
        </w:rPr>
      </w:pPr>
      <w:r>
        <w:rPr>
          <w:rFonts w:ascii="Times New Roman" w:cs="Times New Roman" w:eastAsia="Times New Roman" w:hAnsi="Times New Roman"/>
          <w:sz w:val="20"/>
          <w:szCs w:val="20"/>
          <w:color w:val="auto"/>
        </w:rPr>
        <w:t>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anything to the contrary set forth in this Section 7, and for the avoidance of doubt:</w:t>
      </w:r>
    </w:p>
    <w:p>
      <w:pPr>
        <w:spacing w:after="0" w:line="212" w:lineRule="exact"/>
        <w:rPr>
          <w:sz w:val="20"/>
          <w:szCs w:val="20"/>
          <w:color w:val="auto"/>
        </w:rPr>
      </w:pPr>
    </w:p>
    <w:p>
      <w:pPr>
        <w:ind w:left="840" w:firstLine="750"/>
        <w:spacing w:after="0" w:line="270" w:lineRule="auto"/>
        <w:tabs>
          <w:tab w:leader="none" w:pos="233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make any required payment of premium to a counterparty thereunder due in connection with entering into any Permitted Bond Hedge Transaction;</w:t>
      </w:r>
    </w:p>
    <w:p>
      <w:pPr>
        <w:spacing w:after="0" w:line="139" w:lineRule="exact"/>
        <w:rPr>
          <w:rFonts w:ascii="Times New Roman" w:cs="Times New Roman" w:eastAsia="Times New Roman" w:hAnsi="Times New Roman"/>
          <w:sz w:val="20"/>
          <w:szCs w:val="20"/>
          <w:color w:val="auto"/>
        </w:rPr>
      </w:pPr>
    </w:p>
    <w:p>
      <w:pPr>
        <w:jc w:val="both"/>
        <w:ind w:left="840" w:firstLine="750"/>
        <w:spacing w:after="0" w:line="249" w:lineRule="auto"/>
        <w:tabs>
          <w:tab w:leader="none" w:pos="233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make any payment in connection with any Permitted Warrant Transaction by (i) delivery of shares of the Borrower’s Common Stock (together with cash in lieu of fractional shares) upon net share settlement thereof, (ii) set-off, netting and/or payment of an early termination payment or other payment thereunder, in each case, in the Borrower’s Common Stock and (iii) solely to the extent the Borrower does not have the option of satisfying such payment obligations through the delivery of shares of the Borrower’s Common Stock or is otherwise required to satisfy such payment obligations in cash, set-off, netting and/or payment of an early termination payment or other payment thereunder, in each case, in cash (it being understood and agreed that any payment made in cash</w:t>
      </w:r>
    </w:p>
    <w:p>
      <w:pPr>
        <w:spacing w:after="0" w:line="1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52" w:name="page153"/>
    <w:bookmarkEnd w:id="152"/>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in connection with Permitted Warrant Transactions by set-off, netting and/or payment of an early termination payment or similar payment thereunder, in each case, after using commercially reasonable efforts to satisfy such obligation (or the portion thereof remaining after giving effect to any netting or set-off against termination or similar payments under an applicable Permitted Bond Hedge Transaction) by delivery of shares of the Borrower’s Common Stock shall be deemed to be a payment obligation required to be satisfied in cash); and</w:t>
      </w:r>
    </w:p>
    <w:p>
      <w:pPr>
        <w:spacing w:after="0" w:line="157" w:lineRule="exact"/>
        <w:rPr>
          <w:sz w:val="20"/>
          <w:szCs w:val="20"/>
          <w:color w:val="auto"/>
        </w:rPr>
      </w:pPr>
    </w:p>
    <w:p>
      <w:pPr>
        <w:ind w:left="380" w:right="380" w:firstLine="750"/>
        <w:spacing w:after="0" w:line="284" w:lineRule="auto"/>
        <w:tabs>
          <w:tab w:leader="none" w:pos="1879"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acquire shares or other Equity Interests or cash or a combination thereof under the terms of any Permitted Bond Hedge Transaction or Permitted Warrant Transaction.</w:t>
      </w:r>
    </w:p>
    <w:p>
      <w:pPr>
        <w:spacing w:after="0" w:line="125" w:lineRule="exact"/>
        <w:rPr>
          <w:rFonts w:ascii="Times New Roman" w:cs="Times New Roman" w:eastAsia="Times New Roman" w:hAnsi="Times New Roman"/>
          <w:sz w:val="20"/>
          <w:szCs w:val="20"/>
          <w:color w:val="auto"/>
        </w:rPr>
      </w:pPr>
    </w:p>
    <w:p>
      <w:pPr>
        <w:jc w:val="both"/>
        <w:ind w:left="-460" w:firstLine="747"/>
        <w:spacing w:after="0" w:line="260" w:lineRule="auto"/>
        <w:tabs>
          <w:tab w:leader="none" w:pos="10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49" w:lineRule="exact"/>
        <w:rPr>
          <w:rFonts w:ascii="Times New Roman" w:cs="Times New Roman" w:eastAsia="Times New Roman" w:hAnsi="Times New Roman"/>
          <w:sz w:val="20"/>
          <w:szCs w:val="20"/>
          <w:color w:val="auto"/>
        </w:rPr>
      </w:pPr>
    </w:p>
    <w:p>
      <w:pPr>
        <w:jc w:val="both"/>
        <w:ind w:left="-460" w:firstLine="747"/>
        <w:spacing w:after="0" w:line="252" w:lineRule="auto"/>
        <w:tabs>
          <w:tab w:leader="none" w:pos="10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Mergers and Consolidations. Except for Permitted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w:t>
      </w:r>
    </w:p>
    <w:p>
      <w:pPr>
        <w:spacing w:after="0" w:line="171" w:lineRule="exact"/>
        <w:rPr>
          <w:rFonts w:ascii="Times New Roman" w:cs="Times New Roman" w:eastAsia="Times New Roman" w:hAnsi="Times New Roman"/>
          <w:sz w:val="20"/>
          <w:szCs w:val="20"/>
          <w:color w:val="auto"/>
        </w:rPr>
      </w:pPr>
    </w:p>
    <w:p>
      <w:pPr>
        <w:jc w:val="both"/>
        <w:ind w:left="-460" w:firstLine="747"/>
        <w:spacing w:after="0" w:line="247" w:lineRule="auto"/>
        <w:tabs>
          <w:tab w:leader="none" w:pos="10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75" w:lineRule="exact"/>
        <w:rPr>
          <w:rFonts w:ascii="Times New Roman" w:cs="Times New Roman" w:eastAsia="Times New Roman" w:hAnsi="Times New Roman"/>
          <w:sz w:val="20"/>
          <w:szCs w:val="20"/>
          <w:color w:val="auto"/>
        </w:rPr>
      </w:pPr>
    </w:p>
    <w:p>
      <w:pPr>
        <w:jc w:val="both"/>
        <w:ind w:left="-460" w:firstLine="747"/>
        <w:spacing w:after="0" w:line="245" w:lineRule="auto"/>
        <w:tabs>
          <w:tab w:leader="none" w:pos="10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(u) sales of Inventory in the ordinary course of business and Permitted Transfers, (v) relocations of Equipment and other property having an aggregate value of up to $250,000 in any fiscal year, (w) relocations of Collateral from a location described on Exhibit B to another location described on Exhibit B, (x) locations of mobile equipment, including phones, tablets and computers with employees and consultants in the ordinary course of business, (y) locations where Collateral may be temporarily located for sales, testing or demonstration purposes in</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53" w:name="page154"/>
    <w:bookmarkEnd w:id="153"/>
    <w:p>
      <w:pPr>
        <w:jc w:val="both"/>
        <w:ind w:left="660"/>
        <w:spacing w:after="0" w:line="257" w:lineRule="auto"/>
        <w:rPr>
          <w:sz w:val="20"/>
          <w:szCs w:val="20"/>
          <w:color w:val="auto"/>
        </w:rPr>
      </w:pPr>
      <w:r>
        <w:rPr>
          <w:rFonts w:ascii="Times New Roman" w:cs="Times New Roman" w:eastAsia="Times New Roman" w:hAnsi="Times New Roman"/>
          <w:sz w:val="20"/>
          <w:szCs w:val="20"/>
          <w:color w:val="auto"/>
        </w:rPr>
        <w:t>the ordinary course of business, (z) locations where biopharmaceutical compounds and therapeutic materials are located in the ordinary course of business in connection with clinical trials and development arrangements)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152" w:lineRule="exact"/>
        <w:rPr>
          <w:sz w:val="20"/>
          <w:szCs w:val="20"/>
          <w:color w:val="auto"/>
        </w:rPr>
      </w:pPr>
    </w:p>
    <w:p>
      <w:pPr>
        <w:jc w:val="both"/>
        <w:ind w:left="660" w:firstLine="747"/>
        <w:spacing w:after="0" w:line="252" w:lineRule="auto"/>
        <w:tabs>
          <w:tab w:leader="none" w:pos="215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Accounts. Neither Borrower nor any Subsidiary (other than Excluded Subsidiaries) shall maintain any Deposit Accounts, or accounts holding Investment Property, except with respect to which Agent has an Account Control Agreement; provided that no Account Control Agreement shall be required for Excluded Accounts. No Excluded Subsidiary shall maintain any Deposit Accounts, or accounts holding Investment Property holding more than Five Hundred Thousand Dollars ($500,000) in the aggregate for all such Accounts of all Excluded Subsidiaries at any time.</w:t>
      </w:r>
    </w:p>
    <w:p>
      <w:pPr>
        <w:spacing w:after="0" w:line="157" w:lineRule="exact"/>
        <w:rPr>
          <w:rFonts w:ascii="Times New Roman" w:cs="Times New Roman" w:eastAsia="Times New Roman" w:hAnsi="Times New Roman"/>
          <w:sz w:val="20"/>
          <w:szCs w:val="20"/>
          <w:color w:val="auto"/>
        </w:rPr>
      </w:pPr>
    </w:p>
    <w:p>
      <w:pPr>
        <w:jc w:val="both"/>
        <w:ind w:left="660" w:firstLine="747"/>
        <w:spacing w:after="0" w:line="249" w:lineRule="auto"/>
        <w:tabs>
          <w:tab w:leader="none" w:pos="215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notify Agent of each Subsidiary formed or acquired subsequent to the Closing Date and, at within 20 days such formation or acquisition (including, without limitation, pursuant to a division), as applicable, unless otherwise approved in writing by Agent in its sole discretion, shall cause any such Subsidiary (other than Excluded Subsidiaries) to execute and deliver to Agent a Joinder Agreement. If at any time, the Excluded Subsidiary Condition is not satisfied, Borrower shall promptly cause one or more Subsidiaries to execute and deliver to Agent a Joinder Agreement such that, after giving effect to such Joinder Agreement, the Excluded Subsidiary Conditions is satisfied.</w:t>
      </w:r>
    </w:p>
    <w:p>
      <w:pPr>
        <w:spacing w:after="0" w:line="160" w:lineRule="exact"/>
        <w:rPr>
          <w:rFonts w:ascii="Times New Roman" w:cs="Times New Roman" w:eastAsia="Times New Roman" w:hAnsi="Times New Roman"/>
          <w:sz w:val="20"/>
          <w:szCs w:val="20"/>
          <w:color w:val="auto"/>
        </w:rPr>
      </w:pPr>
    </w:p>
    <w:p>
      <w:pPr>
        <w:jc w:val="both"/>
        <w:ind w:left="660" w:firstLine="747"/>
        <w:spacing w:after="0" w:line="260" w:lineRule="auto"/>
        <w:tabs>
          <w:tab w:leader="none" w:pos="215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Subsidiaries. Borrower shall not permit the Excluded Subsidiaries to: (a) have outstanding liabilities in excess of $750,000 in the aggregate at any time, or (b) own any Intellectual Property material to the business of Borrower or Borrower and its Subsidiaries, taken as a whole.</w:t>
      </w:r>
    </w:p>
    <w:p>
      <w:pPr>
        <w:spacing w:after="0" w:line="149" w:lineRule="exact"/>
        <w:rPr>
          <w:rFonts w:ascii="Times New Roman" w:cs="Times New Roman" w:eastAsia="Times New Roman" w:hAnsi="Times New Roman"/>
          <w:sz w:val="20"/>
          <w:szCs w:val="20"/>
          <w:color w:val="auto"/>
        </w:rPr>
      </w:pPr>
    </w:p>
    <w:p>
      <w:pPr>
        <w:ind w:left="2160" w:hanging="753"/>
        <w:spacing w:after="0"/>
        <w:tabs>
          <w:tab w:leader="none" w:pos="21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Notification of Event of Default. Borrower shall notify Agent immediately of the occurrence of any Event of</w:t>
      </w:r>
    </w:p>
    <w:p>
      <w:pPr>
        <w:spacing w:after="0" w:line="3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w:t>
      </w:r>
    </w:p>
    <w:p>
      <w:pPr>
        <w:spacing w:after="0" w:line="177" w:lineRule="exact"/>
        <w:rPr>
          <w:rFonts w:ascii="Times New Roman" w:cs="Times New Roman" w:eastAsia="Times New Roman" w:hAnsi="Times New Roman"/>
          <w:sz w:val="20"/>
          <w:szCs w:val="20"/>
          <w:color w:val="auto"/>
        </w:rPr>
      </w:pPr>
    </w:p>
    <w:p>
      <w:pPr>
        <w:ind w:left="660" w:firstLine="747"/>
        <w:spacing w:after="0" w:line="284" w:lineRule="auto"/>
        <w:tabs>
          <w:tab w:leader="none" w:pos="215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Product Notices. The Borrower shall promptly (but in any event within three (3) days) after the receipt or occurrence thereof notify Agent of:</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2260"/>
              <w:spacing w:after="0"/>
              <w:rPr>
                <w:sz w:val="20"/>
                <w:szCs w:val="20"/>
                <w:color w:val="auto"/>
              </w:rPr>
            </w:pPr>
            <w:r>
              <w:rPr>
                <w:rFonts w:ascii="Times New Roman" w:cs="Times New Roman" w:eastAsia="Times New Roman" w:hAnsi="Times New Roman"/>
                <w:sz w:val="20"/>
                <w:szCs w:val="20"/>
                <w:color w:val="010000"/>
              </w:rPr>
              <w:t>(i)</w:t>
            </w:r>
          </w:p>
        </w:tc>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any written notice received by Borrower or its Subsidiaries alleging potential or</w:t>
            </w:r>
          </w:p>
        </w:tc>
      </w:tr>
      <w:tr>
        <w:trPr>
          <w:trHeight w:val="262"/>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actual violations of any Public Health Law by Borrower or its Subsidiaries,</w:t>
            </w:r>
          </w:p>
        </w:tc>
      </w:tr>
      <w:tr>
        <w:trPr>
          <w:trHeight w:val="408"/>
        </w:trPr>
        <w:tc>
          <w:tcPr>
            <w:tcW w:w="3520" w:type="dxa"/>
            <w:vAlign w:val="bottom"/>
          </w:tcPr>
          <w:p>
            <w:pPr>
              <w:ind w:left="2260"/>
              <w:spacing w:after="0"/>
              <w:rPr>
                <w:sz w:val="20"/>
                <w:szCs w:val="20"/>
                <w:color w:val="auto"/>
              </w:rPr>
            </w:pPr>
            <w:r>
              <w:rPr>
                <w:rFonts w:ascii="Times New Roman" w:cs="Times New Roman" w:eastAsia="Times New Roman" w:hAnsi="Times New Roman"/>
                <w:sz w:val="20"/>
                <w:szCs w:val="20"/>
                <w:color w:val="010000"/>
              </w:rPr>
              <w:t>(ii)</w:t>
            </w:r>
          </w:p>
        </w:tc>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any  written  notice  that  the  FDA  (or  international  equivalent)  is  limiting,</w:t>
            </w:r>
          </w:p>
        </w:tc>
      </w:tr>
      <w:tr>
        <w:trPr>
          <w:trHeight w:val="262"/>
        </w:trPr>
        <w:tc>
          <w:tcPr>
            <w:tcW w:w="11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suspending or revoking any Registration (including, but not limited to, by the issuance of a clinical hold),</w:t>
            </w:r>
          </w:p>
        </w:tc>
      </w:tr>
      <w:tr>
        <w:trPr>
          <w:trHeight w:val="408"/>
        </w:trPr>
        <w:tc>
          <w:tcPr>
            <w:tcW w:w="3520" w:type="dxa"/>
            <w:vAlign w:val="bottom"/>
          </w:tcPr>
          <w:p>
            <w:pPr>
              <w:ind w:left="2260"/>
              <w:spacing w:after="0"/>
              <w:rPr>
                <w:sz w:val="20"/>
                <w:szCs w:val="20"/>
                <w:color w:val="auto"/>
              </w:rPr>
            </w:pPr>
            <w:r>
              <w:rPr>
                <w:rFonts w:ascii="Times New Roman" w:cs="Times New Roman" w:eastAsia="Times New Roman" w:hAnsi="Times New Roman"/>
                <w:sz w:val="20"/>
                <w:szCs w:val="20"/>
                <w:color w:val="010000"/>
              </w:rPr>
              <w:t>(iii)</w:t>
            </w:r>
          </w:p>
        </w:tc>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any written notice that Borrower or its Subsidiaries has become subject to any</w:t>
            </w:r>
          </w:p>
        </w:tc>
      </w:tr>
      <w:tr>
        <w:trPr>
          <w:trHeight w:val="262"/>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Regulatory Action,</w:t>
            </w:r>
          </w:p>
        </w:tc>
        <w:tc>
          <w:tcPr>
            <w:tcW w:w="7720" w:type="dxa"/>
            <w:vAlign w:val="bottom"/>
          </w:tcPr>
          <w:p>
            <w:pPr>
              <w:spacing w:after="0"/>
              <w:rPr>
                <w:sz w:val="22"/>
                <w:szCs w:val="22"/>
                <w:color w:val="auto"/>
              </w:rPr>
            </w:pPr>
          </w:p>
        </w:tc>
      </w:tr>
      <w:tr>
        <w:trPr>
          <w:trHeight w:val="430"/>
        </w:trPr>
        <w:tc>
          <w:tcPr>
            <w:tcW w:w="3520" w:type="dxa"/>
            <w:vAlign w:val="bottom"/>
          </w:tcPr>
          <w:p>
            <w:pPr>
              <w:ind w:left="2260"/>
              <w:spacing w:after="0"/>
              <w:rPr>
                <w:sz w:val="20"/>
                <w:szCs w:val="20"/>
                <w:color w:val="auto"/>
              </w:rPr>
            </w:pPr>
            <w:r>
              <w:rPr>
                <w:rFonts w:ascii="Times New Roman" w:cs="Times New Roman" w:eastAsia="Times New Roman" w:hAnsi="Times New Roman"/>
                <w:sz w:val="20"/>
                <w:szCs w:val="20"/>
                <w:color w:val="010000"/>
              </w:rPr>
              <w:t>(iv)</w:t>
            </w:r>
          </w:p>
        </w:tc>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  exclusion  or  debarment  from  any  governmental  healthcare  program  or</w:t>
            </w:r>
          </w:p>
        </w:tc>
      </w:tr>
    </w:tbl>
    <w:p>
      <w:pPr>
        <w:ind w:left="5520" w:right="560" w:hanging="5521"/>
        <w:spacing w:after="0" w:line="432" w:lineRule="auto"/>
        <w:rPr>
          <w:sz w:val="20"/>
          <w:szCs w:val="20"/>
          <w:color w:val="auto"/>
        </w:rPr>
      </w:pPr>
      <w:r>
        <w:rPr>
          <w:rFonts w:ascii="Times New Roman" w:cs="Times New Roman" w:eastAsia="Times New Roman" w:hAnsi="Times New Roman"/>
          <w:sz w:val="20"/>
          <w:szCs w:val="20"/>
          <w:color w:val="auto"/>
        </w:rPr>
        <w:t>debarment or disqualification by FDA (or international equivalent) of Borrower or its Subsidiaries or its or their authorized officers,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-30480</wp:posOffset>
            </wp:positionV>
            <wp:extent cx="7166610"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4" w:name="page155"/>
    <w:bookmarkEnd w:id="154"/>
    <w:p>
      <w:pPr>
        <w:jc w:val="both"/>
        <w:ind w:firstLine="2249"/>
        <w:spacing w:after="0" w:line="260" w:lineRule="auto"/>
        <w:rPr>
          <w:sz w:val="20"/>
          <w:szCs w:val="20"/>
          <w:color w:val="auto"/>
        </w:rPr>
      </w:pPr>
      <w:r>
        <w:rPr>
          <w:rFonts w:ascii="Times New Roman" w:cs="Times New Roman" w:eastAsia="Times New Roman" w:hAnsi="Times New Roman"/>
          <w:sz w:val="20"/>
          <w:szCs w:val="20"/>
          <w:color w:val="010000"/>
        </w:rPr>
        <w:t xml:space="preserve">(v) </w:t>
      </w:r>
      <w:r>
        <w:rPr>
          <w:rFonts w:ascii="Times New Roman" w:cs="Times New Roman" w:eastAsia="Times New Roman" w:hAnsi="Times New Roman"/>
          <w:sz w:val="20"/>
          <w:szCs w:val="20"/>
          <w:color w:val="000000"/>
        </w:rPr>
        <w:t>any notice that a Borrower or any Subsidiary, or any of their licensees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sublicensees (including licensees or sublicensees under any Material Agreement), is being investigated or is the subject of any allegation of potential or actual violations of any Federal Health Care Program Laws,</w:t>
      </w:r>
    </w:p>
    <w:p>
      <w:pPr>
        <w:spacing w:after="0" w:line="162" w:lineRule="exact"/>
        <w:rPr>
          <w:sz w:val="20"/>
          <w:szCs w:val="20"/>
          <w:color w:val="auto"/>
        </w:rPr>
      </w:pPr>
    </w:p>
    <w:p>
      <w:pPr>
        <w:jc w:val="both"/>
        <w:ind w:firstLine="2249"/>
        <w:spacing w:after="0" w:line="252" w:lineRule="auto"/>
        <w:rPr>
          <w:sz w:val="20"/>
          <w:szCs w:val="20"/>
          <w:color w:val="auto"/>
        </w:rPr>
      </w:pPr>
      <w:r>
        <w:rPr>
          <w:rFonts w:ascii="Times New Roman" w:cs="Times New Roman" w:eastAsia="Times New Roman" w:hAnsi="Times New Roman"/>
          <w:sz w:val="20"/>
          <w:szCs w:val="20"/>
          <w:color w:val="010000"/>
        </w:rPr>
        <w:t xml:space="preserve">(vi) </w:t>
      </w:r>
      <w:r>
        <w:rPr>
          <w:rFonts w:ascii="Times New Roman" w:cs="Times New Roman" w:eastAsia="Times New Roman" w:hAnsi="Times New Roman"/>
          <w:sz w:val="20"/>
          <w:szCs w:val="20"/>
          <w:color w:val="000000"/>
        </w:rPr>
        <w:t>any written notice that any product of Borrower or its Subsidiaries has been seized,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withdrawn, recalled, detained, or subject to a suspension of manufacturing, or the commencement of any proceedings in the United States or any other jurisdiction seeking the withdrawal, recall, suspension, import detention, or seizure of any Borrower Product are pending or threatened in writing against Borrower or its Subsidiaries,</w:t>
      </w:r>
    </w:p>
    <w:p>
      <w:pPr>
        <w:spacing w:after="0" w:line="159" w:lineRule="exact"/>
        <w:rPr>
          <w:sz w:val="20"/>
          <w:szCs w:val="20"/>
          <w:color w:val="auto"/>
        </w:rPr>
      </w:pPr>
    </w:p>
    <w:p>
      <w:pPr>
        <w:ind w:firstLine="2249"/>
        <w:spacing w:after="0" w:line="284" w:lineRule="auto"/>
        <w:rPr>
          <w:sz w:val="20"/>
          <w:szCs w:val="20"/>
          <w:color w:val="auto"/>
        </w:rPr>
      </w:pPr>
      <w:r>
        <w:rPr>
          <w:rFonts w:ascii="Times New Roman" w:cs="Times New Roman" w:eastAsia="Times New Roman" w:hAnsi="Times New Roman"/>
          <w:sz w:val="20"/>
          <w:szCs w:val="20"/>
          <w:color w:val="010000"/>
        </w:rPr>
        <w:t xml:space="preserve">(vii) </w:t>
      </w:r>
      <w:r>
        <w:rPr>
          <w:rFonts w:ascii="Times New Roman" w:cs="Times New Roman" w:eastAsia="Times New Roman" w:hAnsi="Times New Roman"/>
          <w:sz w:val="20"/>
          <w:szCs w:val="20"/>
          <w:color w:val="000000"/>
        </w:rPr>
        <w:t>changing the scope of marketing authorization or the labeling of the products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 and its Subsidiaries under any such Registration, or</w:t>
      </w:r>
    </w:p>
    <w:p>
      <w:pPr>
        <w:sectPr>
          <w:pgSz w:w="11900" w:h="16838" w:orient="portrait"/>
          <w:cols w:equalWidth="0" w:num="1">
            <w:col w:w="11240"/>
          </w:cols>
          <w:pgMar w:left="320" w:top="544" w:right="339" w:bottom="1440" w:gutter="0" w:footer="0" w:header="0"/>
        </w:sectPr>
      </w:pP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010000"/>
        </w:rPr>
        <w:t>(viii)</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0"/>
          <w:szCs w:val="20"/>
          <w:color w:val="auto"/>
        </w:rPr>
        <w:t>considering or implementing any other such regulatory action,</w:t>
      </w:r>
    </w:p>
    <w:p>
      <w:pPr>
        <w:spacing w:after="0" w:line="200" w:lineRule="exact"/>
        <w:rPr>
          <w:sz w:val="20"/>
          <w:szCs w:val="20"/>
          <w:color w:val="auto"/>
        </w:rPr>
      </w:pPr>
    </w:p>
    <w:p>
      <w:pPr>
        <w:sectPr>
          <w:pgSz w:w="11900" w:h="16838" w:orient="portrait"/>
          <w:cols w:equalWidth="0" w:num="2">
            <w:col w:w="3780" w:space="720"/>
            <w:col w:w="6740"/>
          </w:cols>
          <w:pgMar w:left="320" w:top="544" w:right="339" w:bottom="1440" w:gutter="0" w:footer="0" w:header="0"/>
          <w:type w:val="continuous"/>
        </w:sectPr>
      </w:pPr>
    </w:p>
    <w:p>
      <w:pPr>
        <w:spacing w:after="0" w:line="284" w:lineRule="auto"/>
        <w:rPr>
          <w:sz w:val="20"/>
          <w:szCs w:val="20"/>
          <w:color w:val="auto"/>
        </w:rPr>
      </w:pPr>
      <w:r>
        <w:rPr>
          <w:rFonts w:ascii="Times New Roman" w:cs="Times New Roman" w:eastAsia="Times New Roman" w:hAnsi="Times New Roman"/>
          <w:sz w:val="20"/>
          <w:szCs w:val="20"/>
          <w:color w:val="auto"/>
        </w:rPr>
        <w:t>except, in each case of (i) through (viii) above, where such action would not reasonably be expected to have, either individually or in the aggregate, Material Regulatory Liabilities.</w:t>
      </w:r>
    </w:p>
    <w:p>
      <w:pPr>
        <w:spacing w:after="0" w:line="125" w:lineRule="exact"/>
        <w:rPr>
          <w:sz w:val="20"/>
          <w:szCs w:val="20"/>
          <w:color w:val="auto"/>
        </w:rPr>
      </w:pPr>
    </w:p>
    <w:p>
      <w:pPr>
        <w:jc w:val="both"/>
        <w:ind w:left="660" w:firstLine="747"/>
        <w:spacing w:after="0" w:line="260" w:lineRule="auto"/>
        <w:tabs>
          <w:tab w:leader="none" w:pos="215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Proceeds. Borrower agrees that the proceeds of the Loans shall be used solely to refinance existing indebtedness, to pay related fees and expenses in connection with this Agreement and for working capital and general corporate purposes. The proceeds of the Loans will not be used in violation of Anti-Corruption Laws or applicable Sanctions.</w:t>
      </w:r>
    </w:p>
    <w:p>
      <w:pPr>
        <w:spacing w:after="0" w:line="149" w:lineRule="exact"/>
        <w:rPr>
          <w:rFonts w:ascii="Times New Roman" w:cs="Times New Roman" w:eastAsia="Times New Roman" w:hAnsi="Times New Roman"/>
          <w:sz w:val="20"/>
          <w:szCs w:val="20"/>
          <w:color w:val="auto"/>
        </w:rPr>
      </w:pPr>
    </w:p>
    <w:p>
      <w:pPr>
        <w:jc w:val="both"/>
        <w:ind w:left="660" w:firstLine="747"/>
        <w:spacing w:after="0" w:line="260" w:lineRule="auto"/>
        <w:tabs>
          <w:tab w:leader="none" w:pos="215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Agreement. The Borrower shall not, without the consent of the Agent, materially amend or terminate the Antecip License Agreement. The Borrower shall give prompt written notice to the Agent of entering into a Material Agreement or materially amending or terminating a Material Agreement.</w:t>
      </w:r>
    </w:p>
    <w:p>
      <w:pPr>
        <w:spacing w:after="0" w:line="149" w:lineRule="exact"/>
        <w:rPr>
          <w:rFonts w:ascii="Times New Roman" w:cs="Times New Roman" w:eastAsia="Times New Roman" w:hAnsi="Times New Roman"/>
          <w:sz w:val="20"/>
          <w:szCs w:val="20"/>
          <w:color w:val="auto"/>
        </w:rPr>
      </w:pPr>
    </w:p>
    <w:p>
      <w:pPr>
        <w:ind w:left="2160" w:hanging="753"/>
        <w:spacing w:after="0"/>
        <w:tabs>
          <w:tab w:leader="none" w:pos="216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Laws.</w:t>
      </w:r>
    </w:p>
    <w:p>
      <w:pPr>
        <w:spacing w:after="0" w:line="212" w:lineRule="exact"/>
        <w:rPr>
          <w:sz w:val="20"/>
          <w:szCs w:val="20"/>
          <w:color w:val="auto"/>
        </w:rPr>
      </w:pPr>
    </w:p>
    <w:p>
      <w:pPr>
        <w:jc w:val="both"/>
        <w:ind w:left="660" w:firstLine="1499"/>
        <w:spacing w:after="0" w:line="249" w:lineRule="auto"/>
        <w:rPr>
          <w:sz w:val="20"/>
          <w:szCs w:val="20"/>
          <w:color w:val="auto"/>
        </w:rPr>
      </w:pPr>
      <w:r>
        <w:rPr>
          <w:rFonts w:ascii="Times New Roman" w:cs="Times New Roman" w:eastAsia="Times New Roman" w:hAnsi="Times New Roman"/>
          <w:sz w:val="20"/>
          <w:szCs w:val="20"/>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 except where a failure to do so could not reasonably be expected to have a Material Adverse Effect.</w:t>
      </w:r>
    </w:p>
    <w:p>
      <w:pPr>
        <w:spacing w:after="0" w:line="172" w:lineRule="exact"/>
        <w:rPr>
          <w:sz w:val="20"/>
          <w:szCs w:val="20"/>
          <w:color w:val="auto"/>
        </w:rPr>
      </w:pPr>
    </w:p>
    <w:p>
      <w:pPr>
        <w:jc w:val="both"/>
        <w:ind w:left="660" w:firstLine="1499"/>
        <w:spacing w:after="0" w:line="249" w:lineRule="auto"/>
        <w:rPr>
          <w:sz w:val="20"/>
          <w:szCs w:val="20"/>
          <w:color w:val="auto"/>
        </w:rPr>
      </w:pPr>
      <w:r>
        <w:rPr>
          <w:rFonts w:ascii="Times New Roman" w:cs="Times New Roman" w:eastAsia="Times New Roman" w:hAnsi="Times New Roman"/>
          <w:sz w:val="20"/>
          <w:szCs w:val="20"/>
          <w:color w:val="auto"/>
        </w:rPr>
        <w:t>Neither Borrower nor any of its Subsidiaries shall, nor shall Borrower or any of its Subsidiaries permit any Affiliate controlled by Borrower to, directly or indirectly, knowingly enter into any documents, instruments, agreements or contracts with any Person listed on the OFAC Lists. Neither Borrower nor any of its Subsidiaries shall, nor shall Borrower or any of its Subsidiaries, permit any Affiliate controlled by Borrower to, directly or indirectly, (i) conduct any business or engage in any transaction or dealing with any Blocked Person, including, without limitation, the making or receiving of any contribution of funds, goods or services to or for the benefit of any Blocked Person, (ii) deal in,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55" w:name="page156"/>
    <w:bookmarkEnd w:id="155"/>
    <w:p>
      <w:pPr>
        <w:jc w:val="both"/>
        <w:ind w:left="100"/>
        <w:spacing w:after="0" w:line="248" w:lineRule="exact"/>
        <w:rPr>
          <w:sz w:val="20"/>
          <w:szCs w:val="20"/>
          <w:color w:val="auto"/>
        </w:rPr>
      </w:pPr>
      <w:r>
        <w:rPr>
          <w:rFonts w:ascii="Times New Roman" w:cs="Times New Roman" w:eastAsia="Times New Roman" w:hAnsi="Times New Roman"/>
          <w:sz w:val="20"/>
          <w:szCs w:val="20"/>
          <w:color w:val="auto"/>
        </w:rPr>
        <w:t>otherwise engage in any transaction relating to, any property or interests in property blocked pursuant to Executive Order No. 13224 or any similar executive order or other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Terrorism Law.</w:t>
      </w:r>
    </w:p>
    <w:p>
      <w:pPr>
        <w:spacing w:after="0" w:line="148"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71" w:lineRule="exact"/>
        <w:rPr>
          <w:sz w:val="20"/>
          <w:szCs w:val="20"/>
          <w:color w:val="auto"/>
        </w:rPr>
      </w:pPr>
    </w:p>
    <w:p>
      <w:pPr>
        <w:jc w:val="both"/>
        <w:ind w:firstLine="1499"/>
        <w:spacing w:after="0" w:line="252" w:lineRule="auto"/>
        <w:rPr>
          <w:sz w:val="20"/>
          <w:szCs w:val="20"/>
          <w:color w:val="auto"/>
        </w:rPr>
      </w:pPr>
      <w:r>
        <w:rPr>
          <w:rFonts w:ascii="Times New Roman" w:cs="Times New Roman" w:eastAsia="Times New Roman" w:hAnsi="Times New Roman"/>
          <w:sz w:val="20"/>
          <w:szCs w:val="20"/>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59" w:lineRule="exact"/>
        <w:rPr>
          <w:sz w:val="20"/>
          <w:szCs w:val="20"/>
          <w:color w:val="auto"/>
        </w:rPr>
      </w:pPr>
    </w:p>
    <w:p>
      <w:pPr>
        <w:ind w:left="1600" w:hanging="753"/>
        <w:spacing w:after="0"/>
        <w:tabs>
          <w:tab w:leader="none" w:pos="16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Covenants.</w:t>
      </w:r>
    </w:p>
    <w:p>
      <w:pPr>
        <w:spacing w:after="0" w:line="199" w:lineRule="exact"/>
        <w:rPr>
          <w:rFonts w:ascii="Times New Roman" w:cs="Times New Roman" w:eastAsia="Times New Roman" w:hAnsi="Times New Roman"/>
          <w:sz w:val="20"/>
          <w:szCs w:val="20"/>
          <w:color w:val="auto"/>
        </w:rPr>
      </w:pPr>
    </w:p>
    <w:p>
      <w:pPr>
        <w:ind w:left="1700" w:hanging="760"/>
        <w:spacing w:after="0"/>
        <w:tabs>
          <w:tab w:leader="none" w:pos="17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Cash.</w:t>
      </w:r>
    </w:p>
    <w:p>
      <w:pPr>
        <w:spacing w:after="0" w:line="212" w:lineRule="exact"/>
        <w:rPr>
          <w:rFonts w:ascii="Times New Roman" w:cs="Times New Roman" w:eastAsia="Times New Roman" w:hAnsi="Times New Roman"/>
          <w:sz w:val="20"/>
          <w:szCs w:val="20"/>
          <w:color w:val="auto"/>
        </w:rPr>
      </w:pPr>
    </w:p>
    <w:p>
      <w:pPr>
        <w:jc w:val="both"/>
        <w:ind w:left="940" w:firstLine="750"/>
        <w:spacing w:after="0" w:line="249" w:lineRule="auto"/>
        <w:tabs>
          <w:tab w:leader="none" w:pos="2439"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Second Amendment Closing Date, Borrower shall thereafter maintain Qualified Cash in an amount greater than or equal to the sum of Forty Million Dollars ($40,000,000)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 at all times; provided that beginning on the AXS-05 Milestone Date, Borrower shall thereafter maintain Qualified Cash in an amount greater than or equal to the sum of Twenty Five Million Dollars ($25,000,000)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 at all times.</w:t>
      </w:r>
    </w:p>
    <w:p>
      <w:pPr>
        <w:spacing w:after="0" w:line="171" w:lineRule="exact"/>
        <w:rPr>
          <w:rFonts w:ascii="Times New Roman" w:cs="Times New Roman" w:eastAsia="Times New Roman" w:hAnsi="Times New Roman"/>
          <w:sz w:val="20"/>
          <w:szCs w:val="20"/>
          <w:color w:val="auto"/>
        </w:rPr>
      </w:pPr>
    </w:p>
    <w:p>
      <w:pPr>
        <w:jc w:val="both"/>
        <w:ind w:left="940" w:firstLine="750"/>
        <w:spacing w:after="0" w:line="252" w:lineRule="auto"/>
        <w:tabs>
          <w:tab w:leader="none" w:pos="2439" w:val="left"/>
        </w:tabs>
        <w:numPr>
          <w:ilvl w:val="2"/>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Borrower makes any payment in respect to the last sentence of the first paragraph of Section 7.7 or makes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58" w:lineRule="exact"/>
        <w:rPr>
          <w:rFonts w:ascii="Times New Roman" w:cs="Times New Roman" w:eastAsia="Times New Roman" w:hAnsi="Times New Roman"/>
          <w:sz w:val="20"/>
          <w:szCs w:val="20"/>
          <w:color w:val="auto"/>
        </w:rPr>
      </w:pPr>
    </w:p>
    <w:p>
      <w:pPr>
        <w:jc w:val="both"/>
        <w:ind w:left="200" w:firstLine="740"/>
        <w:spacing w:after="0" w:line="260" w:lineRule="auto"/>
        <w:tabs>
          <w:tab w:leader="none" w:pos="1699"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Covenant. If the Initial Performance Covenant Test Date has occurred, Borrower shall thereafter satisfy either of (i) Performance Covenant A or Performance Covenant B, tested at all times, or (ii) Performance Covenant C, tested quarterly.</w:t>
      </w:r>
    </w:p>
    <w:p>
      <w:pPr>
        <w:spacing w:after="0" w:line="162" w:lineRule="exact"/>
        <w:rPr>
          <w:rFonts w:ascii="Times New Roman" w:cs="Times New Roman" w:eastAsia="Times New Roman" w:hAnsi="Times New Roman"/>
          <w:sz w:val="20"/>
          <w:szCs w:val="20"/>
          <w:color w:val="auto"/>
        </w:rPr>
      </w:pPr>
    </w:p>
    <w:p>
      <w:pPr>
        <w:jc w:val="both"/>
        <w:ind w:left="100" w:firstLine="747"/>
        <w:spacing w:after="0" w:line="249" w:lineRule="auto"/>
        <w:tabs>
          <w:tab w:leader="none" w:pos="159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Each Borrower shall (i) protect, defend and maintain the validity and enforceability of its Intellectual Property that is material to the conduct of Borrower’s business; (ii) promptly advise Agent in writing of material infringements of its Intellectual Property; and (iii) not allow any Intellectual Property material to Borrowers’ business to be abandoned, forfeited or dedicated to the public without Agent’s written consent. If a Borrower (a) obtains any Patent, registered Trademark, registered Copyright,</w:t>
      </w:r>
    </w:p>
    <w:p>
      <w:pPr>
        <w:spacing w:after="0" w:line="14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106045</wp:posOffset>
            </wp:positionV>
            <wp:extent cx="7166610"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680"/>
          </w:cols>
          <w:pgMar w:left="880" w:top="544" w:right="339" w:bottom="1440" w:gutter="0" w:footer="0" w:header="0"/>
        </w:sectPr>
      </w:pPr>
    </w:p>
    <w:bookmarkStart w:id="156" w:name="page157"/>
    <w:bookmarkEnd w:id="156"/>
    <w:p>
      <w:pPr>
        <w:jc w:val="both"/>
        <w:ind w:left="3"/>
        <w:spacing w:after="0" w:line="243" w:lineRule="auto"/>
        <w:rPr>
          <w:sz w:val="20"/>
          <w:szCs w:val="20"/>
          <w:color w:val="auto"/>
        </w:rPr>
      </w:pPr>
      <w:r>
        <w:rPr>
          <w:rFonts w:ascii="Times New Roman" w:cs="Times New Roman" w:eastAsia="Times New Roman" w:hAnsi="Times New Roman"/>
          <w:sz w:val="20"/>
          <w:szCs w:val="20"/>
          <w:color w:val="auto"/>
        </w:rPr>
        <w:t>registered mask work, or any pending application for any of the foregoing, whether as owner, licensee or otherwise, or (b) applies for any Patent or the registration of any Trademark, then such Borrower shall concurrently with the delivery of the next Compliance Certificate required under Section 7.1(d), provide written notice thereof to Agent and shall execute such intellectual property security agreements and other documents and take such other actions as Agent may request in its good faith business judgment to perfect and maintain a first priority perfected security interest in favor of Agent in such property. If a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Except as set forth in the most recently delivered Compliance Certificate in accordance with Section 7.1(d), provide to Agent (x) copies of all applications that it files for Patents or for the registration of Trademarks, Copyrights or mask works, or (y) evidence that it has acquired any registered Trademarks, in each case, together with evidence of the recording of the intellectual property security agreement required for Agent to perfect and maintain a first priority perfected security interest in such property. Borrower shall, together with the delivery of the next Compliance Certificate referred to in Section 7.01(d), provide written notice to Agent of entering into or becoming bound by any Restricted License (other than over-the-counter software that is commercially available to the public). Borrower shall use its commercially reasonable efforts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spacing w:after="0" w:line="199" w:lineRule="exact"/>
        <w:rPr>
          <w:sz w:val="20"/>
          <w:szCs w:val="20"/>
          <w:color w:val="auto"/>
        </w:rPr>
      </w:pPr>
    </w:p>
    <w:p>
      <w:pPr>
        <w:jc w:val="both"/>
        <w:ind w:left="3" w:firstLine="747"/>
        <w:spacing w:after="0" w:line="247" w:lineRule="auto"/>
        <w:tabs>
          <w:tab w:leader="none" w:pos="150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Affiliates. Borrower shall not and shall not permit any Subsidiary to, directly or indirectly, enter into or permit to exist any transaction of any kind with any Affiliate of Borrower or such Subsidiary except for (a) transactions on terms that are not less favorable to Borrower or such Subsidiary, as the case may be, than those that might be obtained in an arm’s length transaction from a Person who is not an Affiliate of Borrower or such Subsidiary, (b) transactions between or among the Borrowers not involving any other Affiliate, (c) any Permitted Investment, (d) any Permitted Indebtedness,</w:t>
      </w:r>
    </w:p>
    <w:p>
      <w:pPr>
        <w:spacing w:after="0" w:line="1" w:lineRule="exact"/>
        <w:rPr>
          <w:rFonts w:ascii="Times New Roman" w:cs="Times New Roman" w:eastAsia="Times New Roman" w:hAnsi="Times New Roman"/>
          <w:sz w:val="20"/>
          <w:szCs w:val="20"/>
          <w:color w:val="auto"/>
        </w:rPr>
      </w:pPr>
    </w:p>
    <w:p>
      <w:pPr>
        <w:jc w:val="both"/>
        <w:ind w:left="3" w:hanging="3"/>
        <w:spacing w:after="0" w:line="245" w:lineRule="auto"/>
        <w:tabs>
          <w:tab w:leader="none" w:pos="28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Distributions permitted by Section 7.7, (f) any Permitted Transfers, (g) to the extend approved by the Borrower’s board of directors, the payment of reasonable fees to directors of Borrower who are not employees of Borrower or any Subsidiary, and compensation and employee benefit arrangements paid to, and indemnities provided for the benefit of, directors, officers or employees of Borrower or its Subsidiaries in the ordinary course of</w:t>
      </w:r>
    </w:p>
    <w:p>
      <w:pPr>
        <w:spacing w:after="0" w:line="138"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114300</wp:posOffset>
            </wp:positionV>
            <wp:extent cx="7166610"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57" w:name="page158"/>
    <w:bookmarkEnd w:id="157"/>
    <w:p>
      <w:pPr>
        <w:spacing w:after="0" w:line="284" w:lineRule="auto"/>
        <w:rPr>
          <w:sz w:val="20"/>
          <w:szCs w:val="20"/>
          <w:color w:val="auto"/>
        </w:rPr>
      </w:pPr>
      <w:r>
        <w:rPr>
          <w:rFonts w:ascii="Times New Roman" w:cs="Times New Roman" w:eastAsia="Times New Roman" w:hAnsi="Times New Roman"/>
          <w:sz w:val="20"/>
          <w:szCs w:val="20"/>
          <w:color w:val="auto"/>
        </w:rPr>
        <w:t>business, and (h) any contribution to the capital of Borrower or any purchase of Equity Interests of Borrower, in each case solely to the extent such transaction does not cause a Change in Control to occur.</w:t>
      </w:r>
    </w:p>
    <w:p>
      <w:pPr>
        <w:spacing w:after="0" w:line="125" w:lineRule="exact"/>
        <w:rPr>
          <w:sz w:val="20"/>
          <w:szCs w:val="20"/>
          <w:color w:val="auto"/>
        </w:rPr>
      </w:pPr>
    </w:p>
    <w:p>
      <w:pPr>
        <w:ind w:firstLine="747"/>
        <w:spacing w:after="0" w:line="284" w:lineRule="auto"/>
        <w:tabs>
          <w:tab w:leader="none" w:pos="149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Malta Subsidiary. The Malta Subsidiary shall not hold Cash outside of the United States in excess of $3,000,000 in the aggregate at any time outstanding.</w:t>
      </w:r>
    </w:p>
    <w:p>
      <w:pPr>
        <w:spacing w:after="0" w:line="1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8.</w:t>
      </w:r>
      <w:r>
        <w:rPr>
          <w:rFonts w:ascii="Times New Roman" w:cs="Times New Roman" w:eastAsia="Times New Roman" w:hAnsi="Times New Roman"/>
          <w:sz w:val="20"/>
          <w:szCs w:val="20"/>
          <w:b w:val="1"/>
          <w:bCs w:val="1"/>
          <w:u w:val="single" w:color="auto"/>
          <w:color w:val="auto"/>
        </w:rPr>
        <w:t>RIGHT TO INVEST</w:t>
      </w:r>
    </w:p>
    <w:p>
      <w:pPr>
        <w:spacing w:after="0" w:line="204" w:lineRule="exact"/>
        <w:rPr>
          <w:sz w:val="20"/>
          <w:szCs w:val="20"/>
          <w:color w:val="auto"/>
        </w:rPr>
      </w:pPr>
    </w:p>
    <w:p>
      <w:pPr>
        <w:jc w:val="both"/>
        <w:ind w:firstLine="747"/>
        <w:spacing w:after="0" w:line="245" w:lineRule="auto"/>
        <w:tabs>
          <w:tab w:leader="none" w:pos="149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provide (or in the case of a Subsequent Financing that is a registered offering, the Borrower shall use its commercially reasonable efforts to provide) the Lenders or their permitted assignees or nominees, designated as such in writing to Borrower, the opportunity, in their discretion, to participate in each Subsequent Financing in an amount of up to Five Million Dollars ($5,000,000), in the aggregate for all Lenders and their permitted assignees or nominees, in such Subsequent Financing on substantially the same terms, conditions and pricing afforded to other investors participating in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and the rules and regulations promulgated by the Securities and Exchange Commission thereunder. Borrower, or an investment bank or underwriter engaged on Borrower’s behalf, shall provide the Lenders or their permitted assignees or nominees at least three (3) Business Days’ written notice of any planned Subsequent Financing and the opportunity to exercise the right to invest under this Section 8.1 with respect to any such Subsequent Financing. This Section 8.1, and all rights and obligations hereunder, shall terminate upon the earliest to occur of (a) termination of this Agreement or (b) such time that the Lenders or their permitted assignees or nominees have purchased $5,000,000 of Borrower’s Equity Interests in the aggregate in Subsequent Financings.</w:t>
      </w:r>
    </w:p>
    <w:p>
      <w:pPr>
        <w:spacing w:after="0" w:line="168" w:lineRule="exact"/>
        <w:rPr>
          <w:rFonts w:ascii="Times New Roman" w:cs="Times New Roman" w:eastAsia="Times New Roman" w:hAnsi="Times New Roman"/>
          <w:sz w:val="20"/>
          <w:szCs w:val="20"/>
          <w:color w:val="auto"/>
        </w:rPr>
      </w:pPr>
    </w:p>
    <w:p>
      <w:pPr>
        <w:ind w:right="140" w:firstLine="747"/>
        <w:spacing w:after="0" w:line="247" w:lineRule="auto"/>
        <w:tabs>
          <w:tab w:leader="none" w:pos="149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provision, upon the Second Amendment Closing Date, the Lenders have agreed to purchase between $5,000,000 and $8,000,000 of unregistered Common Stock of the Borrower at a share price equal to the lesser of (a) the three-day volume weighted average price as of the Second Amendment Signing Date or (b) the three-day volume weighted average price as of the Second Amendment Closing Date; provided that in no case shall the share price be less than a 20% discount to the three-day volume weighted average price of Borrower’s common stock at the time of the purchase. Prior to the Second Amendment Closing Date, the parties will execute a mutually agreed upon stock purchase agreement with customary terms and provisions. For the avoidance of doubt, this investment will not count towards Lender’s existing $5,000,000 Right to Invest provided above.</w:t>
      </w:r>
    </w:p>
    <w:p>
      <w:pPr>
        <w:spacing w:after="0" w:line="16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9.</w:t>
      </w:r>
      <w:r>
        <w:rPr>
          <w:rFonts w:ascii="Times New Roman" w:cs="Times New Roman" w:eastAsia="Times New Roman" w:hAnsi="Times New Roman"/>
          <w:sz w:val="20"/>
          <w:szCs w:val="20"/>
          <w:b w:val="1"/>
          <w:bCs w:val="1"/>
          <w:u w:val="single" w:color="auto"/>
          <w:color w:val="auto"/>
        </w:rPr>
        <w:t>EVENTS OF DEFAULT</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occurrence of any one or more of the following events shall be an Event of Default:</w:t>
      </w:r>
    </w:p>
    <w:p>
      <w:pPr>
        <w:spacing w:after="0" w:line="1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58" w:name="page159"/>
    <w:bookmarkEnd w:id="158"/>
    <w:p>
      <w:pPr>
        <w:jc w:val="both"/>
        <w:ind w:left="3" w:firstLine="747"/>
        <w:spacing w:after="0" w:line="252" w:lineRule="auto"/>
        <w:tabs>
          <w:tab w:leader="none" w:pos="150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Borrower fails to pay any amount due under this Agreement or any of the other Loan Documents (other than the Warrant)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57" w:lineRule="exact"/>
        <w:rPr>
          <w:rFonts w:ascii="Times New Roman" w:cs="Times New Roman" w:eastAsia="Times New Roman" w:hAnsi="Times New Roman"/>
          <w:sz w:val="20"/>
          <w:szCs w:val="20"/>
          <w:color w:val="auto"/>
        </w:rPr>
      </w:pPr>
    </w:p>
    <w:p>
      <w:pPr>
        <w:jc w:val="both"/>
        <w:ind w:left="3" w:firstLine="747"/>
        <w:spacing w:after="0" w:line="247" w:lineRule="auto"/>
        <w:tabs>
          <w:tab w:leader="none" w:pos="150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4.4, 6, 7.4, 7.5, 7.6, 7.7, 7.8, 7.9, 7.15, 7.17, 7.18, 7.19, 7.20. 7.21, 7.22 and 7.23), any other Loan Document, or any other agreement among Borrower, Agent and the Lenders, such default continues for more than ten (10) days after the earlier of the date on which (i) Agent or the Lenders has given notice of such default to Borrower and (ii) Borrower has actual knowledge of such default or (b) with respect to a default under any of Sections 4.4, 6, 7.4, 7.5, 7.6, 7.7, 7.8, 7.9, 7.15, 7.17, 7.18, 7.19, 7.20. 7.21, 7.22 and 7.23, the occurrence of such default; or</w:t>
      </w: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jc w:val="both"/>
        <w:ind w:left="3" w:firstLine="747"/>
        <w:spacing w:after="0" w:line="252" w:lineRule="auto"/>
        <w:tabs>
          <w:tab w:leader="none" w:pos="150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Adverse Effect. A circumstance has occurred that could reasonably be expected to have a Material Adverse Effect; provided that, solely for purposes of this Section 9.3, the occurrence of any of the following, in and of itself, shall not constitute a Material Adverse Effect: (a) failure to achieve the AXS-05 Milestone, (b) failure to achieve the AXS-07 Milestone, or (c) adverse results or delays in any nonclinical or clinical trial, (d) the denial, delay or limitation of approval of the FDA with respect to any drug.</w:t>
      </w:r>
    </w:p>
    <w:p>
      <w:pPr>
        <w:spacing w:after="0" w:line="157" w:lineRule="exact"/>
        <w:rPr>
          <w:rFonts w:ascii="Times New Roman" w:cs="Times New Roman" w:eastAsia="Times New Roman" w:hAnsi="Times New Roman"/>
          <w:sz w:val="20"/>
          <w:szCs w:val="20"/>
          <w:color w:val="auto"/>
        </w:rPr>
      </w:pPr>
    </w:p>
    <w:p>
      <w:pPr>
        <w:ind w:left="3" w:firstLine="747"/>
        <w:spacing w:after="0" w:line="284" w:lineRule="auto"/>
        <w:tabs>
          <w:tab w:leader="none" w:pos="150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Representations. Any representation or warranty made by Borrower in any Loan Document or in the Warrant shall have been false or misleading in any material respect when made or when deemed made; or</w:t>
      </w:r>
    </w:p>
    <w:p>
      <w:pPr>
        <w:spacing w:after="0" w:line="125" w:lineRule="exact"/>
        <w:rPr>
          <w:rFonts w:ascii="Times New Roman" w:cs="Times New Roman" w:eastAsia="Times New Roman" w:hAnsi="Times New Roman"/>
          <w:sz w:val="20"/>
          <w:szCs w:val="20"/>
          <w:color w:val="auto"/>
        </w:rPr>
      </w:pPr>
    </w:p>
    <w:p>
      <w:pPr>
        <w:jc w:val="both"/>
        <w:ind w:left="3" w:firstLine="747"/>
        <w:spacing w:after="0" w:line="246" w:lineRule="auto"/>
        <w:tabs>
          <w:tab w:leader="none" w:pos="150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its operations of its business as its business has normally been conducted, or terminate substantially all of its employees; or</w:t>
      </w:r>
    </w:p>
    <w:p>
      <w:pPr>
        <w:spacing w:after="0" w:line="1" w:lineRule="exact"/>
        <w:rPr>
          <w:rFonts w:ascii="Times New Roman" w:cs="Times New Roman" w:eastAsia="Times New Roman" w:hAnsi="Times New Roman"/>
          <w:sz w:val="20"/>
          <w:szCs w:val="20"/>
          <w:color w:val="auto"/>
        </w:rPr>
      </w:pPr>
    </w:p>
    <w:p>
      <w:pPr>
        <w:jc w:val="both"/>
        <w:ind w:left="3" w:hanging="3"/>
        <w:spacing w:after="0" w:line="244" w:lineRule="auto"/>
        <w:tabs>
          <w:tab w:leader="none" w:pos="41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its directors or majority stockholders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w:t>
      </w:r>
    </w:p>
    <w:p>
      <w:pPr>
        <w:spacing w:after="0" w:line="142"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114300</wp:posOffset>
            </wp:positionV>
            <wp:extent cx="7166610"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59" w:name="page160"/>
    <w:bookmarkEnd w:id="159"/>
    <w:p>
      <w:pPr>
        <w:ind w:left="3"/>
        <w:spacing w:after="0"/>
        <w:rPr>
          <w:sz w:val="20"/>
          <w:szCs w:val="20"/>
          <w:color w:val="auto"/>
        </w:rPr>
      </w:pPr>
      <w:r>
        <w:rPr>
          <w:rFonts w:ascii="Times New Roman" w:cs="Times New Roman" w:eastAsia="Times New Roman" w:hAnsi="Times New Roman"/>
          <w:sz w:val="20"/>
          <w:szCs w:val="20"/>
          <w:color w:val="auto"/>
        </w:rPr>
        <w:t>any answer admitting or not contesting the material allegations of a petition filed against Borrower in any such proceedings; or</w:t>
      </w:r>
    </w:p>
    <w:p>
      <w:pPr>
        <w:spacing w:after="0" w:line="32" w:lineRule="exact"/>
        <w:rPr>
          <w:sz w:val="20"/>
          <w:szCs w:val="20"/>
          <w:color w:val="auto"/>
        </w:rPr>
      </w:pPr>
    </w:p>
    <w:p>
      <w:pPr>
        <w:jc w:val="both"/>
        <w:ind w:left="3" w:hanging="3"/>
        <w:spacing w:after="0" w:line="245" w:lineRule="auto"/>
        <w:tabs>
          <w:tab w:leader="none" w:pos="39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63" w:lineRule="exact"/>
        <w:rPr>
          <w:rFonts w:ascii="Times New Roman" w:cs="Times New Roman" w:eastAsia="Times New Roman" w:hAnsi="Times New Roman"/>
          <w:sz w:val="20"/>
          <w:szCs w:val="20"/>
          <w:color w:val="auto"/>
        </w:rPr>
      </w:pPr>
    </w:p>
    <w:p>
      <w:pPr>
        <w:jc w:val="both"/>
        <w:ind w:left="3" w:firstLine="747"/>
        <w:spacing w:after="0" w:line="249" w:lineRule="auto"/>
        <w:tabs>
          <w:tab w:leader="none" w:pos="150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$500,000, or Borrower is enjoined or in any way prevented by court order from conducting any part of its business as its business has normally been conducted and such attachment, seizure, levy, judgment or injunction is not, within fifteen (15) days after the occurrence thereof, satisfied, discharged, paid or stayed (whether through the posting of a bond or otherwise); or</w:t>
      </w:r>
    </w:p>
    <w:p>
      <w:pPr>
        <w:spacing w:after="0" w:line="173" w:lineRule="exact"/>
        <w:rPr>
          <w:rFonts w:ascii="Times New Roman" w:cs="Times New Roman" w:eastAsia="Times New Roman" w:hAnsi="Times New Roman"/>
          <w:sz w:val="20"/>
          <w:szCs w:val="20"/>
          <w:color w:val="auto"/>
        </w:rPr>
      </w:pPr>
    </w:p>
    <w:p>
      <w:pPr>
        <w:ind w:left="1503" w:hanging="753"/>
        <w:spacing w:after="0"/>
        <w:tabs>
          <w:tab w:leader="none" w:pos="150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Obligations.</w:t>
      </w:r>
    </w:p>
    <w:p>
      <w:pPr>
        <w:spacing w:after="0" w:line="199" w:lineRule="exact"/>
        <w:rPr>
          <w:rFonts w:ascii="Times New Roman" w:cs="Times New Roman" w:eastAsia="Times New Roman" w:hAnsi="Times New Roman"/>
          <w:sz w:val="20"/>
          <w:szCs w:val="20"/>
          <w:color w:val="auto"/>
        </w:rPr>
      </w:pPr>
    </w:p>
    <w:p>
      <w:pPr>
        <w:jc w:val="both"/>
        <w:ind w:left="103" w:firstLine="740"/>
        <w:spacing w:after="0" w:line="260" w:lineRule="auto"/>
        <w:tabs>
          <w:tab w:leader="none" w:pos="1602"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in the payment of any Indebtedness under any agreement or obligation of Borrower involving Indebtedness in excess of $1,000,000, beyond the period of grace if any, provided in the instrument or agreement under which such Indebtedness was created; or</w:t>
      </w:r>
    </w:p>
    <w:p>
      <w:pPr>
        <w:spacing w:after="0" w:line="149" w:lineRule="exact"/>
        <w:rPr>
          <w:rFonts w:ascii="Times New Roman" w:cs="Times New Roman" w:eastAsia="Times New Roman" w:hAnsi="Times New Roman"/>
          <w:sz w:val="20"/>
          <w:szCs w:val="20"/>
          <w:color w:val="auto"/>
        </w:rPr>
      </w:pPr>
    </w:p>
    <w:p>
      <w:pPr>
        <w:jc w:val="both"/>
        <w:ind w:left="103" w:firstLine="740"/>
        <w:spacing w:after="0" w:line="260" w:lineRule="auto"/>
        <w:tabs>
          <w:tab w:leader="none" w:pos="1602"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under any agreement to which Borrower is a party with a third party or parties, any default resulting in a right by such third party or parties, whether or not exercised, to accelerate the maturity of any Indebtedness in an amount individually or in the aggregate in excess of One Million Dollars ($1,000,000); or</w:t>
      </w:r>
    </w:p>
    <w:p>
      <w:pPr>
        <w:spacing w:after="0" w:line="149" w:lineRule="exact"/>
        <w:rPr>
          <w:rFonts w:ascii="Times New Roman" w:cs="Times New Roman" w:eastAsia="Times New Roman" w:hAnsi="Times New Roman"/>
          <w:sz w:val="20"/>
          <w:szCs w:val="20"/>
          <w:color w:val="auto"/>
        </w:rPr>
      </w:pPr>
    </w:p>
    <w:p>
      <w:pPr>
        <w:jc w:val="both"/>
        <w:ind w:left="103" w:firstLine="740"/>
        <w:spacing w:after="0" w:line="252" w:lineRule="auto"/>
        <w:tabs>
          <w:tab w:leader="none" w:pos="1602"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early payment is required or unwinding or termination occurs with respect to any Permitted Bond Hedge Transaction or Permitted Warrant Transaction, or any condition giving rise to the foregoing is met, in each case, with respect to which Borrower or its Affiliate is the “affected party” or “defaulting party” under the terms of such Permitted Bond Hedge Transaction or Permitted Warrant Transaction, if a Material Adverse Effect could reasonably be expected to result from such default, early payment, unwinding or termination; or</w:t>
      </w:r>
    </w:p>
    <w:p>
      <w:pPr>
        <w:spacing w:after="0" w:line="157" w:lineRule="exact"/>
        <w:rPr>
          <w:rFonts w:ascii="Times New Roman" w:cs="Times New Roman" w:eastAsia="Times New Roman" w:hAnsi="Times New Roman"/>
          <w:sz w:val="20"/>
          <w:szCs w:val="20"/>
          <w:color w:val="auto"/>
        </w:rPr>
      </w:pPr>
    </w:p>
    <w:p>
      <w:pPr>
        <w:jc w:val="both"/>
        <w:ind w:left="103" w:firstLine="740"/>
        <w:spacing w:after="0" w:line="260" w:lineRule="auto"/>
        <w:tabs>
          <w:tab w:leader="none" w:pos="1602"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under, (i) subject to the Antecip Direct Agreement, the Antecip License Agreement that permits the counterparty thereto to terminate such agreement or (ii) any other Material Agreement that permits the counterparty thereto to terminate such Material Agreement or accelerate payments in excess of $5,000,000 owed thereunder.</w:t>
      </w:r>
    </w:p>
    <w:p>
      <w:pPr>
        <w:spacing w:after="0" w:line="162" w:lineRule="exact"/>
        <w:rPr>
          <w:rFonts w:ascii="Times New Roman" w:cs="Times New Roman" w:eastAsia="Times New Roman" w:hAnsi="Times New Roman"/>
          <w:sz w:val="20"/>
          <w:szCs w:val="20"/>
          <w:color w:val="auto"/>
        </w:rPr>
      </w:pPr>
    </w:p>
    <w:p>
      <w:pPr>
        <w:jc w:val="both"/>
        <w:ind w:left="3" w:firstLine="747"/>
        <w:spacing w:after="0" w:line="254" w:lineRule="auto"/>
        <w:tabs>
          <w:tab w:leader="none" w:pos="150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Stop Trade.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w:t>
      </w:r>
    </w:p>
    <w:p>
      <w:pPr>
        <w:spacing w:after="0" w:line="142"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106045</wp:posOffset>
            </wp:positionV>
            <wp:extent cx="7166610"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60" w:name="page161"/>
    <w:bookmarkEnd w:id="160"/>
    <w:p>
      <w:pPr>
        <w:spacing w:after="0" w:line="284" w:lineRule="auto"/>
        <w:rPr>
          <w:sz w:val="20"/>
          <w:szCs w:val="20"/>
          <w:color w:val="auto"/>
        </w:rPr>
      </w:pPr>
      <w:r>
        <w:rPr>
          <w:rFonts w:ascii="Times New Roman" w:cs="Times New Roman" w:eastAsia="Times New Roman" w:hAnsi="Times New Roman"/>
          <w:sz w:val="20"/>
          <w:szCs w:val="20"/>
          <w:color w:val="auto"/>
        </w:rPr>
        <w:t>trading suspension within thirty (30) days of the notice thereof or list the Common Stock on another public market within sixty (60) days of such notice.</w:t>
      </w:r>
    </w:p>
    <w:p>
      <w:pPr>
        <w:spacing w:after="0" w:line="1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10.</w:t>
      </w:r>
      <w:r>
        <w:rPr>
          <w:rFonts w:ascii="Times New Roman" w:cs="Times New Roman" w:eastAsia="Times New Roman" w:hAnsi="Times New Roman"/>
          <w:sz w:val="20"/>
          <w:szCs w:val="20"/>
          <w:b w:val="1"/>
          <w:bCs w:val="1"/>
          <w:u w:val="single" w:color="auto"/>
          <w:color w:val="auto"/>
        </w:rPr>
        <w:t>REMEDIES</w:t>
      </w:r>
    </w:p>
    <w:p>
      <w:pPr>
        <w:spacing w:after="0" w:line="216" w:lineRule="exact"/>
        <w:rPr>
          <w:sz w:val="20"/>
          <w:szCs w:val="20"/>
          <w:color w:val="auto"/>
        </w:rPr>
      </w:pPr>
    </w:p>
    <w:p>
      <w:pPr>
        <w:jc w:val="both"/>
        <w:ind w:firstLine="747"/>
        <w:spacing w:after="0" w:line="243" w:lineRule="auto"/>
        <w:tabs>
          <w:tab w:leader="none" w:pos="149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Upon the occurrence and during the continuation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any inchoate indemnity obligations and any other obligations which, by their terms, are to survive the termination of this Agreement) have been satisfied in full and the Loan Documents (other than the Warrant) have been terminated. Agent’s foregoing appointment as Borrower’s attorney in fact, and all of Agent’s rights and powers, coupled with an interest, are irrevocable until all Secured Obligations (other than any inchoate indemnity obligations and any other obligations which, by their terms, are to survive the termination of this Agreement)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82" w:lineRule="exact"/>
        <w:rPr>
          <w:rFonts w:ascii="Times New Roman" w:cs="Times New Roman" w:eastAsia="Times New Roman" w:hAnsi="Times New Roman"/>
          <w:sz w:val="20"/>
          <w:szCs w:val="20"/>
          <w:color w:val="auto"/>
        </w:rPr>
      </w:pPr>
    </w:p>
    <w:p>
      <w:pPr>
        <w:ind w:firstLine="747"/>
        <w:spacing w:after="0" w:line="284" w:lineRule="auto"/>
        <w:tabs>
          <w:tab w:leader="none" w:pos="149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Collection; Foreclosure. Upon the occurrence and during the continuance of any Event of Default, Agent may, and at the direction of the Required Lenders shall, at any</w:t>
      </w:r>
    </w:p>
    <w:p>
      <w:pPr>
        <w:spacing w:after="0" w:line="1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61" w:name="page162"/>
    <w:bookmarkEnd w:id="161"/>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62" w:lineRule="exact"/>
        <w:rPr>
          <w:sz w:val="20"/>
          <w:szCs w:val="20"/>
          <w:color w:val="auto"/>
        </w:rPr>
      </w:pPr>
    </w:p>
    <w:p>
      <w:pPr>
        <w:ind w:left="1500" w:right="40" w:hanging="291"/>
        <w:spacing w:after="0" w:line="284" w:lineRule="auto"/>
        <w:rPr>
          <w:sz w:val="20"/>
          <w:szCs w:val="20"/>
          <w:color w:val="auto"/>
        </w:rPr>
      </w:pPr>
      <w:r>
        <w:rPr>
          <w:rFonts w:ascii="Times New Roman" w:cs="Times New Roman" w:eastAsia="Times New Roman" w:hAnsi="Times New Roman"/>
          <w:sz w:val="20"/>
          <w:szCs w:val="20"/>
          <w:color w:val="auto"/>
        </w:rPr>
        <w:t>First, to Agent and the Lenders in an amount sufficient to pay in full Agent’s and the Lenders’ reasonable costs and professionals’ and advisors’ fees and expenses as described in Section 11.12;</w:t>
      </w:r>
    </w:p>
    <w:p>
      <w:pPr>
        <w:spacing w:after="0" w:line="24" w:lineRule="exact"/>
        <w:rPr>
          <w:sz w:val="20"/>
          <w:szCs w:val="20"/>
          <w:color w:val="auto"/>
        </w:rPr>
      </w:pPr>
    </w:p>
    <w:p>
      <w:pPr>
        <w:ind w:left="1500" w:right="40" w:hanging="291"/>
        <w:spacing w:after="0" w:line="270" w:lineRule="auto"/>
        <w:rPr>
          <w:sz w:val="20"/>
          <w:szCs w:val="20"/>
          <w:color w:val="auto"/>
        </w:rPr>
      </w:pPr>
      <w:r>
        <w:rPr>
          <w:rFonts w:ascii="Times New Roman" w:cs="Times New Roman" w:eastAsia="Times New Roman" w:hAnsi="Times New Roman"/>
          <w:sz w:val="20"/>
          <w:szCs w:val="20"/>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51" w:lineRule="exact"/>
        <w:rPr>
          <w:sz w:val="20"/>
          <w:szCs w:val="20"/>
          <w:color w:val="auto"/>
        </w:rPr>
      </w:pPr>
    </w:p>
    <w:p>
      <w:pPr>
        <w:jc w:val="both"/>
        <w:ind w:left="1500" w:hanging="291"/>
        <w:spacing w:after="0" w:line="254" w:lineRule="auto"/>
        <w:rPr>
          <w:sz w:val="20"/>
          <w:szCs w:val="20"/>
          <w:color w:val="auto"/>
        </w:rPr>
      </w:pPr>
      <w:r>
        <w:rPr>
          <w:rFonts w:ascii="Times New Roman" w:cs="Times New Roman" w:eastAsia="Times New Roman" w:hAnsi="Times New Roman"/>
          <w:sz w:val="20"/>
          <w:szCs w:val="20"/>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Agent shall be deemed to have acted reasonably in the custody, preservation and disposition of any of the Collateral if it complies with the obligations of a secured party under the UCC.</w:t>
      </w:r>
    </w:p>
    <w:p>
      <w:pPr>
        <w:spacing w:after="0" w:line="152" w:lineRule="exact"/>
        <w:rPr>
          <w:sz w:val="20"/>
          <w:szCs w:val="20"/>
          <w:color w:val="auto"/>
        </w:rPr>
      </w:pPr>
    </w:p>
    <w:p>
      <w:pPr>
        <w:ind w:left="660" w:firstLine="747"/>
        <w:spacing w:after="0" w:line="270" w:lineRule="auto"/>
        <w:tabs>
          <w:tab w:leader="none" w:pos="215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Waiver. Agent shall be under no obligation to marshal any of the Collateral for the benefit of Borrower or any other Person, and Borrower expressly waives all rights, if any, to require Agent to marshal any Collateral.</w:t>
      </w:r>
    </w:p>
    <w:p>
      <w:pPr>
        <w:spacing w:after="0" w:line="139" w:lineRule="exact"/>
        <w:rPr>
          <w:rFonts w:ascii="Times New Roman" w:cs="Times New Roman" w:eastAsia="Times New Roman" w:hAnsi="Times New Roman"/>
          <w:sz w:val="20"/>
          <w:szCs w:val="20"/>
          <w:color w:val="auto"/>
        </w:rPr>
      </w:pPr>
    </w:p>
    <w:p>
      <w:pPr>
        <w:jc w:val="both"/>
        <w:ind w:left="660" w:firstLine="747"/>
        <w:spacing w:after="0" w:line="257" w:lineRule="auto"/>
        <w:tabs>
          <w:tab w:leader="none" w:pos="215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4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11.</w:t>
      </w:r>
      <w:r>
        <w:rPr>
          <w:rFonts w:ascii="Times New Roman" w:cs="Times New Roman" w:eastAsia="Times New Roman" w:hAnsi="Times New Roman"/>
          <w:sz w:val="20"/>
          <w:szCs w:val="20"/>
          <w:b w:val="1"/>
          <w:bCs w:val="1"/>
          <w:u w:val="single" w:color="auto"/>
          <w:color w:val="auto"/>
        </w:rPr>
        <w:t>MISCELLANEOUS</w:t>
      </w:r>
    </w:p>
    <w:p>
      <w:pPr>
        <w:spacing w:after="0" w:line="204" w:lineRule="exact"/>
        <w:rPr>
          <w:sz w:val="20"/>
          <w:szCs w:val="20"/>
          <w:color w:val="auto"/>
        </w:rPr>
      </w:pPr>
    </w:p>
    <w:p>
      <w:pPr>
        <w:jc w:val="both"/>
        <w:ind w:left="660" w:firstLine="747"/>
        <w:spacing w:after="0" w:line="257" w:lineRule="auto"/>
        <w:tabs>
          <w:tab w:leader="none" w:pos="215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52" w:lineRule="exact"/>
        <w:rPr>
          <w:rFonts w:ascii="Times New Roman" w:cs="Times New Roman" w:eastAsia="Times New Roman" w:hAnsi="Times New Roman"/>
          <w:sz w:val="20"/>
          <w:szCs w:val="20"/>
          <w:color w:val="auto"/>
        </w:rPr>
      </w:pPr>
    </w:p>
    <w:p>
      <w:pPr>
        <w:jc w:val="both"/>
        <w:ind w:left="660" w:firstLine="747"/>
        <w:spacing w:after="0" w:line="252" w:lineRule="auto"/>
        <w:tabs>
          <w:tab w:leader="none" w:pos="215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2" w:name="page163"/>
    <w:bookmarkEnd w:id="162"/>
    <w:p>
      <w:pPr>
        <w:jc w:val="both"/>
        <w:ind w:left="3" w:hanging="3"/>
        <w:spacing w:after="0" w:line="260" w:lineRule="auto"/>
        <w:tabs>
          <w:tab w:leader="none" w:pos="27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62" w:lineRule="exact"/>
        <w:rPr>
          <w:rFonts w:ascii="Times New Roman" w:cs="Times New Roman" w:eastAsia="Times New Roman" w:hAnsi="Times New Roman"/>
          <w:sz w:val="20"/>
          <w:szCs w:val="20"/>
          <w:color w:val="auto"/>
        </w:rPr>
      </w:pPr>
    </w:p>
    <w:p>
      <w:pPr>
        <w:ind w:left="1603" w:hanging="760"/>
        <w:spacing w:after="0"/>
        <w:tabs>
          <w:tab w:leader="none" w:pos="160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Agent:</w:t>
      </w:r>
    </w:p>
    <w:p>
      <w:pPr>
        <w:spacing w:after="0" w:line="199" w:lineRule="exact"/>
        <w:rPr>
          <w:rFonts w:ascii="Times New Roman" w:cs="Times New Roman" w:eastAsia="Times New Roman" w:hAnsi="Times New Roman"/>
          <w:sz w:val="20"/>
          <w:szCs w:val="20"/>
          <w:color w:val="auto"/>
        </w:rPr>
      </w:pPr>
    </w:p>
    <w:p>
      <w:pPr>
        <w:ind w:left="1603" w:right="656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HERCULES CAPITAL, INC. Legal Department</w:t>
      </w:r>
    </w:p>
    <w:p>
      <w:pPr>
        <w:ind w:left="1603" w:right="492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Legal Officer and Michael Dutra 400 Hamilton Avenue, Suite 310</w:t>
      </w:r>
    </w:p>
    <w:p>
      <w:pPr>
        <w:spacing w:after="0" w:line="1" w:lineRule="exact"/>
        <w:rPr>
          <w:rFonts w:ascii="Times New Roman" w:cs="Times New Roman" w:eastAsia="Times New Roman" w:hAnsi="Times New Roman"/>
          <w:sz w:val="20"/>
          <w:szCs w:val="20"/>
          <w:color w:val="auto"/>
        </w:rPr>
      </w:pPr>
    </w:p>
    <w:p>
      <w:pPr>
        <w:ind w:left="1603"/>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Palo Alto, CA 94301</w:t>
      </w:r>
    </w:p>
    <w:p>
      <w:pPr>
        <w:ind w:left="1603"/>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legal@htgc.com and mdutra@htgc.com</w:t>
      </w:r>
    </w:p>
    <w:p>
      <w:pPr>
        <w:ind w:left="160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650-289-3060</w:t>
      </w:r>
    </w:p>
    <w:p>
      <w:pPr>
        <w:spacing w:after="0" w:line="190" w:lineRule="exact"/>
        <w:rPr>
          <w:rFonts w:ascii="Times New Roman" w:cs="Times New Roman" w:eastAsia="Times New Roman" w:hAnsi="Times New Roman"/>
          <w:sz w:val="20"/>
          <w:szCs w:val="20"/>
          <w:color w:val="auto"/>
        </w:rPr>
      </w:pPr>
    </w:p>
    <w:p>
      <w:pPr>
        <w:ind w:left="1603" w:hanging="760"/>
        <w:spacing w:after="0"/>
        <w:tabs>
          <w:tab w:leader="none" w:pos="160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Lenders:</w:t>
      </w:r>
    </w:p>
    <w:p>
      <w:pPr>
        <w:spacing w:after="0" w:line="199" w:lineRule="exact"/>
        <w:rPr>
          <w:rFonts w:ascii="Times New Roman" w:cs="Times New Roman" w:eastAsia="Times New Roman" w:hAnsi="Times New Roman"/>
          <w:sz w:val="20"/>
          <w:szCs w:val="20"/>
          <w:color w:val="auto"/>
        </w:rPr>
      </w:pPr>
    </w:p>
    <w:p>
      <w:pPr>
        <w:ind w:left="1603" w:right="656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HERCULES CAPITAL, INC. Legal Department</w:t>
      </w:r>
    </w:p>
    <w:p>
      <w:pPr>
        <w:ind w:left="1603" w:right="492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Legal Officer and Michael Dutra 400 Hamilton Avenue, Suite 310</w:t>
      </w:r>
    </w:p>
    <w:p>
      <w:pPr>
        <w:spacing w:after="0" w:line="1" w:lineRule="exact"/>
        <w:rPr>
          <w:rFonts w:ascii="Times New Roman" w:cs="Times New Roman" w:eastAsia="Times New Roman" w:hAnsi="Times New Roman"/>
          <w:sz w:val="20"/>
          <w:szCs w:val="20"/>
          <w:color w:val="auto"/>
        </w:rPr>
      </w:pPr>
    </w:p>
    <w:p>
      <w:pPr>
        <w:ind w:left="1603"/>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Palo Alto, CA 94301</w:t>
      </w:r>
    </w:p>
    <w:p>
      <w:pPr>
        <w:ind w:left="1603"/>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legal@htgc.com and mdutra@htgc.com</w:t>
      </w:r>
    </w:p>
    <w:p>
      <w:pPr>
        <w:ind w:left="160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650-289-3060</w:t>
      </w:r>
    </w:p>
    <w:p>
      <w:pPr>
        <w:spacing w:after="0" w:line="190" w:lineRule="exact"/>
        <w:rPr>
          <w:rFonts w:ascii="Times New Roman" w:cs="Times New Roman" w:eastAsia="Times New Roman" w:hAnsi="Times New Roman"/>
          <w:sz w:val="20"/>
          <w:szCs w:val="20"/>
          <w:color w:val="auto"/>
        </w:rPr>
      </w:pPr>
    </w:p>
    <w:p>
      <w:pPr>
        <w:ind w:left="1603" w:hanging="760"/>
        <w:spacing w:after="0"/>
        <w:tabs>
          <w:tab w:leader="none" w:pos="160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Borrower:</w:t>
      </w:r>
    </w:p>
    <w:p>
      <w:pPr>
        <w:spacing w:after="0" w:line="199" w:lineRule="exact"/>
        <w:rPr>
          <w:rFonts w:ascii="Times New Roman" w:cs="Times New Roman" w:eastAsia="Times New Roman" w:hAnsi="Times New Roman"/>
          <w:sz w:val="20"/>
          <w:szCs w:val="20"/>
          <w:color w:val="auto"/>
        </w:rPr>
      </w:pPr>
    </w:p>
    <w:p>
      <w:pPr>
        <w:ind w:left="1603" w:right="650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Cortlandt Street, 16th Floor New York, NY, 10007</w:t>
      </w:r>
    </w:p>
    <w:p>
      <w:pPr>
        <w:ind w:left="1603"/>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Nick Pizzie, Chief Financial Officer</w:t>
      </w:r>
    </w:p>
    <w:p>
      <w:pPr>
        <w:ind w:left="160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npizzie@axsome.com</w:t>
      </w:r>
    </w:p>
    <w:p>
      <w:pPr>
        <w:spacing w:after="0" w:line="10" w:lineRule="exact"/>
        <w:rPr>
          <w:rFonts w:ascii="Times New Roman" w:cs="Times New Roman" w:eastAsia="Times New Roman" w:hAnsi="Times New Roman"/>
          <w:sz w:val="20"/>
          <w:szCs w:val="20"/>
          <w:color w:val="auto"/>
        </w:rPr>
      </w:pPr>
    </w:p>
    <w:p>
      <w:pPr>
        <w:ind w:left="160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+1-646-844-6270</w:t>
      </w:r>
    </w:p>
    <w:p>
      <w:pPr>
        <w:spacing w:after="0" w:line="216"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99" w:lineRule="exact"/>
        <w:rPr>
          <w:sz w:val="20"/>
          <w:szCs w:val="20"/>
          <w:color w:val="auto"/>
        </w:rPr>
      </w:pPr>
    </w:p>
    <w:p>
      <w:pPr>
        <w:ind w:left="1503" w:hanging="753"/>
        <w:spacing w:after="0"/>
        <w:tabs>
          <w:tab w:leader="none" w:pos="150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 Agreement; Amendments.</w:t>
      </w:r>
    </w:p>
    <w:p>
      <w:pPr>
        <w:spacing w:after="0" w:line="199" w:lineRule="exact"/>
        <w:rPr>
          <w:rFonts w:ascii="Times New Roman" w:cs="Times New Roman" w:eastAsia="Times New Roman" w:hAnsi="Times New Roman"/>
          <w:sz w:val="20"/>
          <w:szCs w:val="20"/>
          <w:color w:val="auto"/>
        </w:rPr>
      </w:pPr>
    </w:p>
    <w:p>
      <w:pPr>
        <w:jc w:val="both"/>
        <w:ind w:left="103" w:firstLine="740"/>
        <w:spacing w:after="0" w:line="252" w:lineRule="auto"/>
        <w:tabs>
          <w:tab w:leader="none" w:pos="160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2, 2020 and the Non-Disclosure Agreement).</w:t>
      </w:r>
    </w:p>
    <w:p>
      <w:pPr>
        <w:spacing w:after="0" w:line="157" w:lineRule="exact"/>
        <w:rPr>
          <w:rFonts w:ascii="Times New Roman" w:cs="Times New Roman" w:eastAsia="Times New Roman" w:hAnsi="Times New Roman"/>
          <w:sz w:val="20"/>
          <w:szCs w:val="20"/>
          <w:color w:val="auto"/>
        </w:rPr>
      </w:pPr>
    </w:p>
    <w:p>
      <w:pPr>
        <w:jc w:val="both"/>
        <w:ind w:left="103" w:firstLine="740"/>
        <w:spacing w:after="0" w:line="260" w:lineRule="auto"/>
        <w:tabs>
          <w:tab w:leader="none" w:pos="160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Borrower party to the relevant Loan Document</w:t>
      </w:r>
    </w:p>
    <w:p>
      <w:pPr>
        <w:spacing w:after="0" w:line="124"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114300</wp:posOffset>
            </wp:positionV>
            <wp:extent cx="7166610"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63" w:name="page164"/>
    <w:bookmarkEnd w:id="163"/>
    <w:p>
      <w:pPr>
        <w:jc w:val="both"/>
        <w:spacing w:after="0" w:line="244" w:lineRule="auto"/>
        <w:rPr>
          <w:sz w:val="20"/>
          <w:szCs w:val="20"/>
          <w:color w:val="auto"/>
        </w:rPr>
      </w:pPr>
      <w:r>
        <w:rPr>
          <w:rFonts w:ascii="Times New Roman" w:cs="Times New Roman" w:eastAsia="Times New Roman" w:hAnsi="Times New Roman"/>
          <w:sz w:val="20"/>
          <w:szCs w:val="20"/>
          <w:color w:val="auto"/>
        </w:rPr>
        <w:t>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 Notwithstanding the foregoing, the Warrant may be amended in accordance with its terms, and this Section 11.3(b) shall not apply to such amendments.</w:t>
      </w:r>
    </w:p>
    <w:p>
      <w:pPr>
        <w:spacing w:after="0" w:line="176" w:lineRule="exact"/>
        <w:rPr>
          <w:sz w:val="20"/>
          <w:szCs w:val="20"/>
          <w:color w:val="auto"/>
        </w:rPr>
      </w:pPr>
    </w:p>
    <w:p>
      <w:pPr>
        <w:jc w:val="both"/>
        <w:ind w:left="-100" w:firstLine="747"/>
        <w:spacing w:after="0" w:line="257" w:lineRule="auto"/>
        <w:tabs>
          <w:tab w:leader="none" w:pos="139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2" w:lineRule="exact"/>
        <w:rPr>
          <w:rFonts w:ascii="Times New Roman" w:cs="Times New Roman" w:eastAsia="Times New Roman" w:hAnsi="Times New Roman"/>
          <w:sz w:val="20"/>
          <w:szCs w:val="20"/>
          <w:color w:val="auto"/>
        </w:rPr>
      </w:pPr>
    </w:p>
    <w:p>
      <w:pPr>
        <w:jc w:val="both"/>
        <w:ind w:left="-100" w:firstLine="747"/>
        <w:spacing w:after="0" w:line="249" w:lineRule="auto"/>
        <w:tabs>
          <w:tab w:leader="none" w:pos="139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60" w:lineRule="exact"/>
        <w:rPr>
          <w:rFonts w:ascii="Times New Roman" w:cs="Times New Roman" w:eastAsia="Times New Roman" w:hAnsi="Times New Roman"/>
          <w:sz w:val="20"/>
          <w:szCs w:val="20"/>
          <w:color w:val="auto"/>
        </w:rPr>
      </w:pPr>
    </w:p>
    <w:p>
      <w:pPr>
        <w:jc w:val="both"/>
        <w:ind w:left="-100" w:firstLine="747"/>
        <w:spacing w:after="0" w:line="257" w:lineRule="auto"/>
        <w:tabs>
          <w:tab w:leader="none" w:pos="139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11.15 and 11.18 shall survive the termination of this Agreement.</w:t>
      </w:r>
    </w:p>
    <w:p>
      <w:pPr>
        <w:spacing w:after="0" w:line="1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106045</wp:posOffset>
            </wp:positionV>
            <wp:extent cx="716661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164" w:name="page165"/>
    <w:bookmarkEnd w:id="164"/>
    <w:p>
      <w:pPr>
        <w:jc w:val="both"/>
        <w:ind w:left="-460" w:firstLine="747"/>
        <w:spacing w:after="0" w:line="243" w:lineRule="auto"/>
        <w:tabs>
          <w:tab w:leader="none" w:pos="103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Successors and Assigns. The provisions of this Agreement and the other Loan Documents shall inure to the benefit of and be binding on Borrower and its permitted assigns (if any). Borrower shall not assign its obligations under this Agreement or any of the other Loan Documents (other than the Warrant which may be assigned in accordance with its terms) without Agent’s express prior written consent, and any such attempted assignment shall be void and of no effect. Agent and the Lenders may assign, transfer, or endorse its rights hereunder and under the other Loan Documents without prior notice to Borrower (provided that any assignment, transfer or endorsement of the Warrant shall be subject to the terms thereof),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or any “vulture fund” “distressed debt fund” or similar entity (in each case, as reasonably determined by Agent in good faith),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(provided that any assignment, transfer or endorsement of the Warrant shall be subject to the terms thereof)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any assignment, transfer or endorsement of the Warrant shall be subject to the terms thereof);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20"/>
          <w:szCs w:val="20"/>
          <w:color w:val="auto"/>
        </w:rPr>
      </w:pPr>
    </w:p>
    <w:p>
      <w:pPr>
        <w:jc w:val="both"/>
        <w:ind w:left="-460" w:firstLine="747"/>
        <w:spacing w:after="0" w:line="260" w:lineRule="auto"/>
        <w:tabs>
          <w:tab w:leader="none" w:pos="103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114300</wp:posOffset>
            </wp:positionV>
            <wp:extent cx="7166610"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65" w:name="page166"/>
    <w:bookmarkEnd w:id="165"/>
    <w:p>
      <w:pPr>
        <w:jc w:val="both"/>
        <w:ind w:left="3"/>
        <w:spacing w:after="0" w:line="245" w:lineRule="auto"/>
        <w:rPr>
          <w:sz w:val="20"/>
          <w:szCs w:val="20"/>
          <w:color w:val="auto"/>
        </w:rPr>
      </w:pPr>
      <w:r>
        <w:rPr>
          <w:rFonts w:ascii="Times New Roman" w:cs="Times New Roman" w:eastAsia="Times New Roman" w:hAnsi="Times New Roman"/>
          <w:sz w:val="20"/>
          <w:szCs w:val="20"/>
          <w:color w:val="auto"/>
        </w:rPr>
        <w:t>“Participant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68" w:lineRule="exact"/>
        <w:rPr>
          <w:sz w:val="20"/>
          <w:szCs w:val="20"/>
          <w:color w:val="auto"/>
        </w:rPr>
      </w:pPr>
    </w:p>
    <w:p>
      <w:pPr>
        <w:jc w:val="both"/>
        <w:ind w:left="3" w:firstLine="747"/>
        <w:spacing w:after="0" w:line="252" w:lineRule="auto"/>
        <w:tabs>
          <w:tab w:leader="none" w:pos="1502"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57" w:lineRule="exact"/>
        <w:rPr>
          <w:rFonts w:ascii="Times New Roman" w:cs="Times New Roman" w:eastAsia="Times New Roman" w:hAnsi="Times New Roman"/>
          <w:sz w:val="20"/>
          <w:szCs w:val="20"/>
          <w:color w:val="auto"/>
        </w:rPr>
      </w:pPr>
    </w:p>
    <w:p>
      <w:pPr>
        <w:jc w:val="both"/>
        <w:ind w:left="3" w:firstLine="747"/>
        <w:spacing w:after="0" w:line="249" w:lineRule="auto"/>
        <w:tabs>
          <w:tab w:leader="none" w:pos="1502"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w:t>
      </w:r>
    </w:p>
    <w:p>
      <w:pPr>
        <w:spacing w:after="0" w:line="2" w:lineRule="exact"/>
        <w:rPr>
          <w:rFonts w:ascii="Times New Roman" w:cs="Times New Roman" w:eastAsia="Times New Roman" w:hAnsi="Times New Roman"/>
          <w:sz w:val="20"/>
          <w:szCs w:val="20"/>
          <w:color w:val="auto"/>
        </w:rPr>
      </w:pPr>
    </w:p>
    <w:p>
      <w:pPr>
        <w:jc w:val="both"/>
        <w:ind w:left="3" w:hanging="3"/>
        <w:spacing w:after="0" w:line="243" w:lineRule="auto"/>
        <w:tabs>
          <w:tab w:leader="none" w:pos="2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80" w:lineRule="exact"/>
        <w:rPr>
          <w:rFonts w:ascii="Times New Roman" w:cs="Times New Roman" w:eastAsia="Times New Roman" w:hAnsi="Times New Roman"/>
          <w:sz w:val="20"/>
          <w:szCs w:val="20"/>
          <w:color w:val="auto"/>
        </w:rPr>
      </w:pPr>
    </w:p>
    <w:p>
      <w:pPr>
        <w:ind w:left="1503" w:hanging="753"/>
        <w:spacing w:after="0"/>
        <w:tabs>
          <w:tab w:leader="none" w:pos="150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Waiver of Jury Trial / Judicial Reference.</w:t>
      </w:r>
    </w:p>
    <w:p>
      <w:pPr>
        <w:spacing w:after="0" w:line="174" w:lineRule="exact"/>
        <w:rPr>
          <w:sz w:val="20"/>
          <w:szCs w:val="20"/>
          <w:color w:val="auto"/>
        </w:rPr>
      </w:pPr>
    </w:p>
    <w:p>
      <w:pPr>
        <w:ind w:left="4863"/>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106045</wp:posOffset>
            </wp:positionV>
            <wp:extent cx="7166610"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3"/>
          </w:cols>
          <w:pgMar w:left="977" w:top="544" w:right="339" w:bottom="1440" w:gutter="0" w:footer="0" w:header="0"/>
        </w:sectPr>
      </w:pPr>
    </w:p>
    <w:bookmarkStart w:id="166" w:name="page167"/>
    <w:bookmarkEnd w:id="166"/>
    <w:p>
      <w:pPr>
        <w:jc w:val="both"/>
        <w:ind w:left="-360" w:firstLine="740"/>
        <w:spacing w:after="0" w:line="245" w:lineRule="auto"/>
        <w:tabs>
          <w:tab w:leader="none" w:pos="1139"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84" w:lineRule="exact"/>
        <w:rPr>
          <w:rFonts w:ascii="Times New Roman" w:cs="Times New Roman" w:eastAsia="Times New Roman" w:hAnsi="Times New Roman"/>
          <w:sz w:val="20"/>
          <w:szCs w:val="20"/>
          <w:color w:val="auto"/>
        </w:rPr>
      </w:pPr>
    </w:p>
    <w:p>
      <w:pPr>
        <w:jc w:val="both"/>
        <w:ind w:left="-360" w:firstLine="740"/>
        <w:spacing w:after="0" w:line="249" w:lineRule="auto"/>
        <w:tabs>
          <w:tab w:leader="none" w:pos="1139"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71" w:lineRule="exact"/>
        <w:rPr>
          <w:rFonts w:ascii="Times New Roman" w:cs="Times New Roman" w:eastAsia="Times New Roman" w:hAnsi="Times New Roman"/>
          <w:sz w:val="20"/>
          <w:szCs w:val="20"/>
          <w:color w:val="auto"/>
        </w:rPr>
      </w:pPr>
    </w:p>
    <w:p>
      <w:pPr>
        <w:jc w:val="both"/>
        <w:ind w:left="-360" w:firstLine="740"/>
        <w:spacing w:after="0" w:line="254" w:lineRule="auto"/>
        <w:tabs>
          <w:tab w:leader="none" w:pos="1139"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66" w:lineRule="exact"/>
        <w:rPr>
          <w:rFonts w:ascii="Times New Roman" w:cs="Times New Roman" w:eastAsia="Times New Roman" w:hAnsi="Times New Roman"/>
          <w:sz w:val="20"/>
          <w:szCs w:val="20"/>
          <w:color w:val="auto"/>
        </w:rPr>
      </w:pPr>
    </w:p>
    <w:p>
      <w:pPr>
        <w:jc w:val="both"/>
        <w:ind w:left="-460" w:firstLine="747"/>
        <w:spacing w:after="0" w:line="245" w:lineRule="auto"/>
        <w:tabs>
          <w:tab w:leader="none" w:pos="103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Fees. Borrower promises to pay Agent’s and the Lenders’ reasonable, documented out-of-pocket fees and expenses necessary to finalize the loan documentation, including but not limited to reasonable, documented attorneys’ fees, UCC searches, filing costs, and other miscellaneous expenses. In addition, Borrower promises to pay any and all reasonable, documented out-of-pocket attorneys’ and other professionals’ fees and expenses incurred by Agent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67" w:name="page168"/>
    <w:bookmarkEnd w:id="167"/>
    <w:p>
      <w:pPr>
        <w:jc w:val="both"/>
        <w:ind w:left="-460" w:firstLine="747"/>
        <w:spacing w:after="0" w:line="244" w:lineRule="auto"/>
        <w:tabs>
          <w:tab w:leader="none" w:pos="103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Confidentiality. Agent and the Lenders acknowledge that certain items of Collateral and information provided to Agent and the Lenders by Borrower, including items provided in connection with the Non-Disclosure Agreement,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through no fault of Agent or any Lender;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no less stringent than this Section 11.13 and in any event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69" w:lineRule="exact"/>
        <w:rPr>
          <w:rFonts w:ascii="Times New Roman" w:cs="Times New Roman" w:eastAsia="Times New Roman" w:hAnsi="Times New Roman"/>
          <w:sz w:val="20"/>
          <w:szCs w:val="20"/>
          <w:color w:val="auto"/>
        </w:rPr>
      </w:pPr>
    </w:p>
    <w:p>
      <w:pPr>
        <w:jc w:val="both"/>
        <w:ind w:left="-460" w:firstLine="747"/>
        <w:spacing w:after="0" w:line="252" w:lineRule="auto"/>
        <w:tabs>
          <w:tab w:leader="none" w:pos="103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 of Rights. Borrower acknowledges and understands that Agent or the Lenders may, subject to Section 11.7, sell and assign all or part of its interest hereunder and under the Loan Documents (other than the Warrant which is subject to any 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w:t>
      </w:r>
    </w:p>
    <w:p>
      <w:pPr>
        <w:spacing w:after="0" w:line="1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68" w:name="page169"/>
    <w:bookmarkEnd w:id="168"/>
    <w:p>
      <w:pPr>
        <w:jc w:val="both"/>
        <w:spacing w:after="0" w:line="249" w:lineRule="auto"/>
        <w:rPr>
          <w:sz w:val="20"/>
          <w:szCs w:val="20"/>
          <w:color w:val="auto"/>
        </w:rPr>
      </w:pPr>
      <w:r>
        <w:rPr>
          <w:rFonts w:ascii="Times New Roman" w:cs="Times New Roman" w:eastAsia="Times New Roman" w:hAnsi="Times New Roman"/>
          <w:sz w:val="20"/>
          <w:szCs w:val="20"/>
          <w:color w:val="auto"/>
        </w:rPr>
        <w:t>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73" w:lineRule="exact"/>
        <w:rPr>
          <w:sz w:val="20"/>
          <w:szCs w:val="20"/>
          <w:color w:val="auto"/>
        </w:rPr>
      </w:pPr>
    </w:p>
    <w:p>
      <w:pPr>
        <w:jc w:val="both"/>
        <w:ind w:firstLine="747"/>
        <w:spacing w:after="0" w:line="245" w:lineRule="auto"/>
        <w:tabs>
          <w:tab w:leader="none" w:pos="14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64" w:lineRule="exact"/>
        <w:rPr>
          <w:rFonts w:ascii="Times New Roman" w:cs="Times New Roman" w:eastAsia="Times New Roman" w:hAnsi="Times New Roman"/>
          <w:sz w:val="20"/>
          <w:szCs w:val="20"/>
          <w:color w:val="auto"/>
        </w:rPr>
      </w:pPr>
    </w:p>
    <w:p>
      <w:pPr>
        <w:jc w:val="both"/>
        <w:ind w:firstLine="747"/>
        <w:spacing w:after="0" w:line="260" w:lineRule="auto"/>
        <w:tabs>
          <w:tab w:leader="none" w:pos="14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62" w:lineRule="exact"/>
        <w:rPr>
          <w:rFonts w:ascii="Times New Roman" w:cs="Times New Roman" w:eastAsia="Times New Roman" w:hAnsi="Times New Roman"/>
          <w:sz w:val="20"/>
          <w:szCs w:val="20"/>
          <w:color w:val="auto"/>
        </w:rPr>
      </w:pPr>
    </w:p>
    <w:p>
      <w:pPr>
        <w:jc w:val="both"/>
        <w:ind w:firstLine="747"/>
        <w:spacing w:after="0" w:line="252" w:lineRule="auto"/>
        <w:tabs>
          <w:tab w:leader="none" w:pos="14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Third-Party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58" w:lineRule="exact"/>
        <w:rPr>
          <w:rFonts w:ascii="Times New Roman" w:cs="Times New Roman" w:eastAsia="Times New Roman" w:hAnsi="Times New Roman"/>
          <w:sz w:val="20"/>
          <w:szCs w:val="20"/>
          <w:color w:val="auto"/>
        </w:rPr>
      </w:pPr>
    </w:p>
    <w:p>
      <w:pPr>
        <w:ind w:firstLine="747"/>
        <w:spacing w:after="0" w:line="284" w:lineRule="auto"/>
        <w:tabs>
          <w:tab w:leader="none" w:pos="14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Agency. Agent and each Lender hereby agree to the terms and conditions set forth on Addendum 3 attached hereto. Borrower acknowledges and agrees to the terms and conditions set forth on Addendum 3 attached hereto.</w:t>
      </w:r>
    </w:p>
    <w:p>
      <w:pPr>
        <w:spacing w:after="0" w:line="125" w:lineRule="exact"/>
        <w:rPr>
          <w:rFonts w:ascii="Times New Roman" w:cs="Times New Roman" w:eastAsia="Times New Roman" w:hAnsi="Times New Roman"/>
          <w:sz w:val="20"/>
          <w:szCs w:val="20"/>
          <w:color w:val="auto"/>
        </w:rPr>
      </w:pPr>
    </w:p>
    <w:p>
      <w:pPr>
        <w:jc w:val="both"/>
        <w:ind w:firstLine="747"/>
        <w:spacing w:after="0" w:line="260" w:lineRule="auto"/>
        <w:tabs>
          <w:tab w:leader="none" w:pos="149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w:t>
      </w:r>
    </w:p>
    <w:p>
      <w:pPr>
        <w:spacing w:after="0" w:line="1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69" w:name="page170"/>
    <w:bookmarkEnd w:id="169"/>
    <w:p>
      <w:pPr>
        <w:jc w:val="both"/>
        <w:spacing w:after="0" w:line="249" w:lineRule="auto"/>
        <w:rPr>
          <w:sz w:val="20"/>
          <w:szCs w:val="20"/>
          <w:color w:val="auto"/>
        </w:rPr>
      </w:pPr>
      <w:r>
        <w:rPr>
          <w:rFonts w:ascii="Times New Roman" w:cs="Times New Roman" w:eastAsia="Times New Roman" w:hAnsi="Times New Roman"/>
          <w:sz w:val="20"/>
          <w:szCs w:val="20"/>
          <w:color w:val="auto"/>
        </w:rPr>
        <w:t>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62" w:lineRule="exact"/>
        <w:rPr>
          <w:sz w:val="20"/>
          <w:szCs w:val="20"/>
          <w:color w:val="auto"/>
        </w:rPr>
      </w:pPr>
    </w:p>
    <w:p>
      <w:pPr>
        <w:jc w:val="both"/>
        <w:ind w:firstLine="747"/>
        <w:spacing w:after="0" w:line="247" w:lineRule="auto"/>
        <w:tabs>
          <w:tab w:leader="none" w:pos="149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6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(SIGNATURES TO FOLLOW)</w:t>
      </w:r>
    </w:p>
    <w:p>
      <w:pPr>
        <w:spacing w:after="0" w:line="2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106045</wp:posOffset>
            </wp:positionV>
            <wp:extent cx="716661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580"/>
          </w:cols>
          <w:pgMar w:left="980" w:top="544" w:right="339" w:bottom="1440" w:gutter="0" w:footer="0" w:header="0"/>
        </w:sectPr>
      </w:pPr>
    </w:p>
    <w:bookmarkStart w:id="170" w:name="page171"/>
    <w:bookmarkEnd w:id="170"/>
    <w:p>
      <w:pPr>
        <w:ind w:firstLine="750"/>
        <w:spacing w:after="0" w:line="284" w:lineRule="auto"/>
        <w:rPr>
          <w:sz w:val="20"/>
          <w:szCs w:val="20"/>
          <w:color w:val="auto"/>
        </w:rPr>
      </w:pPr>
      <w:r>
        <w:rPr>
          <w:rFonts w:ascii="Times New Roman" w:cs="Times New Roman" w:eastAsia="Times New Roman" w:hAnsi="Times New Roman"/>
          <w:sz w:val="20"/>
          <w:szCs w:val="20"/>
          <w:color w:val="auto"/>
        </w:rPr>
        <w:t>IN WITNESS WHEREOF, Borrower, Agent and the Lenders have duly executed and delivered this Loan and Security Agreement as of the day and year first above written.</w:t>
      </w:r>
    </w:p>
    <w:p>
      <w:pPr>
        <w:spacing w:after="0" w:line="1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42"/>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3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Accepted in Palo Alto, California:</w:t>
            </w:r>
          </w:p>
        </w:tc>
        <w:tc>
          <w:tcPr>
            <w:tcW w:w="4880" w:type="dxa"/>
            <w:vAlign w:val="bottom"/>
          </w:tcPr>
          <w:p>
            <w:pPr>
              <w:spacing w:after="0"/>
              <w:rPr>
                <w:sz w:val="24"/>
                <w:szCs w:val="24"/>
                <w:color w:val="auto"/>
              </w:rPr>
            </w:pPr>
          </w:p>
        </w:tc>
      </w:tr>
      <w:tr>
        <w:trPr>
          <w:trHeight w:val="442"/>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AGENT:</w:t>
            </w:r>
          </w:p>
        </w:tc>
        <w:tc>
          <w:tcPr>
            <w:tcW w:w="4880" w:type="dxa"/>
            <w:vAlign w:val="bottom"/>
          </w:tcPr>
          <w:p>
            <w:pPr>
              <w:spacing w:after="0"/>
              <w:rPr>
                <w:sz w:val="24"/>
                <w:szCs w:val="24"/>
                <w:color w:val="auto"/>
              </w:rPr>
            </w:pPr>
          </w:p>
        </w:tc>
      </w:tr>
      <w:tr>
        <w:trPr>
          <w:trHeight w:val="430"/>
        </w:trPr>
        <w:tc>
          <w:tcPr>
            <w:tcW w:w="11240" w:type="dxa"/>
            <w:vAlign w:val="bottom"/>
            <w:gridSpan w:val="2"/>
          </w:tcPr>
          <w:p>
            <w:pPr>
              <w:ind w:left="5240"/>
              <w:spacing w:after="0"/>
              <w:rPr>
                <w:sz w:val="20"/>
                <w:szCs w:val="20"/>
                <w:color w:val="auto"/>
              </w:rPr>
            </w:pPr>
            <w:r>
              <w:rPr>
                <w:rFonts w:ascii="Times New Roman" w:cs="Times New Roman" w:eastAsia="Times New Roman" w:hAnsi="Times New Roman"/>
                <w:sz w:val="20"/>
                <w:szCs w:val="20"/>
                <w:color w:val="auto"/>
              </w:rPr>
              <w:t>HERCULES CAPITAL, INC.</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42"/>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4880" w:type="dxa"/>
            <w:vAlign w:val="bottom"/>
          </w:tcPr>
          <w:p>
            <w:pPr>
              <w:spacing w:after="0"/>
              <w:rPr>
                <w:sz w:val="24"/>
                <w:szCs w:val="24"/>
                <w:color w:val="auto"/>
              </w:rPr>
            </w:pPr>
          </w:p>
        </w:tc>
      </w:tr>
      <w:tr>
        <w:trPr>
          <w:trHeight w:val="442"/>
        </w:trPr>
        <w:tc>
          <w:tcPr>
            <w:tcW w:w="11240" w:type="dxa"/>
            <w:vAlign w:val="bottom"/>
            <w:gridSpan w:val="2"/>
          </w:tcPr>
          <w:p>
            <w:pPr>
              <w:ind w:left="5240"/>
              <w:spacing w:after="0"/>
              <w:rPr>
                <w:sz w:val="20"/>
                <w:szCs w:val="20"/>
                <w:color w:val="auto"/>
              </w:rPr>
            </w:pPr>
            <w:r>
              <w:rPr>
                <w:rFonts w:ascii="Times New Roman" w:cs="Times New Roman" w:eastAsia="Times New Roman" w:hAnsi="Times New Roman"/>
                <w:sz w:val="20"/>
                <w:szCs w:val="20"/>
                <w:color w:val="auto"/>
              </w:rPr>
              <w:t>HERCULES CAPITAL, INC.</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42"/>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430"/>
        </w:trPr>
        <w:tc>
          <w:tcPr>
            <w:tcW w:w="636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jc w:val="right"/>
              <w:ind w:right="2359"/>
              <w:spacing w:after="0"/>
              <w:rPr>
                <w:sz w:val="20"/>
                <w:szCs w:val="20"/>
                <w:color w:val="auto"/>
              </w:rPr>
            </w:pPr>
            <w:r>
              <w:rPr>
                <w:rFonts w:ascii="Times New Roman" w:cs="Times New Roman" w:eastAsia="Times New Roman" w:hAnsi="Times New Roman"/>
                <w:sz w:val="20"/>
                <w:szCs w:val="20"/>
                <w:color w:val="auto"/>
              </w:rPr>
              <w:t>_______________________</w:t>
            </w:r>
          </w:p>
        </w:tc>
      </w:tr>
      <w:tr>
        <w:trPr>
          <w:trHeight w:val="607"/>
        </w:trPr>
        <w:tc>
          <w:tcPr>
            <w:tcW w:w="6360" w:type="dxa"/>
            <w:vAlign w:val="bottom"/>
          </w:tcPr>
          <w:p>
            <w:pPr>
              <w:ind w:left="5520"/>
              <w:spacing w:after="0"/>
              <w:rPr>
                <w:sz w:val="20"/>
                <w:szCs w:val="20"/>
                <w:color w:val="auto"/>
              </w:rPr>
            </w:pPr>
            <w:r>
              <w:rPr>
                <w:rFonts w:ascii="Times New Roman" w:cs="Times New Roman" w:eastAsia="Times New Roman" w:hAnsi="Times New Roman"/>
                <w:sz w:val="20"/>
                <w:szCs w:val="20"/>
                <w:color w:val="auto"/>
              </w:rPr>
              <w:t>70</w:t>
            </w:r>
          </w:p>
        </w:tc>
        <w:tc>
          <w:tcPr>
            <w:tcW w:w="4880" w:type="dxa"/>
            <w:vAlign w:val="bottom"/>
          </w:tcPr>
          <w:p>
            <w:pPr>
              <w:spacing w:after="0"/>
              <w:rPr>
                <w:sz w:val="24"/>
                <w:szCs w:val="24"/>
                <w:color w:val="auto"/>
              </w:rPr>
            </w:pPr>
          </w:p>
        </w:tc>
      </w:tr>
      <w:tr>
        <w:trPr>
          <w:trHeight w:val="160"/>
        </w:trPr>
        <w:tc>
          <w:tcPr>
            <w:tcW w:w="6360" w:type="dxa"/>
            <w:vAlign w:val="bottom"/>
            <w:tcBorders>
              <w:bottom w:val="single" w:sz="8" w:color="9A9A9A"/>
            </w:tcBorders>
          </w:tcPr>
          <w:p>
            <w:pPr>
              <w:spacing w:after="0"/>
              <w:rPr>
                <w:sz w:val="13"/>
                <w:szCs w:val="13"/>
                <w:color w:val="auto"/>
              </w:rPr>
            </w:pPr>
          </w:p>
        </w:tc>
        <w:tc>
          <w:tcPr>
            <w:tcW w:w="48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color w:val="auto"/>
        </w:rPr>
        <w:t>Table of Addenda, Exhibits and Schedules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Addendum 1: Taxes; Increased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Addendum 2: [Reserved]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Addendum 3: Agent and Lender Terms</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20"/>
          <w:szCs w:val="20"/>
          <w:color w:val="auto"/>
        </w:rPr>
        <w:t>Advance Request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Attachment to Advance Request</w:t>
      </w:r>
    </w:p>
    <w:p>
      <w:pPr>
        <w:spacing w:after="0" w:line="17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20"/>
          <w:szCs w:val="20"/>
          <w:color w:val="auto"/>
        </w:rPr>
        <w:t>Name, Locations, and Other Information for Borrower</w:t>
      </w:r>
    </w:p>
    <w:p>
      <w:pPr>
        <w:spacing w:after="0" w:line="21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20"/>
          <w:szCs w:val="20"/>
          <w:color w:val="auto"/>
        </w:rPr>
        <w:t>Borrower’s Patents, Trademarks, Copyrights and Licenses</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20"/>
          <w:szCs w:val="20"/>
          <w:color w:val="auto"/>
        </w:rPr>
        <w:t>Borrower’s Deposit Accounts and Investment Accounts</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20"/>
          <w:szCs w:val="20"/>
          <w:color w:val="auto"/>
        </w:rPr>
        <w:t>Compliance Certificate</w:t>
      </w:r>
    </w:p>
    <w:p>
      <w:pPr>
        <w:spacing w:after="0" w:line="21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20"/>
          <w:szCs w:val="20"/>
          <w:color w:val="auto"/>
        </w:rPr>
        <w:t>Joinder Agreement</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20"/>
          <w:szCs w:val="20"/>
          <w:color w:val="auto"/>
        </w:rPr>
        <w:t>ACH Debit Authorization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 [Reserved]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Exhibit J-1:</w:t>
            </w:r>
          </w:p>
        </w:tc>
        <w:tc>
          <w:tcPr>
            <w:tcW w:w="10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U.S. Tax Compliance Certificate (For Foreign Lenders That Are Not Partnerships For U.S. Federal Income Tax</w:t>
            </w:r>
          </w:p>
        </w:tc>
      </w:tr>
      <w:tr>
        <w:trPr>
          <w:trHeight w:val="262"/>
        </w:trPr>
        <w:tc>
          <w:tcPr>
            <w:tcW w:w="1120" w:type="dxa"/>
            <w:vAlign w:val="bottom"/>
          </w:tcPr>
          <w:p>
            <w:pPr>
              <w:spacing w:after="0"/>
              <w:rPr>
                <w:sz w:val="22"/>
                <w:szCs w:val="22"/>
                <w:color w:val="auto"/>
              </w:rPr>
            </w:pPr>
          </w:p>
        </w:tc>
        <w:tc>
          <w:tcPr>
            <w:tcW w:w="101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Purposes)</w:t>
            </w:r>
          </w:p>
        </w:tc>
      </w:tr>
      <w:tr>
        <w:trPr>
          <w:trHeight w:val="395"/>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Exhibit J-2:</w:t>
            </w:r>
          </w:p>
        </w:tc>
        <w:tc>
          <w:tcPr>
            <w:tcW w:w="10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Are Not Partnerships For U.S. Federal Income Tax</w:t>
            </w:r>
          </w:p>
        </w:tc>
      </w:tr>
      <w:tr>
        <w:trPr>
          <w:trHeight w:val="262"/>
        </w:trPr>
        <w:tc>
          <w:tcPr>
            <w:tcW w:w="1120" w:type="dxa"/>
            <w:vAlign w:val="bottom"/>
          </w:tcPr>
          <w:p>
            <w:pPr>
              <w:spacing w:after="0"/>
              <w:rPr>
                <w:sz w:val="22"/>
                <w:szCs w:val="22"/>
                <w:color w:val="auto"/>
              </w:rPr>
            </w:pPr>
          </w:p>
        </w:tc>
        <w:tc>
          <w:tcPr>
            <w:tcW w:w="101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Purposes)</w:t>
            </w:r>
          </w:p>
        </w:tc>
      </w:tr>
      <w:tr>
        <w:trPr>
          <w:trHeight w:val="40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Exhibit J-3:</w:t>
            </w:r>
          </w:p>
        </w:tc>
        <w:tc>
          <w:tcPr>
            <w:tcW w:w="10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Are Partnerships For U.S. Federal Income Tax</w:t>
            </w:r>
          </w:p>
        </w:tc>
      </w:tr>
      <w:tr>
        <w:trPr>
          <w:trHeight w:val="262"/>
        </w:trPr>
        <w:tc>
          <w:tcPr>
            <w:tcW w:w="1120" w:type="dxa"/>
            <w:vAlign w:val="bottom"/>
          </w:tcPr>
          <w:p>
            <w:pPr>
              <w:spacing w:after="0"/>
              <w:rPr>
                <w:sz w:val="22"/>
                <w:szCs w:val="22"/>
                <w:color w:val="auto"/>
              </w:rPr>
            </w:pPr>
          </w:p>
        </w:tc>
        <w:tc>
          <w:tcPr>
            <w:tcW w:w="101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Purposes)</w:t>
            </w:r>
          </w:p>
        </w:tc>
      </w:tr>
      <w:tr>
        <w:trPr>
          <w:trHeight w:val="40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Exhibit J-4:</w:t>
            </w:r>
          </w:p>
        </w:tc>
        <w:tc>
          <w:tcPr>
            <w:tcW w:w="10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U.S. Tax Compliance Certificate (For Foreign Lenders That Are Partnerships For U.S. Federal Income Tax</w:t>
            </w:r>
          </w:p>
        </w:tc>
      </w:tr>
      <w:tr>
        <w:trPr>
          <w:trHeight w:val="262"/>
        </w:trPr>
        <w:tc>
          <w:tcPr>
            <w:tcW w:w="1120" w:type="dxa"/>
            <w:vAlign w:val="bottom"/>
          </w:tcPr>
          <w:p>
            <w:pPr>
              <w:spacing w:after="0"/>
              <w:rPr>
                <w:sz w:val="22"/>
                <w:szCs w:val="22"/>
                <w:color w:val="auto"/>
              </w:rPr>
            </w:pPr>
          </w:p>
        </w:tc>
        <w:tc>
          <w:tcPr>
            <w:tcW w:w="101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Purposes)</w:t>
            </w:r>
          </w:p>
        </w:tc>
      </w:tr>
      <w:tr>
        <w:trPr>
          <w:trHeight w:val="4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10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Warrant</w:t>
            </w:r>
          </w:p>
        </w:tc>
      </w:tr>
      <w:tr>
        <w:trPr>
          <w:trHeight w:val="40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Schedule 1.1</w:t>
            </w:r>
          </w:p>
        </w:tc>
        <w:tc>
          <w:tcPr>
            <w:tcW w:w="101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Commitments</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Schedule 1</w:t>
            </w:r>
          </w:p>
        </w:tc>
        <w:tc>
          <w:tcPr>
            <w:tcW w:w="101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Subsidiaries</w:t>
            </w:r>
          </w:p>
        </w:tc>
      </w:tr>
      <w:tr>
        <w:trPr>
          <w:trHeight w:val="227"/>
        </w:trPr>
        <w:tc>
          <w:tcPr>
            <w:tcW w:w="11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1A</w:t>
            </w:r>
          </w:p>
        </w:tc>
        <w:tc>
          <w:tcPr>
            <w:tcW w:w="10120" w:type="dxa"/>
            <w:vAlign w:val="bottom"/>
          </w:tcPr>
          <w:p>
            <w:pPr>
              <w:ind w:left="500"/>
              <w:spacing w:after="0" w:line="228" w:lineRule="exact"/>
              <w:rPr>
                <w:sz w:val="20"/>
                <w:szCs w:val="20"/>
                <w:color w:val="auto"/>
              </w:rPr>
            </w:pPr>
            <w:r>
              <w:rPr>
                <w:rFonts w:ascii="Times New Roman" w:cs="Times New Roman" w:eastAsia="Times New Roman" w:hAnsi="Times New Roman"/>
                <w:sz w:val="20"/>
                <w:szCs w:val="20"/>
                <w:color w:val="auto"/>
              </w:rPr>
              <w:t>Existing Permitted Indebtedness</w:t>
            </w:r>
          </w:p>
        </w:tc>
      </w:tr>
      <w:tr>
        <w:trPr>
          <w:trHeight w:val="227"/>
        </w:trPr>
        <w:tc>
          <w:tcPr>
            <w:tcW w:w="11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1B</w:t>
            </w:r>
          </w:p>
        </w:tc>
        <w:tc>
          <w:tcPr>
            <w:tcW w:w="10120" w:type="dxa"/>
            <w:vAlign w:val="bottom"/>
          </w:tcPr>
          <w:p>
            <w:pPr>
              <w:ind w:left="500"/>
              <w:spacing w:after="0" w:line="228" w:lineRule="exact"/>
              <w:rPr>
                <w:sz w:val="20"/>
                <w:szCs w:val="20"/>
                <w:color w:val="auto"/>
              </w:rPr>
            </w:pPr>
            <w:r>
              <w:rPr>
                <w:rFonts w:ascii="Times New Roman" w:cs="Times New Roman" w:eastAsia="Times New Roman" w:hAnsi="Times New Roman"/>
                <w:sz w:val="20"/>
                <w:szCs w:val="20"/>
                <w:color w:val="auto"/>
              </w:rPr>
              <w:t>Existing Permitted Investments</w:t>
            </w: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Schedule 1C</w:t>
            </w:r>
          </w:p>
        </w:tc>
        <w:tc>
          <w:tcPr>
            <w:tcW w:w="101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Existing Permitted Liens</w:t>
            </w:r>
          </w:p>
        </w:tc>
      </w:tr>
      <w:tr>
        <w:trPr>
          <w:trHeight w:val="262"/>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Schedule 5.3</w:t>
            </w:r>
          </w:p>
        </w:tc>
        <w:tc>
          <w:tcPr>
            <w:tcW w:w="101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Consents, Etc.</w:t>
            </w:r>
          </w:p>
        </w:tc>
      </w:tr>
      <w:tr>
        <w:trPr>
          <w:trHeight w:val="442"/>
        </w:trPr>
        <w:tc>
          <w:tcPr>
            <w:tcW w:w="1120" w:type="dxa"/>
            <w:vAlign w:val="bottom"/>
          </w:tcPr>
          <w:p>
            <w:pPr>
              <w:spacing w:after="0"/>
              <w:rPr>
                <w:sz w:val="24"/>
                <w:szCs w:val="24"/>
                <w:color w:val="auto"/>
              </w:rPr>
            </w:pPr>
          </w:p>
        </w:tc>
        <w:tc>
          <w:tcPr>
            <w:tcW w:w="10120" w:type="dxa"/>
            <w:vAlign w:val="bottom"/>
          </w:tcPr>
          <w:p>
            <w:pPr>
              <w:ind w:left="4400"/>
              <w:spacing w:after="0"/>
              <w:rPr>
                <w:sz w:val="20"/>
                <w:szCs w:val="20"/>
                <w:color w:val="auto"/>
              </w:rPr>
            </w:pPr>
            <w:r>
              <w:rPr>
                <w:rFonts w:ascii="Times New Roman" w:cs="Times New Roman" w:eastAsia="Times New Roman" w:hAnsi="Times New Roman"/>
                <w:sz w:val="20"/>
                <w:szCs w:val="20"/>
                <w:color w:val="auto"/>
              </w:rPr>
              <w:t>71</w:t>
            </w:r>
          </w:p>
        </w:tc>
      </w:tr>
      <w:tr>
        <w:trPr>
          <w:trHeight w:val="160"/>
        </w:trPr>
        <w:tc>
          <w:tcPr>
            <w:tcW w:w="1120" w:type="dxa"/>
            <w:vAlign w:val="bottom"/>
            <w:tcBorders>
              <w:bottom w:val="single" w:sz="8" w:color="9A9A9A"/>
            </w:tcBorders>
          </w:tcPr>
          <w:p>
            <w:pPr>
              <w:spacing w:after="0"/>
              <w:rPr>
                <w:sz w:val="13"/>
                <w:szCs w:val="13"/>
                <w:color w:val="auto"/>
              </w:rPr>
            </w:pPr>
          </w:p>
        </w:tc>
        <w:tc>
          <w:tcPr>
            <w:tcW w:w="101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4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5.8</w:t>
            </w:r>
          </w:p>
        </w:tc>
        <w:tc>
          <w:tcPr>
            <w:tcW w:w="9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 Matters</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5.9</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Intellectual Property Claims</w:t>
            </w:r>
          </w:p>
        </w:tc>
      </w:tr>
      <w:tr>
        <w:trPr>
          <w:trHeight w:val="24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5.10(a)</w:t>
            </w:r>
          </w:p>
        </w:tc>
        <w:tc>
          <w:tcPr>
            <w:tcW w:w="9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Company IP</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5.10(d)</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Matters Relating to current Material Agreements</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5.10(f)</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Enforceability, Entitlement and Exploitation of Current Company IP</w:t>
            </w:r>
          </w:p>
        </w:tc>
      </w:tr>
      <w:tr>
        <w:trPr>
          <w:trHeight w:val="24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5.10(i)</w:t>
            </w:r>
          </w:p>
        </w:tc>
        <w:tc>
          <w:tcPr>
            <w:tcW w:w="9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Claims of Infringement on Third Party IP By Current Company IP</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5.10(j)</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Infringement on Third Party IP By Current Company IP</w:t>
            </w:r>
          </w:p>
        </w:tc>
      </w:tr>
      <w:tr>
        <w:trPr>
          <w:trHeight w:val="24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5.10(k)</w:t>
            </w:r>
          </w:p>
        </w:tc>
        <w:tc>
          <w:tcPr>
            <w:tcW w:w="9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Obligations Relating to Company IP</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5.10(l)</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Third Party Infringements of Company IP</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5.10(n)</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FDA Good Manufacturing Practices Compliance Matters</w:t>
            </w:r>
          </w:p>
        </w:tc>
      </w:tr>
      <w:tr>
        <w:trPr>
          <w:trHeight w:val="24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5.10(o)</w:t>
            </w:r>
          </w:p>
        </w:tc>
        <w:tc>
          <w:tcPr>
            <w:tcW w:w="97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27"/>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5.11</w:t>
            </w:r>
          </w:p>
        </w:tc>
        <w:tc>
          <w:tcPr>
            <w:tcW w:w="974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Borrower Products</w:t>
            </w:r>
          </w:p>
        </w:tc>
      </w:tr>
      <w:tr>
        <w:trPr>
          <w:trHeight w:val="262"/>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Schedule 5.14</w:t>
            </w:r>
          </w:p>
        </w:tc>
        <w:tc>
          <w:tcPr>
            <w:tcW w:w="9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Capitalization</w:t>
            </w:r>
          </w:p>
        </w:tc>
      </w:tr>
      <w:tr>
        <w:trPr>
          <w:trHeight w:val="404"/>
        </w:trPr>
        <w:tc>
          <w:tcPr>
            <w:tcW w:w="1500" w:type="dxa"/>
            <w:vAlign w:val="bottom"/>
          </w:tcPr>
          <w:p>
            <w:pPr>
              <w:spacing w:after="0"/>
              <w:rPr>
                <w:sz w:val="24"/>
                <w:szCs w:val="24"/>
                <w:color w:val="auto"/>
              </w:rPr>
            </w:pPr>
          </w:p>
        </w:tc>
        <w:tc>
          <w:tcPr>
            <w:tcW w:w="9740" w:type="dxa"/>
            <w:vAlign w:val="bottom"/>
          </w:tcPr>
          <w:p>
            <w:pPr>
              <w:ind w:left="4020"/>
              <w:spacing w:after="0"/>
              <w:rPr>
                <w:sz w:val="20"/>
                <w:szCs w:val="20"/>
                <w:color w:val="auto"/>
              </w:rPr>
            </w:pPr>
            <w:r>
              <w:rPr>
                <w:rFonts w:ascii="Times New Roman" w:cs="Times New Roman" w:eastAsia="Times New Roman" w:hAnsi="Times New Roman"/>
                <w:sz w:val="20"/>
                <w:szCs w:val="20"/>
                <w:color w:val="auto"/>
              </w:rPr>
              <w:t>72</w:t>
            </w:r>
          </w:p>
        </w:tc>
      </w:tr>
      <w:tr>
        <w:trPr>
          <w:trHeight w:val="160"/>
        </w:trPr>
        <w:tc>
          <w:tcPr>
            <w:tcW w:w="1500" w:type="dxa"/>
            <w:vAlign w:val="bottom"/>
            <w:tcBorders>
              <w:bottom w:val="single" w:sz="8" w:color="9A9A9A"/>
            </w:tcBorders>
          </w:tcPr>
          <w:p>
            <w:pPr>
              <w:spacing w:after="0"/>
              <w:rPr>
                <w:sz w:val="13"/>
                <w:szCs w:val="13"/>
                <w:color w:val="auto"/>
              </w:rPr>
            </w:pPr>
          </w:p>
        </w:tc>
        <w:tc>
          <w:tcPr>
            <w:tcW w:w="97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3" w:name="page174"/>
    <w:bookmarkEnd w:id="173"/>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ADDENDUM 1 to LOAN AND SECURITY AGREEMENT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INCREASED COSTS</w:t>
      </w:r>
    </w:p>
    <w:p>
      <w:pPr>
        <w:spacing w:after="0" w:line="200" w:lineRule="exact"/>
        <w:rPr>
          <w:sz w:val="20"/>
          <w:szCs w:val="20"/>
          <w:color w:val="auto"/>
        </w:rPr>
      </w:pPr>
    </w:p>
    <w:p>
      <w:pPr>
        <w:ind w:left="381" w:hanging="381"/>
        <w:spacing w:after="0"/>
        <w:tabs>
          <w:tab w:leader="none" w:pos="38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For purposes of this Addendum 1:</w:t>
      </w:r>
    </w:p>
    <w:p>
      <w:pPr>
        <w:spacing w:after="0" w:line="212" w:lineRule="exact"/>
        <w:rPr>
          <w:rFonts w:ascii="Times New Roman" w:cs="Times New Roman" w:eastAsia="Times New Roman" w:hAnsi="Times New Roman"/>
          <w:sz w:val="20"/>
          <w:szCs w:val="20"/>
          <w:color w:val="auto"/>
        </w:rPr>
      </w:pPr>
    </w:p>
    <w:p>
      <w:pPr>
        <w:ind w:left="1121" w:hanging="371"/>
        <w:spacing w:after="0" w:line="275" w:lineRule="auto"/>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30" w:lineRule="exact"/>
        <w:rPr>
          <w:rFonts w:ascii="Times New Roman" w:cs="Times New Roman" w:eastAsia="Times New Roman" w:hAnsi="Times New Roman"/>
          <w:sz w:val="20"/>
          <w:szCs w:val="20"/>
          <w:color w:val="auto"/>
        </w:rPr>
      </w:pPr>
    </w:p>
    <w:p>
      <w:pPr>
        <w:jc w:val="both"/>
        <w:ind w:left="1121" w:hanging="371"/>
        <w:spacing w:after="0" w:line="246" w:lineRule="auto"/>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65" w:lineRule="exact"/>
        <w:rPr>
          <w:rFonts w:ascii="Times New Roman" w:cs="Times New Roman" w:eastAsia="Times New Roman" w:hAnsi="Times New Roman"/>
          <w:sz w:val="20"/>
          <w:szCs w:val="20"/>
          <w:color w:val="auto"/>
        </w:rPr>
      </w:pPr>
    </w:p>
    <w:p>
      <w:pPr>
        <w:jc w:val="both"/>
        <w:ind w:left="1121" w:hanging="371"/>
        <w:spacing w:after="0" w:line="253" w:lineRule="auto"/>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2" w:lineRule="exact"/>
        <w:rPr>
          <w:rFonts w:ascii="Times New Roman" w:cs="Times New Roman" w:eastAsia="Times New Roman" w:hAnsi="Times New Roman"/>
          <w:sz w:val="20"/>
          <w:szCs w:val="20"/>
          <w:color w:val="auto"/>
        </w:rPr>
      </w:pPr>
    </w:p>
    <w:p>
      <w:pPr>
        <w:ind w:left="1121" w:hanging="371"/>
        <w:spacing w:after="0"/>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U.S. Person.</w:t>
      </w:r>
    </w:p>
    <w:p>
      <w:pPr>
        <w:spacing w:after="0" w:line="199" w:lineRule="exact"/>
        <w:rPr>
          <w:rFonts w:ascii="Times New Roman" w:cs="Times New Roman" w:eastAsia="Times New Roman" w:hAnsi="Times New Roman"/>
          <w:sz w:val="20"/>
          <w:szCs w:val="20"/>
          <w:color w:val="auto"/>
        </w:rPr>
      </w:pPr>
    </w:p>
    <w:p>
      <w:pPr>
        <w:jc w:val="both"/>
        <w:ind w:left="1121" w:hanging="371"/>
        <w:spacing w:after="0" w:line="262" w:lineRule="auto"/>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56" w:lineRule="exact"/>
        <w:rPr>
          <w:rFonts w:ascii="Times New Roman" w:cs="Times New Roman" w:eastAsia="Times New Roman" w:hAnsi="Times New Roman"/>
          <w:sz w:val="20"/>
          <w:szCs w:val="20"/>
          <w:color w:val="auto"/>
        </w:rPr>
      </w:pPr>
    </w:p>
    <w:p>
      <w:pPr>
        <w:jc w:val="both"/>
        <w:ind w:left="1121" w:hanging="371"/>
        <w:spacing w:after="0" w:line="254" w:lineRule="auto"/>
        <w:tabs>
          <w:tab w:leader="none" w:pos="112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106045</wp:posOffset>
            </wp:positionV>
            <wp:extent cx="716661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1"/>
          </w:cols>
          <w:pgMar w:left="419" w:top="540" w:right="339" w:bottom="1440" w:gutter="0" w:footer="0" w:header="0"/>
        </w:sectPr>
      </w:pPr>
    </w:p>
    <w:bookmarkStart w:id="174" w:name="page175"/>
    <w:bookmarkEnd w:id="174"/>
    <w:p>
      <w:pPr>
        <w:ind w:left="1121"/>
        <w:spacing w:after="0"/>
        <w:rPr>
          <w:sz w:val="20"/>
          <w:szCs w:val="20"/>
          <w:color w:val="auto"/>
        </w:rPr>
      </w:pPr>
      <w:r>
        <w:rPr>
          <w:rFonts w:ascii="Times New Roman" w:cs="Times New Roman" w:eastAsia="Times New Roman" w:hAnsi="Times New Roman"/>
          <w:sz w:val="20"/>
          <w:szCs w:val="20"/>
          <w:color w:val="auto"/>
        </w:rPr>
        <w:t>transaction pursuant to or enforced any Loan Document, or sold or assigned an interest in any Loan or Loan Document).</w:t>
      </w:r>
    </w:p>
    <w:p>
      <w:pPr>
        <w:spacing w:after="0" w:line="208" w:lineRule="exact"/>
        <w:rPr>
          <w:sz w:val="20"/>
          <w:szCs w:val="20"/>
          <w:color w:val="auto"/>
        </w:rPr>
      </w:pPr>
    </w:p>
    <w:p>
      <w:pPr>
        <w:jc w:val="both"/>
        <w:ind w:left="1121" w:hanging="371"/>
        <w:spacing w:after="0" w:line="254" w:lineRule="auto"/>
        <w:tabs>
          <w:tab w:leader="none" w:pos="112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51" w:lineRule="exact"/>
        <w:rPr>
          <w:rFonts w:ascii="Times New Roman" w:cs="Times New Roman" w:eastAsia="Times New Roman" w:hAnsi="Times New Roman"/>
          <w:sz w:val="20"/>
          <w:szCs w:val="20"/>
          <w:color w:val="auto"/>
        </w:rPr>
      </w:pPr>
    </w:p>
    <w:p>
      <w:pPr>
        <w:ind w:left="1121" w:hanging="371"/>
        <w:spacing w:after="0"/>
        <w:tabs>
          <w:tab w:leader="none" w:pos="112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the Agent or any Lender, as applicable.</w:t>
      </w:r>
    </w:p>
    <w:p>
      <w:pPr>
        <w:spacing w:after="0" w:line="212" w:lineRule="exact"/>
        <w:rPr>
          <w:rFonts w:ascii="Times New Roman" w:cs="Times New Roman" w:eastAsia="Times New Roman" w:hAnsi="Times New Roman"/>
          <w:sz w:val="20"/>
          <w:szCs w:val="20"/>
          <w:color w:val="auto"/>
        </w:rPr>
      </w:pPr>
    </w:p>
    <w:p>
      <w:pPr>
        <w:ind w:left="1121" w:hanging="371"/>
        <w:spacing w:after="0"/>
        <w:tabs>
          <w:tab w:leader="none" w:pos="1121"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the Borrower and the Agent.</w:t>
      </w:r>
    </w:p>
    <w:p>
      <w:pPr>
        <w:spacing w:after="0" w:line="199" w:lineRule="exact"/>
        <w:rPr>
          <w:rFonts w:ascii="Times New Roman" w:cs="Times New Roman" w:eastAsia="Times New Roman" w:hAnsi="Times New Roman"/>
          <w:sz w:val="20"/>
          <w:szCs w:val="20"/>
          <w:color w:val="auto"/>
        </w:rPr>
      </w:pPr>
    </w:p>
    <w:p>
      <w:pPr>
        <w:jc w:val="both"/>
        <w:ind w:left="381" w:hanging="381"/>
        <w:spacing w:after="0" w:line="247" w:lineRule="auto"/>
        <w:tabs>
          <w:tab w:leader="none" w:pos="38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Free of Taxes</w:t>
      </w:r>
      <w:r>
        <w:rPr>
          <w:rFonts w:ascii="Times New Roman" w:cs="Times New Roman" w:eastAsia="Times New Roman" w:hAnsi="Times New Roman"/>
          <w:sz w:val="20"/>
          <w:szCs w:val="20"/>
          <w:color w:val="auto"/>
        </w:rPr>
        <w:t>. Any and all payments by or on account of any obligation of the Borrower under any Loan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the Warrant)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69" w:lineRule="exact"/>
        <w:rPr>
          <w:rFonts w:ascii="Times New Roman" w:cs="Times New Roman" w:eastAsia="Times New Roman" w:hAnsi="Times New Roman"/>
          <w:sz w:val="20"/>
          <w:szCs w:val="20"/>
          <w:color w:val="auto"/>
        </w:rPr>
      </w:pPr>
    </w:p>
    <w:p>
      <w:pPr>
        <w:ind w:left="381" w:hanging="381"/>
        <w:spacing w:after="0" w:line="275" w:lineRule="auto"/>
        <w:tabs>
          <w:tab w:leader="none" w:pos="38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Other Taxes by Borrower</w:t>
      </w:r>
      <w:r>
        <w:rPr>
          <w:rFonts w:ascii="Times New Roman" w:cs="Times New Roman" w:eastAsia="Times New Roman" w:hAnsi="Times New Roman"/>
          <w:sz w:val="20"/>
          <w:szCs w:val="20"/>
          <w:color w:val="auto"/>
        </w:rPr>
        <w:t>. The Borrower shall timely pay to the relevant governmental authority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or at the option of the Agent timely reimburse it for the payment of, any Other Taxes.</w:t>
      </w:r>
    </w:p>
    <w:p>
      <w:pPr>
        <w:spacing w:after="0" w:line="130" w:lineRule="exact"/>
        <w:rPr>
          <w:rFonts w:ascii="Times New Roman" w:cs="Times New Roman" w:eastAsia="Times New Roman" w:hAnsi="Times New Roman"/>
          <w:sz w:val="20"/>
          <w:szCs w:val="20"/>
          <w:color w:val="auto"/>
        </w:rPr>
      </w:pPr>
    </w:p>
    <w:p>
      <w:pPr>
        <w:jc w:val="both"/>
        <w:ind w:left="381" w:hanging="381"/>
        <w:spacing w:after="0" w:line="250" w:lineRule="auto"/>
        <w:tabs>
          <w:tab w:leader="none" w:pos="38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by Borrower</w:t>
      </w:r>
      <w:r>
        <w:rPr>
          <w:rFonts w:ascii="Times New Roman" w:cs="Times New Roman" w:eastAsia="Times New Roman" w:hAnsi="Times New Roman"/>
          <w:sz w:val="20"/>
          <w:szCs w:val="20"/>
          <w:color w:val="auto"/>
        </w:rPr>
        <w:t>. The Borrower shall indemnify each Recipient, within 10 days after demand therefor, for the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55" w:lineRule="exact"/>
        <w:rPr>
          <w:rFonts w:ascii="Times New Roman" w:cs="Times New Roman" w:eastAsia="Times New Roman" w:hAnsi="Times New Roman"/>
          <w:sz w:val="20"/>
          <w:szCs w:val="20"/>
          <w:color w:val="auto"/>
        </w:rPr>
      </w:pPr>
    </w:p>
    <w:p>
      <w:pPr>
        <w:jc w:val="both"/>
        <w:ind w:left="381" w:hanging="381"/>
        <w:spacing w:after="0" w:line="262" w:lineRule="auto"/>
        <w:tabs>
          <w:tab w:leader="none" w:pos="38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by the Lenders</w:t>
      </w:r>
      <w:r>
        <w:rPr>
          <w:rFonts w:ascii="Times New Roman" w:cs="Times New Roman" w:eastAsia="Times New Roman" w:hAnsi="Times New Roman"/>
          <w:sz w:val="20"/>
          <w:szCs w:val="20"/>
          <w:color w:val="auto"/>
        </w:rPr>
        <w:t>. Each Lender shall severally indemnify the Agent, within 10 days after demand therefor,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Indemnified Taxes attributable to such Lender (but only to the extent that the Borrower has not already indemnified the Agent for such Indemnified Taxes and without limiting the obligation of the Borrower to do so), (b) any</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114300</wp:posOffset>
            </wp:positionV>
            <wp:extent cx="716661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1"/>
          </w:cols>
          <w:pgMar w:left="419" w:top="544" w:right="339" w:bottom="1440" w:gutter="0" w:footer="0" w:header="0"/>
        </w:sectPr>
      </w:pPr>
    </w:p>
    <w:bookmarkStart w:id="175" w:name="page176"/>
    <w:bookmarkEnd w:id="175"/>
    <w:p>
      <w:pPr>
        <w:jc w:val="both"/>
        <w:ind w:left="381"/>
        <w:spacing w:after="0" w:line="249" w:lineRule="auto"/>
        <w:rPr>
          <w:sz w:val="20"/>
          <w:szCs w:val="20"/>
          <w:color w:val="auto"/>
        </w:rPr>
      </w:pPr>
      <w:r>
        <w:rPr>
          <w:rFonts w:ascii="Times New Roman" w:cs="Times New Roman" w:eastAsia="Times New Roman" w:hAnsi="Times New Roman"/>
          <w:sz w:val="20"/>
          <w:szCs w:val="20"/>
          <w:color w:val="auto"/>
        </w:rPr>
        <w:t>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58" w:lineRule="exact"/>
        <w:rPr>
          <w:sz w:val="20"/>
          <w:szCs w:val="20"/>
          <w:color w:val="auto"/>
        </w:rPr>
      </w:pPr>
    </w:p>
    <w:p>
      <w:pPr>
        <w:jc w:val="both"/>
        <w:ind w:left="381" w:hanging="381"/>
        <w:spacing w:after="0" w:line="254" w:lineRule="auto"/>
        <w:tabs>
          <w:tab w:leader="none" w:pos="38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Evidence of Payments</w:t>
      </w:r>
      <w:r>
        <w:rPr>
          <w:rFonts w:ascii="Times New Roman" w:cs="Times New Roman" w:eastAsia="Times New Roman" w:hAnsi="Times New Roman"/>
          <w:sz w:val="20"/>
          <w:szCs w:val="20"/>
          <w:color w:val="auto"/>
        </w:rPr>
        <w:t>. As soon as practicable after any payment of Taxes by the Borrower to a governmental authority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63" w:lineRule="exact"/>
        <w:rPr>
          <w:rFonts w:ascii="Times New Roman" w:cs="Times New Roman" w:eastAsia="Times New Roman" w:hAnsi="Times New Roman"/>
          <w:sz w:val="20"/>
          <w:szCs w:val="20"/>
          <w:color w:val="auto"/>
        </w:rPr>
      </w:pPr>
    </w:p>
    <w:p>
      <w:pPr>
        <w:ind w:left="381" w:hanging="381"/>
        <w:spacing w:after="0"/>
        <w:tabs>
          <w:tab w:leader="none" w:pos="38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Status of Lenders</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0"/>
          <w:szCs w:val="20"/>
          <w:color w:val="auto"/>
        </w:rPr>
      </w:pPr>
    </w:p>
    <w:p>
      <w:pPr>
        <w:jc w:val="both"/>
        <w:ind w:left="1121" w:hanging="371"/>
        <w:spacing w:after="0" w:line="245" w:lineRule="auto"/>
        <w:tabs>
          <w:tab w:leader="none" w:pos="112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2" w:lineRule="exact"/>
        <w:rPr>
          <w:rFonts w:ascii="Times New Roman" w:cs="Times New Roman" w:eastAsia="Times New Roman" w:hAnsi="Times New Roman"/>
          <w:sz w:val="20"/>
          <w:szCs w:val="20"/>
          <w:color w:val="auto"/>
        </w:rPr>
      </w:pPr>
    </w:p>
    <w:p>
      <w:pPr>
        <w:ind w:left="1121" w:hanging="371"/>
        <w:spacing w:after="0"/>
        <w:tabs>
          <w:tab w:leader="none" w:pos="112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12" w:lineRule="exact"/>
        <w:rPr>
          <w:rFonts w:ascii="Times New Roman" w:cs="Times New Roman" w:eastAsia="Times New Roman" w:hAnsi="Times New Roman"/>
          <w:sz w:val="20"/>
          <w:szCs w:val="20"/>
          <w:color w:val="auto"/>
        </w:rPr>
      </w:pPr>
    </w:p>
    <w:p>
      <w:pPr>
        <w:jc w:val="both"/>
        <w:ind w:left="1881" w:hanging="194"/>
        <w:spacing w:after="0" w:line="252" w:lineRule="auto"/>
        <w:tabs>
          <w:tab w:leader="none" w:pos="1881"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58" w:lineRule="exact"/>
        <w:rPr>
          <w:rFonts w:ascii="Times New Roman" w:cs="Times New Roman" w:eastAsia="Times New Roman" w:hAnsi="Times New Roman"/>
          <w:sz w:val="20"/>
          <w:szCs w:val="20"/>
          <w:color w:val="auto"/>
        </w:rPr>
      </w:pPr>
    </w:p>
    <w:p>
      <w:pPr>
        <w:ind w:left="1881" w:hanging="194"/>
        <w:spacing w:after="0" w:line="284" w:lineRule="auto"/>
        <w:tabs>
          <w:tab w:leader="none" w:pos="1881"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Agent (in such number of copies as shall be requested</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106045</wp:posOffset>
            </wp:positionV>
            <wp:extent cx="716661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1"/>
          </w:cols>
          <w:pgMar w:left="419" w:top="544" w:right="339" w:bottom="1440" w:gutter="0" w:footer="0" w:header="0"/>
        </w:sectPr>
      </w:pPr>
    </w:p>
    <w:bookmarkStart w:id="176" w:name="page177"/>
    <w:bookmarkEnd w:id="176"/>
    <w:p>
      <w:pPr>
        <w:jc w:val="both"/>
        <w:ind w:left="860"/>
        <w:spacing w:after="0" w:line="260" w:lineRule="auto"/>
        <w:rPr>
          <w:sz w:val="20"/>
          <w:szCs w:val="20"/>
          <w:color w:val="auto"/>
        </w:rPr>
      </w:pPr>
      <w:r>
        <w:rPr>
          <w:rFonts w:ascii="Times New Roman" w:cs="Times New Roman" w:eastAsia="Times New Roman" w:hAnsi="Times New Roman"/>
          <w:sz w:val="20"/>
          <w:szCs w:val="20"/>
          <w:color w:val="auto"/>
        </w:rPr>
        <w:t>by the recipient) on or prior to the date on which such Foreign Lender becomes a Lender under this Agreement (and from time to time thereafter upon the reasonable request of the Borrower or the Agent), whichever of the following is applicable:</w:t>
      </w:r>
    </w:p>
    <w:p>
      <w:pPr>
        <w:spacing w:after="0" w:line="162" w:lineRule="exact"/>
        <w:rPr>
          <w:sz w:val="20"/>
          <w:szCs w:val="20"/>
          <w:color w:val="auto"/>
        </w:rPr>
      </w:pPr>
    </w:p>
    <w:p>
      <w:pPr>
        <w:jc w:val="both"/>
        <w:ind w:left="1600" w:hanging="372"/>
        <w:spacing w:after="0" w:line="247" w:lineRule="auto"/>
        <w:tabs>
          <w:tab w:leader="none" w:pos="1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62" w:lineRule="exact"/>
        <w:rPr>
          <w:rFonts w:ascii="Times New Roman" w:cs="Times New Roman" w:eastAsia="Times New Roman" w:hAnsi="Times New Roman"/>
          <w:sz w:val="20"/>
          <w:szCs w:val="20"/>
          <w:color w:val="auto"/>
        </w:rPr>
      </w:pPr>
    </w:p>
    <w:p>
      <w:pPr>
        <w:ind w:left="1600" w:hanging="372"/>
        <w:spacing w:after="0"/>
        <w:tabs>
          <w:tab w:leader="none" w:pos="1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2" w:lineRule="exact"/>
        <w:rPr>
          <w:rFonts w:ascii="Times New Roman" w:cs="Times New Roman" w:eastAsia="Times New Roman" w:hAnsi="Times New Roman"/>
          <w:sz w:val="20"/>
          <w:szCs w:val="20"/>
          <w:color w:val="auto"/>
        </w:rPr>
      </w:pPr>
    </w:p>
    <w:p>
      <w:pPr>
        <w:jc w:val="both"/>
        <w:ind w:left="1600" w:hanging="372"/>
        <w:spacing w:after="0" w:line="247" w:lineRule="auto"/>
        <w:tabs>
          <w:tab w:leader="none" w:pos="1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Tax Compliance Certificate</w:t>
      </w:r>
      <w:r>
        <w:rPr>
          <w:rFonts w:ascii="Times New Roman" w:cs="Times New Roman" w:eastAsia="Times New Roman" w:hAnsi="Times New Roman"/>
          <w:sz w:val="20"/>
          <w:szCs w:val="20"/>
          <w:color w:val="auto"/>
        </w:rPr>
        <w:t>”) and (y) executed copies of IRS Form W-8BEN or IRS Form W-8BEN-E;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p>
    <w:p>
      <w:pPr>
        <w:spacing w:after="0" w:line="162" w:lineRule="exact"/>
        <w:rPr>
          <w:rFonts w:ascii="Times New Roman" w:cs="Times New Roman" w:eastAsia="Times New Roman" w:hAnsi="Times New Roman"/>
          <w:sz w:val="20"/>
          <w:szCs w:val="20"/>
          <w:color w:val="auto"/>
        </w:rPr>
      </w:pPr>
    </w:p>
    <w:p>
      <w:pPr>
        <w:jc w:val="both"/>
        <w:ind w:left="1600" w:hanging="372"/>
        <w:spacing w:after="0" w:line="249" w:lineRule="auto"/>
        <w:tabs>
          <w:tab w:leader="none" w:pos="16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62" w:lineRule="exact"/>
        <w:rPr>
          <w:sz w:val="20"/>
          <w:szCs w:val="20"/>
          <w:color w:val="auto"/>
        </w:rPr>
      </w:pPr>
    </w:p>
    <w:p>
      <w:pPr>
        <w:jc w:val="both"/>
        <w:ind w:left="860" w:hanging="186"/>
        <w:spacing w:after="0" w:line="252" w:lineRule="auto"/>
        <w:rPr>
          <w:sz w:val="20"/>
          <w:szCs w:val="20"/>
          <w:color w:val="auto"/>
        </w:rPr>
      </w:pPr>
      <w:r>
        <w:rPr>
          <w:rFonts w:ascii="Times New Roman" w:cs="Times New Roman" w:eastAsia="Times New Roman" w:hAnsi="Times New Roman"/>
          <w:sz w:val="20"/>
          <w:szCs w:val="20"/>
          <w:color w:val="auto"/>
        </w:rPr>
        <w:t>iii.any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w:t>
      </w:r>
    </w:p>
    <w:p>
      <w:pPr>
        <w:spacing w:after="0" w:line="1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77" w:name="page178"/>
    <w:bookmarkEnd w:id="177"/>
    <w:p>
      <w:pPr>
        <w:jc w:val="both"/>
        <w:ind w:left="1881"/>
        <w:spacing w:after="0" w:line="260" w:lineRule="auto"/>
        <w:rPr>
          <w:sz w:val="20"/>
          <w:szCs w:val="20"/>
          <w:color w:val="auto"/>
        </w:rPr>
      </w:pPr>
      <w:r>
        <w:rPr>
          <w:rFonts w:ascii="Times New Roman" w:cs="Times New Roman" w:eastAsia="Times New Roman" w:hAnsi="Times New Roman"/>
          <w:sz w:val="20"/>
          <w:szCs w:val="20"/>
          <w:color w:val="auto"/>
        </w:rPr>
        <w:t>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62" w:lineRule="exact"/>
        <w:rPr>
          <w:sz w:val="20"/>
          <w:szCs w:val="20"/>
          <w:color w:val="auto"/>
        </w:rPr>
      </w:pPr>
    </w:p>
    <w:p>
      <w:pPr>
        <w:jc w:val="both"/>
        <w:ind w:left="1881" w:hanging="186"/>
        <w:spacing w:after="0" w:line="245" w:lineRule="auto"/>
        <w:rPr>
          <w:sz w:val="20"/>
          <w:szCs w:val="20"/>
          <w:color w:val="auto"/>
        </w:rPr>
      </w:pPr>
      <w:r>
        <w:rPr>
          <w:rFonts w:ascii="Times New Roman" w:cs="Times New Roman" w:eastAsia="Times New Roman" w:hAnsi="Times New Roman"/>
          <w:sz w:val="20"/>
          <w:szCs w:val="20"/>
          <w:color w:val="auto"/>
        </w:rPr>
        <w:t>iv.if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67" w:lineRule="exact"/>
        <w:rPr>
          <w:sz w:val="20"/>
          <w:szCs w:val="20"/>
          <w:color w:val="auto"/>
        </w:rPr>
      </w:pPr>
    </w:p>
    <w:p>
      <w:pPr>
        <w:jc w:val="both"/>
        <w:ind w:left="1121" w:hanging="371"/>
        <w:spacing w:after="0" w:line="260" w:lineRule="auto"/>
        <w:tabs>
          <w:tab w:leader="none" w:pos="1121"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58" w:lineRule="exact"/>
        <w:rPr>
          <w:rFonts w:ascii="Times New Roman" w:cs="Times New Roman" w:eastAsia="Times New Roman" w:hAnsi="Times New Roman"/>
          <w:sz w:val="20"/>
          <w:szCs w:val="20"/>
          <w:color w:val="auto"/>
        </w:rPr>
      </w:pPr>
    </w:p>
    <w:p>
      <w:pPr>
        <w:jc w:val="both"/>
        <w:ind w:left="381" w:hanging="381"/>
        <w:spacing w:after="0" w:line="244" w:lineRule="auto"/>
        <w:tabs>
          <w:tab w:leader="none" w:pos="38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106045</wp:posOffset>
            </wp:positionV>
            <wp:extent cx="716661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1"/>
          </w:cols>
          <w:pgMar w:left="419" w:top="544" w:right="339" w:bottom="1440" w:gutter="0" w:footer="0" w:header="0"/>
        </w:sectPr>
      </w:pPr>
    </w:p>
    <w:bookmarkStart w:id="178" w:name="page179"/>
    <w:bookmarkEnd w:id="178"/>
    <w:p>
      <w:pPr>
        <w:jc w:val="both"/>
        <w:ind w:left="381" w:hanging="381"/>
        <w:spacing w:after="0" w:line="250" w:lineRule="auto"/>
        <w:tabs>
          <w:tab w:leader="none" w:pos="38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Increased Costs</w:t>
      </w:r>
      <w:r>
        <w:rPr>
          <w:rFonts w:ascii="Times New Roman" w:cs="Times New Roman" w:eastAsia="Times New Roman" w:hAnsi="Times New Roman"/>
          <w:sz w:val="20"/>
          <w:szCs w:val="20"/>
          <w:color w:val="auto"/>
        </w:rPr>
        <w:t>. If any change in applicable law shall subject any Recipient to any Taxes (other than (A) Indemnified Taxes,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55" w:lineRule="exact"/>
        <w:rPr>
          <w:rFonts w:ascii="Times New Roman" w:cs="Times New Roman" w:eastAsia="Times New Roman" w:hAnsi="Times New Roman"/>
          <w:sz w:val="20"/>
          <w:szCs w:val="20"/>
          <w:color w:val="auto"/>
        </w:rPr>
      </w:pPr>
    </w:p>
    <w:p>
      <w:pPr>
        <w:jc w:val="both"/>
        <w:ind w:left="381" w:hanging="381"/>
        <w:spacing w:after="0" w:line="248" w:lineRule="auto"/>
        <w:tabs>
          <w:tab w:leader="none" w:pos="38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Mitigation</w:t>
      </w:r>
      <w:r>
        <w:rPr>
          <w:rFonts w:ascii="Times New Roman" w:cs="Times New Roman" w:eastAsia="Times New Roman" w:hAnsi="Times New Roman"/>
          <w:sz w:val="20"/>
          <w:szCs w:val="20"/>
          <w:color w:val="auto"/>
        </w:rPr>
        <w:t>. If any Lender requires the Borrower to pay any Indemnified Taxes or additional amounts pursuant to this Addendum,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such Lender shall (at the request of the Borrower) use reasonable efforts to designate a different lending office for funding or booking its Loans hereunder or to assign its rights and obligations hereunder to another of its branches, offices, or affiliates, if, in the judgment of such Lender, such designation or assignment: (i) would eliminate or reduce amounts payable pursuant to this Addendum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spacing w:after="0" w:line="168" w:lineRule="exact"/>
        <w:rPr>
          <w:rFonts w:ascii="Times New Roman" w:cs="Times New Roman" w:eastAsia="Times New Roman" w:hAnsi="Times New Roman"/>
          <w:sz w:val="20"/>
          <w:szCs w:val="20"/>
          <w:color w:val="auto"/>
        </w:rPr>
      </w:pPr>
    </w:p>
    <w:p>
      <w:pPr>
        <w:jc w:val="both"/>
        <w:ind w:left="381" w:hanging="381"/>
        <w:spacing w:after="0" w:line="254" w:lineRule="auto"/>
        <w:tabs>
          <w:tab w:leader="none" w:pos="38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Each party’s obligations under the provisions of this Addendum 1 (including any inchoate indemnity obligations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obligations which, by their terms, are to survive the termination of the Loan Documents) shall survive the resignation or replacement of the Agent or any assignment of rights by, or the replacement of, a Lender, the termination of the Term Commitments and the repayment, satisfaction or discharge of all obligations under any Loan Document (other than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106045</wp:posOffset>
            </wp:positionV>
            <wp:extent cx="7166610"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1"/>
          </w:cols>
          <w:pgMar w:left="419" w:top="540" w:right="339" w:bottom="1440" w:gutter="0" w:footer="0" w:header="0"/>
        </w:sectPr>
      </w:pPr>
    </w:p>
    <w:bookmarkStart w:id="179" w:name="page180"/>
    <w:bookmarkEnd w:id="179"/>
    <w:p>
      <w:pPr>
        <w:jc w:val="right"/>
        <w:ind w:right="1939"/>
        <w:spacing w:after="0"/>
        <w:rPr>
          <w:sz w:val="20"/>
          <w:szCs w:val="20"/>
          <w:color w:val="auto"/>
        </w:rPr>
      </w:pPr>
      <w:r>
        <w:rPr>
          <w:rFonts w:ascii="Times New Roman" w:cs="Times New Roman" w:eastAsia="Times New Roman" w:hAnsi="Times New Roman"/>
          <w:sz w:val="20"/>
          <w:szCs w:val="20"/>
          <w:b w:val="1"/>
          <w:bCs w:val="1"/>
          <w:color w:val="auto"/>
        </w:rPr>
        <w:t>ADDENDUM 2 to LOAN AND SECURITY AGREEMENT</w:t>
      </w:r>
    </w:p>
    <w:p>
      <w:pPr>
        <w:spacing w:after="0" w:line="2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"1" = "1" "WEST\296323106.2" "" WEST\296323106.2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358775</wp:posOffset>
            </wp:positionV>
            <wp:extent cx="716661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099"/>
          </w:cols>
          <w:pgMar w:left="360" w:top="540" w:right="1440" w:bottom="1440" w:gutter="0" w:footer="0" w:header="0"/>
        </w:sectPr>
      </w:pPr>
    </w:p>
    <w:bookmarkStart w:id="180" w:name="page181"/>
    <w:bookmarkEnd w:id="180"/>
    <w:p>
      <w:pPr>
        <w:ind w:left="1920"/>
        <w:spacing w:after="0"/>
        <w:rPr>
          <w:sz w:val="20"/>
          <w:szCs w:val="20"/>
          <w:color w:val="auto"/>
        </w:rPr>
      </w:pPr>
      <w:r>
        <w:rPr>
          <w:rFonts w:ascii="Times New Roman" w:cs="Times New Roman" w:eastAsia="Times New Roman" w:hAnsi="Times New Roman"/>
          <w:sz w:val="20"/>
          <w:szCs w:val="20"/>
          <w:b w:val="1"/>
          <w:bCs w:val="1"/>
          <w:color w:val="auto"/>
        </w:rPr>
        <w:t>ADDENDUM 3 to LOAN AND SECURITY AGREEMENT</w:t>
      </w:r>
    </w:p>
    <w:p>
      <w:pPr>
        <w:spacing w:after="0" w:line="2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Agent and Lender Terms</w:t>
      </w:r>
    </w:p>
    <w:p>
      <w:pPr>
        <w:spacing w:after="0" w:line="200" w:lineRule="exact"/>
        <w:rPr>
          <w:sz w:val="20"/>
          <w:szCs w:val="20"/>
          <w:color w:val="auto"/>
        </w:rPr>
      </w:pPr>
    </w:p>
    <w:p>
      <w:pPr>
        <w:jc w:val="both"/>
        <w:ind w:left="-360" w:firstLine="740"/>
        <w:spacing w:after="0" w:line="252" w:lineRule="auto"/>
        <w:tabs>
          <w:tab w:leader="none" w:pos="11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irrevocably appoints Hercules Capital, Inc. to act on its behalf as the Agent hereunder and under the other Loan Documents (other than the Warrant) and authorizes the Agent to take such actions on its behalf and to exercise such powers as are delegated to the Agent by the terms hereof or thereof, together with such actions and powers as are reasonably incidental thereto.</w:t>
      </w:r>
    </w:p>
    <w:p>
      <w:pPr>
        <w:spacing w:after="0" w:line="171" w:lineRule="exact"/>
        <w:rPr>
          <w:rFonts w:ascii="Times New Roman" w:cs="Times New Roman" w:eastAsia="Times New Roman" w:hAnsi="Times New Roman"/>
          <w:sz w:val="20"/>
          <w:szCs w:val="20"/>
          <w:color w:val="auto"/>
        </w:rPr>
      </w:pPr>
    </w:p>
    <w:p>
      <w:pPr>
        <w:jc w:val="both"/>
        <w:ind w:left="-360" w:firstLine="740"/>
        <w:spacing w:after="0" w:line="246" w:lineRule="auto"/>
        <w:tabs>
          <w:tab w:leader="none" w:pos="11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(other than the Warrant) or any documents contemplated by or referred to herein or therein (other than the Warrant)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65" w:lineRule="exact"/>
        <w:rPr>
          <w:rFonts w:ascii="Times New Roman" w:cs="Times New Roman" w:eastAsia="Times New Roman" w:hAnsi="Times New Roman"/>
          <w:sz w:val="20"/>
          <w:szCs w:val="20"/>
          <w:color w:val="auto"/>
        </w:rPr>
      </w:pPr>
    </w:p>
    <w:p>
      <w:pPr>
        <w:jc w:val="both"/>
        <w:ind w:left="-360" w:firstLine="740"/>
        <w:spacing w:after="0" w:line="252" w:lineRule="auto"/>
        <w:tabs>
          <w:tab w:leader="none" w:pos="11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71" w:lineRule="exact"/>
        <w:rPr>
          <w:rFonts w:ascii="Times New Roman" w:cs="Times New Roman" w:eastAsia="Times New Roman" w:hAnsi="Times New Roman"/>
          <w:sz w:val="20"/>
          <w:szCs w:val="20"/>
          <w:color w:val="auto"/>
        </w:rPr>
      </w:pPr>
    </w:p>
    <w:p>
      <w:pPr>
        <w:ind w:left="-360" w:firstLine="740"/>
        <w:spacing w:after="0" w:line="270" w:lineRule="auto"/>
        <w:tabs>
          <w:tab w:leader="none" w:pos="11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Exculpatory Provisions. The Agent shall have no duties or obligations except those expressly set forth herein and in the other Loan Documents. Without limiting the generality of the foregoing, the Agent shall not:</w:t>
      </w:r>
    </w:p>
    <w:p>
      <w:pPr>
        <w:spacing w:after="0" w:line="152" w:lineRule="exact"/>
        <w:rPr>
          <w:rFonts w:ascii="Times New Roman" w:cs="Times New Roman" w:eastAsia="Times New Roman" w:hAnsi="Times New Roman"/>
          <w:sz w:val="20"/>
          <w:szCs w:val="20"/>
          <w:color w:val="auto"/>
        </w:rPr>
      </w:pPr>
    </w:p>
    <w:p>
      <w:pPr>
        <w:ind w:left="1500" w:hanging="370"/>
        <w:spacing w:after="0" w:line="270" w:lineRule="auto"/>
        <w:tabs>
          <w:tab w:leader="none" w:pos="15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39" w:lineRule="exact"/>
        <w:rPr>
          <w:rFonts w:ascii="Times New Roman" w:cs="Times New Roman" w:eastAsia="Times New Roman" w:hAnsi="Times New Roman"/>
          <w:sz w:val="20"/>
          <w:szCs w:val="20"/>
          <w:color w:val="auto"/>
        </w:rPr>
      </w:pPr>
    </w:p>
    <w:p>
      <w:pPr>
        <w:jc w:val="both"/>
        <w:ind w:left="1500" w:hanging="370"/>
        <w:spacing w:after="0" w:line="252" w:lineRule="auto"/>
        <w:tabs>
          <w:tab w:leader="none" w:pos="15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57" w:lineRule="exact"/>
        <w:rPr>
          <w:rFonts w:ascii="Times New Roman" w:cs="Times New Roman" w:eastAsia="Times New Roman" w:hAnsi="Times New Roman"/>
          <w:sz w:val="20"/>
          <w:szCs w:val="20"/>
          <w:color w:val="auto"/>
        </w:rPr>
      </w:pPr>
    </w:p>
    <w:p>
      <w:pPr>
        <w:ind w:left="1500" w:hanging="370"/>
        <w:spacing w:after="0" w:line="284" w:lineRule="auto"/>
        <w:tabs>
          <w:tab w:leader="none" w:pos="150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Agent shall not be liable for the failure to disclose, any information relating to the Borrower or any of its</w:t>
      </w:r>
    </w:p>
    <w:p>
      <w:pPr>
        <w:spacing w:after="0" w:line="1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106045</wp:posOffset>
            </wp:positionV>
            <wp:extent cx="7166610"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81" w:name="page182"/>
    <w:bookmarkEnd w:id="181"/>
    <w:p>
      <w:pPr>
        <w:ind w:left="1500"/>
        <w:spacing w:after="0" w:line="284" w:lineRule="auto"/>
        <w:rPr>
          <w:sz w:val="20"/>
          <w:szCs w:val="20"/>
          <w:color w:val="auto"/>
        </w:rPr>
      </w:pPr>
      <w:r>
        <w:rPr>
          <w:rFonts w:ascii="Times New Roman" w:cs="Times New Roman" w:eastAsia="Times New Roman" w:hAnsi="Times New Roman"/>
          <w:sz w:val="20"/>
          <w:szCs w:val="20"/>
          <w:color w:val="auto"/>
        </w:rPr>
        <w:t>Affiliates that is communicated to or obtained by any Person serving as the Agent or any of its Affiliates in any capacity.</w:t>
      </w:r>
    </w:p>
    <w:p>
      <w:pPr>
        <w:spacing w:after="0" w:line="125" w:lineRule="exact"/>
        <w:rPr>
          <w:sz w:val="20"/>
          <w:szCs w:val="20"/>
          <w:color w:val="auto"/>
        </w:rPr>
      </w:pPr>
    </w:p>
    <w:p>
      <w:pPr>
        <w:jc w:val="both"/>
        <w:ind w:left="-360" w:firstLine="740"/>
        <w:spacing w:after="0" w:line="260" w:lineRule="auto"/>
        <w:tabs>
          <w:tab w:leader="none" w:pos="113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49" w:lineRule="exact"/>
        <w:rPr>
          <w:rFonts w:ascii="Times New Roman" w:cs="Times New Roman" w:eastAsia="Times New Roman" w:hAnsi="Times New Roman"/>
          <w:sz w:val="20"/>
          <w:szCs w:val="20"/>
          <w:color w:val="auto"/>
        </w:rPr>
      </w:pPr>
    </w:p>
    <w:p>
      <w:pPr>
        <w:jc w:val="both"/>
        <w:ind w:left="-360" w:firstLine="740"/>
        <w:spacing w:after="0" w:line="244" w:lineRule="auto"/>
        <w:tabs>
          <w:tab w:leader="none" w:pos="113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114300</wp:posOffset>
            </wp:positionV>
            <wp:extent cx="7166610" cy="41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ADVANCE REQUEST</w:t>
      </w:r>
    </w:p>
    <w:p>
      <w:pPr>
        <w:spacing w:after="0" w:line="204" w:lineRule="exact"/>
        <w:rPr>
          <w:sz w:val="20"/>
          <w:szCs w:val="20"/>
          <w:color w:val="auto"/>
        </w:rPr>
      </w:pPr>
    </w:p>
    <w:p>
      <w:pPr>
        <w:spacing w:after="0"/>
        <w:tabs>
          <w:tab w:leader="none" w:pos="1200" w:val="left"/>
          <w:tab w:leader="none" w:pos="2400" w:val="left"/>
        </w:tabs>
        <w:rPr>
          <w:sz w:val="20"/>
          <w:szCs w:val="20"/>
          <w:color w:val="auto"/>
        </w:rPr>
      </w:pPr>
      <w:r>
        <w:rPr>
          <w:rFonts w:ascii="Times New Roman" w:cs="Times New Roman" w:eastAsia="Times New Roman" w:hAnsi="Times New Roman"/>
          <w:sz w:val="20"/>
          <w:szCs w:val="20"/>
          <w:color w:val="auto"/>
        </w:rPr>
        <w:t>To:  Agent:</w:t>
        <w:tab/>
        <w:t>Date:</w:t>
      </w:r>
      <w:r>
        <w:rPr>
          <w:sz w:val="20"/>
          <w:szCs w:val="20"/>
          <w:color w:val="auto"/>
        </w:rPr>
        <w:tab/>
      </w:r>
      <w:r>
        <w:rPr>
          <w:rFonts w:ascii="Times New Roman" w:cs="Times New Roman" w:eastAsia="Times New Roman" w:hAnsi="Times New Roman"/>
          <w:sz w:val="20"/>
          <w:szCs w:val="20"/>
          <w:color w:val="auto"/>
        </w:rPr>
        <w:t>__________, 2006</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Hercules Capital, Inc. (the “Agent”)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400 Hamilton Avenue, Suite 310</w:t>
      </w:r>
    </w:p>
    <w:p>
      <w:pPr>
        <w:ind w:left="400"/>
        <w:spacing w:after="0"/>
        <w:rPr>
          <w:sz w:val="20"/>
          <w:szCs w:val="20"/>
          <w:color w:val="auto"/>
        </w:rPr>
      </w:pPr>
      <w:r>
        <w:rPr>
          <w:rFonts w:ascii="Times New Roman" w:cs="Times New Roman" w:eastAsia="Times New Roman" w:hAnsi="Times New Roman"/>
          <w:sz w:val="20"/>
          <w:szCs w:val="20"/>
          <w:color w:val="auto"/>
        </w:rPr>
        <w:t>Palo Alto, CA 94301</w: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email: legal@htgc.com</w:t>
      </w:r>
    </w:p>
    <w:p>
      <w:pPr>
        <w:ind w:left="400"/>
        <w:spacing w:after="0"/>
        <w:rPr>
          <w:sz w:val="20"/>
          <w:szCs w:val="20"/>
          <w:color w:val="auto"/>
        </w:rPr>
      </w:pPr>
      <w:r>
        <w:rPr>
          <w:rFonts w:ascii="Times New Roman" w:cs="Times New Roman" w:eastAsia="Times New Roman" w:hAnsi="Times New Roman"/>
          <w:sz w:val="20"/>
          <w:szCs w:val="20"/>
          <w:color w:val="auto"/>
        </w:rPr>
        <w:t>Attn: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Axsome Therapeutics, Inc. (“Borrower”) hereby requests from Hercules Capital, Inc. (“Lender”) an Advance in the amount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 Dollars ($________________) (the “Advance Amount”) on ______________, _____ (the “Advance Date”)</w:t>
      </w:r>
    </w:p>
    <w:p>
      <w:pPr>
        <w:spacing w:after="0"/>
        <w:rPr>
          <w:sz w:val="20"/>
          <w:szCs w:val="20"/>
          <w:color w:val="auto"/>
        </w:rPr>
      </w:pPr>
      <w:r>
        <w:rPr>
          <w:rFonts w:ascii="Times New Roman" w:cs="Times New Roman" w:eastAsia="Times New Roman" w:hAnsi="Times New Roman"/>
          <w:sz w:val="20"/>
          <w:szCs w:val="20"/>
          <w:color w:val="auto"/>
        </w:rPr>
        <w:t>pursuant to the Loan and Security Agreement, dated September 25, 2020 among Borrower, Agent and the Lender (the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words and other terms used but not otherwise defined herein are used with the same meanings as defined in the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w:t>
      </w:r>
    </w:p>
    <w:p>
      <w:pPr>
        <w:spacing w:after="0" w:line="200" w:lineRule="exact"/>
        <w:rPr>
          <w:sz w:val="20"/>
          <w:szCs w:val="20"/>
          <w:color w:val="auto"/>
        </w:rPr>
      </w:pPr>
    </w:p>
    <w:p>
      <w:pPr>
        <w:ind w:left="1160" w:hanging="409"/>
        <w:spacing w:after="0"/>
        <w:tabs>
          <w:tab w:leader="none" w:pos="11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 check payable to Borrower ________</w:t>
      </w:r>
    </w:p>
    <w:p>
      <w:pPr>
        <w:spacing w:after="0" w:line="212" w:lineRule="exact"/>
        <w:rPr>
          <w:rFonts w:ascii="Times New Roman" w:cs="Times New Roman" w:eastAsia="Times New Roman" w:hAnsi="Times New Roman"/>
          <w:sz w:val="20"/>
          <w:szCs w:val="20"/>
          <w:color w:val="auto"/>
        </w:rPr>
      </w:pPr>
    </w:p>
    <w:p>
      <w:pPr>
        <w:ind w:left="3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pacing w:after="0" w:line="199" w:lineRule="exact"/>
        <w:rPr>
          <w:rFonts w:ascii="Times New Roman" w:cs="Times New Roman" w:eastAsia="Times New Roman" w:hAnsi="Times New Roman"/>
          <w:sz w:val="20"/>
          <w:szCs w:val="20"/>
          <w:color w:val="auto"/>
        </w:rPr>
      </w:pPr>
    </w:p>
    <w:p>
      <w:pPr>
        <w:ind w:left="760" w:right="320" w:hanging="9"/>
        <w:spacing w:after="0" w:line="284" w:lineRule="auto"/>
        <w:tabs>
          <w:tab w:leader="none" w:pos="116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Wire Funds to Borrower’s account ________ [IF FILED PUBLICLY, ACCOUNT INFO REDACTED FOR SECURITY PURPOSES]</w:t>
      </w:r>
    </w:p>
    <w:p>
      <w:pPr>
        <w:sectPr>
          <w:pgSz w:w="11900" w:h="16838" w:orient="portrait"/>
          <w:cols w:equalWidth="0" w:num="1">
            <w:col w:w="11240"/>
          </w:cols>
          <w:pgMar w:left="320" w:top="540" w:right="339" w:bottom="1440" w:gutter="0" w:footer="0" w:header="0"/>
        </w:sectPr>
      </w:pP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Bank:</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Address:</w:t>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ABA Number:</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Account Number:</w:t>
      </w:r>
    </w:p>
    <w:p>
      <w:pPr>
        <w:ind w:left="1160"/>
        <w:spacing w:after="0" w:line="237" w:lineRule="auto"/>
        <w:rPr>
          <w:sz w:val="20"/>
          <w:szCs w:val="20"/>
          <w:color w:val="auto"/>
        </w:rPr>
      </w:pPr>
      <w:r>
        <w:rPr>
          <w:rFonts w:ascii="Times New Roman" w:cs="Times New Roman" w:eastAsia="Times New Roman" w:hAnsi="Times New Roman"/>
          <w:sz w:val="20"/>
          <w:szCs w:val="20"/>
          <w:color w:val="auto"/>
        </w:rPr>
        <w:t>Account Name:</w:t>
      </w:r>
    </w:p>
    <w:p>
      <w:pPr>
        <w:ind w:left="1160"/>
        <w:spacing w:after="0"/>
        <w:rPr>
          <w:sz w:val="20"/>
          <w:szCs w:val="20"/>
          <w:color w:val="auto"/>
        </w:rPr>
      </w:pPr>
      <w:r>
        <w:rPr>
          <w:rFonts w:ascii="Times New Roman" w:cs="Times New Roman" w:eastAsia="Times New Roman" w:hAnsi="Times New Roman"/>
          <w:sz w:val="20"/>
          <w:szCs w:val="20"/>
          <w:color w:val="auto"/>
        </w:rPr>
        <w:t>Contact Person: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_____________________________</w:t>
      </w:r>
    </w:p>
    <w:p>
      <w:pPr>
        <w:ind w:left="2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37" w:lineRule="auto"/>
        <w:rPr>
          <w:sz w:val="20"/>
          <w:szCs w:val="20"/>
          <w:color w:val="auto"/>
        </w:rPr>
      </w:pPr>
      <w:r>
        <w:rPr>
          <w:rFonts w:ascii="Times New Roman" w:cs="Times New Roman" w:eastAsia="Times New Roman" w:hAnsi="Times New Roman"/>
          <w:sz w:val="20"/>
          <w:szCs w:val="20"/>
          <w:color w:val="auto"/>
        </w:rPr>
        <w:t>_____________________________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8" w:lineRule="exact"/>
        <w:rPr>
          <w:sz w:val="20"/>
          <w:szCs w:val="20"/>
          <w:color w:val="auto"/>
        </w:rPr>
      </w:pPr>
    </w:p>
    <w:p>
      <w:pPr>
        <w:sectPr>
          <w:pgSz w:w="11900" w:h="16838" w:orient="portrait"/>
          <w:cols w:equalWidth="0" w:num="2">
            <w:col w:w="2600" w:space="240"/>
            <w:col w:w="8400"/>
          </w:cols>
          <w:pgMar w:left="320" w:top="540"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20"/>
          <w:szCs w:val="20"/>
          <w:color w:val="auto"/>
        </w:rPr>
        <w:t>Phone Number</w:t>
      </w:r>
    </w:p>
    <w:p>
      <w:pPr>
        <w:ind w:left="1160"/>
        <w:spacing w:after="0"/>
        <w:rPr>
          <w:sz w:val="20"/>
          <w:szCs w:val="20"/>
          <w:color w:val="auto"/>
        </w:rPr>
      </w:pPr>
      <w:r>
        <w:rPr>
          <w:rFonts w:ascii="Times New Roman" w:cs="Times New Roman" w:eastAsia="Times New Roman" w:hAnsi="Times New Roman"/>
          <w:sz w:val="20"/>
          <w:szCs w:val="20"/>
          <w:color w:val="auto"/>
        </w:rPr>
        <w:t>To Verify Wire Info: _____________________________</w:t>
      </w:r>
    </w:p>
    <w:p>
      <w:pPr>
        <w:spacing w:after="0" w:line="10" w:lineRule="exact"/>
        <w:rPr>
          <w:sz w:val="20"/>
          <w:szCs w:val="20"/>
          <w:color w:val="auto"/>
        </w:rPr>
      </w:pPr>
    </w:p>
    <w:p>
      <w:pPr>
        <w:ind w:left="1160"/>
        <w:spacing w:after="0"/>
        <w:tabs>
          <w:tab w:leader="none" w:pos="2880" w:val="left"/>
        </w:tabs>
        <w:rPr>
          <w:sz w:val="20"/>
          <w:szCs w:val="20"/>
          <w:color w:val="auto"/>
        </w:rPr>
      </w:pPr>
      <w:r>
        <w:rPr>
          <w:rFonts w:ascii="Times New Roman" w:cs="Times New Roman" w:eastAsia="Times New Roman" w:hAnsi="Times New Roman"/>
          <w:sz w:val="20"/>
          <w:szCs w:val="20"/>
          <w:color w:val="auto"/>
        </w:rPr>
        <w:t>Email address:</w:t>
      </w:r>
      <w:r>
        <w:rPr>
          <w:sz w:val="20"/>
          <w:szCs w:val="20"/>
          <w:color w:val="auto"/>
        </w:rPr>
        <w:tab/>
      </w:r>
      <w:r>
        <w:rPr>
          <w:rFonts w:ascii="Times New Roman" w:cs="Times New Roman" w:eastAsia="Times New Roman" w:hAnsi="Times New Roman"/>
          <w:sz w:val="20"/>
          <w:szCs w:val="20"/>
          <w:color w:val="auto"/>
        </w:rPr>
        <w:t>_____________________________</w:t>
      </w:r>
    </w:p>
    <w:p>
      <w:pPr>
        <w:spacing w:after="0" w:line="203"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20"/>
          <w:szCs w:val="20"/>
          <w:color w:val="auto"/>
        </w:rPr>
        <w:t>Borrower represents that the conditions precedent to the Advance set forth in the Agreement are satisfied or waived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and in the Warrant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fact 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83" w:name="page184"/>
    <w:bookmarkEnd w:id="183"/>
    <w:p>
      <w:pPr>
        <w:jc w:val="both"/>
        <w:spacing w:after="0" w:line="260" w:lineRule="auto"/>
        <w:rPr>
          <w:sz w:val="20"/>
          <w:szCs w:val="20"/>
          <w:color w:val="auto"/>
        </w:rPr>
      </w:pPr>
      <w:r>
        <w:rPr>
          <w:rFonts w:ascii="Times New Roman" w:cs="Times New Roman" w:eastAsia="Times New Roman" w:hAnsi="Times New Roman"/>
          <w:sz w:val="20"/>
          <w:szCs w:val="20"/>
          <w:color w:val="auto"/>
        </w:rPr>
        <w:t>condition exists that could (or could, with the passage of time, the giving of notice, or both) constitute an Event of Default under the Loan Documents. Borrower understands and acknowledges that Agent has the right to review the financial information supporting this representation and, based upon such review in its sole but reasonable discretion, the Lender may decline to fund the requested Advance.</w:t>
      </w:r>
    </w:p>
    <w:p>
      <w:pPr>
        <w:spacing w:after="0" w:line="162" w:lineRule="exact"/>
        <w:rPr>
          <w:sz w:val="20"/>
          <w:szCs w:val="20"/>
          <w:color w:val="auto"/>
        </w:rPr>
      </w:pPr>
    </w:p>
    <w:p>
      <w:pPr>
        <w:jc w:val="both"/>
        <w:ind w:firstLine="750"/>
        <w:spacing w:after="0" w:line="270" w:lineRule="auto"/>
        <w:rPr>
          <w:sz w:val="20"/>
          <w:szCs w:val="20"/>
          <w:color w:val="auto"/>
        </w:rPr>
      </w:pPr>
      <w:r>
        <w:rPr>
          <w:rFonts w:ascii="Times New Roman" w:cs="Times New Roman" w:eastAsia="Times New Roman" w:hAnsi="Times New Roman"/>
          <w:sz w:val="20"/>
          <w:szCs w:val="20"/>
          <w:color w:val="auto"/>
        </w:rPr>
        <w:t>Borrower hereby represents that Borrower’s corporate status and locations have not changed since the date of the Agreement or, if the Attachment 1 to this Advance Request is completed, are as set forth in the Attachment to this Advance Request.</w:t>
      </w:r>
    </w:p>
    <w:p>
      <w:pPr>
        <w:spacing w:after="0" w:line="140" w:lineRule="exact"/>
        <w:rPr>
          <w:sz w:val="20"/>
          <w:szCs w:val="20"/>
          <w:color w:val="auto"/>
        </w:rPr>
      </w:pPr>
    </w:p>
    <w:p>
      <w:pPr>
        <w:jc w:val="both"/>
        <w:ind w:firstLine="750"/>
        <w:spacing w:after="0" w:line="284" w:lineRule="auto"/>
        <w:rPr>
          <w:sz w:val="20"/>
          <w:szCs w:val="20"/>
          <w:color w:val="auto"/>
        </w:rPr>
      </w:pPr>
      <w:r>
        <w:rPr>
          <w:rFonts w:ascii="Times New Roman" w:cs="Times New Roman" w:eastAsia="Times New Roman" w:hAnsi="Times New Roman"/>
          <w:sz w:val="20"/>
          <w:szCs w:val="20"/>
          <w:color w:val="auto"/>
        </w:rPr>
        <w:t>With respect to any Advances requested under Tranche 4, Borrower represents and warrants that the information provided on Attachment 2 to this Advance Request is true and correct in all respects.</w:t>
      </w:r>
    </w:p>
    <w:p>
      <w:pPr>
        <w:spacing w:after="0" w:line="125" w:lineRule="exact"/>
        <w:rPr>
          <w:sz w:val="20"/>
          <w:szCs w:val="20"/>
          <w:color w:val="auto"/>
        </w:rPr>
      </w:pPr>
    </w:p>
    <w:p>
      <w:pPr>
        <w:jc w:val="both"/>
        <w:ind w:firstLine="750"/>
        <w:spacing w:after="0" w:line="260" w:lineRule="auto"/>
        <w:rPr>
          <w:sz w:val="20"/>
          <w:szCs w:val="20"/>
          <w:color w:val="auto"/>
        </w:rPr>
      </w:pPr>
      <w:r>
        <w:rPr>
          <w:rFonts w:ascii="Times New Roman" w:cs="Times New Roman" w:eastAsia="Times New Roman" w:hAnsi="Times New Roman"/>
          <w:sz w:val="20"/>
          <w:szCs w:val="20"/>
          <w:color w:val="auto"/>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262"/>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Executed as of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  ].</w:t>
            </w:r>
          </w:p>
        </w:tc>
      </w:tr>
    </w:tbl>
    <w:p>
      <w:pPr>
        <w:spacing w:after="0" w:line="1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BORROWER: AXSOME THERAPEUTICS, INC.</w:t>
      </w: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SIGNATURE:________________________</w:t>
      </w:r>
    </w:p>
    <w:p>
      <w:pPr>
        <w:spacing w:after="0" w:line="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TITLE:_____________________________</w:t>
      </w:r>
    </w:p>
    <w:p>
      <w:pPr>
        <w:spacing w:after="0" w:line="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PRINT NAME:______________________</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4" w:name="page185"/>
    <w:bookmarkEnd w:id="184"/>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ATTACHMENT 1 TO ADVANCE REQUEST</w:t>
      </w:r>
    </w:p>
    <w:p>
      <w:pPr>
        <w:spacing w:after="0" w:line="2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hereby represents and warrants to Agent that Borrower’s current name and organizational status is as follows:</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62"/>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Name:   [</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jc w:val="right"/>
              <w:ind w:right="1519"/>
              <w:spacing w:after="0"/>
              <w:rPr>
                <w:sz w:val="20"/>
                <w:szCs w:val="20"/>
                <w:color w:val="auto"/>
              </w:rPr>
            </w:pPr>
            <w:r>
              <w:rPr>
                <w:rFonts w:ascii="Times New Roman" w:cs="Times New Roman" w:eastAsia="Times New Roman" w:hAnsi="Times New Roman"/>
                <w:sz w:val="20"/>
                <w:szCs w:val="20"/>
                <w:color w:val="auto"/>
              </w:rPr>
              <w:t>]</w:t>
            </w:r>
          </w:p>
        </w:tc>
      </w:tr>
      <w:tr>
        <w:trPr>
          <w:trHeight w:val="430"/>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Type of organization:</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1840" w:type="dxa"/>
            <w:vAlign w:val="bottom"/>
          </w:tcPr>
          <w:p>
            <w:pPr>
              <w:jc w:val="right"/>
              <w:ind w:right="319"/>
              <w:spacing w:after="0"/>
              <w:rPr>
                <w:sz w:val="20"/>
                <w:szCs w:val="20"/>
                <w:color w:val="auto"/>
              </w:rPr>
            </w:pPr>
            <w:r>
              <w:rPr>
                <w:rFonts w:ascii="Times New Roman" w:cs="Times New Roman" w:eastAsia="Times New Roman" w:hAnsi="Times New Roman"/>
                <w:sz w:val="20"/>
                <w:szCs w:val="20"/>
                <w:color w:val="auto"/>
              </w:rPr>
              <w:t>]</w:t>
            </w:r>
          </w:p>
        </w:tc>
      </w:tr>
      <w:tr>
        <w:trPr>
          <w:trHeight w:val="430"/>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State of organization:</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1840" w:type="dxa"/>
            <w:vAlign w:val="bottom"/>
          </w:tcPr>
          <w:p>
            <w:pPr>
              <w:jc w:val="right"/>
              <w:ind w:right="319"/>
              <w:spacing w:after="0"/>
              <w:rPr>
                <w:sz w:val="20"/>
                <w:szCs w:val="20"/>
                <w:color w:val="auto"/>
              </w:rPr>
            </w:pPr>
            <w:r>
              <w:rPr>
                <w:rFonts w:ascii="Times New Roman" w:cs="Times New Roman" w:eastAsia="Times New Roman" w:hAnsi="Times New Roman"/>
                <w:sz w:val="20"/>
                <w:szCs w:val="20"/>
                <w:color w:val="auto"/>
              </w:rPr>
              <w:t>]</w:t>
            </w:r>
          </w:p>
        </w:tc>
      </w:tr>
      <w:tr>
        <w:trPr>
          <w:trHeight w:val="442"/>
        </w:trPr>
        <w:tc>
          <w:tcPr>
            <w:tcW w:w="2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Organization file number:</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6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Borrower hereby represents and warrants to Agent that the street addresses, cities, states and postal codes of its current locations are as follows: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color w:val="auto"/>
        </w:rPr>
        <w:t>[</w:t>
        <w:tab/>
        <w:t>]</w:t>
      </w:r>
    </w:p>
    <w:p>
      <w:pPr>
        <w:spacing w:after="0" w:line="20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0"/>
          <w:szCs w:val="20"/>
          <w:color w:val="auto"/>
        </w:rPr>
        <w:t>Borrower hereby represents and warrants to Agent that the Advance Amount does not exceed the Maximum Term Loan Amount as follows:</w:t>
      </w:r>
    </w:p>
    <w:p>
      <w:pPr>
        <w:spacing w:after="0" w:line="125" w:lineRule="exact"/>
        <w:rPr>
          <w:sz w:val="20"/>
          <w:szCs w:val="20"/>
          <w:color w:val="auto"/>
        </w:rPr>
      </w:pPr>
    </w:p>
    <w:p>
      <w:pPr>
        <w:ind w:left="400" w:hanging="399"/>
        <w:spacing w:after="0"/>
        <w:tabs>
          <w:tab w:leader="none" w:pos="4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Amount: $________________</w:t>
      </w:r>
    </w:p>
    <w:p>
      <w:pPr>
        <w:spacing w:after="0" w:line="199" w:lineRule="exact"/>
        <w:rPr>
          <w:rFonts w:ascii="Times New Roman" w:cs="Times New Roman" w:eastAsia="Times New Roman" w:hAnsi="Times New Roman"/>
          <w:sz w:val="20"/>
          <w:szCs w:val="20"/>
          <w:color w:val="auto"/>
        </w:rPr>
      </w:pPr>
    </w:p>
    <w:p>
      <w:pPr>
        <w:ind w:left="400" w:hanging="399"/>
        <w:spacing w:after="0"/>
        <w:tabs>
          <w:tab w:leader="none" w:pos="4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Maximum Term Loan Amount: $300,000,000</w:t>
      </w:r>
    </w:p>
    <w:p>
      <w:pPr>
        <w:spacing w:after="0" w:line="212" w:lineRule="exact"/>
        <w:rPr>
          <w:rFonts w:ascii="Times New Roman" w:cs="Times New Roman" w:eastAsia="Times New Roman" w:hAnsi="Times New Roman"/>
          <w:sz w:val="20"/>
          <w:szCs w:val="20"/>
          <w:color w:val="auto"/>
        </w:rPr>
      </w:pPr>
    </w:p>
    <w:p>
      <w:pPr>
        <w:ind w:left="400" w:hanging="399"/>
        <w:spacing w:after="0"/>
        <w:tabs>
          <w:tab w:leader="none" w:pos="4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clause a. less than or equal to clause b.?</w:t>
      </w:r>
    </w:p>
    <w:p>
      <w:pPr>
        <w:spacing w:after="0" w:line="20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Yes/Compliant _______ No/Non-Compliant _______</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106045</wp:posOffset>
            </wp:positionV>
            <wp:extent cx="7166610"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00"/>
          </w:cols>
          <w:pgMar w:left="320" w:top="540" w:right="679" w:bottom="1440" w:gutter="0" w:footer="0" w:header="0"/>
        </w:sectPr>
      </w:pPr>
    </w:p>
    <w:bookmarkStart w:id="185" w:name="page186"/>
    <w:bookmarkEnd w:id="185"/>
    <w:p>
      <w:pPr>
        <w:ind w:left="510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NAME, LOCATIONS, AND OTHER INFORMATION FOR BORROWER</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 Borrower represents and warrants to Agent that Borrower’s current name and organizational status as of the Closing Date is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Name:   [</w:t>
            </w: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60" w:type="dxa"/>
            <w:vAlign w:val="bottom"/>
          </w:tcPr>
          <w:p>
            <w:pPr>
              <w:jc w:val="right"/>
              <w:ind w:right="1519"/>
              <w:spacing w:after="0"/>
              <w:rPr>
                <w:sz w:val="20"/>
                <w:szCs w:val="20"/>
                <w:color w:val="auto"/>
              </w:rPr>
            </w:pPr>
            <w:r>
              <w:rPr>
                <w:rFonts w:ascii="Times New Roman" w:cs="Times New Roman" w:eastAsia="Times New Roman" w:hAnsi="Times New Roman"/>
                <w:sz w:val="20"/>
                <w:szCs w:val="20"/>
                <w:color w:val="auto"/>
              </w:rPr>
              <w:t>]</w:t>
            </w:r>
          </w:p>
        </w:tc>
      </w:tr>
      <w:tr>
        <w:trPr>
          <w:trHeight w:val="430"/>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Type of organization:</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spacing w:after="0"/>
              <w:rPr>
                <w:sz w:val="24"/>
                <w:szCs w:val="24"/>
                <w:color w:val="auto"/>
              </w:rPr>
            </w:pPr>
          </w:p>
        </w:tc>
        <w:tc>
          <w:tcPr>
            <w:tcW w:w="2060" w:type="dxa"/>
            <w:vAlign w:val="bottom"/>
          </w:tcPr>
          <w:p>
            <w:pPr>
              <w:jc w:val="right"/>
              <w:ind w:right="299"/>
              <w:spacing w:after="0"/>
              <w:rPr>
                <w:sz w:val="20"/>
                <w:szCs w:val="20"/>
                <w:color w:val="auto"/>
              </w:rPr>
            </w:pPr>
            <w:r>
              <w:rPr>
                <w:rFonts w:ascii="Times New Roman" w:cs="Times New Roman" w:eastAsia="Times New Roman" w:hAnsi="Times New Roman"/>
                <w:sz w:val="20"/>
                <w:szCs w:val="20"/>
                <w:color w:val="auto"/>
              </w:rPr>
              <w:t>]</w:t>
            </w:r>
          </w:p>
        </w:tc>
      </w:tr>
      <w:tr>
        <w:trPr>
          <w:trHeight w:val="442"/>
        </w:trPr>
        <w:tc>
          <w:tcPr>
            <w:tcW w:w="1880" w:type="dxa"/>
            <w:vAlign w:val="bottom"/>
          </w:tcPr>
          <w:p>
            <w:pPr>
              <w:spacing w:after="0"/>
              <w:rPr>
                <w:sz w:val="20"/>
                <w:szCs w:val="20"/>
                <w:color w:val="auto"/>
              </w:rPr>
            </w:pPr>
            <w:r>
              <w:rPr>
                <w:rFonts w:ascii="Times New Roman" w:cs="Times New Roman" w:eastAsia="Times New Roman" w:hAnsi="Times New Roman"/>
                <w:sz w:val="20"/>
                <w:szCs w:val="20"/>
                <w:color w:val="auto"/>
              </w:rPr>
              <w:t>State of organization:</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spacing w:after="0"/>
              <w:rPr>
                <w:sz w:val="24"/>
                <w:szCs w:val="24"/>
                <w:color w:val="auto"/>
              </w:rPr>
            </w:pPr>
          </w:p>
        </w:tc>
        <w:tc>
          <w:tcPr>
            <w:tcW w:w="2060" w:type="dxa"/>
            <w:vAlign w:val="bottom"/>
          </w:tcPr>
          <w:p>
            <w:pPr>
              <w:jc w:val="right"/>
              <w:ind w:right="299"/>
              <w:spacing w:after="0"/>
              <w:rPr>
                <w:sz w:val="20"/>
                <w:szCs w:val="20"/>
                <w:color w:val="auto"/>
              </w:rPr>
            </w:pPr>
            <w:r>
              <w:rPr>
                <w:rFonts w:ascii="Times New Roman" w:cs="Times New Roman" w:eastAsia="Times New Roman" w:hAnsi="Times New Roman"/>
                <w:sz w:val="20"/>
                <w:szCs w:val="20"/>
                <w:color w:val="auto"/>
              </w:rPr>
              <w:t>]</w:t>
            </w:r>
          </w:p>
        </w:tc>
      </w:tr>
      <w:tr>
        <w:trPr>
          <w:trHeight w:val="430"/>
        </w:trPr>
        <w:tc>
          <w:tcPr>
            <w:tcW w:w="2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Organization file number:</w:t>
            </w:r>
          </w:p>
        </w:tc>
        <w:tc>
          <w:tcPr>
            <w:tcW w:w="620" w:type="dxa"/>
            <w:vAlign w:val="bottom"/>
          </w:tcPr>
          <w:p>
            <w:pPr>
              <w:jc w:val="right"/>
              <w:ind w:right="279"/>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80" w:lineRule="exact"/>
        <w:rPr>
          <w:sz w:val="20"/>
          <w:szCs w:val="20"/>
          <w:color w:val="auto"/>
        </w:rPr>
      </w:pPr>
    </w:p>
    <w:p>
      <w:pPr>
        <w:ind w:firstLine="376"/>
        <w:spacing w:after="0" w:line="270" w:lineRule="auto"/>
        <w:tabs>
          <w:tab w:leader="none" w:pos="65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represents and warrants to Agent that for five (5) years prior to the Closing Date, Borrower did not do business under any other name or organization or form except the following:</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w:t>
      </w:r>
    </w:p>
    <w:p>
      <w:pPr>
        <w:spacing w:after="0" w:line="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Used during dates of:</w:t>
      </w:r>
    </w:p>
    <w:p>
      <w:pPr>
        <w:ind w:left="760"/>
        <w:spacing w:after="0" w:line="237" w:lineRule="auto"/>
        <w:rPr>
          <w:sz w:val="20"/>
          <w:szCs w:val="20"/>
          <w:color w:val="auto"/>
        </w:rPr>
      </w:pPr>
      <w:r>
        <w:rPr>
          <w:rFonts w:ascii="Times New Roman" w:cs="Times New Roman" w:eastAsia="Times New Roman" w:hAnsi="Times New Roman"/>
          <w:sz w:val="20"/>
          <w:szCs w:val="20"/>
          <w:color w:val="auto"/>
        </w:rPr>
        <w:t>Type of Organization:</w:t>
      </w:r>
    </w:p>
    <w:p>
      <w:pPr>
        <w:ind w:left="760"/>
        <w:spacing w:after="0"/>
        <w:rPr>
          <w:sz w:val="20"/>
          <w:szCs w:val="20"/>
          <w:color w:val="auto"/>
        </w:rPr>
      </w:pPr>
      <w:r>
        <w:rPr>
          <w:rFonts w:ascii="Times New Roman" w:cs="Times New Roman" w:eastAsia="Times New Roman" w:hAnsi="Times New Roman"/>
          <w:sz w:val="20"/>
          <w:szCs w:val="20"/>
          <w:color w:val="auto"/>
        </w:rPr>
        <w:t>State of organization:</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Organization file Number:</w:t>
      </w:r>
    </w:p>
    <w:p>
      <w:pPr>
        <w:ind w:left="760"/>
        <w:spacing w:after="0"/>
        <w:rPr>
          <w:sz w:val="20"/>
          <w:szCs w:val="20"/>
          <w:color w:val="auto"/>
        </w:rPr>
      </w:pPr>
      <w:r>
        <w:rPr>
          <w:rFonts w:ascii="Times New Roman" w:cs="Times New Roman" w:eastAsia="Times New Roman" w:hAnsi="Times New Roman"/>
          <w:sz w:val="20"/>
          <w:szCs w:val="20"/>
          <w:color w:val="auto"/>
        </w:rPr>
        <w:t>Borrower’s fiscal year ends on _____</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Borrower’s federal employer tax identification number is: _______________</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3. Borrower represents and warrants to Agent that its chief executive office is located at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6" w:name="page187"/>
    <w:bookmarkEnd w:id="186"/>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BORROWER’S PATENTS, TRADEMARKS, COPYRIGHTS AND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87" w:name="page188"/>
    <w:bookmarkEnd w:id="187"/>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BORROWER’S DEPOSIT ACCOUNTS AND INVESTMENT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COMPLIANCE CERTIFICATE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Hercules Capital, Inc. (as “Agent”)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 Hamilton Avenue, Suite 310</w:t>
      </w:r>
    </w:p>
    <w:p>
      <w:pPr>
        <w:spacing w:after="0"/>
        <w:rPr>
          <w:sz w:val="20"/>
          <w:szCs w:val="20"/>
          <w:color w:val="auto"/>
        </w:rPr>
      </w:pPr>
      <w:r>
        <w:rPr>
          <w:rFonts w:ascii="Times New Roman" w:cs="Times New Roman" w:eastAsia="Times New Roman" w:hAnsi="Times New Roman"/>
          <w:sz w:val="20"/>
          <w:szCs w:val="20"/>
          <w:color w:val="auto"/>
        </w:rPr>
        <w:t>Palo Alto, CA 94301</w:t>
      </w:r>
    </w:p>
    <w:p>
      <w:pPr>
        <w:spacing w:after="0" w:line="178"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20"/>
          <w:szCs w:val="20"/>
          <w:color w:val="auto"/>
        </w:rPr>
        <w:t>Reference is made to that certain Loan and Security Agreement dated September 25, 2020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Axsome Therapeutics, Inc. (the “Company”) and each of its Subsidiaries (as defined therein) other than Excluded Subsidiaries (as defined therein), as Borrower. All capitalized terms not defined herein shall have the same meaning as defined in the Loan Agreement.</w:t>
      </w:r>
    </w:p>
    <w:p>
      <w:pPr>
        <w:spacing w:after="0" w:line="173"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20"/>
          <w:szCs w:val="20"/>
          <w:color w:val="auto"/>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 of all covenants, conditions and terms and hereby</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 explained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9" w:name="page190"/>
    <w:bookmarkEnd w:id="189"/>
    <w:p>
      <w:pPr>
        <w:ind w:left="100"/>
        <w:spacing w:after="0"/>
        <w:rPr>
          <w:sz w:val="20"/>
          <w:szCs w:val="20"/>
          <w:color w:val="auto"/>
        </w:rPr>
      </w:pPr>
      <w:r>
        <w:rPr>
          <w:rFonts w:ascii="Times New Roman" w:cs="Times New Roman" w:eastAsia="Times New Roman" w:hAnsi="Times New Roman"/>
          <w:sz w:val="20"/>
          <w:szCs w:val="20"/>
          <w:color w:val="auto"/>
        </w:rPr>
        <w:t>REPORTING REQUIREMENT</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Interim Financial Statements</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Interim Financial Statements</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Audited Financial Statements</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Accounts Receivable and Payable Agings</w:t>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Restricted License</w:t>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Section 5.9 – Intellectual Property</w:t>
      </w:r>
    </w:p>
    <w:p>
      <w:pPr>
        <w:spacing w:after="0" w:line="20" w:lineRule="exact"/>
        <w:rPr>
          <w:sz w:val="20"/>
          <w:szCs w:val="20"/>
          <w:color w:val="auto"/>
        </w:rPr>
      </w:pPr>
      <w:r>
        <w:rPr>
          <w:sz w:val="20"/>
          <w:szCs w:val="20"/>
          <w:color w:val="auto"/>
        </w:rPr>
        <w:br w:type="column"/>
      </w:r>
    </w:p>
    <w:p>
      <w:pPr>
        <w:spacing w:after="0"/>
        <w:tabs>
          <w:tab w:leader="none" w:pos="3040" w:val="left"/>
        </w:tabs>
        <w:rPr>
          <w:sz w:val="20"/>
          <w:szCs w:val="20"/>
          <w:color w:val="auto"/>
        </w:rPr>
      </w:pPr>
      <w:r>
        <w:rPr>
          <w:rFonts w:ascii="Times New Roman" w:cs="Times New Roman" w:eastAsia="Times New Roman" w:hAnsi="Times New Roman"/>
          <w:sz w:val="19"/>
          <w:szCs w:val="19"/>
          <w:color w:val="auto"/>
        </w:rPr>
        <w:t>REQUIRED</w:t>
      </w:r>
      <w:r>
        <w:rPr>
          <w:sz w:val="20"/>
          <w:szCs w:val="20"/>
          <w:color w:val="auto"/>
        </w:rPr>
        <w:tab/>
      </w:r>
      <w:r>
        <w:rPr>
          <w:rFonts w:ascii="Times New Roman" w:cs="Times New Roman" w:eastAsia="Times New Roman" w:hAnsi="Times New Roman"/>
          <w:sz w:val="19"/>
          <w:szCs w:val="19"/>
          <w:color w:val="auto"/>
        </w:rPr>
        <w:t>CHECK IF ATTACHED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Monthly within 30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Quarterly within 45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FYE within 90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Monthly within 30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registering new</w:t>
      </w:r>
    </w:p>
    <w:p>
      <w:pPr>
        <w:spacing w:after="0" w:line="231" w:lineRule="auto"/>
        <w:rPr>
          <w:sz w:val="20"/>
          <w:szCs w:val="20"/>
          <w:color w:val="auto"/>
        </w:rPr>
      </w:pPr>
      <w:r>
        <w:rPr>
          <w:rFonts w:ascii="Times New Roman" w:cs="Times New Roman" w:eastAsia="Times New Roman" w:hAnsi="Times New Roman"/>
          <w:sz w:val="20"/>
          <w:szCs w:val="20"/>
          <w:color w:val="auto"/>
        </w:rPr>
        <w:t>Intellectual Property or the</w:t>
      </w:r>
    </w:p>
    <w:p>
      <w:pPr>
        <w:spacing w:after="0" w:line="224" w:lineRule="auto"/>
        <w:rPr>
          <w:sz w:val="20"/>
          <w:szCs w:val="20"/>
          <w:color w:val="auto"/>
        </w:rPr>
      </w:pPr>
      <w:r>
        <w:rPr>
          <w:rFonts w:ascii="Times New Roman" w:cs="Times New Roman" w:eastAsia="Times New Roman" w:hAnsi="Times New Roman"/>
          <w:sz w:val="20"/>
          <w:szCs w:val="20"/>
          <w:color w:val="auto"/>
        </w:rPr>
        <w:t>acquisition thereof (</w:t>
      </w:r>
      <w:r>
        <w:rPr>
          <w:rFonts w:ascii="Times New Roman" w:cs="Times New Roman" w:eastAsia="Times New Roman" w:hAnsi="Times New Roman"/>
          <w:sz w:val="20"/>
          <w:szCs w:val="20"/>
          <w:i w:val="1"/>
          <w:iCs w:val="1"/>
          <w:color w:val="auto"/>
        </w:rPr>
        <w:t>Section 7.21 of</w:t>
      </w:r>
    </w:p>
    <w:p>
      <w:pPr>
        <w:spacing w:after="0"/>
        <w:rPr>
          <w:sz w:val="20"/>
          <w:szCs w:val="20"/>
          <w:color w:val="auto"/>
        </w:rPr>
      </w:pPr>
      <w:r>
        <w:rPr>
          <w:rFonts w:ascii="Times New Roman" w:cs="Times New Roman" w:eastAsia="Times New Roman" w:hAnsi="Times New Roman"/>
          <w:sz w:val="20"/>
          <w:szCs w:val="20"/>
          <w:i w:val="1"/>
          <w:iCs w:val="1"/>
          <w:color w:val="auto"/>
        </w:rPr>
        <w:t>Loan Agreement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entering into or</w:t>
      </w:r>
    </w:p>
    <w:p>
      <w:pPr>
        <w:spacing w:after="0" w:line="231" w:lineRule="auto"/>
        <w:rPr>
          <w:sz w:val="20"/>
          <w:szCs w:val="20"/>
          <w:color w:val="auto"/>
        </w:rPr>
      </w:pPr>
      <w:r>
        <w:rPr>
          <w:rFonts w:ascii="Times New Roman" w:cs="Times New Roman" w:eastAsia="Times New Roman" w:hAnsi="Times New Roman"/>
          <w:sz w:val="20"/>
          <w:szCs w:val="20"/>
          <w:color w:val="auto"/>
        </w:rPr>
        <w:t>becoming bound by new Restricted</w:t>
      </w:r>
    </w:p>
    <w:p>
      <w:pPr>
        <w:spacing w:after="0" w:line="224" w:lineRule="auto"/>
        <w:rPr>
          <w:sz w:val="20"/>
          <w:szCs w:val="20"/>
          <w:color w:val="auto"/>
        </w:rPr>
      </w:pPr>
      <w:r>
        <w:rPr>
          <w:rFonts w:ascii="Times New Roman" w:cs="Times New Roman" w:eastAsia="Times New Roman" w:hAnsi="Times New Roman"/>
          <w:sz w:val="20"/>
          <w:szCs w:val="20"/>
          <w:color w:val="auto"/>
        </w:rPr>
        <w:t>Licenses (</w:t>
      </w:r>
      <w:r>
        <w:rPr>
          <w:rFonts w:ascii="Times New Roman" w:cs="Times New Roman" w:eastAsia="Times New Roman" w:hAnsi="Times New Roman"/>
          <w:sz w:val="20"/>
          <w:szCs w:val="20"/>
          <w:i w:val="1"/>
          <w:iCs w:val="1"/>
          <w:color w:val="auto"/>
        </w:rPr>
        <w:t>Section 7.21 of Loan</w:t>
      </w:r>
    </w:p>
    <w:p>
      <w:pPr>
        <w:spacing w:after="0"/>
        <w:rPr>
          <w:sz w:val="20"/>
          <w:szCs w:val="20"/>
          <w:color w:val="auto"/>
        </w:rPr>
      </w:pP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w:t>
      </w:r>
    </w:p>
    <w:p>
      <w:pPr>
        <w:spacing w:after="0" w:line="607" w:lineRule="exact"/>
        <w:rPr>
          <w:sz w:val="20"/>
          <w:szCs w:val="20"/>
          <w:color w:val="auto"/>
        </w:rPr>
      </w:pPr>
    </w:p>
    <w:p>
      <w:pPr>
        <w:sectPr>
          <w:pgSz w:w="11900" w:h="16838" w:orient="portrait"/>
          <w:cols w:equalWidth="0" w:num="2">
            <w:col w:w="4280" w:space="720"/>
            <w:col w:w="6240"/>
          </w:cols>
          <w:pgMar w:left="320" w:top="544" w:right="339" w:bottom="1440" w:gutter="0" w:footer="0" w:header="0"/>
        </w:sectPr>
      </w:pP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Has any claim been made to Borrower that any material part of the Intellectual Property violates the rights of any third party? Yes____</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No_____</w:t>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Section 5.11 – Borrower Products</w:t>
      </w:r>
    </w:p>
    <w:p>
      <w:pPr>
        <w:spacing w:after="0" w:line="200" w:lineRule="exact"/>
        <w:rPr>
          <w:sz w:val="20"/>
          <w:szCs w:val="20"/>
          <w:color w:val="auto"/>
        </w:rPr>
      </w:pPr>
    </w:p>
    <w:p>
      <w:pPr>
        <w:jc w:val="both"/>
        <w:ind w:left="100" w:firstLine="745"/>
        <w:spacing w:after="0" w:line="249" w:lineRule="auto"/>
        <w:tabs>
          <w:tab w:leader="none" w:pos="1181"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Borrower’s knowledge, is any material Intellectual Property owned by Borrower or any Borrower Product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w:t>
      </w:r>
    </w:p>
    <w:p>
      <w:pPr>
        <w:spacing w:after="0" w:line="3" w:lineRule="exact"/>
        <w:rPr>
          <w:sz w:val="20"/>
          <w:szCs w:val="20"/>
          <w:color w:val="auto"/>
        </w:rPr>
      </w:pPr>
    </w:p>
    <w:p>
      <w:pPr>
        <w:ind w:left="100"/>
        <w:spacing w:after="0"/>
        <w:tabs>
          <w:tab w:leader="none" w:pos="5120" w:val="left"/>
        </w:tabs>
        <w:rPr>
          <w:sz w:val="20"/>
          <w:szCs w:val="20"/>
          <w:color w:val="auto"/>
        </w:rPr>
      </w:pPr>
      <w:r>
        <w:rPr>
          <w:rFonts w:ascii="Times New Roman" w:cs="Times New Roman" w:eastAsia="Times New Roman" w:hAnsi="Times New Roman"/>
          <w:sz w:val="20"/>
          <w:szCs w:val="20"/>
          <w:color w:val="auto"/>
        </w:rPr>
        <w:t>affect the validity, use or enforceability thereof? Yes____</w:t>
      </w:r>
      <w:r>
        <w:rPr>
          <w:sz w:val="20"/>
          <w:szCs w:val="20"/>
          <w:color w:val="auto"/>
        </w:rPr>
        <w:tab/>
      </w:r>
      <w:r>
        <w:rPr>
          <w:rFonts w:ascii="Times New Roman" w:cs="Times New Roman" w:eastAsia="Times New Roman" w:hAnsi="Times New Roman"/>
          <w:sz w:val="19"/>
          <w:szCs w:val="19"/>
          <w:color w:val="auto"/>
        </w:rPr>
        <w:t>No_____</w:t>
      </w:r>
    </w:p>
    <w:p>
      <w:pPr>
        <w:spacing w:after="0" w:line="178" w:lineRule="exact"/>
        <w:rPr>
          <w:sz w:val="20"/>
          <w:szCs w:val="20"/>
          <w:color w:val="auto"/>
        </w:rPr>
      </w:pPr>
    </w:p>
    <w:p>
      <w:pPr>
        <w:jc w:val="both"/>
        <w:ind w:left="100" w:firstLine="745"/>
        <w:spacing w:after="0" w:line="246" w:lineRule="auto"/>
        <w:tabs>
          <w:tab w:leader="none" w:pos="115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Borrower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or, to Borrower’s knowledge, is there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reasonable basis for any such claim? Yes____</w:t>
            </w:r>
          </w:p>
        </w:tc>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No_____</w:t>
            </w:r>
          </w:p>
        </w:tc>
      </w:tr>
      <w:tr>
        <w:trPr>
          <w:trHeight w:val="767"/>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|US-DOCS\129794038.5||</w:t>
            </w:r>
          </w:p>
        </w:tc>
        <w:tc>
          <w:tcPr>
            <w:tcW w:w="7200" w:type="dxa"/>
            <w:vAlign w:val="bottom"/>
          </w:tcPr>
          <w:p>
            <w:pPr>
              <w:spacing w:after="0"/>
              <w:rPr>
                <w:sz w:val="24"/>
                <w:szCs w:val="24"/>
                <w:color w:val="auto"/>
              </w:rPr>
            </w:pPr>
          </w:p>
        </w:tc>
      </w:tr>
      <w:tr>
        <w:trPr>
          <w:trHeight w:val="218"/>
        </w:trPr>
        <w:tc>
          <w:tcPr>
            <w:tcW w:w="4040" w:type="dxa"/>
            <w:vAlign w:val="bottom"/>
            <w:tcBorders>
              <w:bottom w:val="single" w:sz="8" w:color="9A9A9A"/>
            </w:tcBorders>
          </w:tcPr>
          <w:p>
            <w:pPr>
              <w:spacing w:after="0"/>
              <w:rPr>
                <w:sz w:val="18"/>
                <w:szCs w:val="18"/>
                <w:color w:val="auto"/>
              </w:rPr>
            </w:pPr>
          </w:p>
        </w:tc>
        <w:tc>
          <w:tcPr>
            <w:tcW w:w="7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ACCOUNTS OF BORROWER AND ITS SUBSIDIARIES AND AFFILIATES</w:t>
      </w:r>
    </w:p>
    <w:p>
      <w:pPr>
        <w:spacing w:after="0" w:line="20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The undersigned hereby also confirms the below disclosed accounts represent all depository accounts and securities accounts presently open in the name of each Borrower or Borrower’s Subsidiary/Affiliate,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new account that has been opened since delivery of the previous Compliance Certificate is designated below with a “*”.</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98"/>
        </w:trPr>
        <w:tc>
          <w:tcPr>
            <w:tcW w:w="48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b w:val="1"/>
                <w:bCs w:val="1"/>
                <w:color w:val="auto"/>
              </w:rPr>
              <w:t>Last Month</w:t>
            </w: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18"/>
                <w:szCs w:val="18"/>
                <w:color w:val="auto"/>
              </w:rPr>
            </w:pPr>
          </w:p>
        </w:tc>
        <w:tc>
          <w:tcPr>
            <w:tcW w:w="1540" w:type="dxa"/>
            <w:vAlign w:val="bottom"/>
            <w:vMerge w:val="restart"/>
          </w:tcPr>
          <w:p>
            <w:pPr>
              <w:ind w:left="300"/>
              <w:spacing w:after="0"/>
              <w:rPr>
                <w:sz w:val="20"/>
                <w:szCs w:val="20"/>
                <w:color w:val="auto"/>
              </w:rPr>
            </w:pPr>
            <w:r>
              <w:rPr>
                <w:rFonts w:ascii="Times New Roman" w:cs="Times New Roman" w:eastAsia="Times New Roman" w:hAnsi="Times New Roman"/>
                <w:sz w:val="20"/>
                <w:szCs w:val="20"/>
                <w:b w:val="1"/>
                <w:bCs w:val="1"/>
                <w:color w:val="auto"/>
              </w:rPr>
              <w:t>Financial</w:t>
            </w:r>
          </w:p>
        </w:tc>
        <w:tc>
          <w:tcPr>
            <w:tcW w:w="180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auto"/>
                <w:w w:val="98"/>
              </w:rPr>
              <w:t>Account Type</w:t>
            </w:r>
          </w:p>
        </w:tc>
        <w:tc>
          <w:tcPr>
            <w:tcW w:w="154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auto"/>
                <w:w w:val="99"/>
              </w:rPr>
              <w:t>Ending</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Purpose of</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80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b w:val="1"/>
                <w:bCs w:val="1"/>
                <w:color w:val="auto"/>
                <w:w w:val="99"/>
              </w:rPr>
              <w:t>(Depository /</w:t>
            </w:r>
          </w:p>
        </w:tc>
        <w:tc>
          <w:tcPr>
            <w:tcW w:w="154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b w:val="1"/>
                <w:bCs w:val="1"/>
                <w:color w:val="auto"/>
              </w:rPr>
              <w:t>Account</w:t>
            </w: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860" w:type="dxa"/>
            <w:vAlign w:val="bottom"/>
          </w:tcPr>
          <w:p>
            <w:pPr>
              <w:ind w:left="3140"/>
              <w:spacing w:after="0"/>
              <w:rPr>
                <w:sz w:val="20"/>
                <w:szCs w:val="20"/>
                <w:color w:val="auto"/>
              </w:rPr>
            </w:pPr>
            <w:r>
              <w:rPr>
                <w:rFonts w:ascii="Times New Roman" w:cs="Times New Roman" w:eastAsia="Times New Roman" w:hAnsi="Times New Roman"/>
                <w:sz w:val="20"/>
                <w:szCs w:val="20"/>
                <w:b w:val="1"/>
                <w:bCs w:val="1"/>
                <w:color w:val="auto"/>
              </w:rPr>
              <w:t>Depository AC #</w:t>
            </w:r>
          </w:p>
        </w:tc>
        <w:tc>
          <w:tcPr>
            <w:tcW w:w="1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Institution</w:t>
            </w:r>
          </w:p>
        </w:tc>
        <w:tc>
          <w:tcPr>
            <w:tcW w:w="1800" w:type="dxa"/>
            <w:vAlign w:val="bottom"/>
          </w:tcPr>
          <w:p>
            <w:pPr>
              <w:jc w:val="center"/>
              <w:ind w:left="19"/>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Account</w:t>
            </w:r>
          </w:p>
        </w:tc>
        <w:tc>
          <w:tcPr>
            <w:tcW w:w="0" w:type="dxa"/>
            <w:vAlign w:val="bottom"/>
          </w:tcPr>
          <w:p>
            <w:pPr>
              <w:spacing w:after="0"/>
              <w:rPr>
                <w:sz w:val="1"/>
                <w:szCs w:val="1"/>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361950</wp:posOffset>
            </wp:positionV>
            <wp:extent cx="7145655" cy="63169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45655" cy="631698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Name/Address:</w:t>
      </w:r>
    </w:p>
    <w:p>
      <w:pPr>
        <w:spacing w:after="0" w:line="199"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SUBSIDIARY /</w:t>
      </w:r>
    </w:p>
    <w:p>
      <w:pPr>
        <w:ind w:left="100"/>
        <w:spacing w:after="0" w:line="235" w:lineRule="auto"/>
        <w:rPr>
          <w:sz w:val="20"/>
          <w:szCs w:val="20"/>
          <w:color w:val="auto"/>
        </w:rPr>
      </w:pPr>
      <w:r>
        <w:rPr>
          <w:rFonts w:ascii="Times New Roman" w:cs="Times New Roman" w:eastAsia="Times New Roman" w:hAnsi="Times New Roman"/>
          <w:sz w:val="20"/>
          <w:szCs w:val="20"/>
          <w:b w:val="1"/>
          <w:bCs w:val="1"/>
          <w:color w:val="auto"/>
        </w:rPr>
        <w:t>AFFILIATE</w:t>
      </w:r>
    </w:p>
    <w:p>
      <w:pPr>
        <w:ind w:left="100"/>
        <w:spacing w:after="0"/>
        <w:rPr>
          <w:sz w:val="20"/>
          <w:szCs w:val="20"/>
          <w:color w:val="auto"/>
        </w:rPr>
      </w:pPr>
      <w:r>
        <w:rPr>
          <w:rFonts w:ascii="Times New Roman" w:cs="Times New Roman" w:eastAsia="Times New Roman" w:hAnsi="Times New Roman"/>
          <w:sz w:val="20"/>
          <w:szCs w:val="20"/>
          <w:b w:val="1"/>
          <w:bCs w:val="1"/>
          <w:color w:val="auto"/>
        </w:rPr>
        <w:t>Name/Address</w:t>
      </w:r>
    </w:p>
    <w:p>
      <w:pPr>
        <w:spacing w:after="0" w:line="186"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225"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7.20 - Financial Covenants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2" w:name="page193"/>
    <w:bookmarkEnd w:id="192"/>
    <w:tbl>
      <w:tblPr>
        <w:tblLayout w:type="fixed"/>
        <w:tblInd w:w="10" w:type="dxa"/>
        <w:tblCellMar>
          <w:top w:w="0" w:type="dxa"/>
          <w:left w:w="0" w:type="dxa"/>
          <w:bottom w:w="0" w:type="dxa"/>
          <w:right w:w="0" w:type="dxa"/>
        </w:tblCellMar>
      </w:tblPr>
      <w:tr>
        <w:trPr>
          <w:trHeight w:val="273"/>
        </w:trPr>
        <w:tc>
          <w:tcPr>
            <w:tcW w:w="24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Financial Covenant</w:t>
            </w:r>
          </w:p>
        </w:tc>
        <w:tc>
          <w:tcPr>
            <w:tcW w:w="5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Required</w:t>
            </w:r>
          </w:p>
        </w:tc>
        <w:tc>
          <w:tcPr>
            <w:tcW w:w="1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Actual</w:t>
            </w:r>
          </w:p>
        </w:tc>
        <w:tc>
          <w:tcPr>
            <w:tcW w:w="1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In Compliance?</w:t>
            </w:r>
          </w:p>
        </w:tc>
        <w:tc>
          <w:tcPr>
            <w:tcW w:w="0" w:type="dxa"/>
            <w:vAlign w:val="bottom"/>
          </w:tcPr>
          <w:p>
            <w:pPr>
              <w:spacing w:after="0"/>
              <w:rPr>
                <w:sz w:val="1"/>
                <w:szCs w:val="1"/>
                <w:color w:val="auto"/>
              </w:rPr>
            </w:pPr>
          </w:p>
        </w:tc>
      </w:tr>
      <w:tr>
        <w:trPr>
          <w:trHeight w:val="162"/>
        </w:trPr>
        <w:tc>
          <w:tcPr>
            <w:tcW w:w="2400" w:type="dxa"/>
            <w:vAlign w:val="bottom"/>
            <w:tcBorders>
              <w:left w:val="single" w:sz="8" w:color="auto"/>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8"/>
                <w:szCs w:val="18"/>
                <w:color w:val="auto"/>
              </w:rPr>
              <w:t>Minimum Cash</w:t>
            </w:r>
          </w:p>
        </w:tc>
        <w:tc>
          <w:tcPr>
            <w:tcW w:w="558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8"/>
                <w:szCs w:val="18"/>
                <w:color w:val="auto"/>
              </w:rPr>
              <w:t xml:space="preserve">Greater than or equal to the sum of $40,000,000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Qualified</w:t>
            </w:r>
          </w:p>
        </w:tc>
        <w:tc>
          <w:tcPr>
            <w:tcW w:w="140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i w:val="1"/>
                <w:iCs w:val="1"/>
                <w:color w:val="auto"/>
              </w:rPr>
              <w:t>Section 7.20(a)(i) of the</w:t>
            </w:r>
          </w:p>
        </w:tc>
        <w:tc>
          <w:tcPr>
            <w:tcW w:w="5580" w:type="dxa"/>
            <w:vAlign w:val="bottom"/>
            <w:tcBorders>
              <w:right w:val="single" w:sz="8" w:color="auto"/>
            </w:tcBorders>
          </w:tcPr>
          <w:p>
            <w:pPr>
              <w:ind w:left="60"/>
              <w:spacing w:after="0" w:line="207" w:lineRule="exact"/>
              <w:rPr>
                <w:sz w:val="20"/>
                <w:szCs w:val="20"/>
                <w:color w:val="auto"/>
              </w:rPr>
            </w:pPr>
            <w:r>
              <w:rPr>
                <w:rFonts w:ascii="Times New Roman" w:cs="Times New Roman" w:eastAsia="Times New Roman" w:hAnsi="Times New Roman"/>
                <w:sz w:val="20"/>
                <w:szCs w:val="20"/>
                <w:color w:val="auto"/>
              </w:rPr>
              <w:t>Cash A/P Amount; provided that beginning on the AXS-05</w:t>
            </w:r>
          </w:p>
        </w:tc>
        <w:tc>
          <w:tcPr>
            <w:tcW w:w="14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11"/>
        </w:trPr>
        <w:tc>
          <w:tcPr>
            <w:tcW w:w="240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i w:val="1"/>
                <w:iCs w:val="1"/>
                <w:color w:val="auto"/>
              </w:rPr>
              <w:t>Loan Agreement</w:t>
            </w:r>
          </w:p>
        </w:tc>
        <w:tc>
          <w:tcPr>
            <w:tcW w:w="5580" w:type="dxa"/>
            <w:vAlign w:val="bottom"/>
            <w:tcBorders>
              <w:right w:val="single" w:sz="8" w:color="auto"/>
            </w:tcBorders>
          </w:tcPr>
          <w:p>
            <w:pPr>
              <w:ind w:left="60"/>
              <w:spacing w:after="0" w:line="211" w:lineRule="exact"/>
              <w:rPr>
                <w:sz w:val="20"/>
                <w:szCs w:val="20"/>
                <w:color w:val="auto"/>
              </w:rPr>
            </w:pPr>
            <w:r>
              <w:rPr>
                <w:rFonts w:ascii="Times New Roman" w:cs="Times New Roman" w:eastAsia="Times New Roman" w:hAnsi="Times New Roman"/>
                <w:sz w:val="20"/>
                <w:szCs w:val="20"/>
                <w:color w:val="auto"/>
              </w:rPr>
              <w:t>Milestone Date, such sum shall be greater than or equal to</w:t>
            </w:r>
          </w:p>
        </w:tc>
        <w:tc>
          <w:tcPr>
            <w:tcW w:w="14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400" w:type="dxa"/>
            <w:vAlign w:val="bottom"/>
            <w:tcBorders>
              <w:left w:val="single" w:sz="8" w:color="auto"/>
              <w:right w:val="single" w:sz="8" w:color="auto"/>
            </w:tcBorders>
          </w:tcPr>
          <w:p>
            <w:pPr>
              <w:spacing w:after="0"/>
              <w:rPr>
                <w:sz w:val="23"/>
                <w:szCs w:val="23"/>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xml:space="preserve">$25,000,000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w:t>
            </w:r>
          </w:p>
        </w:tc>
        <w:tc>
          <w:tcPr>
            <w:tcW w:w="1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20"/>
                <w:szCs w:val="20"/>
                <w:color w:val="auto"/>
              </w:rPr>
              <w:t>Performance Covenant A</w:t>
            </w:r>
          </w:p>
        </w:tc>
        <w:tc>
          <w:tcPr>
            <w:tcW w:w="55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20"/>
                <w:szCs w:val="20"/>
                <w:color w:val="auto"/>
              </w:rPr>
              <w:t>(i) Borrower’s Market Capitalization exceeds One Billion Dollars</w:t>
            </w:r>
          </w:p>
        </w:tc>
        <w:tc>
          <w:tcPr>
            <w:tcW w:w="14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   ]</w:t>
            </w:r>
          </w:p>
        </w:tc>
        <w:tc>
          <w:tcPr>
            <w:tcW w:w="18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Yes</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i w:val="1"/>
                <w:iCs w:val="1"/>
                <w:color w:val="auto"/>
              </w:rPr>
              <w:t>Section 7.20(b) of the</w:t>
            </w:r>
          </w:p>
        </w:tc>
        <w:tc>
          <w:tcPr>
            <w:tcW w:w="5580" w:type="dxa"/>
            <w:vAlign w:val="bottom"/>
            <w:tcBorders>
              <w:right w:val="single" w:sz="8" w:color="auto"/>
            </w:tcBorders>
          </w:tcPr>
          <w:p>
            <w:pPr>
              <w:ind w:left="60"/>
              <w:spacing w:after="0" w:line="207" w:lineRule="exact"/>
              <w:rPr>
                <w:sz w:val="20"/>
                <w:szCs w:val="20"/>
                <w:color w:val="auto"/>
              </w:rPr>
            </w:pPr>
            <w:r>
              <w:rPr>
                <w:rFonts w:ascii="Times New Roman" w:cs="Times New Roman" w:eastAsia="Times New Roman" w:hAnsi="Times New Roman"/>
                <w:sz w:val="20"/>
                <w:szCs w:val="20"/>
                <w:color w:val="auto"/>
              </w:rPr>
              <w:t>($1,000,000,000) and (ii) Borrower maintains Qualified Cash in</w:t>
            </w:r>
          </w:p>
        </w:tc>
        <w:tc>
          <w:tcPr>
            <w:tcW w:w="14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11"/>
        </w:trPr>
        <w:tc>
          <w:tcPr>
            <w:tcW w:w="2400" w:type="dxa"/>
            <w:vAlign w:val="bottom"/>
            <w:tcBorders>
              <w:left w:val="single" w:sz="8" w:color="auto"/>
              <w:right w:val="single" w:sz="8" w:color="auto"/>
            </w:tcBorders>
          </w:tcPr>
          <w:p>
            <w:pPr>
              <w:ind w:left="100"/>
              <w:spacing w:after="0" w:line="211" w:lineRule="exact"/>
              <w:rPr>
                <w:sz w:val="20"/>
                <w:szCs w:val="20"/>
                <w:color w:val="auto"/>
              </w:rPr>
            </w:pPr>
            <w:r>
              <w:rPr>
                <w:rFonts w:ascii="Times New Roman" w:cs="Times New Roman" w:eastAsia="Times New Roman" w:hAnsi="Times New Roman"/>
                <w:sz w:val="20"/>
                <w:szCs w:val="20"/>
                <w:i w:val="1"/>
                <w:iCs w:val="1"/>
                <w:color w:val="auto"/>
              </w:rPr>
              <w:t>Loan Agreement</w:t>
            </w:r>
          </w:p>
        </w:tc>
        <w:tc>
          <w:tcPr>
            <w:tcW w:w="5580" w:type="dxa"/>
            <w:vAlign w:val="bottom"/>
            <w:tcBorders>
              <w:right w:val="single" w:sz="8" w:color="auto"/>
            </w:tcBorders>
          </w:tcPr>
          <w:p>
            <w:pPr>
              <w:ind w:left="60"/>
              <w:spacing w:after="0" w:line="211" w:lineRule="exact"/>
              <w:rPr>
                <w:sz w:val="20"/>
                <w:szCs w:val="20"/>
                <w:color w:val="auto"/>
              </w:rPr>
            </w:pPr>
            <w:r>
              <w:rPr>
                <w:rFonts w:ascii="Times New Roman" w:cs="Times New Roman" w:eastAsia="Times New Roman" w:hAnsi="Times New Roman"/>
                <w:sz w:val="20"/>
                <w:szCs w:val="20"/>
                <w:color w:val="auto"/>
              </w:rPr>
              <w:t>an amount not less than fifty percent (50%) of the sum of the</w:t>
            </w:r>
          </w:p>
        </w:tc>
        <w:tc>
          <w:tcPr>
            <w:tcW w:w="14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line="219" w:lineRule="exact"/>
              <w:rPr>
                <w:sz w:val="20"/>
                <w:szCs w:val="20"/>
                <w:color w:val="auto"/>
              </w:rPr>
            </w:pPr>
            <w:r>
              <w:rPr>
                <w:rFonts w:ascii="Times New Roman" w:cs="Times New Roman" w:eastAsia="Times New Roman" w:hAnsi="Times New Roman"/>
                <w:sz w:val="20"/>
                <w:szCs w:val="20"/>
                <w:color w:val="auto"/>
              </w:rPr>
              <w:t xml:space="preserve">outstanding principal 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w:t>
            </w:r>
          </w:p>
        </w:tc>
        <w:tc>
          <w:tcPr>
            <w:tcW w:w="140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auto"/>
              <w:bottom w:val="single" w:sz="8" w:color="auto"/>
              <w:right w:val="single" w:sz="8" w:color="auto"/>
            </w:tcBorders>
          </w:tcPr>
          <w:p>
            <w:pPr>
              <w:spacing w:after="0"/>
              <w:rPr>
                <w:sz w:val="22"/>
                <w:szCs w:val="22"/>
                <w:color w:val="auto"/>
              </w:rPr>
            </w:pPr>
          </w:p>
        </w:tc>
        <w:tc>
          <w:tcPr>
            <w:tcW w:w="55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Qualified Cash A/P Amount</w:t>
            </w:r>
          </w:p>
        </w:tc>
        <w:tc>
          <w:tcPr>
            <w:tcW w:w="140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20"/>
                <w:szCs w:val="20"/>
                <w:color w:val="auto"/>
              </w:rPr>
              <w:t>Performance Covenant B</w:t>
            </w:r>
          </w:p>
        </w:tc>
        <w:tc>
          <w:tcPr>
            <w:tcW w:w="55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20"/>
                <w:szCs w:val="20"/>
                <w:color w:val="auto"/>
              </w:rPr>
              <w:t>Borrower maintains Qualified Cash in an amount not less than</w:t>
            </w:r>
          </w:p>
        </w:tc>
        <w:tc>
          <w:tcPr>
            <w:tcW w:w="14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   ]</w:t>
            </w:r>
          </w:p>
        </w:tc>
        <w:tc>
          <w:tcPr>
            <w:tcW w:w="18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Yes</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i w:val="1"/>
                <w:iCs w:val="1"/>
                <w:color w:val="auto"/>
              </w:rPr>
              <w:t>Section 7.20(b) of the</w:t>
            </w:r>
          </w:p>
        </w:tc>
        <w:tc>
          <w:tcPr>
            <w:tcW w:w="5580" w:type="dxa"/>
            <w:vAlign w:val="bottom"/>
            <w:tcBorders>
              <w:right w:val="single" w:sz="8" w:color="auto"/>
            </w:tcBorders>
          </w:tcPr>
          <w:p>
            <w:pPr>
              <w:ind w:left="60"/>
              <w:spacing w:after="0" w:line="207" w:lineRule="exact"/>
              <w:rPr>
                <w:sz w:val="20"/>
                <w:szCs w:val="20"/>
                <w:color w:val="auto"/>
              </w:rPr>
            </w:pPr>
            <w:r>
              <w:rPr>
                <w:rFonts w:ascii="Times New Roman" w:cs="Times New Roman" w:eastAsia="Times New Roman" w:hAnsi="Times New Roman"/>
                <w:sz w:val="20"/>
                <w:szCs w:val="20"/>
                <w:color w:val="auto"/>
              </w:rPr>
              <w:t>eighty five percent (85%) of the sum of the outstanding principal</w:t>
            </w:r>
          </w:p>
        </w:tc>
        <w:tc>
          <w:tcPr>
            <w:tcW w:w="14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15"/>
        </w:trPr>
        <w:tc>
          <w:tcPr>
            <w:tcW w:w="2400" w:type="dxa"/>
            <w:vAlign w:val="bottom"/>
            <w:tcBorders>
              <w:left w:val="single" w:sz="8" w:color="auto"/>
              <w:right w:val="single" w:sz="8" w:color="auto"/>
            </w:tcBorders>
          </w:tcPr>
          <w:p>
            <w:pPr>
              <w:ind w:left="100"/>
              <w:spacing w:after="0" w:line="215" w:lineRule="exact"/>
              <w:rPr>
                <w:sz w:val="20"/>
                <w:szCs w:val="20"/>
                <w:color w:val="auto"/>
              </w:rPr>
            </w:pPr>
            <w:r>
              <w:rPr>
                <w:rFonts w:ascii="Times New Roman" w:cs="Times New Roman" w:eastAsia="Times New Roman" w:hAnsi="Times New Roman"/>
                <w:sz w:val="20"/>
                <w:szCs w:val="20"/>
                <w:i w:val="1"/>
                <w:iCs w:val="1"/>
                <w:color w:val="auto"/>
              </w:rPr>
              <w:t>Loan Agreement</w:t>
            </w:r>
          </w:p>
        </w:tc>
        <w:tc>
          <w:tcPr>
            <w:tcW w:w="5580" w:type="dxa"/>
            <w:vAlign w:val="bottom"/>
            <w:tcBorders>
              <w:right w:val="single" w:sz="8" w:color="auto"/>
            </w:tcBorders>
          </w:tcPr>
          <w:p>
            <w:pPr>
              <w:ind w:left="60"/>
              <w:spacing w:after="0" w:line="215" w:lineRule="exact"/>
              <w:rPr>
                <w:sz w:val="20"/>
                <w:szCs w:val="20"/>
                <w:color w:val="auto"/>
              </w:rPr>
            </w:pPr>
            <w:r>
              <w:rPr>
                <w:rFonts w:ascii="Times New Roman" w:cs="Times New Roman" w:eastAsia="Times New Roman" w:hAnsi="Times New Roman"/>
                <w:sz w:val="20"/>
                <w:szCs w:val="20"/>
                <w:color w:val="auto"/>
              </w:rPr>
              <w:t xml:space="preserve">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w:t>
            </w:r>
          </w:p>
        </w:tc>
        <w:tc>
          <w:tcPr>
            <w:tcW w:w="140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400" w:type="dxa"/>
            <w:vAlign w:val="bottom"/>
            <w:tcBorders>
              <w:left w:val="single" w:sz="8" w:color="auto"/>
              <w:right w:val="single" w:sz="8" w:color="auto"/>
            </w:tcBorders>
          </w:tcPr>
          <w:p>
            <w:pPr>
              <w:spacing w:after="0"/>
              <w:rPr>
                <w:sz w:val="22"/>
                <w:szCs w:val="22"/>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Amount</w:t>
            </w:r>
          </w:p>
        </w:tc>
        <w:tc>
          <w:tcPr>
            <w:tcW w:w="140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20"/>
                <w:szCs w:val="20"/>
                <w:color w:val="auto"/>
              </w:rPr>
              <w:t>Performance Covenant C</w:t>
            </w:r>
          </w:p>
        </w:tc>
        <w:tc>
          <w:tcPr>
            <w:tcW w:w="55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20"/>
                <w:szCs w:val="20"/>
                <w:color w:val="auto"/>
              </w:rPr>
              <w:t>Borrower achieves T6M Net Product Revenue of at least 60% of</w:t>
            </w:r>
          </w:p>
        </w:tc>
        <w:tc>
          <w:tcPr>
            <w:tcW w:w="14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   ]</w:t>
            </w:r>
          </w:p>
        </w:tc>
        <w:tc>
          <w:tcPr>
            <w:tcW w:w="18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rPr>
              <w:t>Yes</w:t>
            </w:r>
          </w:p>
        </w:tc>
        <w:tc>
          <w:tcPr>
            <w:tcW w:w="0" w:type="dxa"/>
            <w:vAlign w:val="bottom"/>
          </w:tcPr>
          <w:p>
            <w:pPr>
              <w:spacing w:after="0"/>
              <w:rPr>
                <w:sz w:val="1"/>
                <w:szCs w:val="1"/>
                <w:color w:val="auto"/>
              </w:rPr>
            </w:pPr>
          </w:p>
        </w:tc>
      </w:tr>
      <w:tr>
        <w:trPr>
          <w:trHeight w:val="206"/>
        </w:trPr>
        <w:tc>
          <w:tcPr>
            <w:tcW w:w="2400" w:type="dxa"/>
            <w:vAlign w:val="bottom"/>
            <w:tcBorders>
              <w:left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i w:val="1"/>
                <w:iCs w:val="1"/>
                <w:color w:val="auto"/>
              </w:rPr>
              <w:t>Section 7.20(b) of the</w:t>
            </w:r>
          </w:p>
        </w:tc>
        <w:tc>
          <w:tcPr>
            <w:tcW w:w="5580" w:type="dxa"/>
            <w:vAlign w:val="bottom"/>
            <w:tcBorders>
              <w:right w:val="single" w:sz="8" w:color="auto"/>
            </w:tcBorders>
          </w:tcPr>
          <w:p>
            <w:pPr>
              <w:ind w:left="60"/>
              <w:spacing w:after="0" w:line="207" w:lineRule="exact"/>
              <w:rPr>
                <w:sz w:val="20"/>
                <w:szCs w:val="20"/>
                <w:color w:val="auto"/>
              </w:rPr>
            </w:pPr>
            <w:r>
              <w:rPr>
                <w:rFonts w:ascii="Times New Roman" w:cs="Times New Roman" w:eastAsia="Times New Roman" w:hAnsi="Times New Roman"/>
                <w:sz w:val="20"/>
                <w:szCs w:val="20"/>
                <w:color w:val="auto"/>
              </w:rPr>
              <w:t>the T6M Net Product Revenue included in the Forecast,</w:t>
            </w:r>
          </w:p>
        </w:tc>
        <w:tc>
          <w:tcPr>
            <w:tcW w:w="14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66"/>
        </w:trPr>
        <w:tc>
          <w:tcPr>
            <w:tcW w:w="2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Loan Agreement</w:t>
            </w: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determined on a quarterly basis</w:t>
            </w:r>
          </w:p>
        </w:tc>
        <w:tc>
          <w:tcPr>
            <w:tcW w:w="14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6380" w:val="left"/>
          <w:tab w:leader="none" w:pos="7400" w:val="left"/>
        </w:tabs>
        <w:rPr>
          <w:sz w:val="20"/>
          <w:szCs w:val="20"/>
          <w:color w:val="auto"/>
        </w:rPr>
      </w:pPr>
      <w:r>
        <w:rPr>
          <w:rFonts w:ascii="Times New Roman" w:cs="Times New Roman" w:eastAsia="Times New Roman" w:hAnsi="Times New Roman"/>
          <w:sz w:val="20"/>
          <w:szCs w:val="20"/>
          <w:color w:val="auto"/>
        </w:rPr>
        <w:t>Is Borrower complying with at least one Performance Covenant? Yes____</w:t>
      </w:r>
      <w:r>
        <w:rPr>
          <w:sz w:val="20"/>
          <w:szCs w:val="20"/>
          <w:color w:val="auto"/>
        </w:rPr>
        <w:tab/>
      </w:r>
      <w:r>
        <w:rPr>
          <w:rFonts w:ascii="Times New Roman" w:cs="Times New Roman" w:eastAsia="Times New Roman" w:hAnsi="Times New Roman"/>
          <w:sz w:val="20"/>
          <w:szCs w:val="20"/>
          <w:color w:val="auto"/>
        </w:rPr>
        <w:t>No_____</w:t>
      </w:r>
      <w:r>
        <w:rPr>
          <w:sz w:val="20"/>
          <w:szCs w:val="20"/>
          <w:color w:val="auto"/>
        </w:rPr>
        <w:tab/>
      </w:r>
      <w:r>
        <w:rPr>
          <w:rFonts w:ascii="Times New Roman" w:cs="Times New Roman" w:eastAsia="Times New Roman" w:hAnsi="Times New Roman"/>
          <w:sz w:val="19"/>
          <w:szCs w:val="19"/>
          <w:color w:val="auto"/>
        </w:rPr>
        <w:t>N/A_____</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7.21 – Intellectual Property</w:t>
      </w:r>
    </w:p>
    <w:p>
      <w:pPr>
        <w:spacing w:after="0" w:line="200"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20"/>
          <w:szCs w:val="20"/>
          <w:color w:val="auto"/>
        </w:rPr>
        <w:t>Has Borrower filed any application for any Patent or the registration of any Copyright, mask work or Trademark, or acquired any new registered Trademark since the last reported period? Yes____ No_____</w:t>
      </w:r>
    </w:p>
    <w:p>
      <w:pPr>
        <w:spacing w:after="0" w:line="152"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20"/>
          <w:szCs w:val="20"/>
          <w:color w:val="auto"/>
        </w:rPr>
        <w:t>If yes: Borrower shall supplement such intellectual property security agreements and or other documents as needed to maintain a first priority perfected security interest in favor of Agent within 90 days of the date hereof.</w:t>
      </w:r>
    </w:p>
    <w:p>
      <w:pPr>
        <w:spacing w:after="0" w:line="200" w:lineRule="exact"/>
        <w:rPr>
          <w:sz w:val="20"/>
          <w:szCs w:val="20"/>
          <w:color w:val="auto"/>
        </w:rPr>
      </w:pPr>
    </w:p>
    <w:p>
      <w:pPr>
        <w:spacing w:after="0" w:line="3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93" w:name="page194"/>
    <w:bookmarkEnd w:id="193"/>
    <w:p>
      <w:pPr>
        <w:ind w:left="750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1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20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Name:  _____________________________</w:t>
      </w:r>
    </w:p>
    <w:p>
      <w:pPr>
        <w:spacing w:after="0" w:line="21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Its: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color w:val="auto"/>
        </w:rPr>
        <w:t>EXHIBIT 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pacing w:after="0" w:line="204" w:lineRule="exact"/>
        <w:rPr>
          <w:sz w:val="20"/>
          <w:szCs w:val="20"/>
          <w:color w:val="auto"/>
        </w:rPr>
      </w:pPr>
    </w:p>
    <w:p>
      <w:pPr>
        <w:ind w:left="760"/>
        <w:spacing w:after="0"/>
        <w:tabs>
          <w:tab w:leader="none" w:pos="8140" w:val="left"/>
          <w:tab w:leader="none" w:pos="8780" w:val="left"/>
        </w:tabs>
        <w:rPr>
          <w:sz w:val="20"/>
          <w:szCs w:val="20"/>
          <w:color w:val="auto"/>
        </w:rPr>
      </w:pPr>
      <w:r>
        <w:rPr>
          <w:rFonts w:ascii="Times New Roman" w:cs="Times New Roman" w:eastAsia="Times New Roman" w:hAnsi="Times New Roman"/>
          <w:sz w:val="20"/>
          <w:szCs w:val="20"/>
          <w:color w:val="auto"/>
        </w:rPr>
        <w:t>This Joinder Agreement (the “Joinder Agreement”) is made and dated as of [</w:t>
      </w:r>
      <w:r>
        <w:rPr>
          <w:sz w:val="20"/>
          <w:szCs w:val="20"/>
          <w:color w:val="auto"/>
        </w:rPr>
        <w:tab/>
      </w:r>
      <w:r>
        <w:rPr>
          <w:rFonts w:ascii="Times New Roman" w:cs="Times New Roman" w:eastAsia="Times New Roman" w:hAnsi="Times New Roman"/>
          <w:sz w:val="20"/>
          <w:szCs w:val="20"/>
          <w:color w:val="auto"/>
        </w:rPr>
        <w:t>], 20[</w:t>
        <w:tab/>
        <w:t>], and is entered into by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between__________________., a ___________ corporation (“Subsidiary”), and HERCULES CAPITAL, INC., a Maryland corporation</w:t>
      </w:r>
    </w:p>
    <w:p>
      <w:pPr>
        <w:spacing w:after="0"/>
        <w:rPr>
          <w:sz w:val="20"/>
          <w:szCs w:val="20"/>
          <w:color w:val="auto"/>
        </w:rPr>
      </w:pPr>
      <w:r>
        <w:rPr>
          <w:rFonts w:ascii="Times New Roman" w:cs="Times New Roman" w:eastAsia="Times New Roman" w:hAnsi="Times New Roman"/>
          <w:sz w:val="20"/>
          <w:szCs w:val="20"/>
          <w:color w:val="auto"/>
        </w:rPr>
        <w:t>(as “Agent”).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751"/>
        <w:spacing w:after="0" w:line="252" w:lineRule="auto"/>
        <w:tabs>
          <w:tab w:leader="none" w:pos="1081"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Subsidiary’s Affiliate, Axsome Therapeutics, Inc. (“Company”) has entered into that certain Loan and Security Agreement dated September 25, 2020, with the several banks and other financial institutions or entities from time to time party thereto as lender (collectively, the “Lenders”) and the Agent, as such agreement may be amended (the “Loan Agreement”), together with the other agreements executed and delivered in connection therewith;</w:t>
      </w:r>
    </w:p>
    <w:p>
      <w:pPr>
        <w:spacing w:after="0" w:line="158" w:lineRule="exact"/>
        <w:rPr>
          <w:rFonts w:ascii="Times New Roman" w:cs="Times New Roman" w:eastAsia="Times New Roman" w:hAnsi="Times New Roman"/>
          <w:sz w:val="20"/>
          <w:szCs w:val="20"/>
          <w:color w:val="auto"/>
        </w:rPr>
      </w:pPr>
    </w:p>
    <w:p>
      <w:pPr>
        <w:ind w:firstLine="751"/>
        <w:spacing w:after="0" w:line="284" w:lineRule="auto"/>
        <w:tabs>
          <w:tab w:leader="none" w:pos="106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acknowledges and agrees that it will benefit both directly and indirectly from Company’s execution of the Loan Agreement and the other agreements executed and delivered in connection therewith;</w:t>
      </w:r>
    </w:p>
    <w:p>
      <w:pPr>
        <w:spacing w:after="0" w:line="1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Subsidiary and Agent agree as follows:</w:t>
      </w:r>
    </w:p>
    <w:p>
      <w:pPr>
        <w:spacing w:after="0" w:line="212" w:lineRule="exact"/>
        <w:rPr>
          <w:sz w:val="20"/>
          <w:szCs w:val="20"/>
          <w:color w:val="auto"/>
        </w:rPr>
      </w:pPr>
    </w:p>
    <w:p>
      <w:pPr>
        <w:ind w:left="380" w:hanging="379"/>
        <w:spacing w:after="0" w:line="270" w:lineRule="auto"/>
        <w:tabs>
          <w:tab w:leader="none" w:pos="38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recitals set forth above are incorporated into and made part of this Joinder Agreement. Capitalized terms not defined herein shall have the meaning provided in the Loan Agreement.</w:t>
      </w:r>
    </w:p>
    <w:p>
      <w:pPr>
        <w:spacing w:after="0" w:line="152" w:lineRule="exact"/>
        <w:rPr>
          <w:rFonts w:ascii="Times New Roman" w:cs="Times New Roman" w:eastAsia="Times New Roman" w:hAnsi="Times New Roman"/>
          <w:sz w:val="20"/>
          <w:szCs w:val="20"/>
          <w:color w:val="auto"/>
        </w:rPr>
      </w:pPr>
    </w:p>
    <w:p>
      <w:pPr>
        <w:jc w:val="both"/>
        <w:ind w:left="380" w:hanging="379"/>
        <w:spacing w:after="0" w:line="249" w:lineRule="auto"/>
        <w:tabs>
          <w:tab w:leader="none" w:pos="44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w:t>
      </w:r>
    </w:p>
    <w:p>
      <w:pPr>
        <w:spacing w:after="0" w:line="1" w:lineRule="exact"/>
        <w:rPr>
          <w:rFonts w:ascii="Times New Roman" w:cs="Times New Roman" w:eastAsia="Times New Roman" w:hAnsi="Times New Roman"/>
          <w:sz w:val="20"/>
          <w:szCs w:val="20"/>
          <w:color w:val="auto"/>
        </w:rPr>
      </w:pPr>
    </w:p>
    <w:p>
      <w:pPr>
        <w:jc w:val="both"/>
        <w:ind w:left="38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5" w:name="page196"/>
    <w:bookmarkEnd w:id="195"/>
    <w:p>
      <w:pPr>
        <w:ind w:left="380" w:hanging="379"/>
        <w:spacing w:after="0" w:line="284" w:lineRule="auto"/>
        <w:tabs>
          <w:tab w:leader="none" w:pos="3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74" w:lineRule="exact"/>
        <w:rPr>
          <w:rFonts w:ascii="Times New Roman" w:cs="Times New Roman" w:eastAsia="Times New Roman" w:hAnsi="Times New Roman"/>
          <w:sz w:val="20"/>
          <w:szCs w:val="20"/>
          <w:color w:val="auto"/>
        </w:rPr>
      </w:pPr>
    </w:p>
    <w:p>
      <w:pPr>
        <w:jc w:val="both"/>
        <w:ind w:left="380" w:hanging="379"/>
        <w:spacing w:after="0" w:line="249" w:lineRule="auto"/>
        <w:tabs>
          <w:tab w:leader="none" w:pos="3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22" w:lineRule="exact"/>
        <w:rPr>
          <w:rFonts w:ascii="Times New Roman" w:cs="Times New Roman" w:eastAsia="Times New Roman" w:hAnsi="Times New Roman"/>
          <w:sz w:val="20"/>
          <w:szCs w:val="20"/>
          <w:color w:val="auto"/>
        </w:rPr>
      </w:pPr>
    </w:p>
    <w:p>
      <w:pPr>
        <w:jc w:val="both"/>
        <w:ind w:left="380" w:hanging="379"/>
        <w:spacing w:after="0" w:line="258" w:lineRule="auto"/>
        <w:tabs>
          <w:tab w:leader="none" w:pos="3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137795</wp:posOffset>
            </wp:positionV>
            <wp:extent cx="7166610" cy="412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6" w:name="page197"/>
    <w:bookmarkEnd w:id="196"/>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J-1</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 Foreign Lenders That Are Not Partnerships For U.S. Federal Income Tax Purposes)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Reference is hereby made to the Loan and Security Agreement dated as of ________ ___, 20___ (as amended, supplemented or</w:t>
      </w:r>
    </w:p>
    <w:p>
      <w:pPr>
        <w:spacing w:after="0" w:line="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4"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2" w:lineRule="exact"/>
        <w:rPr>
          <w:sz w:val="20"/>
          <w:szCs w:val="20"/>
          <w:color w:val="auto"/>
        </w:rPr>
      </w:pPr>
    </w:p>
    <w:p>
      <w:pPr>
        <w:jc w:val="both"/>
        <w:ind w:firstLine="750"/>
        <w:spacing w:after="0" w:line="249" w:lineRule="auto"/>
        <w:rPr>
          <w:sz w:val="20"/>
          <w:szCs w:val="20"/>
          <w:color w:val="auto"/>
        </w:rPr>
      </w:pPr>
      <w:r>
        <w:rPr>
          <w:rFonts w:ascii="Times New Roman" w:cs="Times New Roman" w:eastAsia="Times New Roman" w:hAnsi="Times New Roman"/>
          <w:sz w:val="20"/>
          <w:szCs w:val="20"/>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72" w:lineRule="exact"/>
        <w:rPr>
          <w:sz w:val="20"/>
          <w:szCs w:val="20"/>
          <w:color w:val="auto"/>
        </w:rPr>
      </w:pPr>
    </w:p>
    <w:p>
      <w:pPr>
        <w:jc w:val="both"/>
        <w:ind w:firstLine="750"/>
        <w:spacing w:after="0" w:line="270"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_____________ ___, 20___</w:t>
            </w:r>
          </w:p>
        </w:tc>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OF LENDER]</w:t>
            </w:r>
          </w:p>
        </w:tc>
      </w:tr>
      <w:tr>
        <w:trPr>
          <w:trHeight w:val="776"/>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|US-DOCS\129794038.5||</w:t>
            </w:r>
          </w:p>
        </w:tc>
        <w:tc>
          <w:tcPr>
            <w:tcW w:w="8240" w:type="dxa"/>
            <w:vAlign w:val="bottom"/>
          </w:tcPr>
          <w:p>
            <w:pPr>
              <w:spacing w:after="0"/>
              <w:rPr>
                <w:sz w:val="24"/>
                <w:szCs w:val="24"/>
                <w:color w:val="auto"/>
              </w:rPr>
            </w:pPr>
          </w:p>
        </w:tc>
      </w:tr>
      <w:tr>
        <w:trPr>
          <w:trHeight w:val="205"/>
        </w:trPr>
        <w:tc>
          <w:tcPr>
            <w:tcW w:w="3000" w:type="dxa"/>
            <w:vAlign w:val="bottom"/>
            <w:tcBorders>
              <w:bottom w:val="single" w:sz="8" w:color="9A9A9A"/>
            </w:tcBorders>
          </w:tcPr>
          <w:p>
            <w:pPr>
              <w:spacing w:after="0"/>
              <w:rPr>
                <w:sz w:val="17"/>
                <w:szCs w:val="17"/>
                <w:color w:val="auto"/>
              </w:rPr>
            </w:pPr>
          </w:p>
        </w:tc>
        <w:tc>
          <w:tcPr>
            <w:tcW w:w="8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7" w:name="page198"/>
    <w:bookmarkEnd w:id="197"/>
    <w:p>
      <w:pPr>
        <w:ind w:left="7500"/>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30" w:lineRule="exact"/>
        <w:rPr>
          <w:sz w:val="20"/>
          <w:szCs w:val="20"/>
          <w:color w:val="auto"/>
        </w:rPr>
      </w:pP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Name:</w:t>
        <w:tab/>
        <w:t>____________________________</w:t>
      </w: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98" w:name="page199"/>
    <w:bookmarkEnd w:id="198"/>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J-2</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Foreign Participants That Are Not Partnerships For U.S. Federal Income Tax Purposes)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Reference is hereby made to the Loan and Security Agreement dated as of ________ ___, 20___ (as amended, supplemented or</w:t>
      </w:r>
    </w:p>
    <w:p>
      <w:pPr>
        <w:spacing w:after="0" w:line="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4" w:lineRule="exact"/>
        <w:rPr>
          <w:sz w:val="20"/>
          <w:szCs w:val="20"/>
          <w:color w:val="auto"/>
        </w:rPr>
      </w:pPr>
    </w:p>
    <w:p>
      <w:pPr>
        <w:jc w:val="both"/>
        <w:ind w:firstLine="750"/>
        <w:spacing w:after="0" w:line="252"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59" w:lineRule="exact"/>
        <w:rPr>
          <w:sz w:val="20"/>
          <w:szCs w:val="20"/>
          <w:color w:val="auto"/>
        </w:rPr>
      </w:pPr>
    </w:p>
    <w:p>
      <w:pPr>
        <w:jc w:val="both"/>
        <w:ind w:firstLine="750"/>
        <w:spacing w:after="0" w:line="252"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7" w:lineRule="exact"/>
        <w:rPr>
          <w:sz w:val="20"/>
          <w:szCs w:val="20"/>
          <w:color w:val="auto"/>
        </w:rPr>
      </w:pPr>
    </w:p>
    <w:p>
      <w:pPr>
        <w:jc w:val="both"/>
        <w:ind w:firstLine="750"/>
        <w:spacing w:after="0" w:line="284"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_____________ ___, 20___</w:t>
            </w:r>
          </w:p>
        </w:tc>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OF PARTICIPANT]</w:t>
            </w:r>
          </w:p>
        </w:tc>
      </w:tr>
      <w:tr>
        <w:trPr>
          <w:trHeight w:val="776"/>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|US-DOCS\129794038.5||</w:t>
            </w:r>
          </w:p>
        </w:tc>
        <w:tc>
          <w:tcPr>
            <w:tcW w:w="8240" w:type="dxa"/>
            <w:vAlign w:val="bottom"/>
          </w:tcPr>
          <w:p>
            <w:pPr>
              <w:spacing w:after="0"/>
              <w:rPr>
                <w:sz w:val="24"/>
                <w:szCs w:val="24"/>
                <w:color w:val="auto"/>
              </w:rPr>
            </w:pPr>
          </w:p>
        </w:tc>
      </w:tr>
      <w:tr>
        <w:trPr>
          <w:trHeight w:val="205"/>
        </w:trPr>
        <w:tc>
          <w:tcPr>
            <w:tcW w:w="3000" w:type="dxa"/>
            <w:vAlign w:val="bottom"/>
            <w:tcBorders>
              <w:bottom w:val="single" w:sz="8" w:color="9A9A9A"/>
            </w:tcBorders>
          </w:tcPr>
          <w:p>
            <w:pPr>
              <w:spacing w:after="0"/>
              <w:rPr>
                <w:sz w:val="17"/>
                <w:szCs w:val="17"/>
                <w:color w:val="auto"/>
              </w:rPr>
            </w:pPr>
          </w:p>
        </w:tc>
        <w:tc>
          <w:tcPr>
            <w:tcW w:w="8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9" w:name="page200"/>
    <w:bookmarkEnd w:id="199"/>
    <w:p>
      <w:pPr>
        <w:ind w:left="7500"/>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30" w:lineRule="exact"/>
        <w:rPr>
          <w:sz w:val="20"/>
          <w:szCs w:val="20"/>
          <w:color w:val="auto"/>
        </w:rPr>
      </w:pP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Name:</w:t>
        <w:tab/>
        <w:t>____________________________</w:t>
      </w: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00" w:name="page201"/>
    <w:bookmarkEnd w:id="20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J-3</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Foreign Participants That Are Partnerships For U.S. Federal Income Tax Purposes)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Reference is hereby made to the Loan and Security Agreement dated as of ________ ___, 20___ (as amended, supplemented or</w:t>
      </w:r>
    </w:p>
    <w:p>
      <w:pPr>
        <w:spacing w:after="0" w:line="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4" w:lineRule="exact"/>
        <w:rPr>
          <w:sz w:val="20"/>
          <w:szCs w:val="20"/>
          <w:color w:val="auto"/>
        </w:rPr>
      </w:pPr>
    </w:p>
    <w:p>
      <w:pPr>
        <w:jc w:val="both"/>
        <w:ind w:firstLine="750"/>
        <w:spacing w:after="0" w:line="247"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5" w:lineRule="exact"/>
        <w:rPr>
          <w:sz w:val="20"/>
          <w:szCs w:val="20"/>
          <w:color w:val="auto"/>
        </w:rPr>
      </w:pPr>
    </w:p>
    <w:p>
      <w:pPr>
        <w:jc w:val="both"/>
        <w:ind w:firstLine="750"/>
        <w:spacing w:after="0" w:line="248"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2" w:lineRule="exact"/>
        <w:rPr>
          <w:sz w:val="20"/>
          <w:szCs w:val="20"/>
          <w:color w:val="auto"/>
        </w:rPr>
      </w:pPr>
    </w:p>
    <w:p>
      <w:pPr>
        <w:jc w:val="both"/>
        <w:ind w:firstLine="1"/>
        <w:spacing w:after="0" w:line="246" w:lineRule="auto"/>
        <w:tabs>
          <w:tab w:leader="none" w:pos="33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4" w:lineRule="exact"/>
        <w:rPr>
          <w:sz w:val="20"/>
          <w:szCs w:val="20"/>
          <w:color w:val="auto"/>
        </w:rPr>
      </w:pPr>
    </w:p>
    <w:p>
      <w:pPr>
        <w:ind w:firstLine="750"/>
        <w:spacing w:after="0" w:line="284"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_____________ ___, 20___</w:t>
            </w:r>
          </w:p>
        </w:tc>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OF PARTICIPANT]</w:t>
            </w:r>
          </w:p>
        </w:tc>
      </w:tr>
      <w:tr>
        <w:trPr>
          <w:trHeight w:val="776"/>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|US-DOCS\129794038.5||</w:t>
            </w:r>
          </w:p>
        </w:tc>
        <w:tc>
          <w:tcPr>
            <w:tcW w:w="8240" w:type="dxa"/>
            <w:vAlign w:val="bottom"/>
          </w:tcPr>
          <w:p>
            <w:pPr>
              <w:spacing w:after="0"/>
              <w:rPr>
                <w:sz w:val="24"/>
                <w:szCs w:val="24"/>
                <w:color w:val="auto"/>
              </w:rPr>
            </w:pPr>
          </w:p>
        </w:tc>
      </w:tr>
      <w:tr>
        <w:trPr>
          <w:trHeight w:val="205"/>
        </w:trPr>
        <w:tc>
          <w:tcPr>
            <w:tcW w:w="3000" w:type="dxa"/>
            <w:vAlign w:val="bottom"/>
            <w:tcBorders>
              <w:bottom w:val="single" w:sz="8" w:color="9A9A9A"/>
            </w:tcBorders>
          </w:tcPr>
          <w:p>
            <w:pPr>
              <w:spacing w:after="0"/>
              <w:rPr>
                <w:sz w:val="17"/>
                <w:szCs w:val="17"/>
                <w:color w:val="auto"/>
              </w:rPr>
            </w:pPr>
          </w:p>
        </w:tc>
        <w:tc>
          <w:tcPr>
            <w:tcW w:w="8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1" w:name="page202"/>
    <w:bookmarkEnd w:id="201"/>
    <w:p>
      <w:pPr>
        <w:ind w:left="7500"/>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30" w:lineRule="exact"/>
        <w:rPr>
          <w:sz w:val="20"/>
          <w:szCs w:val="20"/>
          <w:color w:val="auto"/>
        </w:rPr>
      </w:pP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Name:</w:t>
        <w:tab/>
        <w:t>____________________________</w:t>
      </w: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02" w:name="page203"/>
    <w:bookmarkEnd w:id="20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J-4</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Foreign Lenders That Are Partnerships For U.S. Federal Income Tax Purposes)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Reference is hereby made to the Loan and Security Agreement dated as of ________ ___, 20___ (as amended, supplemented or</w:t>
      </w:r>
    </w:p>
    <w:p>
      <w:pPr>
        <w:spacing w:after="0" w:line="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4" w:lineRule="exact"/>
        <w:rPr>
          <w:sz w:val="20"/>
          <w:szCs w:val="20"/>
          <w:color w:val="auto"/>
        </w:rPr>
      </w:pPr>
    </w:p>
    <w:p>
      <w:pPr>
        <w:jc w:val="both"/>
        <w:ind w:firstLine="750"/>
        <w:spacing w:after="0" w:line="246"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200" w:lineRule="exact"/>
        <w:rPr>
          <w:sz w:val="20"/>
          <w:szCs w:val="20"/>
          <w:color w:val="auto"/>
        </w:rPr>
      </w:pPr>
    </w:p>
    <w:p>
      <w:pPr>
        <w:spacing w:after="0" w:line="201" w:lineRule="exact"/>
        <w:rPr>
          <w:sz w:val="20"/>
          <w:szCs w:val="20"/>
          <w:color w:val="auto"/>
        </w:rPr>
      </w:pPr>
    </w:p>
    <w:p>
      <w:pPr>
        <w:jc w:val="both"/>
        <w:ind w:firstLine="750"/>
        <w:spacing w:after="0" w:line="255" w:lineRule="auto"/>
        <w:rPr>
          <w:sz w:val="20"/>
          <w:szCs w:val="20"/>
          <w:color w:val="auto"/>
        </w:rPr>
      </w:pPr>
      <w:r>
        <w:rPr>
          <w:rFonts w:ascii="Times New Roman" w:cs="Times New Roman" w:eastAsia="Times New Roman" w:hAnsi="Times New Roman"/>
          <w:sz w:val="20"/>
          <w:szCs w:val="20"/>
          <w:color w:val="auto"/>
        </w:rPr>
        <w:t>The undersigned has furnished the Agent and the Borrower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1"/>
        <w:spacing w:after="0" w:line="244" w:lineRule="auto"/>
        <w:tabs>
          <w:tab w:leader="none" w:pos="33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ind w:firstLine="750"/>
        <w:spacing w:after="0" w:line="270"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_____________ ___, 20___</w:t>
            </w:r>
          </w:p>
        </w:tc>
        <w:tc>
          <w:tcPr>
            <w:tcW w:w="8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[NAME OF LENDER]</w:t>
            </w:r>
          </w:p>
        </w:tc>
      </w:tr>
      <w:tr>
        <w:trPr>
          <w:trHeight w:val="776"/>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|US-DOCS\129794038.5||</w:t>
            </w:r>
          </w:p>
        </w:tc>
        <w:tc>
          <w:tcPr>
            <w:tcW w:w="8240" w:type="dxa"/>
            <w:vAlign w:val="bottom"/>
          </w:tcPr>
          <w:p>
            <w:pPr>
              <w:spacing w:after="0"/>
              <w:rPr>
                <w:sz w:val="24"/>
                <w:szCs w:val="24"/>
                <w:color w:val="auto"/>
              </w:rPr>
            </w:pPr>
          </w:p>
        </w:tc>
      </w:tr>
      <w:tr>
        <w:trPr>
          <w:trHeight w:val="205"/>
        </w:trPr>
        <w:tc>
          <w:tcPr>
            <w:tcW w:w="3000" w:type="dxa"/>
            <w:vAlign w:val="bottom"/>
            <w:tcBorders>
              <w:bottom w:val="single" w:sz="8" w:color="9A9A9A"/>
            </w:tcBorders>
          </w:tcPr>
          <w:p>
            <w:pPr>
              <w:spacing w:after="0"/>
              <w:rPr>
                <w:sz w:val="17"/>
                <w:szCs w:val="17"/>
                <w:color w:val="auto"/>
              </w:rPr>
            </w:pPr>
          </w:p>
        </w:tc>
        <w:tc>
          <w:tcPr>
            <w:tcW w:w="82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3" w:name="page204"/>
    <w:bookmarkEnd w:id="203"/>
    <w:p>
      <w:pPr>
        <w:ind w:left="7500"/>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30" w:lineRule="exact"/>
        <w:rPr>
          <w:sz w:val="20"/>
          <w:szCs w:val="20"/>
          <w:color w:val="auto"/>
        </w:rPr>
      </w:pP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Name:</w:t>
        <w:tab/>
        <w:t>____________________________</w:t>
      </w:r>
    </w:p>
    <w:p>
      <w:pPr>
        <w:ind w:left="7500"/>
        <w:spacing w:after="0"/>
        <w:tabs>
          <w:tab w:leader="none" w:pos="8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66610"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04" w:name="page205"/>
    <w:bookmarkEnd w:id="204"/>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EXHIBIT K</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FORM OF WARRANT</w:t>
      </w:r>
    </w:p>
    <w:p>
      <w:pPr>
        <w:spacing w:after="0" w:line="20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IN A FORM SATISFACTORY TO THE COMPANY THAT SUCH REGISTRATION IS NOT REQUIRED UNDER THE ACT, OR ANY APPLICABLE STATE SECURITIES LAWS.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WARRANT AGREEMENT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To Purchase Shares of the Common Stock of</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AXSOME THERAPEUTICS, INC.</w:t>
      </w:r>
    </w:p>
    <w:p>
      <w:pPr>
        <w:spacing w:after="0" w:line="198" w:lineRule="exact"/>
        <w:rPr>
          <w:sz w:val="20"/>
          <w:szCs w:val="20"/>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19"/>
          <w:szCs w:val="19"/>
          <w:color w:val="auto"/>
        </w:rPr>
        <w:t>Dated as of [</w:t>
      </w:r>
      <w:r>
        <w:rPr>
          <w:sz w:val="20"/>
          <w:szCs w:val="20"/>
          <w:color w:val="auto"/>
        </w:rPr>
        <w:tab/>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ind w:right="100" w:firstLine="750"/>
        <w:spacing w:after="0" w:line="241" w:lineRule="auto"/>
        <w:rPr>
          <w:sz w:val="20"/>
          <w:szCs w:val="20"/>
          <w:color w:val="auto"/>
        </w:rPr>
      </w:pPr>
      <w:r>
        <w:rPr>
          <w:rFonts w:ascii="Times New Roman" w:cs="Times New Roman" w:eastAsia="Times New Roman" w:hAnsi="Times New Roman"/>
          <w:sz w:val="19"/>
          <w:szCs w:val="19"/>
          <w:color w:val="auto"/>
        </w:rPr>
        <w:t>WHEREAS, Axsome Therapeutics,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entered into a Loan and Security Agreement, dated September 25, 2020 (as amended and in effect from time to time, the “</w:t>
      </w:r>
      <w:r>
        <w:rPr>
          <w:rFonts w:ascii="Times New Roman" w:cs="Times New Roman" w:eastAsia="Times New Roman" w:hAnsi="Times New Roman"/>
          <w:sz w:val="19"/>
          <w:szCs w:val="19"/>
          <w:u w:val="single" w:color="auto"/>
          <w:color w:val="auto"/>
        </w:rPr>
        <w:t>Loan Agreement</w:t>
      </w:r>
      <w:r>
        <w:rPr>
          <w:rFonts w:ascii="Times New Roman" w:cs="Times New Roman" w:eastAsia="Times New Roman" w:hAnsi="Times New Roman"/>
          <w:sz w:val="19"/>
          <w:szCs w:val="19"/>
          <w:color w:val="auto"/>
        </w:rPr>
        <w:t>”) with Hercules Capital, Inc., a Maryland corporation (the “</w:t>
      </w:r>
      <w:r>
        <w:rPr>
          <w:rFonts w:ascii="Times New Roman" w:cs="Times New Roman" w:eastAsia="Times New Roman" w:hAnsi="Times New Roman"/>
          <w:sz w:val="19"/>
          <w:szCs w:val="19"/>
          <w:u w:val="single" w:color="auto"/>
          <w:color w:val="auto"/>
        </w:rPr>
        <w:t>Warrantholder</w:t>
      </w:r>
      <w:r>
        <w:rPr>
          <w:rFonts w:ascii="Times New Roman" w:cs="Times New Roman" w:eastAsia="Times New Roman" w:hAnsi="Times New Roman"/>
          <w:sz w:val="19"/>
          <w:szCs w:val="19"/>
          <w:color w:val="auto"/>
        </w:rPr>
        <w:t>”), in its capacity as administrative agent, and the lender parties thereto;</w:t>
      </w:r>
    </w:p>
    <w:p>
      <w:pPr>
        <w:spacing w:after="0" w:line="201" w:lineRule="exact"/>
        <w:rPr>
          <w:sz w:val="20"/>
          <w:szCs w:val="20"/>
          <w:color w:val="auto"/>
        </w:rPr>
      </w:pPr>
    </w:p>
    <w:p>
      <w:pPr>
        <w:jc w:val="both"/>
        <w:ind w:right="80" w:firstLine="750"/>
        <w:spacing w:after="0" w:line="241" w:lineRule="auto"/>
        <w:rPr>
          <w:sz w:val="20"/>
          <w:szCs w:val="20"/>
          <w:color w:val="auto"/>
        </w:rPr>
      </w:pPr>
      <w:r>
        <w:rPr>
          <w:rFonts w:ascii="Times New Roman" w:cs="Times New Roman" w:eastAsia="Times New Roman" w:hAnsi="Times New Roman"/>
          <w:sz w:val="19"/>
          <w:szCs w:val="19"/>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19"/>
          <w:szCs w:val="19"/>
          <w:u w:val="single" w:color="auto"/>
          <w:color w:val="auto"/>
        </w:rPr>
        <w:t>Warrant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Warrant Agreement</w:t>
      </w:r>
      <w:r>
        <w:rPr>
          <w:rFonts w:ascii="Times New Roman" w:cs="Times New Roman" w:eastAsia="Times New Roman" w:hAnsi="Times New Roman"/>
          <w:sz w:val="19"/>
          <w:szCs w:val="19"/>
          <w:color w:val="auto"/>
        </w:rPr>
        <w:t>”, or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right="100" w:firstLine="750"/>
        <w:spacing w:after="0" w:line="248" w:lineRule="auto"/>
        <w:rPr>
          <w:sz w:val="20"/>
          <w:szCs w:val="20"/>
          <w:color w:val="auto"/>
        </w:rPr>
      </w:pPr>
      <w:r>
        <w:rPr>
          <w:rFonts w:ascii="Times New Roman" w:cs="Times New Roman" w:eastAsia="Times New Roman" w:hAnsi="Times New Roman"/>
          <w:sz w:val="19"/>
          <w:szCs w:val="19"/>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 xml:space="preserve">SECTION 1. </w:t>
      </w:r>
      <w:r>
        <w:rPr>
          <w:rFonts w:ascii="Times New Roman" w:cs="Times New Roman" w:eastAsia="Times New Roman" w:hAnsi="Times New Roman"/>
          <w:sz w:val="19"/>
          <w:szCs w:val="19"/>
          <w:color w:val="auto"/>
        </w:rPr>
        <w:t>GRANT OF THE RIGHT TO PURCHASE COMMON STOCK.</w:t>
      </w:r>
    </w:p>
    <w:p>
      <w:pPr>
        <w:spacing w:after="0" w:line="101" w:lineRule="exact"/>
        <w:rPr>
          <w:sz w:val="20"/>
          <w:szCs w:val="20"/>
          <w:color w:val="auto"/>
        </w:rPr>
      </w:pPr>
    </w:p>
    <w:p>
      <w:pPr>
        <w:ind w:firstLine="1500"/>
        <w:spacing w:after="0" w:line="238" w:lineRule="auto"/>
        <w:tabs>
          <w:tab w:leader="none" w:pos="187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680085</wp:posOffset>
            </wp:positionV>
            <wp:extent cx="7166610"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325" w:right="419" w:bottom="1440" w:gutter="0" w:footer="0" w:header="0"/>
        </w:sectPr>
      </w:pPr>
    </w:p>
    <w:bookmarkStart w:id="205" w:name="page206"/>
    <w:bookmarkEnd w:id="205"/>
    <w:p>
      <w:pPr>
        <w:ind w:left="149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Charter</w:t>
      </w:r>
      <w:r>
        <w:rPr>
          <w:rFonts w:ascii="Times New Roman" w:cs="Times New Roman" w:eastAsia="Times New Roman" w:hAnsi="Times New Roman"/>
          <w:sz w:val="19"/>
          <w:szCs w:val="19"/>
          <w:color w:val="auto"/>
        </w:rPr>
        <w:t>” means the Company’s Certificate of Incorporation, as may be amended and in effect from time to time.</w:t>
      </w:r>
    </w:p>
    <w:p>
      <w:pPr>
        <w:spacing w:after="0" w:line="199" w:lineRule="exact"/>
        <w:rPr>
          <w:sz w:val="20"/>
          <w:szCs w:val="20"/>
          <w:color w:val="auto"/>
        </w:rPr>
      </w:pPr>
    </w:p>
    <w:p>
      <w:pPr>
        <w:ind w:left="759" w:right="120" w:firstLine="750"/>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Company’s common stock, $0.0001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0" w:lineRule="exact"/>
        <w:rPr>
          <w:sz w:val="20"/>
          <w:szCs w:val="20"/>
          <w:color w:val="auto"/>
        </w:rPr>
      </w:pPr>
    </w:p>
    <w:p>
      <w:pPr>
        <w:ind w:left="149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xml:space="preserve">” means $[ </w:t>
      </w:r>
      <w:r>
        <w:rPr>
          <w:rFonts w:ascii="Verdana" w:cs="Verdana" w:eastAsia="Verdana" w:hAnsi="Verdana"/>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2"/>
          <w:szCs w:val="12"/>
          <w:color w:val="auto"/>
        </w:rPr>
        <w:t>6</w:t>
      </w:r>
      <w:r>
        <w:rPr>
          <w:rFonts w:ascii="Times New Roman" w:cs="Times New Roman" w:eastAsia="Times New Roman" w:hAnsi="Times New Roman"/>
          <w:sz w:val="19"/>
          <w:szCs w:val="19"/>
          <w:color w:val="auto"/>
        </w:rPr>
        <w:t>, subject to adjustment from time to time in accordance with the provisions of this Warrant.</w:t>
      </w:r>
    </w:p>
    <w:p>
      <w:pPr>
        <w:spacing w:after="0" w:line="191" w:lineRule="exact"/>
        <w:rPr>
          <w:sz w:val="20"/>
          <w:szCs w:val="20"/>
          <w:color w:val="auto"/>
        </w:rPr>
      </w:pPr>
    </w:p>
    <w:p>
      <w:pPr>
        <w:ind w:left="759" w:right="100" w:firstLine="75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 Sale</w:t>
      </w:r>
      <w:r>
        <w:rPr>
          <w:rFonts w:ascii="Times New Roman" w:cs="Times New Roman" w:eastAsia="Times New Roman" w:hAnsi="Times New Roman"/>
          <w:sz w:val="19"/>
          <w:szCs w:val="19"/>
          <w:color w:val="auto"/>
        </w:rPr>
        <w:t>” means the closing of a Merger Event in which the consideration received by the Company and/or its stockholders, as applicable, consists solely of cash and/or Marketable Securities.</w:t>
      </w:r>
    </w:p>
    <w:p>
      <w:pPr>
        <w:spacing w:after="0" w:line="158" w:lineRule="exact"/>
        <w:rPr>
          <w:sz w:val="20"/>
          <w:szCs w:val="20"/>
          <w:color w:val="auto"/>
        </w:rPr>
      </w:pPr>
    </w:p>
    <w:p>
      <w:pPr>
        <w:ind w:left="759" w:firstLine="75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Marketable Securities</w:t>
      </w:r>
      <w:r>
        <w:rPr>
          <w:rFonts w:ascii="Times New Roman" w:cs="Times New Roman" w:eastAsia="Times New Roman" w:hAnsi="Times New Roman"/>
          <w:sz w:val="17"/>
          <w:szCs w:val="17"/>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Warrantholder would not be restricted from publicly re-selling all of the issuer’s shares and/or other securities that would be received by Warrantholder in such Merger Event were Warrantholder to exercise this Warrant in full on or prior to the closing of such Merger Event, except to the extent that any such restriction</w:t>
      </w:r>
    </w:p>
    <w:p>
      <w:pPr>
        <w:spacing w:after="0" w:line="6" w:lineRule="exact"/>
        <w:rPr>
          <w:sz w:val="20"/>
          <w:szCs w:val="20"/>
          <w:color w:val="auto"/>
        </w:rPr>
      </w:pPr>
    </w:p>
    <w:p>
      <w:pPr>
        <w:ind w:left="759" w:right="120" w:hanging="9"/>
        <w:spacing w:after="0" w:line="232" w:lineRule="auto"/>
        <w:tabs>
          <w:tab w:leader="none" w:pos="102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arises solely under federal or state securities laws, rules or regulations, and (y) does not extend beyond six (6) months from the closing of such Merger Event.</w:t>
      </w:r>
    </w:p>
    <w:p>
      <w:pPr>
        <w:spacing w:after="0" w:line="177" w:lineRule="exact"/>
        <w:rPr>
          <w:sz w:val="20"/>
          <w:szCs w:val="20"/>
          <w:color w:val="auto"/>
        </w:rPr>
      </w:pPr>
    </w:p>
    <w:p>
      <w:pPr>
        <w:ind w:left="759" w:right="40" w:firstLine="750"/>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62" w:lineRule="exact"/>
        <w:rPr>
          <w:sz w:val="20"/>
          <w:szCs w:val="20"/>
          <w:color w:val="auto"/>
        </w:rPr>
      </w:pPr>
    </w:p>
    <w:p>
      <w:pPr>
        <w:ind w:left="759" w:right="580" w:firstLine="75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means, with respect to any exercise of this Warrant, an amount equal to the then-effective Exercise Price multiplied by the number of shares of Common Stock as to which this Warrant is then exercised.</w:t>
      </w:r>
    </w:p>
    <w:p>
      <w:pPr>
        <w:spacing w:after="0" w:line="166" w:lineRule="exact"/>
        <w:rPr>
          <w:sz w:val="20"/>
          <w:szCs w:val="20"/>
          <w:color w:val="auto"/>
        </w:rPr>
      </w:pPr>
    </w:p>
    <w:p>
      <w:pPr>
        <w:ind w:left="149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Warrant Coverage</w:t>
      </w:r>
      <w:r>
        <w:rPr>
          <w:rFonts w:ascii="Times New Roman" w:cs="Times New Roman" w:eastAsia="Times New Roman" w:hAnsi="Times New Roman"/>
          <w:sz w:val="19"/>
          <w:szCs w:val="19"/>
          <w:color w:val="auto"/>
        </w:rPr>
        <w:t xml:space="preserve">” means [ </w:t>
      </w:r>
      <w:r>
        <w:rPr>
          <w:rFonts w:ascii="Verdana" w:cs="Verdana" w:eastAsia="Verdana" w:hAnsi="Verdana"/>
          <w:sz w:val="20"/>
          <w:szCs w:val="20"/>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2"/>
          <w:szCs w:val="12"/>
          <w:color w:val="auto"/>
        </w:rPr>
        <w:t>7</w:t>
      </w:r>
      <w:r>
        <w:rPr>
          <w:rFonts w:ascii="Times New Roman" w:cs="Times New Roman" w:eastAsia="Times New Roman" w:hAnsi="Times New Roman"/>
          <w:sz w:val="19"/>
          <w:szCs w:val="19"/>
          <w:color w:val="auto"/>
        </w:rPr>
        <w:t>.</w:t>
      </w:r>
    </w:p>
    <w:p>
      <w:pPr>
        <w:spacing w:after="0" w:line="321" w:lineRule="exact"/>
        <w:rPr>
          <w:sz w:val="20"/>
          <w:szCs w:val="20"/>
          <w:color w:val="auto"/>
        </w:rPr>
      </w:pPr>
    </w:p>
    <w:p>
      <w:pPr>
        <w:ind w:left="-1" w:right="880" w:firstLine="1"/>
        <w:spacing w:after="0" w:line="275" w:lineRule="auto"/>
        <w:tabs>
          <w:tab w:leader="none" w:pos="78" w:val="left"/>
        </w:tabs>
        <w:numPr>
          <w:ilvl w:val="0"/>
          <w:numId w:val="160"/>
        </w:numPr>
        <w:rPr>
          <w:rFonts w:ascii="Times New Roman" w:cs="Times New Roman" w:eastAsia="Times New Roman" w:hAnsi="Times New Roman"/>
          <w:sz w:val="7"/>
          <w:szCs w:val="7"/>
          <w:color w:val="auto"/>
        </w:rPr>
      </w:pPr>
      <w:r>
        <w:rPr>
          <w:rFonts w:ascii="Times New Roman" w:cs="Times New Roman" w:eastAsia="Times New Roman" w:hAnsi="Times New Roman"/>
          <w:sz w:val="17"/>
          <w:szCs w:val="17"/>
          <w:color w:val="auto"/>
        </w:rPr>
        <w:t>NTD: To equal the 10-day volume weighted average price of the Common Stock at the time of the applicable Term Loan Advance and issuance of this Warrant.</w:t>
      </w:r>
    </w:p>
    <w:p>
      <w:pPr>
        <w:spacing w:after="0" w:line="159" w:lineRule="exact"/>
        <w:rPr>
          <w:sz w:val="20"/>
          <w:szCs w:val="20"/>
          <w:color w:val="auto"/>
        </w:rPr>
      </w:pPr>
    </w:p>
    <w:p>
      <w:pPr>
        <w:ind w:left="79" w:hanging="79"/>
        <w:spacing w:after="0"/>
        <w:tabs>
          <w:tab w:leader="none" w:pos="79" w:val="left"/>
        </w:tabs>
        <w:numPr>
          <w:ilvl w:val="0"/>
          <w:numId w:val="161"/>
        </w:numPr>
        <w:rPr>
          <w:rFonts w:ascii="Times New Roman" w:cs="Times New Roman" w:eastAsia="Times New Roman" w:hAnsi="Times New Roman"/>
          <w:sz w:val="7"/>
          <w:szCs w:val="7"/>
          <w:color w:val="auto"/>
        </w:rPr>
      </w:pPr>
      <w:r>
        <w:rPr>
          <w:rFonts w:ascii="Times New Roman" w:cs="Times New Roman" w:eastAsia="Times New Roman" w:hAnsi="Times New Roman"/>
          <w:sz w:val="17"/>
          <w:szCs w:val="17"/>
          <w:color w:val="auto"/>
        </w:rPr>
        <w:t xml:space="preserve">NTD: To equal 2.50%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aggregate principal amount of the applicable Term Loan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788035</wp:posOffset>
            </wp:positionV>
            <wp:extent cx="7166610"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19"/>
          </w:cols>
          <w:pgMar w:left="321" w:top="321" w:right="459" w:bottom="1440" w:gutter="0" w:footer="0" w:header="0"/>
        </w:sectPr>
      </w:pPr>
    </w:p>
    <w:bookmarkStart w:id="206" w:name="page207"/>
    <w:bookmarkEnd w:id="206"/>
    <w:p>
      <w:pPr>
        <w:ind w:left="760"/>
        <w:spacing w:after="0"/>
        <w:tabs>
          <w:tab w:leader="none" w:pos="110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This Warrant shall be exercisable for a number of shares of</w:t>
      </w:r>
    </w:p>
    <w:p>
      <w:pPr>
        <w:spacing w:after="0" w:line="16"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19"/>
          <w:szCs w:val="19"/>
          <w:color w:val="auto"/>
        </w:rPr>
        <w:t>Common Stock equal to the quotient derived by dividing (i) the Warrant Coverage by (ii) the Exercise Price, subject to adjustment from time to time in accordance with the provisions of this Warrant.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2. </w:t>
      </w:r>
      <w:r>
        <w:rPr>
          <w:rFonts w:ascii="Times New Roman" w:cs="Times New Roman" w:eastAsia="Times New Roman" w:hAnsi="Times New Roman"/>
          <w:sz w:val="19"/>
          <w:szCs w:val="19"/>
          <w:color w:val="auto"/>
        </w:rPr>
        <w:t>TERM OF THE AGREEMENT.</w:t>
      </w:r>
    </w:p>
    <w:p>
      <w:pPr>
        <w:spacing w:after="0" w:line="101" w:lineRule="exact"/>
        <w:rPr>
          <w:sz w:val="20"/>
          <w:szCs w:val="20"/>
          <w:color w:val="auto"/>
        </w:rPr>
      </w:pPr>
    </w:p>
    <w:p>
      <w:pPr>
        <w:ind w:firstLine="1499"/>
        <w:spacing w:after="0" w:line="260" w:lineRule="auto"/>
        <w:rPr>
          <w:sz w:val="20"/>
          <w:szCs w:val="20"/>
          <w:color w:val="auto"/>
        </w:rPr>
      </w:pPr>
      <w:r>
        <w:rPr>
          <w:rFonts w:ascii="Times New Roman" w:cs="Times New Roman" w:eastAsia="Times New Roman" w:hAnsi="Times New Roman"/>
          <w:sz w:val="19"/>
          <w:szCs w:val="19"/>
          <w:color w:val="auto"/>
        </w:rPr>
        <w:t>The term of this Agreement and the right to purchase Common Stock as granted herein shall commence on the Effective Date and, subject to Section 8(a) below, shall be exercisable for a period ending upon the seventh (7th) anniversary of the Effective Date.</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3. </w:t>
      </w:r>
      <w:r>
        <w:rPr>
          <w:rFonts w:ascii="Times New Roman" w:cs="Times New Roman" w:eastAsia="Times New Roman" w:hAnsi="Times New Roman"/>
          <w:sz w:val="19"/>
          <w:szCs w:val="19"/>
          <w:color w:val="auto"/>
        </w:rPr>
        <w:t>EXERCISE OF THE PURCHASE RIGHTS.</w:t>
      </w:r>
    </w:p>
    <w:p>
      <w:pPr>
        <w:spacing w:after="0" w:line="101"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The purchase rights set forth in this Agreement are exercisable by the</w:t>
      </w:r>
    </w:p>
    <w:p>
      <w:pPr>
        <w:spacing w:after="0" w:line="16"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 xml:space="preserve">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 Exercise</w:t>
      </w:r>
      <w:r>
        <w:rPr>
          <w:rFonts w:ascii="Times New Roman" w:cs="Times New Roman" w:eastAsia="Times New Roman" w:hAnsi="Times New Roman"/>
          <w:sz w:val="19"/>
          <w:szCs w:val="19"/>
          <w:color w:val="auto"/>
        </w:rPr>
        <w:t xml:space="preserve">”), duly completed and executed. Promptly upon receipt of the Notice of Exercise and the payment of the Purchase Price in accordance with the terms set forth below, and in no event later than three (3) business days thereafter, the Company shall issue to the Warrantholder , via book entry, the number of shares of Common Stock purchased and shall execute the acknowledgment of exercise in the form attached hereto as </w:t>
      </w:r>
      <w:r>
        <w:rPr>
          <w:rFonts w:ascii="Times New Roman" w:cs="Times New Roman" w:eastAsia="Times New Roman" w:hAnsi="Times New Roman"/>
          <w:sz w:val="19"/>
          <w:szCs w:val="19"/>
          <w:u w:val="single" w:color="auto"/>
          <w:color w:val="auto"/>
        </w:rPr>
        <w:t>Exhibit II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Acknowledgment of Exercise</w:t>
      </w:r>
      <w:r>
        <w:rPr>
          <w:rFonts w:ascii="Times New Roman" w:cs="Times New Roman" w:eastAsia="Times New Roman" w:hAnsi="Times New Roman"/>
          <w:sz w:val="19"/>
          <w:szCs w:val="19"/>
          <w:color w:val="auto"/>
        </w:rPr>
        <w:t>”) indicating the number of shares which remain subject to future purchases under this Warrant, if any.</w:t>
      </w:r>
    </w:p>
    <w:p>
      <w:pPr>
        <w:spacing w:after="0" w:line="180" w:lineRule="exact"/>
        <w:rPr>
          <w:sz w:val="20"/>
          <w:szCs w:val="20"/>
          <w:color w:val="auto"/>
        </w:rPr>
      </w:pPr>
    </w:p>
    <w:p>
      <w:pPr>
        <w:ind w:right="160" w:firstLine="1499"/>
        <w:spacing w:after="0" w:line="244" w:lineRule="auto"/>
        <w:rPr>
          <w:sz w:val="20"/>
          <w:szCs w:val="20"/>
          <w:color w:val="auto"/>
        </w:rPr>
      </w:pPr>
      <w:r>
        <w:rPr>
          <w:rFonts w:ascii="Times New Roman" w:cs="Times New Roman" w:eastAsia="Times New Roman" w:hAnsi="Times New Roman"/>
          <w:sz w:val="19"/>
          <w:szCs w:val="19"/>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19"/>
          <w:szCs w:val="19"/>
          <w:u w:val="single" w:color="auto"/>
          <w:color w:val="auto"/>
        </w:rPr>
        <w:t>Net Issuance</w:t>
      </w:r>
      <w:r>
        <w:rPr>
          <w:rFonts w:ascii="Times New Roman" w:cs="Times New Roman" w:eastAsia="Times New Roman" w:hAnsi="Times New Roman"/>
          <w:sz w:val="19"/>
          <w:szCs w:val="19"/>
          <w:color w:val="auto"/>
        </w:rPr>
        <w:t>”). If the Warrantholder elects the Net Issuance method, the Company will issue shares of Common Stock in accordance with the following formula:</w:t>
      </w:r>
    </w:p>
    <w:p>
      <w:pPr>
        <w:spacing w:after="0" w:line="186"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19"/>
          <w:szCs w:val="19"/>
          <w:color w:val="auto"/>
        </w:rPr>
        <w:t xml:space="preserve">X = </w:t>
      </w:r>
      <w:r>
        <w:rPr>
          <w:rFonts w:ascii="Times New Roman" w:cs="Times New Roman" w:eastAsia="Times New Roman" w:hAnsi="Times New Roman"/>
          <w:sz w:val="19"/>
          <w:szCs w:val="19"/>
          <w:u w:val="single" w:color="auto"/>
          <w:color w:val="auto"/>
        </w:rPr>
        <w:t>Y(A-B)</w:t>
      </w:r>
    </w:p>
    <w:p>
      <w:pPr>
        <w:spacing w:after="0" w:line="16"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19"/>
          <w:szCs w:val="19"/>
          <w:color w:val="auto"/>
        </w:rPr>
        <w:t>A</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9"/>
          <w:szCs w:val="19"/>
          <w:color w:val="auto"/>
        </w:rPr>
        <w:t>Where:</w:t>
        <w:tab/>
        <w:t>X = the number of shares of Common Stock to be issued to the Warrantholder</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Y = the number of shares of Common Stock requested to be exercised under this Agreement.</w:t>
      </w:r>
    </w:p>
    <w:p>
      <w:pPr>
        <w:spacing w:after="0" w:line="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A = the then-current fair market value of one (1) share of Common Stock at the time of exercise.</w:t>
      </w:r>
    </w:p>
    <w:p>
      <w:pPr>
        <w:spacing w:after="0" w:line="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B = the then-effective Exercise Price.</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For purposes of the above calculation, the current fair market value of shares of Common Stock shall mean with respect to each share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Stock:</w:t>
      </w:r>
    </w:p>
    <w:p>
      <w:pPr>
        <w:spacing w:after="0" w:line="191" w:lineRule="exact"/>
        <w:rPr>
          <w:sz w:val="20"/>
          <w:szCs w:val="20"/>
          <w:color w:val="auto"/>
        </w:rPr>
      </w:pPr>
    </w:p>
    <w:p>
      <w:pPr>
        <w:ind w:right="160" w:firstLine="1500"/>
        <w:spacing w:after="0" w:line="248" w:lineRule="auto"/>
        <w:tabs>
          <w:tab w:leader="none" w:pos="2969"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times when the Common Stock shall be traded on a national securities exchange, inter-dealer quotation system or over-the-counter bulletin board service, the fair market value of one (1) share of Common Stock shall be deemed to be the prior day closing price before the day the current fair market value of the securities is being determined;</w:t>
      </w:r>
    </w:p>
    <w:p>
      <w:pPr>
        <w:spacing w:after="0" w:line="181" w:lineRule="exact"/>
        <w:rPr>
          <w:rFonts w:ascii="Times New Roman" w:cs="Times New Roman" w:eastAsia="Times New Roman" w:hAnsi="Times New Roman"/>
          <w:sz w:val="19"/>
          <w:szCs w:val="19"/>
          <w:color w:val="auto"/>
        </w:rPr>
      </w:pPr>
    </w:p>
    <w:p>
      <w:pPr>
        <w:ind w:left="2960" w:hanging="1460"/>
        <w:spacing w:after="0"/>
        <w:tabs>
          <w:tab w:leader="none" w:pos="296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exercise is in connection with a Merger Event, the fair market value of a share of Common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be deemed to be the per share value received by the 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996315</wp:posOffset>
            </wp:positionV>
            <wp:extent cx="7166610" cy="412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509905</wp:posOffset>
            </wp:positionV>
            <wp:extent cx="7166610"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ind w:right="860"/>
        <w:spacing w:after="0" w:line="260" w:lineRule="auto"/>
        <w:rPr>
          <w:sz w:val="20"/>
          <w:szCs w:val="20"/>
          <w:color w:val="auto"/>
        </w:rPr>
      </w:pPr>
      <w:r>
        <w:rPr>
          <w:rFonts w:ascii="Times New Roman" w:cs="Times New Roman" w:eastAsia="Times New Roman" w:hAnsi="Times New Roman"/>
          <w:sz w:val="19"/>
          <w:szCs w:val="19"/>
          <w:color w:val="auto"/>
        </w:rPr>
        <w:t>outstanding shares of Common Stock pursuant to such Merger Event as determined in accordance with the definitive transaction documents executed among the parties in connection therewith; or</w:t>
      </w:r>
    </w:p>
    <w:p>
      <w:pPr>
        <w:spacing w:after="0" w:line="158" w:lineRule="exact"/>
        <w:rPr>
          <w:sz w:val="20"/>
          <w:szCs w:val="20"/>
          <w:color w:val="auto"/>
        </w:rPr>
      </w:pPr>
    </w:p>
    <w:p>
      <w:pPr>
        <w:ind w:right="40" w:firstLine="1500"/>
        <w:spacing w:after="0" w:line="260" w:lineRule="auto"/>
        <w:tabs>
          <w:tab w:leader="none" w:pos="187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cases other than as described in the foregoing clauses (i) and (ii), the current fair market value of a share of Common Stock shall be determined in good faith by the Company’s Board of Directors.</w:t>
      </w:r>
    </w:p>
    <w:p>
      <w:pPr>
        <w:spacing w:after="0" w:line="158" w:lineRule="exact"/>
        <w:rPr>
          <w:sz w:val="20"/>
          <w:szCs w:val="20"/>
          <w:color w:val="auto"/>
        </w:rPr>
      </w:pPr>
    </w:p>
    <w:p>
      <w:pPr>
        <w:ind w:right="520" w:firstLine="1499"/>
        <w:spacing w:after="0" w:line="291" w:lineRule="auto"/>
        <w:rPr>
          <w:sz w:val="20"/>
          <w:szCs w:val="20"/>
          <w:color w:val="auto"/>
        </w:rPr>
      </w:pPr>
      <w:r>
        <w:rPr>
          <w:rFonts w:ascii="Times New Roman" w:cs="Times New Roman" w:eastAsia="Times New Roman" w:hAnsi="Times New Roman"/>
          <w:sz w:val="17"/>
          <w:szCs w:val="17"/>
          <w:color w:val="auto"/>
        </w:rPr>
        <w:t>Upon partial exercise by either cash or Net Issuance, prior to the expiration or earlier termination hereof, the Company shall promptly amend this Agreement to reflect the remaining number of shares and/or other securities purchasable hereunder. All other terms and conditions of such amended Agreement shall be identical to those contained herein, including, but not limited to the Effective Date hereof.</w:t>
      </w:r>
    </w:p>
    <w:p>
      <w:pPr>
        <w:spacing w:after="0" w:line="136" w:lineRule="exact"/>
        <w:rPr>
          <w:sz w:val="20"/>
          <w:szCs w:val="20"/>
          <w:color w:val="auto"/>
        </w:rPr>
      </w:pPr>
    </w:p>
    <w:p>
      <w:pPr>
        <w:ind w:firstLine="751"/>
        <w:spacing w:after="0" w:line="270" w:lineRule="auto"/>
        <w:tabs>
          <w:tab w:leader="none" w:pos="11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Prior to Expiration</w:t>
      </w:r>
      <w:r>
        <w:rPr>
          <w:rFonts w:ascii="Times New Roman" w:cs="Times New Roman" w:eastAsia="Times New Roman" w:hAnsi="Times New Roman"/>
          <w:sz w:val="17"/>
          <w:szCs w:val="17"/>
          <w:color w:val="auto"/>
        </w:rPr>
        <w:t>. To the extent this Warrant is not previously exercised as to all shares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upon written request, of the number of shares of Common Stock if any, the Warrantholder is to receive by reason of such automatic exercise, and shall issue the Warrantholder such shares via book entry.</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4. </w:t>
      </w:r>
      <w:r>
        <w:rPr>
          <w:rFonts w:ascii="Times New Roman" w:cs="Times New Roman" w:eastAsia="Times New Roman" w:hAnsi="Times New Roman"/>
          <w:sz w:val="19"/>
          <w:szCs w:val="19"/>
          <w:color w:val="auto"/>
        </w:rPr>
        <w:t>RESERVATION OF SHARES.</w:t>
      </w:r>
    </w:p>
    <w:p>
      <w:pPr>
        <w:spacing w:after="0" w:line="101" w:lineRule="exact"/>
        <w:rPr>
          <w:sz w:val="20"/>
          <w:szCs w:val="20"/>
          <w:color w:val="auto"/>
        </w:rPr>
      </w:pPr>
    </w:p>
    <w:p>
      <w:pPr>
        <w:ind w:right="480" w:firstLine="1499"/>
        <w:spacing w:after="0" w:line="260" w:lineRule="auto"/>
        <w:rPr>
          <w:sz w:val="20"/>
          <w:szCs w:val="20"/>
          <w:color w:val="auto"/>
        </w:rPr>
      </w:pPr>
      <w:r>
        <w:rPr>
          <w:rFonts w:ascii="Times New Roman" w:cs="Times New Roman" w:eastAsia="Times New Roman" w:hAnsi="Times New Roman"/>
          <w:sz w:val="19"/>
          <w:szCs w:val="19"/>
          <w:color w:val="auto"/>
        </w:rPr>
        <w:t>During the term of this Agreement, the Company will at all times have authorized and reserved a sufficient number of shares of its Common Stock to provide for the exercise of the rights to purchase Common Stock as provided for herein.</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5. </w:t>
      </w:r>
      <w:r>
        <w:rPr>
          <w:rFonts w:ascii="Times New Roman" w:cs="Times New Roman" w:eastAsia="Times New Roman" w:hAnsi="Times New Roman"/>
          <w:sz w:val="19"/>
          <w:szCs w:val="19"/>
          <w:color w:val="auto"/>
        </w:rPr>
        <w:t>NO FRACTIONAL SHARES OR SCRIP.</w:t>
      </w:r>
    </w:p>
    <w:p>
      <w:pPr>
        <w:spacing w:after="0" w:line="89" w:lineRule="exact"/>
        <w:rPr>
          <w:sz w:val="20"/>
          <w:szCs w:val="20"/>
          <w:color w:val="auto"/>
        </w:rPr>
      </w:pPr>
    </w:p>
    <w:p>
      <w:pPr>
        <w:ind w:right="260" w:firstLine="1499"/>
        <w:spacing w:after="0" w:line="319" w:lineRule="auto"/>
        <w:rPr>
          <w:sz w:val="20"/>
          <w:szCs w:val="20"/>
          <w:color w:val="auto"/>
        </w:rPr>
      </w:pPr>
      <w:r>
        <w:rPr>
          <w:rFonts w:ascii="Times New Roman" w:cs="Times New Roman" w:eastAsia="Times New Roman" w:hAnsi="Times New Roman"/>
          <w:sz w:val="17"/>
          <w:szCs w:val="17"/>
          <w:color w:val="auto"/>
        </w:rPr>
        <w:t>No fractional shares or scrip representing fractional shares shall be issued upon the exercise of this Agreement, but in lieu of such fractional shares the Company shall make a cash payment therefor upon the basis of the then fair market value of one share of Common Stock.</w:t>
      </w:r>
    </w:p>
    <w:p>
      <w:pPr>
        <w:spacing w:after="0" w:line="1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6. </w:t>
      </w:r>
      <w:r>
        <w:rPr>
          <w:rFonts w:ascii="Times New Roman" w:cs="Times New Roman" w:eastAsia="Times New Roman" w:hAnsi="Times New Roman"/>
          <w:sz w:val="19"/>
          <w:szCs w:val="19"/>
          <w:color w:val="auto"/>
        </w:rPr>
        <w:t>NO RIGHTS AS STOCKHOLDER.</w:t>
      </w:r>
    </w:p>
    <w:p>
      <w:pPr>
        <w:spacing w:after="0" w:line="101" w:lineRule="exact"/>
        <w:rPr>
          <w:sz w:val="20"/>
          <w:szCs w:val="20"/>
          <w:color w:val="auto"/>
        </w:rPr>
      </w:pPr>
    </w:p>
    <w:p>
      <w:pPr>
        <w:jc w:val="both"/>
        <w:ind w:right="620" w:firstLine="1499"/>
        <w:spacing w:after="0" w:line="319" w:lineRule="auto"/>
        <w:rPr>
          <w:sz w:val="20"/>
          <w:szCs w:val="20"/>
          <w:color w:val="auto"/>
        </w:rPr>
      </w:pPr>
      <w:r>
        <w:rPr>
          <w:rFonts w:ascii="Times New Roman" w:cs="Times New Roman" w:eastAsia="Times New Roman" w:hAnsi="Times New Roman"/>
          <w:sz w:val="17"/>
          <w:szCs w:val="17"/>
          <w:color w:val="auto"/>
        </w:rPr>
        <w:t>Without limitation of any provision hereof, Warrantholder agrees that this Agreement does not entitle the Warrantholder to any voting rights or other rights as a stockholder of the Company prior to the exercise of any of the purchase rights set forth in this Agreement.</w:t>
      </w:r>
    </w:p>
    <w:p>
      <w:pPr>
        <w:spacing w:after="0" w:line="1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SECTION 7. </w:t>
      </w:r>
      <w:r>
        <w:rPr>
          <w:rFonts w:ascii="Times New Roman" w:cs="Times New Roman" w:eastAsia="Times New Roman" w:hAnsi="Times New Roman"/>
          <w:sz w:val="19"/>
          <w:szCs w:val="19"/>
          <w:color w:val="auto"/>
        </w:rPr>
        <w:t>WARRANTHOLDER REGISTRY.</w:t>
      </w:r>
    </w:p>
    <w:p>
      <w:pPr>
        <w:spacing w:after="0" w:line="89" w:lineRule="exact"/>
        <w:rPr>
          <w:sz w:val="20"/>
          <w:szCs w:val="20"/>
          <w:color w:val="auto"/>
        </w:rPr>
      </w:pPr>
    </w:p>
    <w:p>
      <w:pPr>
        <w:ind w:right="320" w:firstLine="1499"/>
        <w:spacing w:after="0" w:line="248" w:lineRule="auto"/>
        <w:rPr>
          <w:sz w:val="20"/>
          <w:szCs w:val="20"/>
          <w:color w:val="auto"/>
        </w:rPr>
      </w:pPr>
      <w:r>
        <w:rPr>
          <w:rFonts w:ascii="Times New Roman" w:cs="Times New Roman" w:eastAsia="Times New Roman" w:hAnsi="Times New Roman"/>
          <w:sz w:val="19"/>
          <w:szCs w:val="19"/>
          <w:color w:val="auto"/>
        </w:rPr>
        <w:t>The Company shall maintain a registry showing the name and address of the registered holder of this Agreement. Warrantholder’s initial address, for purposes of such registry, is set forth in Section 12(g) below. Warrantholder may change such address by giving written notice of such changed address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1070610</wp:posOffset>
            </wp:positionV>
            <wp:extent cx="7166610" cy="412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314325</wp:posOffset>
            </wp:positionV>
            <wp:extent cx="7166610"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309" w:right="1440" w:bottom="1440" w:gutter="0" w:footer="0" w:header="0"/>
        </w:sectPr>
      </w:pPr>
    </w:p>
    <w:bookmarkStart w:id="210" w:name="page211"/>
    <w:bookmarkEnd w:id="210"/>
    <w:p>
      <w:pPr>
        <w:ind w:left="1360"/>
        <w:spacing w:after="0"/>
        <w:rPr>
          <w:sz w:val="20"/>
          <w:szCs w:val="20"/>
          <w:color w:val="auto"/>
        </w:rPr>
      </w:pPr>
      <w:r>
        <w:rPr>
          <w:rFonts w:ascii="Times New Roman" w:cs="Times New Roman" w:eastAsia="Times New Roman" w:hAnsi="Times New Roman"/>
          <w:sz w:val="19"/>
          <w:szCs w:val="19"/>
          <w:b w:val="1"/>
          <w:bCs w:val="1"/>
          <w:color w:val="auto"/>
        </w:rPr>
        <w:t xml:space="preserve">SECTION 8. </w:t>
      </w:r>
      <w:r>
        <w:rPr>
          <w:rFonts w:ascii="Times New Roman" w:cs="Times New Roman" w:eastAsia="Times New Roman" w:hAnsi="Times New Roman"/>
          <w:sz w:val="19"/>
          <w:szCs w:val="19"/>
          <w:color w:val="auto"/>
        </w:rPr>
        <w:t>ADJUSTMENT RIGHTS.</w:t>
      </w:r>
    </w:p>
    <w:p>
      <w:pPr>
        <w:spacing w:after="0" w:line="1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The Exercise Price and the number of shares of Common Stock purchasable hereunder are subject to adjustment from time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as follows:</w:t>
      </w:r>
    </w:p>
    <w:p>
      <w:pPr>
        <w:spacing w:after="0" w:line="179" w:lineRule="exact"/>
        <w:rPr>
          <w:sz w:val="20"/>
          <w:szCs w:val="20"/>
          <w:color w:val="auto"/>
        </w:rPr>
      </w:pPr>
    </w:p>
    <w:p>
      <w:pPr>
        <w:ind w:right="60" w:firstLine="1499"/>
        <w:spacing w:after="0" w:line="236" w:lineRule="auto"/>
        <w:rPr>
          <w:sz w:val="20"/>
          <w:szCs w:val="20"/>
          <w:color w:val="auto"/>
        </w:rPr>
      </w:pP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subject to the terms of the definitive agreements governing the Merger Event), and such Merger Event consideration shall be paid to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77" w:lineRule="exact"/>
        <w:rPr>
          <w:sz w:val="20"/>
          <w:szCs w:val="20"/>
          <w:color w:val="auto"/>
        </w:rPr>
      </w:pPr>
    </w:p>
    <w:p>
      <w:pPr>
        <w:ind w:firstLine="1499"/>
        <w:spacing w:after="0" w:line="271" w:lineRule="auto"/>
        <w:rPr>
          <w:sz w:val="20"/>
          <w:szCs w:val="20"/>
          <w:color w:val="auto"/>
        </w:rPr>
      </w:pPr>
      <w:r>
        <w:rPr>
          <w:rFonts w:ascii="Times New Roman" w:cs="Times New Roman" w:eastAsia="Times New Roman" w:hAnsi="Times New Roman"/>
          <w:sz w:val="17"/>
          <w:szCs w:val="17"/>
          <w:u w:val="single" w:color="auto"/>
          <w:color w:val="auto"/>
        </w:rPr>
        <w:t>Reclassification of Shares</w:t>
      </w:r>
      <w:r>
        <w:rPr>
          <w:rFonts w:ascii="Times New Roman" w:cs="Times New Roman" w:eastAsia="Times New Roman" w:hAnsi="Times New Roman"/>
          <w:sz w:val="17"/>
          <w:szCs w:val="17"/>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67" w:lineRule="exact"/>
        <w:rPr>
          <w:sz w:val="20"/>
          <w:szCs w:val="20"/>
          <w:color w:val="auto"/>
        </w:rPr>
      </w:pPr>
    </w:p>
    <w:p>
      <w:pPr>
        <w:ind w:right="340" w:firstLine="1499"/>
        <w:spacing w:after="0" w:line="239" w:lineRule="auto"/>
        <w:rPr>
          <w:sz w:val="20"/>
          <w:szCs w:val="20"/>
          <w:color w:val="auto"/>
        </w:rPr>
      </w:pPr>
      <w:r>
        <w:rPr>
          <w:rFonts w:ascii="Times New Roman" w:cs="Times New Roman" w:eastAsia="Times New Roman" w:hAnsi="Times New Roman"/>
          <w:sz w:val="19"/>
          <w:szCs w:val="19"/>
          <w:u w:val="single" w:color="auto"/>
          <w:color w:val="auto"/>
        </w:rPr>
        <w:t>Subdivision or Combination of Shares</w:t>
      </w:r>
      <w:r>
        <w:rPr>
          <w:rFonts w:ascii="Times New Roman" w:cs="Times New Roman" w:eastAsia="Times New Roman" w:hAnsi="Times New Roman"/>
          <w:sz w:val="19"/>
          <w:szCs w:val="19"/>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u w:val="single" w:color="auto"/>
          <w:color w:val="auto"/>
        </w:rPr>
        <w:t>Stock Dividends</w:t>
      </w:r>
      <w:r>
        <w:rPr>
          <w:rFonts w:ascii="Times New Roman" w:cs="Times New Roman" w:eastAsia="Times New Roman" w:hAnsi="Times New Roman"/>
          <w:sz w:val="19"/>
          <w:szCs w:val="19"/>
          <w:color w:val="auto"/>
        </w:rPr>
        <w:t>. If the Company at any time while this Agreement is outstanding and unexpired shall:</w:t>
      </w:r>
    </w:p>
    <w:p>
      <w:pPr>
        <w:spacing w:after="0" w:line="199" w:lineRule="exact"/>
        <w:rPr>
          <w:sz w:val="20"/>
          <w:szCs w:val="20"/>
          <w:color w:val="auto"/>
        </w:rPr>
      </w:pPr>
    </w:p>
    <w:p>
      <w:pPr>
        <w:ind w:right="140" w:firstLine="2249"/>
        <w:spacing w:after="0" w:line="238" w:lineRule="auto"/>
        <w:rPr>
          <w:sz w:val="20"/>
          <w:szCs w:val="20"/>
          <w:color w:val="auto"/>
        </w:rPr>
      </w:pPr>
      <w:r>
        <w:rPr>
          <w:rFonts w:ascii="Times New Roman" w:cs="Times New Roman" w:eastAsia="Times New Roman" w:hAnsi="Times New Roman"/>
          <w:sz w:val="19"/>
          <w:szCs w:val="19"/>
          <w:color w:val="auto"/>
        </w:rPr>
        <w:t>pay a dividend with respect to the outstanding shares of Common Stock payable in additional shares of Common Stock, then the Exercise Price shall be adjusted,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781050</wp:posOffset>
            </wp:positionV>
            <wp:extent cx="716661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317" w:right="3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9"/>
          <w:szCs w:val="19"/>
          <w:color w:val="auto"/>
        </w:rPr>
        <w:t>number of shares of Common Stock for which this Warrant is exercisable shall be proportionately increased; or</w:t>
      </w:r>
    </w:p>
    <w:p>
      <w:pPr>
        <w:spacing w:after="0" w:line="199" w:lineRule="exact"/>
        <w:rPr>
          <w:sz w:val="20"/>
          <w:szCs w:val="20"/>
          <w:color w:val="auto"/>
        </w:rPr>
      </w:pPr>
    </w:p>
    <w:p>
      <w:pPr>
        <w:ind w:right="20" w:firstLine="2249"/>
        <w:spacing w:after="0" w:line="238" w:lineRule="auto"/>
        <w:rPr>
          <w:sz w:val="20"/>
          <w:szCs w:val="20"/>
          <w:color w:val="auto"/>
        </w:rPr>
      </w:pPr>
      <w:r>
        <w:rPr>
          <w:rFonts w:ascii="Times New Roman" w:cs="Times New Roman" w:eastAsia="Times New Roman" w:hAnsi="Times New Roman"/>
          <w:sz w:val="19"/>
          <w:szCs w:val="19"/>
          <w:color w:val="auto"/>
        </w:rPr>
        <w:t>make any other dividend or distribution on or with respect to Common Stock, except any dividend or distribution (A) in cash, or (B)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80" w:lineRule="exact"/>
        <w:rPr>
          <w:sz w:val="20"/>
          <w:szCs w:val="20"/>
          <w:color w:val="auto"/>
        </w:rPr>
      </w:pPr>
    </w:p>
    <w:p>
      <w:pPr>
        <w:ind w:right="160" w:firstLine="1500"/>
        <w:spacing w:after="0" w:line="238" w:lineRule="auto"/>
        <w:tabs>
          <w:tab w:leader="none" w:pos="175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Certain Events</w:t>
      </w:r>
      <w:r>
        <w:rPr>
          <w:rFonts w:ascii="Times New Roman" w:cs="Times New Roman" w:eastAsia="Times New Roman" w:hAnsi="Times New Roman"/>
          <w:sz w:val="19"/>
          <w:szCs w:val="19"/>
          <w:color w:val="auto"/>
        </w:rPr>
        <w:t>. If: (i) the Company shall declare any dividend or distribution upon its outstanding Common Stock, payable in stock, cash, property or other securities (provided that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 xml:space="preserve">SECTION 9. </w:t>
      </w:r>
      <w:r>
        <w:rPr>
          <w:rFonts w:ascii="Times New Roman" w:cs="Times New Roman" w:eastAsia="Times New Roman" w:hAnsi="Times New Roman"/>
          <w:sz w:val="19"/>
          <w:szCs w:val="19"/>
          <w:color w:val="auto"/>
        </w:rPr>
        <w:t>REPRESENTATIONS, WARRANTIES AND COVENANTS OF THE COMPANY.</w:t>
      </w:r>
    </w:p>
    <w:p>
      <w:pPr>
        <w:spacing w:after="0" w:line="101" w:lineRule="exact"/>
        <w:rPr>
          <w:sz w:val="20"/>
          <w:szCs w:val="20"/>
          <w:color w:val="auto"/>
        </w:rPr>
      </w:pPr>
    </w:p>
    <w:p>
      <w:pPr>
        <w:ind w:right="40" w:firstLine="751"/>
        <w:spacing w:after="0" w:line="238" w:lineRule="auto"/>
        <w:tabs>
          <w:tab w:leader="none" w:pos="1494" w:val="left"/>
        </w:tabs>
        <w:numPr>
          <w:ilvl w:val="0"/>
          <w:numId w:val="1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The Company covenants and agrees that all shares of Common Stock, if any, that may be issued upon the exercise of the rights represented by this Warrant will, upon issuance, be validly issued and outstanding, fully paid and non-assessable. The Company further covenants and agrees that the Company will, at all times during the term hereof, have authorized and reserved, free from preemptive rights, a sufficient number of shares of Common Stock to provide for the exercise of the rights represented by this Warrant.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75" w:lineRule="exact"/>
        <w:rPr>
          <w:rFonts w:ascii="Times New Roman" w:cs="Times New Roman" w:eastAsia="Times New Roman" w:hAnsi="Times New Roman"/>
          <w:sz w:val="19"/>
          <w:szCs w:val="19"/>
          <w:u w:val="single" w:color="auto"/>
          <w:color w:val="auto"/>
        </w:rPr>
      </w:pPr>
    </w:p>
    <w:p>
      <w:pPr>
        <w:ind w:firstLine="751"/>
        <w:spacing w:after="0" w:line="237" w:lineRule="auto"/>
        <w:tabs>
          <w:tab w:leader="none" w:pos="1494" w:val="left"/>
        </w:tabs>
        <w:numPr>
          <w:ilvl w:val="0"/>
          <w:numId w:val="1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Due Authority</w:t>
      </w:r>
      <w:r>
        <w:rPr>
          <w:rFonts w:ascii="Times New Roman" w:cs="Times New Roman" w:eastAsia="Times New Roman" w:hAnsi="Times New Roman"/>
          <w:sz w:val="19"/>
          <w:szCs w:val="19"/>
          <w:color w:val="auto"/>
        </w:rPr>
        <w:t>. The execution and delivery by the Company of this Agreement and the performance of all obligations of the Company hereunder, including the issuance to Warrantholder of the right to acquire the shares of Common Stock, have been duly authorized by all necessary corporate action on the part of the Company. This Agreement: (1) does not violate the Company’s Charter or current bylaws; (2) does not contravene any law or governmental rule, regulation or order applicable to it; and (3) does not and will not contravene any provision of, or constitute a default under, any indenture, mortgage, contract or other instrument to which it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68" w:lineRule="exact"/>
        <w:rPr>
          <w:rFonts w:ascii="Times New Roman" w:cs="Times New Roman" w:eastAsia="Times New Roman" w:hAnsi="Times New Roman"/>
          <w:sz w:val="19"/>
          <w:szCs w:val="19"/>
          <w:u w:val="single" w:color="auto"/>
          <w:color w:val="auto"/>
        </w:rPr>
      </w:pPr>
    </w:p>
    <w:p>
      <w:pPr>
        <w:jc w:val="both"/>
        <w:ind w:firstLine="751"/>
        <w:spacing w:after="0" w:line="244" w:lineRule="auto"/>
        <w:tabs>
          <w:tab w:leader="none" w:pos="1494" w:val="left"/>
        </w:tabs>
        <w:numPr>
          <w:ilvl w:val="0"/>
          <w:numId w:val="1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Consents and Approvals</w:t>
      </w:r>
      <w:r>
        <w:rPr>
          <w:rFonts w:ascii="Times New Roman" w:cs="Times New Roman" w:eastAsia="Times New Roman" w:hAnsi="Times New Roman"/>
          <w:sz w:val="19"/>
          <w:szCs w:val="19"/>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1073150</wp:posOffset>
            </wp:positionV>
            <wp:extent cx="7166610" cy="412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321" w:right="419" w:bottom="1440" w:gutter="0" w:footer="0" w:header="0"/>
        </w:sectPr>
      </w:pPr>
    </w:p>
    <w:bookmarkStart w:id="212" w:name="page213"/>
    <w:bookmarkEnd w:id="212"/>
    <w:p>
      <w:pPr>
        <w:ind w:right="660" w:firstLine="751"/>
        <w:spacing w:after="0" w:line="241" w:lineRule="auto"/>
        <w:tabs>
          <w:tab w:leader="none" w:pos="1464" w:val="left"/>
        </w:tabs>
        <w:numPr>
          <w:ilvl w:val="1"/>
          <w:numId w:val="16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Exempt Transaction</w:t>
      </w:r>
      <w:r>
        <w:rPr>
          <w:rFonts w:ascii="Times New Roman" w:cs="Times New Roman" w:eastAsia="Times New Roman" w:hAnsi="Times New Roman"/>
          <w:sz w:val="19"/>
          <w:szCs w:val="19"/>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74" w:lineRule="exact"/>
        <w:rPr>
          <w:rFonts w:ascii="Times New Roman" w:cs="Times New Roman" w:eastAsia="Times New Roman" w:hAnsi="Times New Roman"/>
          <w:sz w:val="19"/>
          <w:szCs w:val="19"/>
          <w:u w:val="single" w:color="auto"/>
          <w:color w:val="auto"/>
        </w:rPr>
      </w:pPr>
    </w:p>
    <w:p>
      <w:pPr>
        <w:ind w:right="20" w:firstLine="751"/>
        <w:spacing w:after="0"/>
        <w:tabs>
          <w:tab w:leader="none" w:pos="1494" w:val="left"/>
        </w:tabs>
        <w:numPr>
          <w:ilvl w:val="1"/>
          <w:numId w:val="16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Information Rights</w:t>
      </w:r>
      <w:r>
        <w:rPr>
          <w:rFonts w:ascii="Times New Roman" w:cs="Times New Roman" w:eastAsia="Times New Roman" w:hAnsi="Times New Roman"/>
          <w:sz w:val="19"/>
          <w:szCs w:val="19"/>
          <w:color w:val="auto"/>
        </w:rPr>
        <w:t>. At all times (if any) prior to the expiration or earlier termination of this Warrant, when the Company shall not be required to file reports pursuant to Section 13 or 15(d) of the Exchange Act or shall not have timely filed all such required reports, Warrantholder shall be entitled to the information rights contained in Sections 7.1(b) and 7.1(c) of the Loan Agreement, provided that the confidentiality provisions contained in Section 11.13 of the Loan Agreement shall apply to any information received under this section, and in any such event Sections 7.1(b), 7.1(c) and 11.13 of the Loan Agreement are hereby incorporated into this Agreement by this reference as though fully set forth herein. In receiving any such information, Warrantholder shall at all times comply with all securities laws applicable to the resale of this Warrant or the shares of Common Stock issuable upon exercise of this Warrant, including relevant insider trading laws.</w:t>
      </w:r>
    </w:p>
    <w:p>
      <w:pPr>
        <w:spacing w:after="0" w:line="62" w:lineRule="exact"/>
        <w:rPr>
          <w:rFonts w:ascii="Times New Roman" w:cs="Times New Roman" w:eastAsia="Times New Roman" w:hAnsi="Times New Roman"/>
          <w:sz w:val="19"/>
          <w:szCs w:val="19"/>
          <w:u w:val="single" w:color="auto"/>
          <w:color w:val="auto"/>
        </w:rPr>
      </w:pPr>
    </w:p>
    <w:p>
      <w:pPr>
        <w:ind w:right="80" w:firstLine="751"/>
        <w:spacing w:after="0" w:line="264" w:lineRule="auto"/>
        <w:tabs>
          <w:tab w:leader="none" w:pos="1494" w:val="left"/>
        </w:tabs>
        <w:numPr>
          <w:ilvl w:val="1"/>
          <w:numId w:val="16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Rule 144 Compliance</w:t>
      </w:r>
      <w:r>
        <w:rPr>
          <w:rFonts w:ascii="Times New Roman" w:cs="Times New Roman" w:eastAsia="Times New Roman" w:hAnsi="Times New Roman"/>
          <w:sz w:val="17"/>
          <w:szCs w:val="17"/>
          <w:color w:val="auto"/>
        </w:rPr>
        <w:t>. The Company shall, at all times prior to the earlier to occur of (x) the date of sale or other disposition by Warrantholder of this Warrant or all shares of Common Stock issued on exercise of this Warrant, or (y) the expiration or earlier termination of this Warrant if the Warrant has not been exercised in full or in part on such date, use all commercially reasonable efforts to timely file all reports required under the 1934 Act and otherwise timely take all actions necessary to permit the Warrantholder to sell or otherwise dispose of this Warrant and the shares of Common Stock issued on exercise hereof pursuant to Rule 144 promulgated under the Act as amended and in effect from time to time, provided that the foregoing shall not apply in the event of a Merger Event following which the successor or surviving entity is not subject to the reporting requirements of the 1934 Act. If the Warrantholder proposes to sell Common Stock issuable upon the exercise of this Agreement in compliance with Rule 144, then, upon Warrantholder’s written request to the Company, the Company shall furnish to the Warrantholder, within five</w:t>
      </w:r>
    </w:p>
    <w:p>
      <w:pPr>
        <w:spacing w:after="0" w:line="5" w:lineRule="exact"/>
        <w:rPr>
          <w:rFonts w:ascii="Times New Roman" w:cs="Times New Roman" w:eastAsia="Times New Roman" w:hAnsi="Times New Roman"/>
          <w:sz w:val="17"/>
          <w:szCs w:val="17"/>
          <w:u w:val="single" w:color="auto"/>
          <w:color w:val="auto"/>
        </w:rPr>
      </w:pPr>
    </w:p>
    <w:p>
      <w:pPr>
        <w:ind w:right="300" w:firstLine="1"/>
        <w:spacing w:after="0" w:line="239" w:lineRule="auto"/>
        <w:tabs>
          <w:tab w:leader="none" w:pos="26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after receipt of such request, a written statement confirming the Company’s compliance with the filing and other requirements of such Rule.</w:t>
      </w:r>
    </w:p>
    <w:p>
      <w:pPr>
        <w:spacing w:after="0" w:line="72" w:lineRule="exact"/>
        <w:rPr>
          <w:sz w:val="20"/>
          <w:szCs w:val="20"/>
          <w:color w:val="auto"/>
        </w:rPr>
      </w:pPr>
    </w:p>
    <w:p>
      <w:pPr>
        <w:ind w:left="760"/>
        <w:spacing w:after="0"/>
        <w:tabs>
          <w:tab w:leader="none" w:pos="2220" w:val="left"/>
        </w:tabs>
        <w:rPr>
          <w:sz w:val="20"/>
          <w:szCs w:val="20"/>
          <w:color w:val="auto"/>
        </w:rPr>
      </w:pPr>
      <w:r>
        <w:rPr>
          <w:rFonts w:ascii="Times New Roman" w:cs="Times New Roman" w:eastAsia="Times New Roman" w:hAnsi="Times New Roman"/>
          <w:sz w:val="19"/>
          <w:szCs w:val="19"/>
          <w:b w:val="1"/>
          <w:bCs w:val="1"/>
          <w:color w:val="auto"/>
        </w:rPr>
        <w:t>SECTION 10.</w:t>
      </w:r>
      <w:r>
        <w:rPr>
          <w:sz w:val="20"/>
          <w:szCs w:val="20"/>
          <w:color w:val="auto"/>
        </w:rPr>
        <w:tab/>
      </w:r>
      <w:r>
        <w:rPr>
          <w:rFonts w:ascii="Times New Roman" w:cs="Times New Roman" w:eastAsia="Times New Roman" w:hAnsi="Times New Roman"/>
          <w:sz w:val="17"/>
          <w:szCs w:val="17"/>
          <w:color w:val="auto"/>
        </w:rPr>
        <w:t>REPRESENTATIONS AND COVENANTS OF THE WARRANTHOLDER.</w:t>
      </w:r>
    </w:p>
    <w:p>
      <w:pPr>
        <w:spacing w:after="0" w:line="1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This Agreement has been entered into by the Company in reliance upon the following representations and covenants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Warrantholder:</w:t>
      </w:r>
    </w:p>
    <w:p>
      <w:pPr>
        <w:spacing w:after="0" w:line="179" w:lineRule="exact"/>
        <w:rPr>
          <w:sz w:val="20"/>
          <w:szCs w:val="20"/>
          <w:color w:val="auto"/>
        </w:rPr>
      </w:pPr>
    </w:p>
    <w:p>
      <w:pPr>
        <w:jc w:val="both"/>
        <w:ind w:right="300" w:firstLine="751"/>
        <w:spacing w:after="0" w:line="248" w:lineRule="auto"/>
        <w:tabs>
          <w:tab w:leader="none" w:pos="100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Investment Purpose</w:t>
      </w:r>
      <w:r>
        <w:rPr>
          <w:rFonts w:ascii="Times New Roman" w:cs="Times New Roman" w:eastAsia="Times New Roman" w:hAnsi="Times New Roman"/>
          <w:sz w:val="19"/>
          <w:szCs w:val="19"/>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68" w:lineRule="exact"/>
        <w:rPr>
          <w:sz w:val="20"/>
          <w:szCs w:val="20"/>
          <w:color w:val="auto"/>
        </w:rPr>
      </w:pPr>
    </w:p>
    <w:p>
      <w:pPr>
        <w:ind w:firstLine="751"/>
        <w:spacing w:after="0" w:line="244" w:lineRule="auto"/>
        <w:tabs>
          <w:tab w:leader="none" w:pos="1494" w:val="left"/>
        </w:tabs>
        <w:numPr>
          <w:ilvl w:val="0"/>
          <w:numId w:val="17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Private Issue</w:t>
      </w:r>
      <w:r>
        <w:rPr>
          <w:rFonts w:ascii="Times New Roman" w:cs="Times New Roman" w:eastAsia="Times New Roman" w:hAnsi="Times New Roman"/>
          <w:sz w:val="19"/>
          <w:szCs w:val="19"/>
          <w:color w:val="auto"/>
        </w:rPr>
        <w:t>. The Warrantholder understands (i) that the Common Stock issuable upon exercise of this Agreement is not, as of the Effective Date, registered under the Act or qualified under applicable state securities laws on the grounds that the issuance contemplated by this Agreement will be exempt from the registration and qualifications requirements thereof, and (ii) that the Company’s reliance on exemption from such registration is predicated on the representations set forth in this Section 10.</w:t>
      </w:r>
    </w:p>
    <w:p>
      <w:pPr>
        <w:spacing w:after="0" w:line="59" w:lineRule="exact"/>
        <w:rPr>
          <w:rFonts w:ascii="Times New Roman" w:cs="Times New Roman" w:eastAsia="Times New Roman" w:hAnsi="Times New Roman"/>
          <w:sz w:val="19"/>
          <w:szCs w:val="19"/>
          <w:u w:val="single" w:color="auto"/>
          <w:color w:val="auto"/>
        </w:rPr>
      </w:pPr>
    </w:p>
    <w:p>
      <w:pPr>
        <w:ind w:right="520" w:firstLine="751"/>
        <w:spacing w:after="0" w:line="260" w:lineRule="auto"/>
        <w:tabs>
          <w:tab w:leader="none" w:pos="1494" w:val="left"/>
        </w:tabs>
        <w:numPr>
          <w:ilvl w:val="0"/>
          <w:numId w:val="17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Financial Risk</w:t>
      </w:r>
      <w:r>
        <w:rPr>
          <w:rFonts w:ascii="Times New Roman" w:cs="Times New Roman" w:eastAsia="Times New Roman" w:hAnsi="Times New Roman"/>
          <w:sz w:val="19"/>
          <w:szCs w:val="19"/>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57" w:lineRule="exact"/>
        <w:rPr>
          <w:rFonts w:ascii="Times New Roman" w:cs="Times New Roman" w:eastAsia="Times New Roman" w:hAnsi="Times New Roman"/>
          <w:sz w:val="19"/>
          <w:szCs w:val="19"/>
          <w:u w:val="single" w:color="auto"/>
          <w:color w:val="auto"/>
        </w:rPr>
      </w:pPr>
    </w:p>
    <w:p>
      <w:pPr>
        <w:ind w:right="440" w:firstLine="751"/>
        <w:spacing w:after="0" w:line="260" w:lineRule="auto"/>
        <w:tabs>
          <w:tab w:leader="none" w:pos="1479" w:val="left"/>
        </w:tabs>
        <w:numPr>
          <w:ilvl w:val="0"/>
          <w:numId w:val="17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Accredited Investor</w:t>
      </w:r>
      <w:r>
        <w:rPr>
          <w:rFonts w:ascii="Times New Roman" w:cs="Times New Roman" w:eastAsia="Times New Roman" w:hAnsi="Times New Roman"/>
          <w:sz w:val="19"/>
          <w:szCs w:val="19"/>
          <w:color w:val="auto"/>
        </w:rPr>
        <w:t>. Warrantholder is an “accredited investor” within the meaning of Rule 501 of Regulation D promulgated under the Act, as presently in effect (“</w:t>
      </w:r>
      <w:r>
        <w:rPr>
          <w:rFonts w:ascii="Times New Roman" w:cs="Times New Roman" w:eastAsia="Times New Roman" w:hAnsi="Times New Roman"/>
          <w:sz w:val="19"/>
          <w:szCs w:val="19"/>
          <w:u w:val="single" w:color="auto"/>
          <w:color w:val="auto"/>
        </w:rPr>
        <w:t>Regulation 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1063625</wp:posOffset>
            </wp:positionV>
            <wp:extent cx="7166610"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321" w:right="419" w:bottom="1440" w:gutter="0" w:footer="0" w:header="0"/>
        </w:sectPr>
      </w:pPr>
    </w:p>
    <w:bookmarkStart w:id="213" w:name="page214"/>
    <w:bookmarkEnd w:id="213"/>
    <w:p>
      <w:pPr>
        <w:jc w:val="both"/>
        <w:ind w:right="100" w:firstLine="751"/>
        <w:spacing w:after="0" w:line="241" w:lineRule="auto"/>
        <w:tabs>
          <w:tab w:leader="none" w:pos="101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Short Sales</w:t>
      </w:r>
      <w:r>
        <w:rPr>
          <w:rFonts w:ascii="Times New Roman" w:cs="Times New Roman" w:eastAsia="Times New Roman" w:hAnsi="Times New Roman"/>
          <w:sz w:val="19"/>
          <w:szCs w:val="19"/>
          <w:color w:val="auto"/>
        </w:rPr>
        <w:t>.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71" w:lineRule="exact"/>
        <w:rPr>
          <w:sz w:val="20"/>
          <w:szCs w:val="20"/>
          <w:color w:val="auto"/>
        </w:rPr>
      </w:pPr>
    </w:p>
    <w:p>
      <w:pPr>
        <w:ind w:left="760"/>
        <w:spacing w:after="0"/>
        <w:tabs>
          <w:tab w:leader="none" w:pos="2220" w:val="left"/>
        </w:tabs>
        <w:rPr>
          <w:sz w:val="20"/>
          <w:szCs w:val="20"/>
          <w:color w:val="auto"/>
        </w:rPr>
      </w:pPr>
      <w:r>
        <w:rPr>
          <w:rFonts w:ascii="Times New Roman" w:cs="Times New Roman" w:eastAsia="Times New Roman" w:hAnsi="Times New Roman"/>
          <w:sz w:val="19"/>
          <w:szCs w:val="19"/>
          <w:b w:val="1"/>
          <w:bCs w:val="1"/>
          <w:color w:val="auto"/>
        </w:rPr>
        <w:t>SECTION 11.</w:t>
      </w:r>
      <w:r>
        <w:rPr>
          <w:sz w:val="20"/>
          <w:szCs w:val="20"/>
          <w:color w:val="auto"/>
        </w:rPr>
        <w:tab/>
      </w:r>
      <w:r>
        <w:rPr>
          <w:rFonts w:ascii="Times New Roman" w:cs="Times New Roman" w:eastAsia="Times New Roman" w:hAnsi="Times New Roman"/>
          <w:sz w:val="17"/>
          <w:szCs w:val="17"/>
          <w:color w:val="auto"/>
        </w:rPr>
        <w:t>TRANSFERS.</w:t>
      </w:r>
    </w:p>
    <w:p>
      <w:pPr>
        <w:spacing w:after="0" w:line="101" w:lineRule="exact"/>
        <w:rPr>
          <w:sz w:val="20"/>
          <w:szCs w:val="20"/>
          <w:color w:val="auto"/>
        </w:rPr>
      </w:pPr>
    </w:p>
    <w:p>
      <w:pPr>
        <w:ind w:firstLine="1499"/>
        <w:spacing w:after="0" w:line="237" w:lineRule="auto"/>
        <w:rPr>
          <w:sz w:val="20"/>
          <w:szCs w:val="20"/>
          <w:color w:val="auto"/>
        </w:rPr>
      </w:pPr>
      <w:r>
        <w:rPr>
          <w:rFonts w:ascii="Times New Roman" w:cs="Times New Roman" w:eastAsia="Times New Roman" w:hAnsi="Times New Roman"/>
          <w:sz w:val="19"/>
          <w:szCs w:val="19"/>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19"/>
          <w:szCs w:val="19"/>
          <w:u w:val="single" w:color="auto"/>
          <w:color w:val="auto"/>
        </w:rPr>
        <w:t>Transfer Notice</w:t>
      </w:r>
      <w:r>
        <w:rPr>
          <w:rFonts w:ascii="Times New Roman" w:cs="Times New Roman" w:eastAsia="Times New Roman" w:hAnsi="Times New Roman"/>
          <w:sz w:val="19"/>
          <w:szCs w:val="19"/>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Warrantholder of this Warrant (or any portion hereof or any interest herein) or of any shares of Common Stock issued upon any exercise hereof to an affiliate (as defined in Regulation D) of Warrantholder, provided that such affiliate is an “accredited investor” as defined in Regulation D.</w:t>
      </w:r>
    </w:p>
    <w:p>
      <w:pPr>
        <w:spacing w:after="0" w:line="187" w:lineRule="exact"/>
        <w:rPr>
          <w:sz w:val="20"/>
          <w:szCs w:val="20"/>
          <w:color w:val="auto"/>
        </w:rPr>
      </w:pPr>
    </w:p>
    <w:p>
      <w:pPr>
        <w:ind w:left="760"/>
        <w:spacing w:after="0"/>
        <w:tabs>
          <w:tab w:leader="none" w:pos="2220" w:val="left"/>
        </w:tabs>
        <w:rPr>
          <w:sz w:val="20"/>
          <w:szCs w:val="20"/>
          <w:color w:val="auto"/>
        </w:rPr>
      </w:pPr>
      <w:r>
        <w:rPr>
          <w:rFonts w:ascii="Times New Roman" w:cs="Times New Roman" w:eastAsia="Times New Roman" w:hAnsi="Times New Roman"/>
          <w:sz w:val="19"/>
          <w:szCs w:val="19"/>
          <w:b w:val="1"/>
          <w:bCs w:val="1"/>
          <w:color w:val="auto"/>
        </w:rPr>
        <w:t>SECTION 12.</w:t>
      </w:r>
      <w:r>
        <w:rPr>
          <w:sz w:val="20"/>
          <w:szCs w:val="20"/>
          <w:color w:val="auto"/>
        </w:rPr>
        <w:tab/>
      </w:r>
      <w:r>
        <w:rPr>
          <w:rFonts w:ascii="Times New Roman" w:cs="Times New Roman" w:eastAsia="Times New Roman" w:hAnsi="Times New Roman"/>
          <w:sz w:val="17"/>
          <w:szCs w:val="17"/>
          <w:color w:val="auto"/>
        </w:rPr>
        <w:t>MISCELLANEOUS.</w:t>
      </w:r>
    </w:p>
    <w:p>
      <w:pPr>
        <w:spacing w:after="0" w:line="89" w:lineRule="exact"/>
        <w:rPr>
          <w:sz w:val="20"/>
          <w:szCs w:val="20"/>
          <w:color w:val="auto"/>
        </w:rPr>
      </w:pPr>
    </w:p>
    <w:p>
      <w:pPr>
        <w:ind w:right="560" w:firstLine="751"/>
        <w:spacing w:after="0" w:line="319" w:lineRule="auto"/>
        <w:tabs>
          <w:tab w:leader="none" w:pos="1499" w:val="left"/>
        </w:tabs>
        <w:numPr>
          <w:ilvl w:val="0"/>
          <w:numId w:val="17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1" w:lineRule="exact"/>
        <w:rPr>
          <w:rFonts w:ascii="Times New Roman" w:cs="Times New Roman" w:eastAsia="Times New Roman" w:hAnsi="Times New Roman"/>
          <w:sz w:val="17"/>
          <w:szCs w:val="17"/>
          <w:u w:val="single" w:color="auto"/>
          <w:color w:val="auto"/>
        </w:rPr>
      </w:pPr>
    </w:p>
    <w:p>
      <w:pPr>
        <w:ind w:right="220" w:firstLine="751"/>
        <w:spacing w:after="0" w:line="238" w:lineRule="auto"/>
        <w:tabs>
          <w:tab w:leader="none" w:pos="1484" w:val="left"/>
        </w:tabs>
        <w:numPr>
          <w:ilvl w:val="0"/>
          <w:numId w:val="17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77" w:lineRule="exact"/>
        <w:rPr>
          <w:rFonts w:ascii="Times New Roman" w:cs="Times New Roman" w:eastAsia="Times New Roman" w:hAnsi="Times New Roman"/>
          <w:sz w:val="19"/>
          <w:szCs w:val="19"/>
          <w:u w:val="single" w:color="auto"/>
          <w:color w:val="auto"/>
        </w:rPr>
      </w:pPr>
    </w:p>
    <w:p>
      <w:pPr>
        <w:ind w:right="280" w:firstLine="751"/>
        <w:spacing w:after="0" w:line="291" w:lineRule="auto"/>
        <w:tabs>
          <w:tab w:leader="none" w:pos="1489" w:val="left"/>
        </w:tabs>
        <w:numPr>
          <w:ilvl w:val="0"/>
          <w:numId w:val="17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21" w:lineRule="exact"/>
        <w:rPr>
          <w:rFonts w:ascii="Times New Roman" w:cs="Times New Roman" w:eastAsia="Times New Roman" w:hAnsi="Times New Roman"/>
          <w:sz w:val="17"/>
          <w:szCs w:val="17"/>
          <w:u w:val="single" w:color="auto"/>
          <w:color w:val="auto"/>
        </w:rPr>
      </w:pPr>
    </w:p>
    <w:p>
      <w:pPr>
        <w:ind w:right="220" w:firstLine="751"/>
        <w:spacing w:after="0" w:line="244" w:lineRule="auto"/>
        <w:tabs>
          <w:tab w:leader="none" w:pos="1499" w:val="left"/>
        </w:tabs>
        <w:numPr>
          <w:ilvl w:val="0"/>
          <w:numId w:val="17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Additional Documents</w:t>
      </w:r>
      <w:r>
        <w:rPr>
          <w:rFonts w:ascii="Times New Roman" w:cs="Times New Roman" w:eastAsia="Times New Roman" w:hAnsi="Times New Roman"/>
          <w:sz w:val="19"/>
          <w:szCs w:val="19"/>
          <w:color w:val="auto"/>
        </w:rPr>
        <w:t>. In the event the Company shall not be required to file reports pursuant to Section 13 or 15(d) of the Exchange Act or shall not have timely filed all such required reports, the Company agrees to supply such other documents as the Warrantholder may from time to time reasonably request to value this Warrant for Warrantholder’s accounting or reporting requirements and/or to evaluate whether to exercise (in cash or a net issuance basis) this Warrant.</w:t>
      </w:r>
    </w:p>
    <w:p>
      <w:pPr>
        <w:spacing w:after="0" w:line="72" w:lineRule="exact"/>
        <w:rPr>
          <w:sz w:val="20"/>
          <w:szCs w:val="20"/>
          <w:color w:val="auto"/>
        </w:rPr>
      </w:pPr>
    </w:p>
    <w:p>
      <w:pPr>
        <w:ind w:right="80" w:firstLine="751"/>
        <w:spacing w:after="0" w:line="260" w:lineRule="auto"/>
        <w:tabs>
          <w:tab w:leader="none" w:pos="1499" w:val="left"/>
        </w:tabs>
        <w:numPr>
          <w:ilvl w:val="0"/>
          <w:numId w:val="17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In any litigation, arbitration or court proceeding between the Company and the Warrantholder relating hereto, the prevailing party shall be entitled to reasonable attorneys’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839470</wp:posOffset>
            </wp:positionV>
            <wp:extent cx="7166610"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4" w:name="page215"/>
    <w:bookmarkEnd w:id="214"/>
    <w:p>
      <w:pPr>
        <w:ind w:right="100"/>
        <w:spacing w:after="0" w:line="277" w:lineRule="auto"/>
        <w:rPr>
          <w:sz w:val="20"/>
          <w:szCs w:val="20"/>
          <w:color w:val="auto"/>
        </w:rPr>
      </w:pPr>
      <w:r>
        <w:rPr>
          <w:rFonts w:ascii="Times New Roman" w:cs="Times New Roman" w:eastAsia="Times New Roman" w:hAnsi="Times New Roman"/>
          <w:sz w:val="17"/>
          <w:szCs w:val="17"/>
          <w:color w:val="auto"/>
        </w:rPr>
        <w:t>expenses and all costs of proceedings incurred in enforcing this Agreement. For the purposes of this Section 12(e),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45" w:lineRule="exact"/>
        <w:rPr>
          <w:sz w:val="20"/>
          <w:szCs w:val="20"/>
          <w:color w:val="auto"/>
        </w:rPr>
      </w:pPr>
    </w:p>
    <w:p>
      <w:pPr>
        <w:ind w:right="220" w:firstLine="671"/>
        <w:spacing w:after="0" w:line="239" w:lineRule="auto"/>
        <w:tabs>
          <w:tab w:leader="none" w:pos="1349" w:val="left"/>
        </w:tabs>
        <w:numPr>
          <w:ilvl w:val="0"/>
          <w:numId w:val="1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90" w:lineRule="exact"/>
        <w:rPr>
          <w:rFonts w:ascii="Times New Roman" w:cs="Times New Roman" w:eastAsia="Times New Roman" w:hAnsi="Times New Roman"/>
          <w:sz w:val="19"/>
          <w:szCs w:val="19"/>
          <w:u w:val="single" w:color="auto"/>
          <w:color w:val="auto"/>
        </w:rPr>
      </w:pPr>
    </w:p>
    <w:p>
      <w:pPr>
        <w:ind w:firstLine="671"/>
        <w:spacing w:after="0" w:line="238" w:lineRule="auto"/>
        <w:tabs>
          <w:tab w:leader="none" w:pos="1349" w:val="left"/>
        </w:tabs>
        <w:numPr>
          <w:ilvl w:val="0"/>
          <w:numId w:val="1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(a) personal delivery to the party to be notified, (b) when sent by confirmed telex, electronic transmission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and shall be addressed to the party to be notified as follows: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If to the Warrantholder:</w:t>
      </w:r>
    </w:p>
    <w:p>
      <w:pPr>
        <w:spacing w:after="0" w:line="20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HERCULES CAPITAL, INC.</w:t>
      </w:r>
    </w:p>
    <w:p>
      <w:pPr>
        <w:spacing w:after="0" w:line="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Legal Department</w:t>
      </w:r>
    </w:p>
    <w:p>
      <w:pPr>
        <w:ind w:left="2180"/>
        <w:spacing w:after="0"/>
        <w:rPr>
          <w:sz w:val="20"/>
          <w:szCs w:val="20"/>
          <w:color w:val="auto"/>
        </w:rPr>
      </w:pPr>
      <w:r>
        <w:rPr>
          <w:rFonts w:ascii="Times New Roman" w:cs="Times New Roman" w:eastAsia="Times New Roman" w:hAnsi="Times New Roman"/>
          <w:sz w:val="17"/>
          <w:szCs w:val="17"/>
          <w:color w:val="auto"/>
        </w:rPr>
        <w:t>Attention: Chief Legal Officer and Michael Dutra</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400 Hamilton Avenue, Suite 310</w:t>
      </w:r>
    </w:p>
    <w:p>
      <w:pPr>
        <w:ind w:left="2180"/>
        <w:spacing w:after="0" w:line="232" w:lineRule="auto"/>
        <w:rPr>
          <w:sz w:val="20"/>
          <w:szCs w:val="20"/>
          <w:color w:val="auto"/>
        </w:rPr>
      </w:pPr>
      <w:r>
        <w:rPr>
          <w:rFonts w:ascii="Times New Roman" w:cs="Times New Roman" w:eastAsia="Times New Roman" w:hAnsi="Times New Roman"/>
          <w:sz w:val="17"/>
          <w:szCs w:val="17"/>
          <w:color w:val="auto"/>
        </w:rPr>
        <w:t>Palo Alto, CA 94301</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Facsimile: 650-473-9194</w:t>
      </w:r>
    </w:p>
    <w:p>
      <w:pPr>
        <w:spacing w:after="0" w:line="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Telephone: 650-289-3060</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With a copy to (which shall not constitute notice)</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505 Montgomery Street, Suite 2000</w:t>
      </w:r>
    </w:p>
    <w:p>
      <w:pPr>
        <w:ind w:left="2180"/>
        <w:spacing w:after="0" w:line="232" w:lineRule="auto"/>
        <w:rPr>
          <w:sz w:val="20"/>
          <w:szCs w:val="20"/>
          <w:color w:val="auto"/>
        </w:rPr>
      </w:pPr>
      <w:r>
        <w:rPr>
          <w:rFonts w:ascii="Times New Roman" w:cs="Times New Roman" w:eastAsia="Times New Roman" w:hAnsi="Times New Roman"/>
          <w:sz w:val="17"/>
          <w:szCs w:val="17"/>
          <w:color w:val="auto"/>
        </w:rPr>
        <w:t>San Francisco, CA 94111</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Attn: Haim Zaltzman</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Facsimile: 415-395-8095</w:t>
      </w:r>
    </w:p>
    <w:p>
      <w:pPr>
        <w:ind w:left="2180"/>
        <w:spacing w:after="0"/>
        <w:rPr>
          <w:sz w:val="20"/>
          <w:szCs w:val="20"/>
          <w:color w:val="auto"/>
        </w:rPr>
      </w:pPr>
      <w:r>
        <w:rPr>
          <w:rFonts w:ascii="Times New Roman" w:cs="Times New Roman" w:eastAsia="Times New Roman" w:hAnsi="Times New Roman"/>
          <w:sz w:val="17"/>
          <w:szCs w:val="17"/>
          <w:color w:val="auto"/>
        </w:rPr>
        <w:t>Telephone: 415-395-8870</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19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Attention: Chief Financial Officer</w:t>
      </w:r>
    </w:p>
    <w:p>
      <w:pPr>
        <w:ind w:left="2180"/>
        <w:spacing w:after="0"/>
        <w:rPr>
          <w:sz w:val="20"/>
          <w:szCs w:val="20"/>
          <w:color w:val="auto"/>
        </w:rPr>
      </w:pPr>
      <w:r>
        <w:rPr>
          <w:rFonts w:ascii="Times New Roman" w:cs="Times New Roman" w:eastAsia="Times New Roman" w:hAnsi="Times New Roman"/>
          <w:sz w:val="17"/>
          <w:szCs w:val="17"/>
          <w:color w:val="auto"/>
        </w:rPr>
        <w:t>22 Cortlandt Street, 16</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Floor</w:t>
      </w:r>
    </w:p>
    <w:p>
      <w:pPr>
        <w:spacing w:after="0" w:line="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With a copy to (which shall not constitute notice)</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DLA PIPER LLP (US)</w:t>
      </w:r>
    </w:p>
    <w:p>
      <w:pPr>
        <w:spacing w:after="0" w:line="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51 John F. Kennedy Pkwy, Suite 120</w:t>
      </w:r>
    </w:p>
    <w:p>
      <w:pPr>
        <w:ind w:left="2180"/>
        <w:spacing w:after="0"/>
        <w:rPr>
          <w:sz w:val="20"/>
          <w:szCs w:val="20"/>
          <w:color w:val="auto"/>
        </w:rPr>
      </w:pPr>
      <w:r>
        <w:rPr>
          <w:rFonts w:ascii="Times New Roman" w:cs="Times New Roman" w:eastAsia="Times New Roman" w:hAnsi="Times New Roman"/>
          <w:sz w:val="17"/>
          <w:szCs w:val="17"/>
          <w:color w:val="auto"/>
        </w:rPr>
        <w:t>Short Hills, NJ 07078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977265</wp:posOffset>
            </wp:positionV>
            <wp:extent cx="716661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400" w:top="321" w:right="339" w:bottom="1440" w:gutter="0" w:footer="0" w:header="0"/>
        </w:sectPr>
      </w:pPr>
    </w:p>
    <w:bookmarkStart w:id="215" w:name="page216"/>
    <w:bookmarkEnd w:id="215"/>
    <w:p>
      <w:pPr>
        <w:ind w:left="1509"/>
        <w:spacing w:after="0"/>
        <w:rPr>
          <w:sz w:val="20"/>
          <w:szCs w:val="20"/>
          <w:color w:val="auto"/>
        </w:rPr>
      </w:pPr>
      <w:r>
        <w:rPr>
          <w:rFonts w:ascii="Times New Roman" w:cs="Times New Roman" w:eastAsia="Times New Roman" w:hAnsi="Times New Roman"/>
          <w:sz w:val="17"/>
          <w:szCs w:val="17"/>
          <w:color w:val="auto"/>
        </w:rPr>
        <w:t>Attn: Emilio Ragosa, Esq.</w:t>
      </w:r>
    </w:p>
    <w:p>
      <w:pPr>
        <w:spacing w:after="0" w:line="6" w:lineRule="exact"/>
        <w:rPr>
          <w:sz w:val="20"/>
          <w:szCs w:val="20"/>
          <w:color w:val="auto"/>
        </w:rPr>
      </w:pPr>
    </w:p>
    <w:p>
      <w:pPr>
        <w:ind w:left="1509"/>
        <w:spacing w:after="0"/>
        <w:rPr>
          <w:sz w:val="20"/>
          <w:szCs w:val="20"/>
          <w:color w:val="auto"/>
        </w:rPr>
      </w:pPr>
      <w:r>
        <w:rPr>
          <w:rFonts w:ascii="Times New Roman" w:cs="Times New Roman" w:eastAsia="Times New Roman" w:hAnsi="Times New Roman"/>
          <w:sz w:val="17"/>
          <w:szCs w:val="17"/>
          <w:color w:val="auto"/>
        </w:rPr>
        <w:t>Facsimile: 973-215-2804</w:t>
      </w:r>
    </w:p>
    <w:p>
      <w:pPr>
        <w:ind w:left="1509"/>
        <w:spacing w:after="0"/>
        <w:rPr>
          <w:sz w:val="20"/>
          <w:szCs w:val="20"/>
          <w:color w:val="auto"/>
        </w:rPr>
      </w:pPr>
      <w:r>
        <w:rPr>
          <w:rFonts w:ascii="Times New Roman" w:cs="Times New Roman" w:eastAsia="Times New Roman" w:hAnsi="Times New Roman"/>
          <w:sz w:val="17"/>
          <w:szCs w:val="17"/>
          <w:color w:val="auto"/>
        </w:rPr>
        <w:t>Telephone: 973-307-3004</w:t>
      </w:r>
    </w:p>
    <w:p>
      <w:pPr>
        <w:spacing w:after="0" w:line="1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or to such other address as each party may designate for itself by like notice.</w:t>
      </w:r>
    </w:p>
    <w:p>
      <w:pPr>
        <w:spacing w:after="0" w:line="199" w:lineRule="exact"/>
        <w:rPr>
          <w:sz w:val="20"/>
          <w:szCs w:val="20"/>
          <w:color w:val="auto"/>
        </w:rPr>
      </w:pPr>
    </w:p>
    <w:p>
      <w:pPr>
        <w:ind w:left="-751" w:right="500" w:firstLine="751"/>
        <w:spacing w:after="0" w:line="277" w:lineRule="auto"/>
        <w:tabs>
          <w:tab w:leader="none" w:pos="744" w:val="left"/>
        </w:tabs>
        <w:numPr>
          <w:ilvl w:val="0"/>
          <w:numId w:val="17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Entire Agreement; Amendments</w:t>
      </w:r>
      <w:r>
        <w:rPr>
          <w:rFonts w:ascii="Times New Roman" w:cs="Times New Roman" w:eastAsia="Times New Roman" w:hAnsi="Times New Roman"/>
          <w:sz w:val="17"/>
          <w:szCs w:val="17"/>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(including the Warrantholder’s proposal letter dated September 2, 2020). None of the terms of this Agreement may be amended except by an instrument executed by each of the parties hereto.</w:t>
      </w:r>
    </w:p>
    <w:p>
      <w:pPr>
        <w:spacing w:after="0" w:line="45" w:lineRule="exact"/>
        <w:rPr>
          <w:rFonts w:ascii="Times New Roman" w:cs="Times New Roman" w:eastAsia="Times New Roman" w:hAnsi="Times New Roman"/>
          <w:sz w:val="17"/>
          <w:szCs w:val="17"/>
          <w:u w:val="single" w:color="auto"/>
          <w:color w:val="auto"/>
        </w:rPr>
      </w:pPr>
    </w:p>
    <w:p>
      <w:pPr>
        <w:ind w:left="-751" w:right="860" w:firstLine="751"/>
        <w:spacing w:after="0" w:line="260" w:lineRule="auto"/>
        <w:tabs>
          <w:tab w:leader="none" w:pos="724"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various headings in this Agreement are inserted for convenience only and shall not affect the meaning or interpretation of this Agreement or any provisions hereof.</w:t>
      </w:r>
    </w:p>
    <w:p>
      <w:pPr>
        <w:spacing w:after="0" w:line="57" w:lineRule="exact"/>
        <w:rPr>
          <w:rFonts w:ascii="Times New Roman" w:cs="Times New Roman" w:eastAsia="Times New Roman" w:hAnsi="Times New Roman"/>
          <w:sz w:val="19"/>
          <w:szCs w:val="19"/>
          <w:u w:val="single" w:color="auto"/>
          <w:color w:val="auto"/>
        </w:rPr>
      </w:pPr>
    </w:p>
    <w:p>
      <w:pPr>
        <w:ind w:left="-751" w:right="740" w:firstLine="751"/>
        <w:spacing w:after="0" w:line="260" w:lineRule="auto"/>
        <w:tabs>
          <w:tab w:leader="none" w:pos="704"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Advice of Counsel</w:t>
      </w:r>
      <w:r>
        <w:rPr>
          <w:rFonts w:ascii="Times New Roman" w:cs="Times New Roman" w:eastAsia="Times New Roman" w:hAnsi="Times New Roman"/>
          <w:sz w:val="19"/>
          <w:szCs w:val="19"/>
          <w:color w:val="auto"/>
        </w:rPr>
        <w:t>. Each of the parties represents to each other party hereto that it has discussed (or had an opportunity to discuss) with its counsel this Agreement and, specifically, the provisions of Sections 12(n), 12(o), 12(p), 12(q) and 12(r).</w:t>
      </w:r>
    </w:p>
    <w:p>
      <w:pPr>
        <w:spacing w:after="0" w:line="57" w:lineRule="exact"/>
        <w:rPr>
          <w:rFonts w:ascii="Times New Roman" w:cs="Times New Roman" w:eastAsia="Times New Roman" w:hAnsi="Times New Roman"/>
          <w:sz w:val="19"/>
          <w:szCs w:val="19"/>
          <w:u w:val="single" w:color="auto"/>
          <w:color w:val="auto"/>
        </w:rPr>
      </w:pPr>
    </w:p>
    <w:p>
      <w:pPr>
        <w:ind w:left="-751" w:right="140" w:firstLine="751"/>
        <w:spacing w:after="0" w:line="241" w:lineRule="auto"/>
        <w:tabs>
          <w:tab w:leader="none" w:pos="739"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 Strict Construction</w:t>
      </w:r>
      <w:r>
        <w:rPr>
          <w:rFonts w:ascii="Times New Roman" w:cs="Times New Roman" w:eastAsia="Times New Roman" w:hAnsi="Times New Roman"/>
          <w:sz w:val="19"/>
          <w:szCs w:val="19"/>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74" w:lineRule="exact"/>
        <w:rPr>
          <w:rFonts w:ascii="Times New Roman" w:cs="Times New Roman" w:eastAsia="Times New Roman" w:hAnsi="Times New Roman"/>
          <w:sz w:val="19"/>
          <w:szCs w:val="19"/>
          <w:u w:val="single" w:color="auto"/>
          <w:color w:val="auto"/>
        </w:rPr>
      </w:pPr>
    </w:p>
    <w:p>
      <w:pPr>
        <w:ind w:left="-751" w:right="340" w:firstLine="751"/>
        <w:spacing w:after="0" w:line="244" w:lineRule="auto"/>
        <w:tabs>
          <w:tab w:leader="none" w:pos="729"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omission or delay by Warrantholder at any time to enforce any right or remedy reserved to it, or to require performance of any of the terms, covenants or provisions hereof by Warrantholder at any time designated, shall be a waiver of any such right or remedy to which Warrantholder is entitled, nor shall it in any way affect the right of Warrantholder to enforce such provisions thereafter during the term of this Agreement.</w:t>
      </w:r>
    </w:p>
    <w:p>
      <w:pPr>
        <w:spacing w:after="0" w:line="71" w:lineRule="exact"/>
        <w:rPr>
          <w:rFonts w:ascii="Times New Roman" w:cs="Times New Roman" w:eastAsia="Times New Roman" w:hAnsi="Times New Roman"/>
          <w:sz w:val="19"/>
          <w:szCs w:val="19"/>
          <w:u w:val="single" w:color="auto"/>
          <w:color w:val="auto"/>
        </w:rPr>
      </w:pPr>
    </w:p>
    <w:p>
      <w:pPr>
        <w:ind w:left="-751" w:right="500" w:firstLine="751"/>
        <w:spacing w:after="0" w:line="241" w:lineRule="auto"/>
        <w:tabs>
          <w:tab w:leader="none" w:pos="734"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All agreements, representations and warranties contained in this Agreement or in any document delivered pursuant hereto shall be for the benefit of Warrantholder and shall survive the execution and delivery of this Agreement and the expiration or other termination of this Agreement.</w:t>
      </w:r>
    </w:p>
    <w:p>
      <w:pPr>
        <w:spacing w:after="0" w:line="74" w:lineRule="exact"/>
        <w:rPr>
          <w:rFonts w:ascii="Times New Roman" w:cs="Times New Roman" w:eastAsia="Times New Roman" w:hAnsi="Times New Roman"/>
          <w:sz w:val="19"/>
          <w:szCs w:val="19"/>
          <w:u w:val="single" w:color="auto"/>
          <w:color w:val="auto"/>
        </w:rPr>
      </w:pPr>
    </w:p>
    <w:p>
      <w:pPr>
        <w:ind w:left="-751" w:firstLine="751"/>
        <w:spacing w:after="0" w:line="244" w:lineRule="auto"/>
        <w:tabs>
          <w:tab w:leader="none" w:pos="749"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has been negotiated and delivered to Warrantholder in the State of California, and shall be deemed to have been accepted by Warrantholder in the State of California. Delivery of Common Stock to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71" w:lineRule="exact"/>
        <w:rPr>
          <w:rFonts w:ascii="Times New Roman" w:cs="Times New Roman" w:eastAsia="Times New Roman" w:hAnsi="Times New Roman"/>
          <w:sz w:val="19"/>
          <w:szCs w:val="19"/>
          <w:u w:val="single" w:color="auto"/>
          <w:color w:val="auto"/>
        </w:rPr>
      </w:pPr>
    </w:p>
    <w:p>
      <w:pPr>
        <w:ind w:left="-751" w:right="80" w:firstLine="751"/>
        <w:spacing w:after="0" w:line="270" w:lineRule="auto"/>
        <w:tabs>
          <w:tab w:leader="none" w:pos="749" w:val="left"/>
        </w:tabs>
        <w:numPr>
          <w:ilvl w:val="0"/>
          <w:numId w:val="17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Consent to Jurisdiction and Venue</w:t>
      </w:r>
      <w:r>
        <w:rPr>
          <w:rFonts w:ascii="Times New Roman" w:cs="Times New Roman" w:eastAsia="Times New Roman" w:hAnsi="Times New Roman"/>
          <w:sz w:val="17"/>
          <w:szCs w:val="17"/>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763905</wp:posOffset>
            </wp:positionV>
            <wp:extent cx="7166610"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469"/>
          </w:cols>
          <w:pgMar w:left="1071" w:top="326" w:right="3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9"/>
          <w:szCs w:val="19"/>
          <w:color w:val="auto"/>
        </w:rPr>
        <w:t>in any other manner permitted by law or shall limit the right of either party to bring proceedings in the courts of any other jurisdiction.</w:t>
      </w:r>
    </w:p>
    <w:p>
      <w:pPr>
        <w:spacing w:after="0" w:line="72" w:lineRule="exact"/>
        <w:rPr>
          <w:sz w:val="20"/>
          <w:szCs w:val="20"/>
          <w:color w:val="auto"/>
        </w:rPr>
      </w:pPr>
    </w:p>
    <w:p>
      <w:pPr>
        <w:jc w:val="both"/>
        <w:ind w:right="260" w:firstLine="751"/>
        <w:spacing w:after="0" w:line="271" w:lineRule="auto"/>
        <w:tabs>
          <w:tab w:leader="none" w:pos="1494" w:val="left"/>
        </w:tabs>
        <w:numPr>
          <w:ilvl w:val="0"/>
          <w:numId w:val="17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Mutual Waiver of Jury Trial</w:t>
      </w:r>
      <w:r>
        <w:rPr>
          <w:rFonts w:ascii="Times New Roman" w:cs="Times New Roman" w:eastAsia="Times New Roman" w:hAnsi="Times New Roman"/>
          <w:sz w:val="17"/>
          <w:szCs w:val="17"/>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w:t>
      </w:r>
    </w:p>
    <w:p>
      <w:pPr>
        <w:spacing w:after="0" w:line="2" w:lineRule="exact"/>
        <w:rPr>
          <w:rFonts w:ascii="Times New Roman" w:cs="Times New Roman" w:eastAsia="Times New Roman" w:hAnsi="Times New Roman"/>
          <w:sz w:val="17"/>
          <w:szCs w:val="17"/>
          <w:u w:val="single" w:color="auto"/>
          <w:color w:val="auto"/>
        </w:rPr>
      </w:pPr>
    </w:p>
    <w:p>
      <w:pPr>
        <w:ind w:right="20"/>
        <w:spacing w:after="0" w:line="236" w:lineRule="auto"/>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9"/>
          <w:szCs w:val="19"/>
          <w:color w:val="auto"/>
        </w:rPr>
        <w:t>EACH OF THE COMPANY AND WARRANTHOLDER SPECIFICALLY WAIVES ANY RIGHT IT MAY HAVE TO TRIAL BY JURY OF ANY CAUSE OF ACTION, CLAIM, CROSS-CLAIM, COUNTERCLAIM, THIRD PARTY CLAIM OR ANY OTHER CLAIM (COLLECTIVELY, “CLAIMS”) ASSERTED BY THE COMPANY AGAINST WARRANTHOLDER OR ITS ASSIGNEE OR BY WARRANTHOLDER OR ITS ASSIGNEE AGAINST THE COMPANY RELATING TO THIS WARRANT. This waiver extends to all such Claims, including Claims that involve persons or entities other the Company and Warrantholder; Claims that arise out of or are in any way connected to the relationship between the Company and Warrantholder; and any Claims for damages, breach of contract, specific performance, or any equitable or legal relief of any kind, arising out of this Agreement.</w:t>
      </w:r>
    </w:p>
    <w:p>
      <w:pPr>
        <w:spacing w:after="0" w:line="68" w:lineRule="exact"/>
        <w:rPr>
          <w:rFonts w:ascii="Times New Roman" w:cs="Times New Roman" w:eastAsia="Times New Roman" w:hAnsi="Times New Roman"/>
          <w:sz w:val="17"/>
          <w:szCs w:val="17"/>
          <w:u w:val="single" w:color="auto"/>
          <w:color w:val="auto"/>
        </w:rPr>
      </w:pPr>
    </w:p>
    <w:p>
      <w:pPr>
        <w:ind w:firstLine="751"/>
        <w:spacing w:after="0" w:line="260" w:lineRule="auto"/>
        <w:tabs>
          <w:tab w:leader="none" w:pos="1494"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Judicial Reference</w:t>
      </w:r>
      <w:r>
        <w:rPr>
          <w:rFonts w:ascii="Times New Roman" w:cs="Times New Roman" w:eastAsia="Times New Roman" w:hAnsi="Times New Roman"/>
          <w:sz w:val="19"/>
          <w:szCs w:val="19"/>
          <w:color w:val="auto"/>
        </w:rPr>
        <w:t>. If the waiver of jury trial set forth above is ineffective or unenforceable, the parties agree that all Claims shall be resolved by reference to a private judge sitting without a jury before a mutually acceptable referee.</w:t>
      </w:r>
    </w:p>
    <w:p>
      <w:pPr>
        <w:spacing w:after="0" w:line="57" w:lineRule="exact"/>
        <w:rPr>
          <w:rFonts w:ascii="Times New Roman" w:cs="Times New Roman" w:eastAsia="Times New Roman" w:hAnsi="Times New Roman"/>
          <w:sz w:val="19"/>
          <w:szCs w:val="19"/>
          <w:u w:val="single" w:color="auto"/>
          <w:color w:val="auto"/>
        </w:rPr>
      </w:pPr>
    </w:p>
    <w:p>
      <w:pPr>
        <w:ind w:right="160" w:firstLine="751"/>
        <w:spacing w:after="0" w:line="248" w:lineRule="auto"/>
        <w:tabs>
          <w:tab w:leader="none" w:pos="1494"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Pre-arbitration Relief</w:t>
      </w:r>
      <w:r>
        <w:rPr>
          <w:rFonts w:ascii="Times New Roman" w:cs="Times New Roman" w:eastAsia="Times New Roman" w:hAnsi="Times New Roman"/>
          <w:sz w:val="19"/>
          <w:szCs w:val="19"/>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judicial reference.</w:t>
      </w:r>
    </w:p>
    <w:p>
      <w:pPr>
        <w:spacing w:after="0" w:line="68" w:lineRule="exact"/>
        <w:rPr>
          <w:rFonts w:ascii="Times New Roman" w:cs="Times New Roman" w:eastAsia="Times New Roman" w:hAnsi="Times New Roman"/>
          <w:sz w:val="19"/>
          <w:szCs w:val="19"/>
          <w:u w:val="single" w:color="auto"/>
          <w:color w:val="auto"/>
        </w:rPr>
      </w:pPr>
    </w:p>
    <w:p>
      <w:pPr>
        <w:ind w:right="40" w:firstLine="751"/>
        <w:spacing w:after="0" w:line="241" w:lineRule="auto"/>
        <w:tabs>
          <w:tab w:leader="none" w:pos="1494"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74" w:lineRule="exact"/>
        <w:rPr>
          <w:rFonts w:ascii="Times New Roman" w:cs="Times New Roman" w:eastAsia="Times New Roman" w:hAnsi="Times New Roman"/>
          <w:sz w:val="19"/>
          <w:szCs w:val="19"/>
          <w:u w:val="single" w:color="auto"/>
          <w:color w:val="auto"/>
        </w:rPr>
      </w:pPr>
    </w:p>
    <w:p>
      <w:pPr>
        <w:ind w:firstLine="751"/>
        <w:spacing w:after="0" w:line="277" w:lineRule="auto"/>
        <w:tabs>
          <w:tab w:leader="none" w:pos="1494" w:val="left"/>
        </w:tabs>
        <w:numPr>
          <w:ilvl w:val="0"/>
          <w:numId w:val="17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hereto hereby declare that it is impossible to measure in money the damages which will accrue to Warrantholder by reason of the Company’s failure to perform any of the obligations under this Agreement and agree that the terms of this Agreement shall be specifically enforceable by Warrantholder. If Warrantholder institutes any action or proceeding to specifically enforce the provisions hereof, any person against whom such action or proceeding is brought hereby waives the claim or defense therein that Warrantholder has an adequate remedy at law, and such person shall not offer in any such action or proceeding the claim or defense that such remedy at law exists.</w:t>
      </w:r>
    </w:p>
    <w:p>
      <w:pPr>
        <w:spacing w:after="0" w:line="34" w:lineRule="exact"/>
        <w:rPr>
          <w:rFonts w:ascii="Times New Roman" w:cs="Times New Roman" w:eastAsia="Times New Roman" w:hAnsi="Times New Roman"/>
          <w:sz w:val="17"/>
          <w:szCs w:val="17"/>
          <w:u w:val="single" w:color="auto"/>
          <w:color w:val="auto"/>
        </w:rPr>
      </w:pPr>
    </w:p>
    <w:p>
      <w:pPr>
        <w:ind w:right="80" w:firstLine="751"/>
        <w:spacing w:after="0" w:line="242" w:lineRule="auto"/>
        <w:tabs>
          <w:tab w:leader="none" w:pos="1484"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Lost, Stolen, Mutilated or Destroyed Warrant</w:t>
      </w:r>
      <w:r>
        <w:rPr>
          <w:rFonts w:ascii="Times New Roman" w:cs="Times New Roman" w:eastAsia="Times New Roman" w:hAnsi="Times New Roman"/>
          <w:sz w:val="19"/>
          <w:szCs w:val="19"/>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61" w:lineRule="exact"/>
        <w:rPr>
          <w:rFonts w:ascii="Times New Roman" w:cs="Times New Roman" w:eastAsia="Times New Roman" w:hAnsi="Times New Roman"/>
          <w:sz w:val="19"/>
          <w:szCs w:val="19"/>
          <w:u w:val="single" w:color="auto"/>
          <w:color w:val="auto"/>
        </w:rPr>
      </w:pPr>
    </w:p>
    <w:p>
      <w:pPr>
        <w:ind w:right="240" w:firstLine="751"/>
        <w:spacing w:after="0" w:line="248" w:lineRule="auto"/>
        <w:tabs>
          <w:tab w:leader="none" w:pos="1494"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Legends</w:t>
      </w:r>
      <w:r>
        <w:rPr>
          <w:rFonts w:ascii="Times New Roman" w:cs="Times New Roman" w:eastAsia="Times New Roman" w:hAnsi="Times New Roman"/>
          <w:sz w:val="19"/>
          <w:szCs w:val="19"/>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82" w:lineRule="exact"/>
        <w:rPr>
          <w:sz w:val="20"/>
          <w:szCs w:val="20"/>
          <w:color w:val="auto"/>
        </w:rPr>
      </w:pPr>
    </w:p>
    <w:p>
      <w:pPr>
        <w:ind w:left="760" w:right="340"/>
        <w:spacing w:after="0" w:line="260" w:lineRule="auto"/>
        <w:rPr>
          <w:sz w:val="20"/>
          <w:szCs w:val="20"/>
          <w:color w:val="auto"/>
        </w:rPr>
      </w:pPr>
      <w:r>
        <w:rPr>
          <w:rFonts w:ascii="Times New Roman" w:cs="Times New Roman" w:eastAsia="Times New Roman" w:hAnsi="Times New Roman"/>
          <w:sz w:val="19"/>
          <w:szCs w:val="19"/>
          <w:color w:val="auto"/>
        </w:rPr>
        <w:t>THIS SECURITY HAS NOT BEEN REGISTERED UNDER THE SECURITIES ACT OF 1933, AS AMENDED (THE “ACT”), OR ANY APPLICABLE STATE SECURITIES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839470</wp:posOffset>
            </wp:positionV>
            <wp:extent cx="7166610"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80"/>
          </w:cols>
          <w:pgMar w:left="320" w:top="321" w:right="499" w:bottom="1440" w:gutter="0" w:footer="0" w:header="0"/>
        </w:sectPr>
      </w:pPr>
    </w:p>
    <w:bookmarkStart w:id="217" w:name="page218"/>
    <w:bookmarkEnd w:id="217"/>
    <w:p>
      <w:pPr>
        <w:spacing w:after="0" w:line="241" w:lineRule="auto"/>
        <w:rPr>
          <w:sz w:val="20"/>
          <w:szCs w:val="20"/>
          <w:color w:val="auto"/>
        </w:rPr>
      </w:pPr>
      <w:r>
        <w:rPr>
          <w:rFonts w:ascii="Times New Roman" w:cs="Times New Roman" w:eastAsia="Times New Roman" w:hAnsi="Times New Roman"/>
          <w:sz w:val="19"/>
          <w:szCs w:val="19"/>
          <w:color w:val="auto"/>
        </w:rPr>
        <w:t>MAY NOT BE SOLD, PLEDGED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1089660</wp:posOffset>
            </wp:positionV>
            <wp:extent cx="716661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960"/>
          </w:cols>
          <w:pgMar w:left="320" w:top="321" w:right="619" w:bottom="1440" w:gutter="0" w:footer="0" w:header="0"/>
        </w:sectPr>
      </w:pPr>
    </w:p>
    <w:bookmarkStart w:id="218" w:name="page219"/>
    <w:bookmarkEnd w:id="218"/>
    <w:p>
      <w:pPr>
        <w:ind w:firstLine="750"/>
        <w:spacing w:after="0" w:line="260" w:lineRule="auto"/>
        <w:rPr>
          <w:sz w:val="20"/>
          <w:szCs w:val="20"/>
          <w:color w:val="auto"/>
        </w:rPr>
      </w:pPr>
      <w:r>
        <w:rPr>
          <w:rFonts w:ascii="Times New Roman" w:cs="Times New Roman" w:eastAsia="Times New Roman" w:hAnsi="Times New Roman"/>
          <w:sz w:val="19"/>
          <w:szCs w:val="19"/>
          <w:color w:val="auto"/>
        </w:rPr>
        <w:t>IN WITNESS WHEREOF, the parties hereto have caused this Warrant Agreement to be executed by its officers thereunto duly authorized as of the Effective Date.</w:t>
      </w:r>
    </w:p>
    <w:p>
      <w:pPr>
        <w:spacing w:after="0" w:line="3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COMPANY:</w:t>
      </w:r>
    </w:p>
    <w:p>
      <w:pPr>
        <w:spacing w:after="0" w:line="21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9"/>
          <w:szCs w:val="19"/>
          <w:color w:val="auto"/>
        </w:rPr>
        <w:t>AXSOME THERAPEUTICS, INC.</w:t>
      </w: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By:</w:t>
      </w:r>
    </w:p>
    <w:p>
      <w:pPr>
        <w:ind w:left="4420"/>
        <w:spacing w:after="0" w:line="222" w:lineRule="auto"/>
        <w:rPr>
          <w:sz w:val="20"/>
          <w:szCs w:val="20"/>
          <w:color w:val="auto"/>
        </w:rPr>
      </w:pPr>
      <w:r>
        <w:rPr>
          <w:rFonts w:ascii="Times New Roman" w:cs="Times New Roman" w:eastAsia="Times New Roman" w:hAnsi="Times New Roman"/>
          <w:sz w:val="19"/>
          <w:szCs w:val="19"/>
          <w:color w:val="auto"/>
        </w:rPr>
        <w:t>Name:</w:t>
      </w:r>
    </w:p>
    <w:p>
      <w:pPr>
        <w:ind w:left="4420"/>
        <w:spacing w:after="0"/>
        <w:rPr>
          <w:sz w:val="20"/>
          <w:szCs w:val="20"/>
          <w:color w:val="auto"/>
        </w:rPr>
      </w:pPr>
      <w:r>
        <w:rPr>
          <w:rFonts w:ascii="Times New Roman" w:cs="Times New Roman" w:eastAsia="Times New Roman" w:hAnsi="Times New Roman"/>
          <w:sz w:val="19"/>
          <w:szCs w:val="19"/>
          <w:color w:val="auto"/>
        </w:rPr>
        <w:t>Title:</w:t>
      </w:r>
    </w:p>
    <w:p>
      <w:pPr>
        <w:spacing w:after="0" w:line="1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WARRANTHOLDER:</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By:</w:t>
      </w:r>
    </w:p>
    <w:p>
      <w:pPr>
        <w:spacing w:after="0" w:line="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Name:</w:t>
      </w:r>
    </w:p>
    <w:p>
      <w:pPr>
        <w:ind w:left="44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1068705</wp:posOffset>
            </wp:positionV>
            <wp:extent cx="7166610"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9" w:name="page220"/>
    <w:bookmarkEnd w:id="219"/>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1.1</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060" w:type="dxa"/>
            <w:vAlign w:val="bottom"/>
            <w:tcBorders>
              <w:top w:val="single" w:sz="8" w:color="auto"/>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5"/>
              </w:rPr>
              <w:t>LENDERS</w:t>
            </w:r>
          </w:p>
        </w:tc>
        <w:tc>
          <w:tcPr>
            <w:tcW w:w="10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9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7"/>
              </w:rPr>
              <w:t>TRANCH</w:t>
            </w:r>
          </w:p>
        </w:tc>
        <w:tc>
          <w:tcPr>
            <w:tcW w:w="1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8"/>
              </w:rPr>
              <w:t>TERM</w:t>
            </w: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5"/>
              </w:rPr>
              <w:t>E 1A</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E 1B</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5"/>
              </w:rPr>
              <w:t>E 2A</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E 2B</w:t>
            </w: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E 2C</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5"/>
              </w:rPr>
              <w:t>E 3A</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E 3B</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E 4</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E 5 TERM</w:t>
            </w:r>
          </w:p>
        </w:tc>
        <w:tc>
          <w:tcPr>
            <w:tcW w:w="104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r>
      <w:tr>
        <w:trPr>
          <w:trHeight w:val="202"/>
        </w:trPr>
        <w:tc>
          <w:tcPr>
            <w:tcW w:w="1060" w:type="dxa"/>
            <w:vAlign w:val="bottom"/>
            <w:tcBorders>
              <w:left w:val="single" w:sz="8" w:color="auto"/>
              <w:right w:val="single" w:sz="8" w:color="auto"/>
            </w:tcBorders>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4"/>
              </w:rPr>
              <w:t>TERM</w:t>
            </w:r>
          </w:p>
        </w:tc>
        <w:tc>
          <w:tcPr>
            <w:tcW w:w="100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4"/>
              </w:rPr>
              <w:t>TERM</w:t>
            </w:r>
          </w:p>
        </w:tc>
        <w:tc>
          <w:tcPr>
            <w:tcW w:w="100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4"/>
              </w:rPr>
              <w:t>TERM</w:t>
            </w: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8"/>
              </w:rPr>
              <w:t>TERM</w:t>
            </w:r>
          </w:p>
        </w:tc>
        <w:tc>
          <w:tcPr>
            <w:tcW w:w="108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8"/>
              </w:rPr>
              <w:t>TERM</w:t>
            </w: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8"/>
              </w:rPr>
              <w:t>TERM</w:t>
            </w: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4"/>
              </w:rPr>
              <w:t>TERM</w:t>
            </w:r>
          </w:p>
        </w:tc>
        <w:tc>
          <w:tcPr>
            <w:tcW w:w="98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4"/>
              </w:rPr>
              <w:t>TERM</w:t>
            </w:r>
          </w:p>
        </w:tc>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7"/>
              </w:rPr>
              <w:t>COMMIT</w:t>
            </w:r>
          </w:p>
        </w:tc>
        <w:tc>
          <w:tcPr>
            <w:tcW w:w="104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7"/>
              </w:rPr>
              <w:t>MENT*</w:t>
            </w:r>
          </w:p>
        </w:tc>
      </w:tr>
      <w:tr>
        <w:trPr>
          <w:trHeight w:val="190"/>
        </w:trPr>
        <w:tc>
          <w:tcPr>
            <w:tcW w:w="1060" w:type="dxa"/>
            <w:vAlign w:val="bottom"/>
            <w:tcBorders>
              <w:left w:val="single" w:sz="8" w:color="auto"/>
              <w:right w:val="single" w:sz="8" w:color="auto"/>
            </w:tcBorders>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MENT*</w:t>
            </w:r>
          </w:p>
        </w:tc>
        <w:tc>
          <w:tcPr>
            <w:tcW w:w="1040" w:type="dxa"/>
            <w:vAlign w:val="bottom"/>
          </w:tcPr>
          <w:p>
            <w:pPr>
              <w:spacing w:after="0"/>
              <w:rPr>
                <w:sz w:val="16"/>
                <w:szCs w:val="16"/>
                <w:color w:val="auto"/>
              </w:rPr>
            </w:pPr>
          </w:p>
        </w:tc>
      </w:tr>
      <w:tr>
        <w:trPr>
          <w:trHeight w:val="241"/>
        </w:trPr>
        <w:tc>
          <w:tcPr>
            <w:tcW w:w="1060" w:type="dxa"/>
            <w:vAlign w:val="bottom"/>
            <w:tcBorders>
              <w:left w:val="single" w:sz="8" w:color="auto"/>
              <w:right w:val="single" w:sz="8" w:color="auto"/>
            </w:tcBorders>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MENT*</w:t>
            </w: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MENT</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3"/>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38"/>
        </w:trPr>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Hercules</w:t>
            </w: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$50,000,0</w:t>
            </w: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$31,725,0</w:t>
            </w: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$24,675,0</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$24,675,0</w:t>
            </w:r>
          </w:p>
        </w:tc>
        <w:tc>
          <w:tcPr>
            <w:tcW w:w="108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$30,000,00</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$10,575,0</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$5,000,000</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$50,000,0</w:t>
            </w: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$35,000,00</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5"/>
                <w:szCs w:val="15"/>
                <w:color w:val="auto"/>
              </w:rPr>
              <w:t>$261,650,0</w:t>
            </w: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Capital,</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980" w:type="dxa"/>
            <w:vAlign w:val="bottom"/>
          </w:tcPr>
          <w:p>
            <w:pPr>
              <w:jc w:val="right"/>
              <w:ind w:right="329"/>
              <w:spacing w:after="0" w:line="190" w:lineRule="exact"/>
              <w:rPr>
                <w:sz w:val="20"/>
                <w:szCs w:val="20"/>
                <w:color w:val="auto"/>
              </w:rPr>
            </w:pPr>
            <w:r>
              <w:rPr>
                <w:rFonts w:ascii="Times New Roman" w:cs="Times New Roman" w:eastAsia="Times New Roman" w:hAnsi="Times New Roman"/>
                <w:sz w:val="19"/>
                <w:szCs w:val="19"/>
                <w:color w:val="auto"/>
              </w:rPr>
              <w:t>00</w:t>
            </w: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right"/>
              <w:ind w:right="329"/>
              <w:spacing w:after="0" w:line="190" w:lineRule="exact"/>
              <w:rPr>
                <w:sz w:val="20"/>
                <w:szCs w:val="20"/>
                <w:color w:val="auto"/>
              </w:rPr>
            </w:pPr>
            <w:r>
              <w:rPr>
                <w:rFonts w:ascii="Times New Roman" w:cs="Times New Roman" w:eastAsia="Times New Roman" w:hAnsi="Times New Roman"/>
                <w:sz w:val="19"/>
                <w:szCs w:val="19"/>
                <w:color w:val="auto"/>
              </w:rPr>
              <w:t>00</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1"/>
              </w:rPr>
              <w:t>00*</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w:t>
            </w:r>
          </w:p>
        </w:tc>
        <w:tc>
          <w:tcPr>
            <w:tcW w:w="104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r>
      <w:tr>
        <w:trPr>
          <w:trHeight w:val="241"/>
        </w:trPr>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Inc.</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9"/>
        </w:trPr>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4"/>
        </w:trPr>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Hercules</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$7,650,00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$5,950,00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$5,950,00</w:t>
            </w: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$2,550,00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8"/>
              </w:rPr>
              <w:t>$22,100,00</w:t>
            </w: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Private</w:t>
            </w:r>
          </w:p>
        </w:tc>
        <w:tc>
          <w:tcPr>
            <w:tcW w:w="1000" w:type="dxa"/>
            <w:vAlign w:val="bottom"/>
          </w:tcPr>
          <w:p>
            <w:pPr>
              <w:spacing w:after="0"/>
              <w:rPr>
                <w:sz w:val="16"/>
                <w:szCs w:val="16"/>
                <w:color w:val="auto"/>
              </w:rPr>
            </w:pPr>
          </w:p>
        </w:tc>
        <w:tc>
          <w:tcPr>
            <w:tcW w:w="1000" w:type="dxa"/>
            <w:vAlign w:val="bottom"/>
          </w:tcPr>
          <w:p>
            <w:pPr>
              <w:jc w:val="right"/>
              <w:ind w:right="409"/>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right"/>
              <w:ind w:right="369"/>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80" w:type="dxa"/>
            <w:vAlign w:val="bottom"/>
          </w:tcPr>
          <w:p>
            <w:pPr>
              <w:spacing w:after="0"/>
              <w:rPr>
                <w:sz w:val="16"/>
                <w:szCs w:val="16"/>
                <w:color w:val="auto"/>
              </w:rPr>
            </w:pPr>
          </w:p>
        </w:tc>
        <w:tc>
          <w:tcPr>
            <w:tcW w:w="980" w:type="dxa"/>
            <w:vAlign w:val="bottom"/>
          </w:tcPr>
          <w:p>
            <w:pPr>
              <w:jc w:val="right"/>
              <w:ind w:right="369"/>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r>
      <w:tr>
        <w:trPr>
          <w:trHeight w:val="202"/>
        </w:trPr>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6"/>
              </w:rPr>
              <w:t>Credit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1"/>
        </w:trPr>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Fund I L.P.</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7"/>
        </w:trPr>
        <w:tc>
          <w:tcPr>
            <w:tcW w:w="10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4"/>
        </w:trPr>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Hercules</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$5,625,00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$4,375,00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$4,375,00</w:t>
            </w: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$1,875,00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4"/>
              </w:rPr>
              <w:t>$0</w:t>
            </w: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8"/>
              </w:rPr>
              <w:t>$16,250,00</w:t>
            </w: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Private</w:t>
            </w:r>
          </w:p>
        </w:tc>
        <w:tc>
          <w:tcPr>
            <w:tcW w:w="100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8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r>
      <w:tr>
        <w:trPr>
          <w:trHeight w:val="202"/>
        </w:trPr>
        <w:tc>
          <w:tcPr>
            <w:tcW w:w="1060" w:type="dxa"/>
            <w:vAlign w:val="bottom"/>
          </w:tcPr>
          <w:p>
            <w:pPr>
              <w:jc w:val="center"/>
              <w:spacing w:after="0" w:line="203" w:lineRule="exact"/>
              <w:rPr>
                <w:sz w:val="20"/>
                <w:szCs w:val="20"/>
                <w:color w:val="auto"/>
              </w:rPr>
            </w:pPr>
            <w:r>
              <w:rPr>
                <w:rFonts w:ascii="Times New Roman" w:cs="Times New Roman" w:eastAsia="Times New Roman" w:hAnsi="Times New Roman"/>
                <w:sz w:val="19"/>
                <w:szCs w:val="19"/>
                <w:color w:val="auto"/>
                <w:w w:val="96"/>
              </w:rPr>
              <w:t>Global</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Venture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9"/>
              </w:rPr>
              <w:t>Growth</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1"/>
        </w:trPr>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Fund I L.P.</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7"/>
        </w:trPr>
        <w:tc>
          <w:tcPr>
            <w:tcW w:w="10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4"/>
        </w:trPr>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3"/>
              </w:rPr>
              <w:t>TOTAL</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$50,000,0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$45,000,0</w:t>
            </w:r>
          </w:p>
        </w:tc>
        <w:tc>
          <w:tcPr>
            <w:tcW w:w="100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$35,000,0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$35,000,0</w:t>
            </w: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8"/>
              </w:rPr>
              <w:t>$30,000,00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$15,000,0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5"/>
              </w:rPr>
              <w:t>$5,000,000</w:t>
            </w:r>
          </w:p>
        </w:tc>
        <w:tc>
          <w:tcPr>
            <w:tcW w:w="98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7"/>
              </w:rPr>
              <w:t>$50,000,0</w:t>
            </w: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5"/>
              </w:rPr>
              <w:t>$35,000,00</w:t>
            </w: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9"/>
                <w:szCs w:val="19"/>
                <w:color w:val="auto"/>
                <w:w w:val="98"/>
              </w:rPr>
              <w:t>$300,000,0</w:t>
            </w:r>
          </w:p>
        </w:tc>
      </w:tr>
      <w:tr>
        <w:trPr>
          <w:trHeight w:val="190"/>
        </w:trPr>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7"/>
              </w:rPr>
              <w:t>COMMIT</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0*</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00</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4"/>
              </w:rPr>
              <w:t>0*</w:t>
            </w:r>
          </w:p>
        </w:tc>
        <w:tc>
          <w:tcPr>
            <w:tcW w:w="104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color w:val="auto"/>
                <w:w w:val="98"/>
              </w:rPr>
              <w:t>00*</w:t>
            </w:r>
          </w:p>
        </w:tc>
      </w:tr>
      <w:tr>
        <w:trPr>
          <w:trHeight w:val="241"/>
        </w:trPr>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MENTS</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-3356610</wp:posOffset>
            </wp:positionV>
            <wp:extent cx="7141210" cy="3490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41210" cy="3490595"/>
                    </a:xfrm>
                    <a:prstGeom prst="rect">
                      <a:avLst/>
                    </a:prstGeom>
                    <a:noFill/>
                  </pic:spPr>
                </pic:pic>
              </a:graphicData>
            </a:graphic>
          </wp:anchor>
        </w:drawing>
      </w:r>
    </w:p>
    <w:p>
      <w:pPr>
        <w:spacing w:after="0" w:line="1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 Funding of Tranches 2C, 3B and 5 are subject to approval by Lender’s investment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|US-DOCS\129794038.5||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137795</wp:posOffset>
            </wp:positionV>
            <wp:extent cx="7166610" cy="412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PERIODIC REPORT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Herriot Tabuteau, M.D., certify that: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I have reviewed this quarterly report on Form 10-Q of Axsome Therapeutics, Inc.;</w:t>
      </w:r>
    </w:p>
    <w:p>
      <w:pPr>
        <w:spacing w:after="0" w:line="19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5"/>
          <w:szCs w:val="15"/>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5"/>
          <w:szCs w:val="15"/>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4.   The registrant’s other certifying officer and I are responsible for establishing and maintaining disclosure controls and procedures (as defined in Exchange Act Rules 13a-15(e)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8" w:lineRule="exact"/>
        <w:rPr>
          <w:sz w:val="20"/>
          <w:szCs w:val="20"/>
          <w:color w:val="auto"/>
        </w:rPr>
      </w:pPr>
    </w:p>
    <w:p>
      <w:pPr>
        <w:ind w:left="760" w:right="40" w:hanging="361"/>
        <w:spacing w:after="0" w:line="263" w:lineRule="auto"/>
        <w:rPr>
          <w:sz w:val="20"/>
          <w:szCs w:val="20"/>
          <w:color w:val="auto"/>
        </w:rPr>
      </w:pPr>
      <w:r>
        <w:rPr>
          <w:rFonts w:ascii="Times New Roman" w:cs="Times New Roman" w:eastAsia="Times New Roman" w:hAnsi="Times New Roman"/>
          <w:sz w:val="15"/>
          <w:szCs w:val="15"/>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sz w:val="20"/>
          <w:szCs w:val="20"/>
          <w:color w:val="auto"/>
        </w:rPr>
      </w:pPr>
    </w:p>
    <w:p>
      <w:pPr>
        <w:jc w:val="both"/>
        <w:ind w:left="760" w:right="100" w:hanging="361"/>
        <w:spacing w:after="0" w:line="254" w:lineRule="auto"/>
        <w:rPr>
          <w:sz w:val="20"/>
          <w:szCs w:val="20"/>
          <w:color w:val="auto"/>
        </w:rPr>
      </w:pPr>
      <w:r>
        <w:rPr>
          <w:rFonts w:ascii="Times New Roman" w:cs="Times New Roman" w:eastAsia="Times New Roman" w:hAnsi="Times New Roman"/>
          <w:sz w:val="15"/>
          <w:szCs w:val="15"/>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760" w:right="20" w:hanging="361"/>
        <w:spacing w:after="0" w:line="262" w:lineRule="auto"/>
        <w:rPr>
          <w:sz w:val="20"/>
          <w:szCs w:val="20"/>
          <w:color w:val="auto"/>
        </w:rPr>
      </w:pPr>
      <w:r>
        <w:rPr>
          <w:rFonts w:ascii="Times New Roman" w:cs="Times New Roman" w:eastAsia="Times New Roman" w:hAnsi="Times New Roman"/>
          <w:sz w:val="15"/>
          <w:szCs w:val="15"/>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sz w:val="20"/>
          <w:szCs w:val="20"/>
          <w:color w:val="auto"/>
        </w:rPr>
      </w:pPr>
    </w:p>
    <w:p>
      <w:pPr>
        <w:ind w:left="760" w:right="140" w:hanging="361"/>
        <w:spacing w:after="0" w:line="263" w:lineRule="auto"/>
        <w:rPr>
          <w:sz w:val="20"/>
          <w:szCs w:val="20"/>
          <w:color w:val="auto"/>
        </w:rPr>
      </w:pPr>
      <w:r>
        <w:rPr>
          <w:rFonts w:ascii="Times New Roman" w:cs="Times New Roman" w:eastAsia="Times New Roman" w:hAnsi="Times New Roman"/>
          <w:sz w:val="15"/>
          <w:szCs w:val="15"/>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760" w:right="140" w:hanging="361"/>
        <w:spacing w:after="0" w:line="280" w:lineRule="auto"/>
        <w:rPr>
          <w:sz w:val="20"/>
          <w:szCs w:val="20"/>
          <w:color w:val="auto"/>
        </w:rPr>
      </w:pPr>
      <w:r>
        <w:rPr>
          <w:rFonts w:ascii="Times New Roman" w:cs="Times New Roman" w:eastAsia="Times New Roman" w:hAnsi="Times New Roman"/>
          <w:sz w:val="15"/>
          <w:szCs w:val="15"/>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   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2, 2022</w:t>
      </w:r>
      <w:r>
        <w:rPr>
          <w:sz w:val="20"/>
          <w:szCs w:val="20"/>
          <w:color w:val="auto"/>
        </w:rPr>
        <w:tab/>
      </w:r>
      <w:r>
        <w:rPr>
          <w:rFonts w:ascii="Times New Roman" w:cs="Times New Roman" w:eastAsia="Times New Roman" w:hAnsi="Times New Roman"/>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706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Herriot Tabuteau, M.D.</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671830</wp:posOffset>
            </wp:positionV>
            <wp:extent cx="7166610" cy="41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PERIODIC REPORT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Nick Pizzie, certify that: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I have reviewed this quarterly report on Form 10-Q of Axsome Therapeutics, Inc.;</w:t>
      </w:r>
    </w:p>
    <w:p>
      <w:pPr>
        <w:spacing w:after="0" w:line="19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5"/>
          <w:szCs w:val="15"/>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5"/>
          <w:szCs w:val="15"/>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4.   The registrant’s other certifying officer and I are responsible for establishing and maintaining disclosure controls and procedures (as defined in Exchange Act Rules 13a-15(e)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78" w:lineRule="exact"/>
        <w:rPr>
          <w:sz w:val="20"/>
          <w:szCs w:val="20"/>
          <w:color w:val="auto"/>
        </w:rPr>
      </w:pPr>
    </w:p>
    <w:p>
      <w:pPr>
        <w:ind w:left="760" w:right="40" w:hanging="361"/>
        <w:spacing w:after="0" w:line="254" w:lineRule="auto"/>
        <w:rPr>
          <w:sz w:val="20"/>
          <w:szCs w:val="20"/>
          <w:color w:val="auto"/>
        </w:rPr>
      </w:pPr>
      <w:r>
        <w:rPr>
          <w:rFonts w:ascii="Times New Roman" w:cs="Times New Roman" w:eastAsia="Times New Roman" w:hAnsi="Times New Roman"/>
          <w:sz w:val="15"/>
          <w:szCs w:val="15"/>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760" w:right="100" w:hanging="361"/>
        <w:spacing w:after="0" w:line="254" w:lineRule="auto"/>
        <w:rPr>
          <w:sz w:val="20"/>
          <w:szCs w:val="20"/>
          <w:color w:val="auto"/>
        </w:rPr>
      </w:pPr>
      <w:r>
        <w:rPr>
          <w:rFonts w:ascii="Times New Roman" w:cs="Times New Roman" w:eastAsia="Times New Roman" w:hAnsi="Times New Roman"/>
          <w:sz w:val="15"/>
          <w:szCs w:val="15"/>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sz w:val="20"/>
          <w:szCs w:val="20"/>
          <w:color w:val="auto"/>
        </w:rPr>
      </w:pPr>
    </w:p>
    <w:p>
      <w:pPr>
        <w:ind w:left="760" w:right="20" w:hanging="361"/>
        <w:spacing w:after="0" w:line="280" w:lineRule="auto"/>
        <w:rPr>
          <w:sz w:val="20"/>
          <w:szCs w:val="20"/>
          <w:color w:val="auto"/>
        </w:rPr>
      </w:pPr>
      <w:r>
        <w:rPr>
          <w:rFonts w:ascii="Times New Roman" w:cs="Times New Roman" w:eastAsia="Times New Roman" w:hAnsi="Times New Roman"/>
          <w:sz w:val="15"/>
          <w:szCs w:val="15"/>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sz w:val="20"/>
          <w:szCs w:val="20"/>
          <w:color w:val="auto"/>
        </w:rPr>
      </w:pPr>
    </w:p>
    <w:p>
      <w:pPr>
        <w:ind w:left="760" w:right="140" w:hanging="361"/>
        <w:spacing w:after="0" w:line="263" w:lineRule="auto"/>
        <w:rPr>
          <w:sz w:val="20"/>
          <w:szCs w:val="20"/>
          <w:color w:val="auto"/>
        </w:rPr>
      </w:pPr>
      <w:r>
        <w:rPr>
          <w:rFonts w:ascii="Times New Roman" w:cs="Times New Roman" w:eastAsia="Times New Roman" w:hAnsi="Times New Roman"/>
          <w:sz w:val="15"/>
          <w:szCs w:val="15"/>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left="760" w:right="140" w:hanging="361"/>
        <w:spacing w:after="0" w:line="280" w:lineRule="auto"/>
        <w:rPr>
          <w:sz w:val="20"/>
          <w:szCs w:val="20"/>
          <w:color w:val="auto"/>
        </w:rPr>
      </w:pPr>
      <w:r>
        <w:rPr>
          <w:rFonts w:ascii="Times New Roman" w:cs="Times New Roman" w:eastAsia="Times New Roman" w:hAnsi="Times New Roman"/>
          <w:sz w:val="15"/>
          <w:szCs w:val="15"/>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b)   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2, 2022</w:t>
      </w:r>
      <w:r>
        <w:rPr>
          <w:sz w:val="20"/>
          <w:szCs w:val="20"/>
          <w:color w:val="auto"/>
        </w:rPr>
        <w:tab/>
      </w:r>
      <w:r>
        <w:rPr>
          <w:rFonts w:ascii="Times New Roman" w:cs="Times New Roman" w:eastAsia="Times New Roman" w:hAnsi="Times New Roman"/>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706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Nick Pizzie</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680085</wp:posOffset>
            </wp:positionV>
            <wp:extent cx="7166610"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2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STATEMENT OF PRINCIPAL EXECUTIVE OFFICER OF</w:t>
      </w:r>
    </w:p>
    <w:p>
      <w:pPr>
        <w:spacing w:after="0" w:line="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ind w:left="4220"/>
        <w:spacing w:after="0" w:line="234" w:lineRule="auto"/>
        <w:rPr>
          <w:sz w:val="20"/>
          <w:szCs w:val="20"/>
          <w:color w:val="auto"/>
        </w:rPr>
      </w:pPr>
      <w:r>
        <w:rPr>
          <w:rFonts w:ascii="Times New Roman" w:cs="Times New Roman" w:eastAsia="Times New Roman" w:hAnsi="Times New Roman"/>
          <w:sz w:val="15"/>
          <w:szCs w:val="15"/>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216" w:lineRule="exact"/>
        <w:rPr>
          <w:sz w:val="20"/>
          <w:szCs w:val="20"/>
          <w:color w:val="auto"/>
        </w:rPr>
      </w:pPr>
    </w:p>
    <w:p>
      <w:pPr>
        <w:jc w:val="both"/>
        <w:ind w:right="340" w:firstLine="450"/>
        <w:spacing w:after="0" w:line="263" w:lineRule="auto"/>
        <w:rPr>
          <w:sz w:val="20"/>
          <w:szCs w:val="20"/>
          <w:color w:val="auto"/>
        </w:rPr>
      </w:pPr>
      <w:r>
        <w:rPr>
          <w:rFonts w:ascii="Times New Roman" w:cs="Times New Roman" w:eastAsia="Times New Roman" w:hAnsi="Times New Roman"/>
          <w:sz w:val="15"/>
          <w:szCs w:val="15"/>
          <w:color w:val="auto"/>
        </w:rPr>
        <w:t>In connection with the quarterly report of Axsome Therapeutics, Inc. (the “Company”) on Form 10-Q for the quarter ended March 31, 2022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91" w:lineRule="exact"/>
        <w:rPr>
          <w:sz w:val="20"/>
          <w:szCs w:val="20"/>
          <w:color w:val="auto"/>
        </w:rPr>
      </w:pPr>
    </w:p>
    <w:p>
      <w:pPr>
        <w:ind w:left="240" w:hanging="239"/>
        <w:spacing w:after="0"/>
        <w:tabs>
          <w:tab w:leader="none" w:pos="24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1" w:lineRule="exact"/>
        <w:rPr>
          <w:rFonts w:ascii="Times New Roman" w:cs="Times New Roman" w:eastAsia="Times New Roman" w:hAnsi="Times New Roman"/>
          <w:sz w:val="15"/>
          <w:szCs w:val="15"/>
          <w:color w:val="auto"/>
        </w:rPr>
      </w:pPr>
    </w:p>
    <w:p>
      <w:pPr>
        <w:ind w:left="240" w:hanging="239"/>
        <w:spacing w:after="0"/>
        <w:tabs>
          <w:tab w:leader="none" w:pos="24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2, 2022</w:t>
      </w:r>
      <w:r>
        <w:rPr>
          <w:sz w:val="20"/>
          <w:szCs w:val="20"/>
          <w:color w:val="auto"/>
        </w:rPr>
        <w:tab/>
      </w:r>
      <w:r>
        <w:rPr>
          <w:rFonts w:ascii="Times New Roman" w:cs="Times New Roman" w:eastAsia="Times New Roman" w:hAnsi="Times New Roman"/>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706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Herriot Tabuteau, M.D.</w:t>
      </w:r>
    </w:p>
    <w:p>
      <w:pPr>
        <w:ind w:left="5640"/>
        <w:spacing w:after="0" w:line="228" w:lineRule="auto"/>
        <w:rPr>
          <w:sz w:val="20"/>
          <w:szCs w:val="20"/>
          <w:color w:val="auto"/>
        </w:rPr>
      </w:pPr>
      <w:r>
        <w:rPr>
          <w:rFonts w:ascii="Times New Roman" w:cs="Times New Roman" w:eastAsia="Times New Roman" w:hAnsi="Times New Roman"/>
          <w:sz w:val="15"/>
          <w:szCs w:val="15"/>
          <w:color w:val="auto"/>
        </w:rPr>
        <w:t>Chief Executive Officer</w:t>
      </w:r>
    </w:p>
    <w:p>
      <w:pPr>
        <w:ind w:left="564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789940</wp:posOffset>
            </wp:positionV>
            <wp:extent cx="7166610" cy="412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PRINCIPAL FINANCIAL OFFICER 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AXSOME THERAPEUTICS,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216"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5"/>
          <w:szCs w:val="15"/>
          <w:color w:val="auto"/>
        </w:rPr>
        <w:t>In connection with the quarterly report of Axsome Therapeutics, Inc. (the “Company”) on Form 10-Q for the quarter ended March 31, 2022 as filed with the Securities and Exchange Commission (the “Report”), I, Nick Pizzie, Chief Financial Officer of the Company, certify, pursuant to 18 U.S.C. §1350, as adopted pursuant to §906 of the Sarbanes-Oxley Act of 2002, that, based on my knowledge:</w:t>
      </w:r>
    </w:p>
    <w:p>
      <w:pPr>
        <w:spacing w:after="0" w:line="210" w:lineRule="exact"/>
        <w:rPr>
          <w:sz w:val="20"/>
          <w:szCs w:val="20"/>
          <w:color w:val="auto"/>
        </w:rPr>
      </w:pPr>
    </w:p>
    <w:p>
      <w:pPr>
        <w:ind w:left="240" w:hanging="239"/>
        <w:spacing w:after="0"/>
        <w:tabs>
          <w:tab w:leader="none" w:pos="2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231" w:lineRule="exact"/>
        <w:rPr>
          <w:rFonts w:ascii="Times New Roman" w:cs="Times New Roman" w:eastAsia="Times New Roman" w:hAnsi="Times New Roman"/>
          <w:sz w:val="15"/>
          <w:szCs w:val="15"/>
          <w:color w:val="auto"/>
        </w:rPr>
      </w:pPr>
    </w:p>
    <w:p>
      <w:pPr>
        <w:ind w:left="240" w:hanging="239"/>
        <w:spacing w:after="0"/>
        <w:tabs>
          <w:tab w:leader="none" w:pos="2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5"/>
          <w:szCs w:val="15"/>
          <w:color w:val="auto"/>
        </w:rPr>
        <w:t>Date: May 2, 2022</w:t>
      </w:r>
      <w:r>
        <w:rPr>
          <w:sz w:val="20"/>
          <w:szCs w:val="20"/>
          <w:color w:val="auto"/>
        </w:rPr>
        <w:tab/>
      </w:r>
      <w:r>
        <w:rPr>
          <w:rFonts w:ascii="Times New Roman" w:cs="Times New Roman" w:eastAsia="Times New Roman" w:hAnsi="Times New Roman"/>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706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Nick Pizzie</w:t>
      </w:r>
    </w:p>
    <w:p>
      <w:pPr>
        <w:ind w:left="5640"/>
        <w:spacing w:after="0" w:line="221" w:lineRule="auto"/>
        <w:rPr>
          <w:sz w:val="20"/>
          <w:szCs w:val="20"/>
          <w:color w:val="auto"/>
        </w:rPr>
      </w:pPr>
      <w:r>
        <w:rPr>
          <w:rFonts w:ascii="Times New Roman" w:cs="Times New Roman" w:eastAsia="Times New Roman" w:hAnsi="Times New Roman"/>
          <w:sz w:val="15"/>
          <w:szCs w:val="15"/>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798195</wp:posOffset>
            </wp:positionV>
            <wp:extent cx="7166610" cy="41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224" w:name="page225"/>
    <w:bookmarkEnd w:id="2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lvl w:ilvl="1">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1."/>
      <w:numFmt w:val="upperLetter"/>
      <w:start w:val="1"/>
    </w:lvl>
  </w:abstractNum>
  <w:abstractNum w:abstractNumId="41">
    <w:nsid w:val="51088277"/>
    <w:multiLevelType w:val="hybridMultilevel"/>
    <w:lvl w:ilvl="0">
      <w:lvlJc w:val="left"/>
      <w:lvlText w:val="(%1)"/>
      <w:numFmt w:val="lowerLetter"/>
      <w:start w:val="1"/>
    </w:lvl>
  </w:abstractNum>
  <w:abstractNum w:abstractNumId="42">
    <w:nsid w:val="1CA0C5FA"/>
    <w:multiLevelType w:val="hybridMultilevel"/>
    <w:lvl w:ilvl="0">
      <w:lvlJc w:val="left"/>
      <w:lvlText w:val="(%1)"/>
      <w:numFmt w:val="lowerLetter"/>
      <w:start w:val="1"/>
    </w:lvl>
  </w:abstractNum>
  <w:abstractNum w:abstractNumId="43">
    <w:nsid w:val="53584BCB"/>
    <w:multiLevelType w:val="hybridMultilevel"/>
    <w:lvl w:ilvl="0">
      <w:lvlJc w:val="left"/>
      <w:lvlText w:val="%1"/>
      <w:numFmt w:val="lowerLetter"/>
      <w:start w:val="1"/>
    </w:lvl>
    <w:lvl w:ilvl="1">
      <w:lvlJc w:val="left"/>
      <w:lvlText w:val="(%2)"/>
      <w:numFmt w:val="lowerLetter"/>
      <w:start w:val="35"/>
    </w:lvl>
  </w:abstractNum>
  <w:abstractNum w:abstractNumId="44">
    <w:nsid w:val="415E286C"/>
    <w:multiLevelType w:val="hybridMultilevel"/>
    <w:lvl w:ilvl="0">
      <w:lvlJc w:val="left"/>
      <w:lvlText w:val="(%1)"/>
      <w:numFmt w:val="lowerLetter"/>
      <w:start w:val="2"/>
    </w:lvl>
    <w:lvl w:ilvl="1">
      <w:lvlJc w:val="left"/>
      <w:lvlText w:val="%2"/>
      <w:numFmt w:val="lowerLetter"/>
      <w:start w:val="1"/>
    </w:lvl>
  </w:abstractNum>
  <w:abstractNum w:abstractNumId="45">
    <w:nsid w:val="7C58FD05"/>
    <w:multiLevelType w:val="hybridMultilevel"/>
    <w:lvl w:ilvl="0">
      <w:lvlJc w:val="left"/>
      <w:lvlText w:val="(%1)"/>
      <w:numFmt w:val="lowerLetter"/>
      <w:start w:val="1"/>
    </w:lvl>
  </w:abstractNum>
  <w:abstractNum w:abstractNumId="46">
    <w:nsid w:val="23D86AAC"/>
    <w:multiLevelType w:val="hybridMultilevel"/>
    <w:lvl w:ilvl="0">
      <w:lvlJc w:val="left"/>
      <w:lvlText w:val="(%1)"/>
      <w:numFmt w:val="lowerLetter"/>
      <w:start w:val="4"/>
    </w:lvl>
  </w:abstractNum>
  <w:abstractNum w:abstractNumId="47">
    <w:nsid w:val="45E6D486"/>
    <w:multiLevelType w:val="hybridMultilevel"/>
    <w:lvl w:ilvl="0">
      <w:lvlJc w:val="left"/>
      <w:lvlText w:val="(%1)"/>
      <w:numFmt w:val="lowerLetter"/>
      <w:start w:val="1"/>
    </w:lvl>
  </w:abstractNum>
  <w:abstractNum w:abstractNumId="48">
    <w:nsid w:val="5C10FE21"/>
    <w:multiLevelType w:val="hybridMultilevel"/>
    <w:lvl w:ilvl="0">
      <w:lvlJc w:val="left"/>
      <w:lvlText w:val="(%1)"/>
      <w:numFmt w:val="lowerLetter"/>
      <w:start w:val="13"/>
    </w:lvl>
  </w:abstractNum>
  <w:abstractNum w:abstractNumId="49">
    <w:nsid w:val="E7FFA2B"/>
    <w:multiLevelType w:val="hybridMultilevel"/>
    <w:lvl w:ilvl="0">
      <w:lvlJc w:val="left"/>
      <w:lvlText w:val="(%1)"/>
      <w:numFmt w:val="lowerLetter"/>
      <w:start w:val="1"/>
    </w:lvl>
  </w:abstractNum>
  <w:abstractNum w:abstractNumId="50">
    <w:nsid w:val="3C5991AA"/>
    <w:multiLevelType w:val="hybridMultilevel"/>
    <w:lvl w:ilvl="0">
      <w:lvlJc w:val="left"/>
      <w:lvlText w:val="(%1)"/>
      <w:numFmt w:val="lowerLetter"/>
      <w:start w:val="1"/>
    </w:lvl>
  </w:abstractNum>
  <w:abstractNum w:abstractNumId="51">
    <w:nsid w:val="4BD8591A"/>
    <w:multiLevelType w:val="hybridMultilevel"/>
    <w:lvl w:ilvl="0">
      <w:lvlJc w:val="left"/>
      <w:lvlText w:val="(%1)"/>
      <w:numFmt w:val="lowerRoman"/>
      <w:start w:val="2"/>
    </w:lvl>
  </w:abstractNum>
  <w:abstractNum w:abstractNumId="52">
    <w:nsid w:val="78DF6A55"/>
    <w:multiLevelType w:val="hybridMultilevel"/>
    <w:lvl w:ilvl="0">
      <w:lvlJc w:val="left"/>
      <w:lvlText w:val="%1"/>
      <w:numFmt w:val="lowerLetter"/>
      <w:start w:val="1"/>
    </w:lvl>
    <w:lvl w:ilvl="1">
      <w:lvlJc w:val="left"/>
      <w:lvlText w:val="(%2)"/>
      <w:numFmt w:val="lowerLetter"/>
      <w:start w:val="61"/>
    </w:lvl>
  </w:abstractNum>
  <w:abstractNum w:abstractNumId="53">
    <w:nsid w:val="39B7AAA2"/>
    <w:multiLevelType w:val="hybridMultilevel"/>
    <w:lvl w:ilvl="0">
      <w:lvlJc w:val="left"/>
      <w:lvlText w:val="(%1)"/>
      <w:numFmt w:val="lowerLetter"/>
      <w:start w:val="2"/>
    </w:lvl>
    <w:lvl w:ilvl="1">
      <w:lvlJc w:val="left"/>
      <w:lvlText w:val="%2"/>
      <w:numFmt w:val="lowerLetter"/>
      <w:start w:val="1"/>
    </w:lvl>
  </w:abstractNum>
  <w:abstractNum w:abstractNumId="54">
    <w:nsid w:val="2B0D8DBE"/>
    <w:multiLevelType w:val="hybridMultilevel"/>
    <w:lvl w:ilvl="0">
      <w:lvlJc w:val="left"/>
      <w:lvlText w:val="(%1)"/>
      <w:numFmt w:val="lowerLetter"/>
      <w:start w:val="4"/>
    </w:lvl>
  </w:abstractNum>
  <w:abstractNum w:abstractNumId="55">
    <w:nsid w:val="6C80EC70"/>
    <w:multiLevelType w:val="hybridMultilevel"/>
    <w:lvl w:ilvl="0">
      <w:lvlJc w:val="left"/>
      <w:lvlText w:val="(%1)"/>
      <w:numFmt w:val="lowerLetter"/>
      <w:start w:val="8"/>
    </w:lvl>
  </w:abstractNum>
  <w:abstractNum w:abstractNumId="56">
    <w:nsid w:val="379E21B5"/>
    <w:multiLevelType w:val="hybridMultilevel"/>
    <w:lvl w:ilvl="0">
      <w:lvlJc w:val="left"/>
      <w:lvlText w:val="%1."/>
      <w:numFmt w:val="upperLetter"/>
      <w:start w:val="1"/>
    </w:lvl>
  </w:abstractNum>
  <w:abstractNum w:abstractNumId="57">
    <w:nsid w:val="69E373"/>
    <w:multiLevelType w:val="hybridMultilevel"/>
    <w:lvl w:ilvl="0">
      <w:lvlJc w:val="left"/>
      <w:lvlText w:val="%1."/>
      <w:numFmt w:val="lowerLetter"/>
      <w:start w:val="1"/>
    </w:lvl>
  </w:abstractNum>
  <w:abstractNum w:abstractNumId="58">
    <w:nsid w:val="2C27173B"/>
    <w:multiLevelType w:val="hybridMultilevel"/>
    <w:lvl w:ilvl="0">
      <w:lvlJc w:val="left"/>
      <w:lvlText w:val="(%1)"/>
      <w:numFmt w:val="lowerLetter"/>
      <w:start w:val="4"/>
    </w:lvl>
  </w:abstractNum>
  <w:abstractNum w:abstractNumId="59">
    <w:nsid w:val="4C9B0904"/>
    <w:multiLevelType w:val="hybridMultilevel"/>
    <w:lvl w:ilvl="0">
      <w:lvlJc w:val="left"/>
      <w:lvlText w:val="(%1)"/>
      <w:numFmt w:val="lowerRoman"/>
      <w:start w:val="1"/>
    </w:lvl>
  </w:abstractNum>
  <w:abstractNum w:abstractNumId="60">
    <w:nsid w:val="6AA7B75C"/>
    <w:multiLevelType w:val="hybridMultilevel"/>
    <w:lvl w:ilvl="0">
      <w:lvlJc w:val="left"/>
      <w:lvlText w:val="(%1)"/>
      <w:numFmt w:val="lowerRoman"/>
      <w:start w:val="5"/>
    </w:lvl>
  </w:abstractNum>
  <w:abstractNum w:abstractNumId="61">
    <w:nsid w:val="1DF029D3"/>
    <w:multiLevelType w:val="hybridMultilevel"/>
    <w:lvl w:ilvl="0">
      <w:lvlJc w:val="left"/>
      <w:lvlText w:val="%1."/>
      <w:numFmt w:val="decimal"/>
      <w:start w:val="10"/>
    </w:lvl>
  </w:abstractNum>
  <w:abstractNum w:abstractNumId="62">
    <w:nsid w:val="5675FF36"/>
    <w:multiLevelType w:val="hybridMultilevel"/>
    <w:lvl w:ilvl="0">
      <w:lvlJc w:val="left"/>
      <w:lvlText w:val="(%1)"/>
      <w:numFmt w:val="lowerRoman"/>
      <w:start w:val="1"/>
    </w:lvl>
  </w:abstractNum>
  <w:abstractNum w:abstractNumId="63">
    <w:nsid w:val="3DD15094"/>
    <w:multiLevelType w:val="hybridMultilevel"/>
    <w:lvl w:ilvl="0">
      <w:lvlJc w:val="left"/>
      <w:lvlText w:val="(%1)"/>
      <w:numFmt w:val="lowerLetter"/>
      <w:start w:val="1"/>
    </w:lvl>
    <w:lvl w:ilvl="1">
      <w:lvlJc w:val="left"/>
      <w:lvlText w:val="(%2)"/>
      <w:numFmt w:val="lowerRoman"/>
      <w:start w:val="12"/>
    </w:lvl>
  </w:abstractNum>
  <w:abstractNum w:abstractNumId="64">
    <w:nsid w:val="3DB012B3"/>
    <w:multiLevelType w:val="hybridMultilevel"/>
    <w:lvl w:ilvl="0">
      <w:lvlJc w:val="left"/>
      <w:lvlText w:val="(%1)"/>
      <w:numFmt w:val="lowerRoman"/>
      <w:start w:val="1"/>
    </w:lvl>
  </w:abstractNum>
  <w:abstractNum w:abstractNumId="65">
    <w:nsid w:val="2708C9AF"/>
    <w:multiLevelType w:val="hybridMultilevel"/>
    <w:lvl w:ilvl="0">
      <w:lvlJc w:val="left"/>
      <w:lvlText w:val="(%1)"/>
      <w:numFmt w:val="lowerRoman"/>
      <w:start w:val="4"/>
    </w:lvl>
  </w:abstractNum>
  <w:abstractNum w:abstractNumId="66">
    <w:nsid w:val="5B25ACE2"/>
    <w:multiLevelType w:val="hybridMultilevel"/>
    <w:lvl w:ilvl="0">
      <w:lvlJc w:val="left"/>
      <w:lvlText w:val="(%1)"/>
      <w:numFmt w:val="lowerRoman"/>
      <w:start w:val="1"/>
    </w:lvl>
  </w:abstractNum>
  <w:abstractNum w:abstractNumId="67">
    <w:nsid w:val="175DFCF0"/>
    <w:multiLevelType w:val="hybridMultilevel"/>
    <w:lvl w:ilvl="0">
      <w:lvlJc w:val="left"/>
      <w:lvlText w:val="(%1)"/>
      <w:numFmt w:val="lowerRoman"/>
      <w:start w:val="12"/>
    </w:lvl>
  </w:abstractNum>
  <w:abstractNum w:abstractNumId="68">
    <w:nsid w:val="4F97E3E4"/>
    <w:multiLevelType w:val="hybridMultilevel"/>
    <w:lvl w:ilvl="0">
      <w:lvlJc w:val="left"/>
      <w:lvlText w:val="(%1)"/>
      <w:numFmt w:val="lowerRoman"/>
      <w:start w:val="1"/>
    </w:lvl>
  </w:abstractNum>
  <w:abstractNum w:abstractNumId="69">
    <w:nsid w:val="53B0A9E"/>
    <w:multiLevelType w:val="hybridMultilevel"/>
    <w:lvl w:ilvl="0">
      <w:lvlJc w:val="left"/>
      <w:lvlText w:val="(%1)"/>
      <w:numFmt w:val="lowerRoman"/>
      <w:start w:val="2"/>
    </w:lvl>
  </w:abstractNum>
  <w:abstractNum w:abstractNumId="70">
    <w:nsid w:val="34FD6B4F"/>
    <w:multiLevelType w:val="hybridMultilevel"/>
    <w:lvl w:ilvl="0">
      <w:lvlJc w:val="left"/>
      <w:lvlText w:val="%1."/>
      <w:numFmt w:val="decimal"/>
      <w:start w:val="11"/>
    </w:lvl>
  </w:abstractNum>
  <w:abstractNum w:abstractNumId="71">
    <w:nsid w:val="5915FF32"/>
    <w:multiLevelType w:val="hybridMultilevel"/>
    <w:lvl w:ilvl="0">
      <w:lvlJc w:val="left"/>
      <w:lvlText w:val="%1."/>
      <w:numFmt w:val="decimal"/>
      <w:start w:val="12"/>
    </w:lvl>
  </w:abstractNum>
  <w:abstractNum w:abstractNumId="72">
    <w:nsid w:val="56438D15"/>
    <w:multiLevelType w:val="hybridMultilevel"/>
    <w:lvl w:ilvl="0">
      <w:lvlJc w:val="left"/>
      <w:lvlText w:val="%1."/>
      <w:numFmt w:val="lowerLetter"/>
      <w:start w:val="2"/>
    </w:lvl>
  </w:abstractNum>
  <w:abstractNum w:abstractNumId="73">
    <w:nsid w:val="519E3149"/>
    <w:multiLevelType w:val="hybridMultilevel"/>
    <w:lvl w:ilvl="0">
      <w:lvlJc w:val="left"/>
      <w:lvlText w:val="%1."/>
      <w:numFmt w:val="lowerLetter"/>
      <w:start w:val="3"/>
    </w:lvl>
  </w:abstractNum>
  <w:abstractNum w:abstractNumId="74">
    <w:nsid w:val="2C6E4AFD"/>
    <w:multiLevelType w:val="hybridMultilevel"/>
    <w:lvl w:ilvl="0">
      <w:lvlJc w:val="left"/>
      <w:lvlText w:val="%1."/>
      <w:numFmt w:val="lowerLetter"/>
      <w:start w:val="4"/>
    </w:lvl>
  </w:abstractNum>
  <w:abstractNum w:abstractNumId="75">
    <w:nsid w:val="17A1B582"/>
    <w:multiLevelType w:val="hybridMultilevel"/>
    <w:lvl w:ilvl="0">
      <w:lvlJc w:val="left"/>
      <w:lvlText w:val="%1."/>
      <w:numFmt w:val="lowerLetter"/>
      <w:start w:val="1"/>
    </w:lvl>
    <w:lvl w:ilvl="1">
      <w:lvlJc w:val="left"/>
      <w:lvlText w:val="%2"/>
      <w:numFmt w:val="lowerLetter"/>
      <w:start w:val="1"/>
    </w:lvl>
  </w:abstractNum>
  <w:abstractNum w:abstractNumId="76">
    <w:nsid w:val="4DF72E4E"/>
    <w:multiLevelType w:val="hybridMultilevel"/>
    <w:lvl w:ilvl="0">
      <w:lvlJc w:val="left"/>
      <w:lvlText w:val="%1."/>
      <w:numFmt w:val="decimal"/>
      <w:start w:val="1"/>
    </w:lvl>
  </w:abstractNum>
  <w:abstractNum w:abstractNumId="77">
    <w:nsid w:val="5046B5A9"/>
    <w:multiLevelType w:val="hybridMultilevel"/>
    <w:lvl w:ilvl="0">
      <w:lvlJc w:val="left"/>
      <w:lvlText w:val="%1"/>
      <w:numFmt w:val="lowerRoman"/>
      <w:start w:val="1"/>
    </w:lvl>
    <w:lvl w:ilvl="1">
      <w:lvlJc w:val="left"/>
      <w:lvlText w:val="%2."/>
      <w:numFmt w:val="decimal"/>
      <w:start w:val="6"/>
    </w:lvl>
  </w:abstractNum>
  <w:abstractNum w:abstractNumId="78">
    <w:nsid w:val="5D888A08"/>
    <w:multiLevelType w:val="hybridMultilevel"/>
    <w:lvl w:ilvl="0">
      <w:lvlJc w:val="left"/>
      <w:lvlText w:val="%1."/>
      <w:numFmt w:val="lowerRoman"/>
      <w:start w:val="2"/>
    </w:lvl>
    <w:lvl w:ilvl="1">
      <w:lvlJc w:val="left"/>
      <w:lvlText w:val="%2"/>
      <w:numFmt w:val="decimal"/>
      <w:start w:val="1"/>
    </w:lvl>
  </w:abstractNum>
  <w:abstractNum w:abstractNumId="79">
    <w:nsid w:val="2A082C70"/>
    <w:multiLevelType w:val="hybridMultilevel"/>
    <w:lvl w:ilvl="0">
      <w:lvlJc w:val="left"/>
      <w:lvlText w:val="%1"/>
      <w:numFmt w:val="lowerRoman"/>
      <w:start w:val="1"/>
    </w:lvl>
    <w:lvl w:ilvl="1">
      <w:lvlJc w:val="left"/>
      <w:lvlText w:val="%2."/>
      <w:numFmt w:val="decimal"/>
      <w:start w:val="1"/>
    </w:lvl>
  </w:abstractNum>
  <w:abstractNum w:abstractNumId="80">
    <w:nsid w:val="5EC6AFD4"/>
    <w:multiLevelType w:val="hybridMultilevel"/>
    <w:lvl w:ilvl="0">
      <w:lvlJc w:val="left"/>
      <w:lvlText w:val="%1."/>
      <w:numFmt w:val="lowerRoman"/>
      <w:start w:val="4"/>
    </w:lvl>
    <w:lvl w:ilvl="1">
      <w:lvlJc w:val="left"/>
      <w:lvlText w:val="%2"/>
      <w:numFmt w:val="decimal"/>
      <w:start w:val="1"/>
    </w:lvl>
  </w:abstractNum>
  <w:abstractNum w:abstractNumId="81">
    <w:nsid w:val="19E21BB2"/>
    <w:multiLevelType w:val="hybridMultilevel"/>
    <w:lvl w:ilvl="0">
      <w:lvlJc w:val="left"/>
      <w:lvlText w:val="%1."/>
      <w:numFmt w:val="lowerLetter"/>
      <w:start w:val="3"/>
    </w:lvl>
  </w:abstractNum>
  <w:abstractNum w:abstractNumId="82">
    <w:nsid w:val="75E0858A"/>
    <w:multiLevelType w:val="hybridMultilevel"/>
    <w:lvl w:ilvl="0">
      <w:lvlJc w:val="left"/>
      <w:lvlText w:val="%1."/>
      <w:numFmt w:val="lowerLetter"/>
      <w:start w:val="6"/>
    </w:lvl>
    <w:lvl w:ilvl="1">
      <w:lvlJc w:val="left"/>
      <w:lvlText w:val="%2."/>
      <w:numFmt w:val="lowerRoman"/>
      <w:start w:val="1"/>
    </w:lvl>
  </w:abstractNum>
  <w:abstractNum w:abstractNumId="83">
    <w:nsid w:val="57A61A29"/>
    <w:multiLevelType w:val="hybridMultilevel"/>
    <w:lvl w:ilvl="0">
      <w:lvlJc w:val="left"/>
      <w:lvlText w:val="%1"/>
      <w:numFmt w:val="lowerLetter"/>
      <w:start w:val="1"/>
    </w:lvl>
    <w:lvl w:ilvl="1">
      <w:lvlJc w:val="left"/>
      <w:lvlText w:val="%2."/>
      <w:numFmt w:val="lowerRoman"/>
      <w:start w:val="4"/>
    </w:lvl>
  </w:abstractNum>
  <w:abstractNum w:abstractNumId="84">
    <w:nsid w:val="5399C654"/>
    <w:multiLevelType w:val="hybridMultilevel"/>
    <w:lvl w:ilvl="0">
      <w:lvlJc w:val="left"/>
      <w:lvlText w:val="%1."/>
      <w:numFmt w:val="lowerLetter"/>
      <w:start w:val="7"/>
    </w:lvl>
    <w:lvl w:ilvl="1">
      <w:lvlJc w:val="left"/>
      <w:lvlText w:val="%2"/>
      <w:numFmt w:val="lowerRoman"/>
      <w:start w:val="1"/>
    </w:lvl>
  </w:abstractNum>
  <w:abstractNum w:abstractNumId="85">
    <w:nsid w:val="20EE1348"/>
    <w:multiLevelType w:val="hybridMultilevel"/>
    <w:lvl w:ilvl="0">
      <w:lvlJc w:val="left"/>
      <w:lvlText w:val="%1."/>
      <w:numFmt w:val="lowerLetter"/>
      <w:start w:val="1"/>
    </w:lvl>
  </w:abstractNum>
  <w:abstractNum w:abstractNumId="86">
    <w:nsid w:val="4427069A"/>
    <w:multiLevelType w:val="hybridMultilevel"/>
    <w:lvl w:ilvl="0">
      <w:lvlJc w:val="left"/>
      <w:lvlText w:val="%1."/>
      <w:numFmt w:val="lowerLetter"/>
      <w:start w:val="2"/>
    </w:lvl>
  </w:abstractNum>
  <w:abstractNum w:abstractNumId="87">
    <w:nsid w:val="B37E80A"/>
    <w:multiLevelType w:val="hybridMultilevel"/>
    <w:lvl w:ilvl="0">
      <w:lvlJc w:val="left"/>
      <w:lvlText w:val="%1."/>
      <w:numFmt w:val="lowerLetter"/>
      <w:start w:val="1"/>
    </w:lvl>
    <w:lvl w:ilvl="1">
      <w:lvlJc w:val="left"/>
      <w:lvlText w:val="%2."/>
      <w:numFmt w:val="lowerRoman"/>
      <w:start w:val="1"/>
    </w:lvl>
  </w:abstractNum>
  <w:abstractNum w:abstractNumId="88">
    <w:nsid w:val="2157F6BC"/>
    <w:multiLevelType w:val="hybridMultilevel"/>
    <w:lvl w:ilvl="0">
      <w:lvlJc w:val="left"/>
      <w:lvlText w:val="%1."/>
      <w:numFmt w:val="lowerRoman"/>
      <w:start w:val="3"/>
    </w:lvl>
  </w:abstractNum>
  <w:abstractNum w:abstractNumId="89">
    <w:nsid w:val="704E1DD5"/>
    <w:multiLevelType w:val="hybridMultilevel"/>
    <w:lvl w:ilvl="0">
      <w:lvlJc w:val="left"/>
      <w:lvlText w:val="%1."/>
      <w:numFmt w:val="lowerLetter"/>
      <w:start w:val="3"/>
    </w:lvl>
  </w:abstractNum>
  <w:abstractNum w:abstractNumId="90">
    <w:nsid w:val="57D2F10E"/>
    <w:multiLevelType w:val="hybridMultilevel"/>
    <w:lvl w:ilvl="0">
      <w:lvlJc w:val="left"/>
      <w:lvlText w:val="%1."/>
      <w:numFmt w:val="lowerLetter"/>
      <w:start w:val="1"/>
    </w:lvl>
  </w:abstractNum>
  <w:abstractNum w:abstractNumId="91">
    <w:nsid w:val="BFFAE18"/>
    <w:multiLevelType w:val="hybridMultilevel"/>
    <w:lvl w:ilvl="0">
      <w:lvlJc w:val="left"/>
      <w:lvlText w:val="%1."/>
      <w:numFmt w:val="lowerLetter"/>
      <w:start w:val="1"/>
    </w:lvl>
  </w:abstractNum>
  <w:abstractNum w:abstractNumId="92">
    <w:nsid w:val="E3E47A8"/>
    <w:multiLevelType w:val="hybridMultilevel"/>
    <w:lvl w:ilvl="0">
      <w:lvlJc w:val="left"/>
      <w:lvlText w:val="%1."/>
      <w:numFmt w:val="lowerLetter"/>
      <w:start w:val="7"/>
    </w:lvl>
  </w:abstractNum>
  <w:abstractNum w:abstractNumId="93">
    <w:nsid w:val="2E48F044"/>
    <w:multiLevelType w:val="hybridMultilevel"/>
    <w:lvl w:ilvl="0">
      <w:lvlJc w:val="left"/>
      <w:lvlText w:val="%1."/>
      <w:numFmt w:val="lowerLetter"/>
      <w:start w:val="8"/>
    </w:lvl>
  </w:abstractNum>
  <w:abstractNum w:abstractNumId="94">
    <w:nsid w:val="49D0FEAC"/>
    <w:multiLevelType w:val="hybridMultilevel"/>
    <w:lvl w:ilvl="0">
      <w:lvlJc w:val="left"/>
      <w:lvlText w:val="(%1)"/>
      <w:numFmt w:val="lowerLetter"/>
      <w:start w:val="4"/>
    </w:lvl>
  </w:abstractNum>
  <w:abstractNum w:abstractNumId="95">
    <w:nsid w:val="4BEE5A5B"/>
    <w:multiLevelType w:val="hybridMultilevel"/>
    <w:lvl w:ilvl="0">
      <w:lvlJc w:val="left"/>
      <w:lvlText w:val="(%1)"/>
      <w:numFmt w:val="lowerLetter"/>
      <w:start w:val="7"/>
    </w:lvl>
  </w:abstractNum>
  <w:abstractNum w:abstractNumId="96">
    <w:nsid w:val="5551B9F3"/>
    <w:multiLevelType w:val="hybridMultilevel"/>
    <w:lvl w:ilvl="0">
      <w:lvlJc w:val="left"/>
      <w:lvlText w:val="(%1)"/>
      <w:numFmt w:val="lowerLetter"/>
      <w:start w:val="11"/>
    </w:lvl>
  </w:abstractNum>
  <w:abstractNum w:abstractNumId="97">
    <w:nsid w:val="24F6AB8E"/>
    <w:multiLevelType w:val="hybridMultilevel"/>
    <w:lvl w:ilvl="0">
      <w:lvlJc w:val="left"/>
      <w:lvlText w:val="(%1)"/>
      <w:numFmt w:val="lowerLetter"/>
      <w:start w:val="13"/>
    </w:lvl>
  </w:abstractNum>
  <w:abstractNum w:abstractNumId="98">
    <w:nsid w:val="634C574C"/>
    <w:multiLevelType w:val="hybridMultilevel"/>
    <w:lvl w:ilvl="0">
      <w:lvlJc w:val="left"/>
      <w:lvlText w:val="%1."/>
      <w:numFmt w:val="lowerLetter"/>
      <w:start w:val="11"/>
    </w:lvl>
  </w:abstractNum>
  <w:abstractNum w:abstractNumId="99">
    <w:nsid w:val="24E99DD7"/>
    <w:multiLevelType w:val="hybridMultilevel"/>
    <w:lvl w:ilvl="0">
      <w:lvlJc w:val="left"/>
      <w:lvlText w:val="%1."/>
      <w:numFmt w:val="lowerLetter"/>
      <w:start w:val="14"/>
    </w:lvl>
  </w:abstractNum>
  <w:abstractNum w:abstractNumId="100">
    <w:nsid w:val="2A31B62D"/>
    <w:multiLevelType w:val="hybridMultilevel"/>
    <w:lvl w:ilvl="0">
      <w:lvlJc w:val="left"/>
      <w:lvlText w:val="%1."/>
      <w:numFmt w:val="lowerLetter"/>
      <w:start w:val="1"/>
    </w:lvl>
  </w:abstractNum>
  <w:abstractNum w:abstractNumId="101">
    <w:nsid w:val="1849C29B"/>
    <w:multiLevelType w:val="hybridMultilevel"/>
    <w:lvl w:ilvl="0">
      <w:lvlJc w:val="left"/>
      <w:lvlText w:val="%1."/>
      <w:numFmt w:val="lowerLetter"/>
      <w:start w:val="3"/>
    </w:lvl>
  </w:abstractNum>
  <w:abstractNum w:abstractNumId="102">
    <w:nsid w:val="7DFF9D09"/>
    <w:multiLevelType w:val="hybridMultilevel"/>
    <w:lvl w:ilvl="0">
      <w:lvlJc w:val="left"/>
      <w:lvlText w:val="%1."/>
      <w:numFmt w:val="lowerLetter"/>
      <w:start w:val="1"/>
    </w:lvl>
    <w:lvl w:ilvl="1">
      <w:lvlJc w:val="left"/>
      <w:lvlText w:val="%2."/>
      <w:numFmt w:val="lowerRoman"/>
      <w:start w:val="1"/>
    </w:lvl>
  </w:abstractNum>
  <w:abstractNum w:abstractNumId="103">
    <w:nsid w:val="754342"/>
    <w:multiLevelType w:val="hybridMultilevel"/>
    <w:lvl w:ilvl="0">
      <w:lvlJc w:val="left"/>
      <w:lvlText w:val="%1."/>
      <w:numFmt w:val="lowerRoman"/>
      <w:start w:val="3"/>
    </w:lvl>
  </w:abstractNum>
  <w:abstractNum w:abstractNumId="104">
    <w:nsid w:val="69E7F3E5"/>
    <w:multiLevelType w:val="hybridMultilevel"/>
    <w:lvl w:ilvl="0">
      <w:lvlJc w:val="left"/>
      <w:lvlText w:val="(%1)"/>
      <w:numFmt w:val="lowerLetter"/>
      <w:start w:val="1"/>
    </w:lvl>
  </w:abstractNum>
  <w:abstractNum w:abstractNumId="105">
    <w:nsid w:val="2A6DE806"/>
    <w:multiLevelType w:val="hybridMultilevel"/>
    <w:lvl w:ilvl="0">
      <w:lvlJc w:val="left"/>
      <w:lvlText w:val="%1."/>
      <w:numFmt w:val="lowerLetter"/>
      <w:start w:val="2"/>
    </w:lvl>
  </w:abstractNum>
  <w:abstractNum w:abstractNumId="106">
    <w:nsid w:val="1816F8C4"/>
    <w:multiLevelType w:val="hybridMultilevel"/>
    <w:lvl w:ilvl="0">
      <w:lvlJc w:val="left"/>
      <w:lvlText w:val="%1."/>
      <w:numFmt w:val="lowerLetter"/>
      <w:start w:val="4"/>
    </w:lvl>
  </w:abstractNum>
  <w:abstractNum w:abstractNumId="107">
    <w:nsid w:val="37DF2233"/>
    <w:multiLevelType w:val="hybridMultilevel"/>
    <w:lvl w:ilvl="0">
      <w:lvlJc w:val="left"/>
      <w:lvlText w:val="%1."/>
      <w:numFmt w:val="lowerLetter"/>
      <w:start w:val="5"/>
    </w:lvl>
  </w:abstractNum>
  <w:abstractNum w:abstractNumId="108">
    <w:nsid w:val="7AB49DAF"/>
    <w:multiLevelType w:val="hybridMultilevel"/>
    <w:lvl w:ilvl="0">
      <w:lvlJc w:val="left"/>
      <w:lvlText w:val="%1"/>
      <w:numFmt w:val="lowerLetter"/>
      <w:start w:val="1"/>
    </w:lvl>
    <w:lvl w:ilvl="1">
      <w:lvlJc w:val="left"/>
      <w:lvlText w:val="%2."/>
      <w:numFmt w:val="lowerLetter"/>
      <w:start w:val="7"/>
    </w:lvl>
  </w:abstractNum>
  <w:abstractNum w:abstractNumId="109">
    <w:nsid w:val="759F82CD"/>
    <w:multiLevelType w:val="hybridMultilevel"/>
    <w:lvl w:ilvl="0">
      <w:lvlJc w:val="left"/>
      <w:lvlText w:val="(%1)"/>
      <w:numFmt w:val="lowerLetter"/>
      <w:start w:val="4"/>
    </w:lvl>
    <w:lvl w:ilvl="1">
      <w:lvlJc w:val="left"/>
      <w:lvlText w:val="%2"/>
      <w:numFmt w:val="lowerLetter"/>
      <w:start w:val="1"/>
    </w:lvl>
  </w:abstractNum>
  <w:abstractNum w:abstractNumId="110">
    <w:nsid w:val="61E74EA3"/>
    <w:multiLevelType w:val="hybridMultilevel"/>
    <w:lvl w:ilvl="0">
      <w:lvlJc w:val="left"/>
      <w:lvlText w:val="%1."/>
      <w:numFmt w:val="decimal"/>
      <w:start w:val="1"/>
    </w:lvl>
  </w:abstractNum>
  <w:abstractNum w:abstractNumId="111">
    <w:nsid w:val="597B4D84"/>
    <w:multiLevelType w:val="hybridMultilevel"/>
    <w:lvl w:ilvl="0">
      <w:lvlJc w:val="left"/>
      <w:lvlText w:val="%1"/>
      <w:numFmt w:val="lowerLetter"/>
      <w:start w:val="1"/>
    </w:lvl>
    <w:lvl w:ilvl="1">
      <w:lvlJc w:val="left"/>
      <w:lvlText w:val="%2."/>
      <w:numFmt w:val="decimal"/>
      <w:start w:val="3"/>
    </w:lvl>
  </w:abstractNum>
  <w:abstractNum w:abstractNumId="112">
    <w:nsid w:val="F819E7F"/>
    <w:multiLevelType w:val="hybridMultilevel"/>
    <w:lvl w:ilvl="0">
      <w:lvlJc w:val="left"/>
      <w:lvlText w:val="%1."/>
      <w:numFmt w:val="lowerLetter"/>
      <w:start w:val="8"/>
    </w:lvl>
    <w:lvl w:ilvl="1">
      <w:lvlJc w:val="left"/>
      <w:lvlText w:val="%2"/>
      <w:numFmt w:val="decimal"/>
      <w:start w:val="1"/>
    </w:lvl>
  </w:abstractNum>
  <w:abstractNum w:abstractNumId="113">
    <w:nsid w:val="57C7D42D"/>
    <w:multiLevelType w:val="hybridMultilevel"/>
    <w:lvl w:ilvl="0">
      <w:lvlJc w:val="left"/>
      <w:lvlText w:val="%1."/>
      <w:numFmt w:val="lowerLetter"/>
      <w:start w:val="12"/>
    </w:lvl>
  </w:abstractNum>
  <w:abstractNum w:abstractNumId="114">
    <w:nsid w:val="312167AD"/>
    <w:multiLevelType w:val="hybridMultilevel"/>
    <w:lvl w:ilvl="0">
      <w:lvlJc w:val="left"/>
      <w:lvlText w:val="%1."/>
      <w:numFmt w:val="lowerLetter"/>
      <w:start w:val="17"/>
    </w:lvl>
  </w:abstractNum>
  <w:abstractNum w:abstractNumId="115">
    <w:nsid w:val="631B64D4"/>
    <w:multiLevelType w:val="hybridMultilevel"/>
    <w:lvl w:ilvl="0">
      <w:lvlJc w:val="left"/>
      <w:lvlText w:val="%1."/>
      <w:numFmt w:val="lowerLetter"/>
      <w:start w:val="20"/>
    </w:lvl>
    <w:lvl w:ilvl="1">
      <w:lvlJc w:val="left"/>
      <w:lvlText w:val="%2."/>
      <w:numFmt w:val="lowerRoman"/>
      <w:start w:val="1"/>
    </w:lvl>
    <w:lvl w:ilvl="2">
      <w:lvlJc w:val="left"/>
      <w:lvlText w:val="%3."/>
      <w:numFmt w:val="decimal"/>
      <w:start w:val="1"/>
    </w:lvl>
  </w:abstractNum>
  <w:abstractNum w:abstractNumId="116">
    <w:nsid w:val="78B5E776"/>
    <w:multiLevelType w:val="hybridMultilevel"/>
    <w:lvl w:ilvl="0">
      <w:lvlJc w:val="left"/>
      <w:lvlText w:val="%1"/>
      <w:numFmt w:val="lowerLetter"/>
      <w:start w:val="1"/>
    </w:lvl>
    <w:lvl w:ilvl="1">
      <w:lvlJc w:val="left"/>
      <w:lvlText w:val="%2."/>
      <w:numFmt w:val="lowerRoman"/>
      <w:start w:val="5"/>
    </w:lvl>
  </w:abstractNum>
  <w:abstractNum w:abstractNumId="117">
    <w:nsid w:val="75486E47"/>
    <w:multiLevelType w:val="hybridMultilevel"/>
    <w:lvl w:ilvl="0">
      <w:lvlJc w:val="left"/>
      <w:lvlText w:val="(%1)"/>
      <w:numFmt w:val="lowerLetter"/>
      <w:start w:val="5"/>
    </w:lvl>
    <w:lvl w:ilvl="1">
      <w:lvlJc w:val="left"/>
      <w:lvlText w:val="%2"/>
      <w:numFmt w:val="lowerRoman"/>
      <w:start w:val="1"/>
    </w:lvl>
  </w:abstractNum>
  <w:abstractNum w:abstractNumId="118">
    <w:nsid w:val="6E534CDE"/>
    <w:multiLevelType w:val="hybridMultilevel"/>
    <w:lvl w:ilvl="0">
      <w:lvlJc w:val="left"/>
      <w:lvlText w:val="%1."/>
      <w:numFmt w:val="lowerLetter"/>
      <w:start w:val="23"/>
    </w:lvl>
  </w:abstractNum>
  <w:abstractNum w:abstractNumId="119">
    <w:nsid w:val="1A0DDE32"/>
    <w:multiLevelType w:val="hybridMultilevel"/>
    <w:lvl w:ilvl="0">
      <w:lvlJc w:val="left"/>
      <w:lvlText w:val="%1."/>
      <w:numFmt w:val="lowerLetter"/>
      <w:start w:val="1"/>
    </w:lvl>
  </w:abstractNum>
  <w:abstractNum w:abstractNumId="120">
    <w:nsid w:val="65968C1C"/>
    <w:multiLevelType w:val="hybridMultilevel"/>
    <w:lvl w:ilvl="0">
      <w:lvlJc w:val="left"/>
      <w:lvlText w:val="%1"/>
      <w:numFmt w:val="lowerRoman"/>
      <w:start w:val="1"/>
    </w:lvl>
    <w:lvl w:ilvl="1">
      <w:lvlJc w:val="left"/>
      <w:lvlText w:val="%2."/>
      <w:numFmt w:val="lowerLetter"/>
      <w:start w:val="1"/>
    </w:lvl>
  </w:abstractNum>
  <w:abstractNum w:abstractNumId="121">
    <w:nsid w:val="46263DEC"/>
    <w:multiLevelType w:val="hybridMultilevel"/>
    <w:lvl w:ilvl="0">
      <w:lvlJc w:val="left"/>
      <w:lvlText w:val="(%1)"/>
      <w:numFmt w:val="lowerRoman"/>
      <w:start w:val="7"/>
    </w:lvl>
    <w:lvl w:ilvl="1">
      <w:lvlJc w:val="left"/>
      <w:lvlText w:val="%2"/>
      <w:numFmt w:val="lowerLetter"/>
      <w:start w:val="1"/>
    </w:lvl>
  </w:abstractNum>
  <w:abstractNum w:abstractNumId="122">
    <w:nsid w:val="260D8C4A"/>
    <w:multiLevelType w:val="hybridMultilevel"/>
    <w:lvl w:ilvl="0">
      <w:lvlJc w:val="left"/>
      <w:lvlText w:val="(%1)"/>
      <w:numFmt w:val="lowerRoman"/>
      <w:start w:val="4"/>
    </w:lvl>
    <w:lvl w:ilvl="1">
      <w:lvlJc w:val="left"/>
      <w:lvlText w:val="%2."/>
      <w:numFmt w:val="lowerLetter"/>
      <w:start w:val="6"/>
    </w:lvl>
    <w:lvl w:ilvl="2">
      <w:lvlJc w:val="left"/>
      <w:lvlText w:val="%3."/>
      <w:numFmt w:val="lowerRoman"/>
      <w:start w:val="1"/>
    </w:lvl>
  </w:abstractNum>
  <w:abstractNum w:abstractNumId="123">
    <w:nsid w:val="73D4D3C4"/>
    <w:multiLevelType w:val="hybridMultilevel"/>
    <w:lvl w:ilvl="0">
      <w:lvlJc w:val="left"/>
      <w:lvlText w:val="%1."/>
      <w:numFmt w:val="lowerLetter"/>
      <w:start w:val="1"/>
    </w:lvl>
  </w:abstractNum>
  <w:abstractNum w:abstractNumId="124">
    <w:nsid w:val="746F2E30"/>
    <w:multiLevelType w:val="hybridMultilevel"/>
    <w:lvl w:ilvl="0">
      <w:lvlJc w:val="left"/>
      <w:lvlText w:val="%1."/>
      <w:numFmt w:val="lowerLetter"/>
      <w:start w:val="3"/>
    </w:lvl>
  </w:abstractNum>
  <w:abstractNum w:abstractNumId="125">
    <w:nsid w:val="6FDE8AF6"/>
    <w:multiLevelType w:val="hybridMultilevel"/>
    <w:lvl w:ilvl="0">
      <w:lvlJc w:val="left"/>
      <w:lvlText w:val="%1."/>
      <w:numFmt w:val="lowerLetter"/>
      <w:start w:val="1"/>
    </w:lvl>
  </w:abstractNum>
  <w:abstractNum w:abstractNumId="126">
    <w:nsid w:val="3FC32E20"/>
    <w:multiLevelType w:val="hybridMultilevel"/>
    <w:lvl w:ilvl="0">
      <w:lvlJc w:val="left"/>
      <w:lvlText w:val="(%1)"/>
      <w:numFmt w:val="lowerRoman"/>
      <w:start w:val="1"/>
    </w:lvl>
    <w:lvl w:ilvl="1">
      <w:lvlJc w:val="left"/>
      <w:lvlText w:val="%2."/>
      <w:numFmt w:val="lowerRoman"/>
      <w:start w:val="1"/>
    </w:lvl>
  </w:abstractNum>
  <w:abstractNum w:abstractNumId="127">
    <w:nsid w:val="49C0E823"/>
    <w:multiLevelType w:val="hybridMultilevel"/>
    <w:lvl w:ilvl="0">
      <w:lvlJc w:val="left"/>
      <w:lvlText w:val="%1."/>
      <w:numFmt w:val="lowerLetter"/>
      <w:start w:val="3"/>
    </w:lvl>
    <w:lvl w:ilvl="1">
      <w:lvlJc w:val="left"/>
      <w:lvlText w:val="%2."/>
      <w:numFmt w:val="lowerRoman"/>
      <w:start w:val="1"/>
    </w:lvl>
  </w:abstractNum>
  <w:abstractNum w:abstractNumId="128">
    <w:nsid w:val="14D53685"/>
    <w:multiLevelType w:val="hybridMultilevel"/>
    <w:lvl w:ilvl="0">
      <w:lvlJc w:val="left"/>
      <w:lvlText w:val="%1."/>
      <w:numFmt w:val="lowerLetter"/>
      <w:start w:val="4"/>
    </w:lvl>
  </w:abstractNum>
  <w:abstractNum w:abstractNumId="129">
    <w:nsid w:val="230F856C"/>
    <w:multiLevelType w:val="hybridMultilevel"/>
    <w:lvl w:ilvl="0">
      <w:lvlJc w:val="left"/>
      <w:lvlText w:val="%1."/>
      <w:numFmt w:val="lowerLetter"/>
      <w:start w:val="7"/>
    </w:lvl>
  </w:abstractNum>
  <w:abstractNum w:abstractNumId="130">
    <w:nsid w:val="6EAA85FB"/>
    <w:multiLevelType w:val="hybridMultilevel"/>
    <w:lvl w:ilvl="0">
      <w:lvlJc w:val="left"/>
      <w:lvlText w:val="%1"/>
      <w:numFmt w:val="lowerLetter"/>
      <w:start w:val="1"/>
    </w:lvl>
    <w:lvl w:ilvl="1">
      <w:lvlJc w:val="left"/>
      <w:lvlText w:val="%2."/>
      <w:numFmt w:val="lowerLetter"/>
      <w:start w:val="9"/>
    </w:lvl>
  </w:abstractNum>
  <w:abstractNum w:abstractNumId="131">
    <w:nsid w:val="3F06ECB2"/>
    <w:multiLevelType w:val="hybridMultilevel"/>
    <w:lvl w:ilvl="0">
      <w:lvlJc w:val="left"/>
      <w:lvlText w:val="(%1)"/>
      <w:numFmt w:val="lowerLetter"/>
      <w:start w:val="2"/>
    </w:lvl>
    <w:lvl w:ilvl="1">
      <w:lvlJc w:val="left"/>
      <w:lvlText w:val="%2."/>
      <w:numFmt w:val="lowerLetter"/>
      <w:start w:val="11"/>
    </w:lvl>
  </w:abstractNum>
  <w:abstractNum w:abstractNumId="132">
    <w:nsid w:val="3B594807"/>
    <w:multiLevelType w:val="hybridMultilevel"/>
    <w:lvl w:ilvl="0">
      <w:lvlJc w:val="left"/>
      <w:lvlText w:val="%1"/>
      <w:numFmt w:val="lowerLetter"/>
      <w:start w:val="1"/>
    </w:lvl>
    <w:lvl w:ilvl="1">
      <w:lvlJc w:val="left"/>
      <w:lvlText w:val="%2."/>
      <w:numFmt w:val="lowerRoman"/>
      <w:start w:val="1"/>
    </w:lvl>
  </w:abstractNum>
  <w:abstractNum w:abstractNumId="133">
    <w:nsid w:val="6CAA2304"/>
    <w:multiLevelType w:val="hybridMultilevel"/>
    <w:lvl w:ilvl="0">
      <w:lvlJc w:val="left"/>
      <w:lvlText w:val="%1."/>
      <w:numFmt w:val="lowerLetter"/>
      <w:start w:val="12"/>
    </w:lvl>
    <w:lvl w:ilvl="1">
      <w:lvlJc w:val="left"/>
      <w:lvlText w:val="%2"/>
      <w:numFmt w:val="lowerRoman"/>
      <w:start w:val="1"/>
    </w:lvl>
  </w:abstractNum>
  <w:abstractNum w:abstractNumId="134">
    <w:nsid w:val="3F7C2FF4"/>
    <w:multiLevelType w:val="hybridMultilevel"/>
    <w:lvl w:ilvl="0">
      <w:lvlJc w:val="left"/>
      <w:lvlText w:val="%1."/>
      <w:numFmt w:val="lowerLetter"/>
      <w:start w:val="13"/>
    </w:lvl>
  </w:abstractNum>
  <w:abstractNum w:abstractNumId="135">
    <w:nsid w:val="25413BEC"/>
    <w:multiLevelType w:val="hybridMultilevel"/>
    <w:lvl w:ilvl="0">
      <w:lvlJc w:val="left"/>
      <w:lvlText w:val="%1."/>
      <w:numFmt w:val="lowerLetter"/>
      <w:start w:val="15"/>
    </w:lvl>
  </w:abstractNum>
  <w:abstractNum w:abstractNumId="136">
    <w:nsid w:val="17180B0B"/>
    <w:multiLevelType w:val="hybridMultilevel"/>
    <w:lvl w:ilvl="0">
      <w:lvlJc w:val="left"/>
      <w:lvlText w:val="%1."/>
      <w:numFmt w:val="lowerLetter"/>
      <w:start w:val="20"/>
    </w:lvl>
  </w:abstractNum>
  <w:abstractNum w:abstractNumId="137">
    <w:nsid w:val="579328B9"/>
    <w:multiLevelType w:val="hybridMultilevel"/>
    <w:lvl w:ilvl="0">
      <w:lvlJc w:val="left"/>
      <w:lvlText w:val="%1."/>
      <w:numFmt w:val="decimal"/>
      <w:start w:val="1"/>
    </w:lvl>
    <w:lvl w:ilvl="1">
      <w:lvlJc w:val="left"/>
      <w:lvlText w:val="%2."/>
      <w:numFmt w:val="lowerLetter"/>
      <w:start w:val="1"/>
    </w:lvl>
  </w:abstractNum>
  <w:abstractNum w:abstractNumId="138">
    <w:nsid w:val="5D205E20"/>
    <w:multiLevelType w:val="hybridMultilevel"/>
    <w:lvl w:ilvl="0">
      <w:lvlJc w:val="left"/>
      <w:lvlText w:val="%1"/>
      <w:numFmt w:val="decimal"/>
      <w:start w:val="1"/>
    </w:lvl>
    <w:lvl w:ilvl="1">
      <w:lvlJc w:val="left"/>
      <w:lvlText w:val="%2."/>
      <w:numFmt w:val="lowerLetter"/>
      <w:start w:val="7"/>
    </w:lvl>
  </w:abstractNum>
  <w:abstractNum w:abstractNumId="139">
    <w:nsid w:val="11CCA8BA"/>
    <w:multiLevelType w:val="hybridMultilevel"/>
    <w:lvl w:ilvl="0">
      <w:lvlJc w:val="left"/>
      <w:lvlText w:val="%1."/>
      <w:numFmt w:val="decimal"/>
      <w:start w:val="2"/>
    </w:lvl>
    <w:lvl w:ilvl="1">
      <w:lvlJc w:val="left"/>
      <w:lvlText w:val="%2"/>
      <w:numFmt w:val="lowerLetter"/>
      <w:start w:val="1"/>
    </w:lvl>
  </w:abstractNum>
  <w:abstractNum w:abstractNumId="140">
    <w:nsid w:val="4D32AB8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1">
    <w:nsid w:val="3F07ACC3"/>
    <w:multiLevelType w:val="hybridMultilevel"/>
    <w:lvl w:ilvl="0">
      <w:lvlJc w:val="left"/>
      <w:lvlText w:val="%1."/>
      <w:numFmt w:val="upperLetter"/>
      <w:start w:val="1"/>
    </w:lvl>
  </w:abstractNum>
  <w:abstractNum w:abstractNumId="142">
    <w:nsid w:val="6B47F63E"/>
    <w:multiLevelType w:val="hybridMultilevel"/>
    <w:lvl w:ilvl="0">
      <w:lvlJc w:val="left"/>
      <w:lvlText w:val="%1"/>
      <w:numFmt w:val="decimal"/>
      <w:start w:val="1"/>
    </w:lvl>
    <w:lvl w:ilvl="1">
      <w:lvlJc w:val="left"/>
      <w:lvlText w:val="%2."/>
      <w:numFmt w:val="lowerLetter"/>
      <w:start w:val="3"/>
    </w:lvl>
  </w:abstractNum>
  <w:abstractNum w:abstractNumId="143">
    <w:nsid w:val="5CB44A05"/>
    <w:multiLevelType w:val="hybridMultilevel"/>
    <w:lvl w:ilvl="0">
      <w:lvlJc w:val="left"/>
      <w:lvlText w:val="%1."/>
      <w:numFmt w:val="decimal"/>
      <w:start w:val="8"/>
    </w:lvl>
    <w:lvl w:ilvl="1">
      <w:lvlJc w:val="left"/>
      <w:lvlText w:val="%2"/>
      <w:numFmt w:val="lowerLetter"/>
      <w:start w:val="1"/>
    </w:lvl>
  </w:abstractNum>
  <w:abstractNum w:abstractNumId="144">
    <w:nsid w:val="16CF80F1"/>
    <w:multiLevelType w:val="hybridMultilevel"/>
    <w:lvl w:ilvl="0">
      <w:lvlJc w:val="left"/>
      <w:lvlText w:val="%1."/>
      <w:numFmt w:val="decimal"/>
      <w:start w:val="9"/>
    </w:lvl>
  </w:abstractNum>
  <w:abstractNum w:abstractNumId="145">
    <w:nsid w:val="1C695DEC"/>
    <w:multiLevelType w:val="hybridMultilevel"/>
    <w:lvl w:ilvl="0">
      <w:lvlJc w:val="left"/>
      <w:lvlText w:val="(%1)"/>
      <w:numFmt w:val="lowerLetter"/>
      <w:start w:val="1"/>
    </w:lvl>
    <w:lvl w:ilvl="1">
      <w:lvlJc w:val="left"/>
      <w:lvlText w:val="(%2)"/>
      <w:numFmt w:val="lowerRoman"/>
      <w:start w:val="1"/>
    </w:lvl>
  </w:abstractNum>
  <w:abstractNum w:abstractNumId="146">
    <w:nsid w:val="3FCFAED9"/>
    <w:multiLevelType w:val="hybridMultilevel"/>
    <w:lvl w:ilvl="0">
      <w:lvlJc w:val="left"/>
      <w:lvlText w:val="(%1)"/>
      <w:numFmt w:val="lowerLetter"/>
      <w:start w:val="5"/>
    </w:lvl>
  </w:abstractNum>
  <w:abstractNum w:abstractNumId="147">
    <w:nsid w:val="F856867"/>
    <w:multiLevelType w:val="hybridMultilevel"/>
    <w:lvl w:ilvl="0">
      <w:lvlJc w:val="left"/>
      <w:lvlText w:val="(%1)"/>
      <w:numFmt w:val="lowerLetter"/>
      <w:start w:val="1"/>
    </w:lvl>
  </w:abstractNum>
  <w:abstractNum w:abstractNumId="148">
    <w:nsid w:val="11B1CC33"/>
    <w:multiLevelType w:val="hybridMultilevel"/>
    <w:lvl w:ilvl="0">
      <w:lvlJc w:val="left"/>
      <w:lvlText w:val="%1."/>
      <w:numFmt w:val="lowerLetter"/>
      <w:start w:val="1"/>
    </w:lvl>
  </w:abstractNum>
  <w:abstractNum w:abstractNumId="149">
    <w:nsid w:val="2E22FBB7"/>
    <w:multiLevelType w:val="hybridMultilevel"/>
    <w:lvl w:ilvl="0">
      <w:lvlJc w:val="left"/>
      <w:lvlText w:val="%1."/>
      <w:numFmt w:val="decimal"/>
      <w:start w:val="2"/>
    </w:lvl>
  </w:abstractNum>
  <w:abstractNum w:abstractNumId="150">
    <w:nsid w:val="29934699"/>
    <w:multiLevelType w:val="hybridMultilevel"/>
    <w:lvl w:ilvl="0">
      <w:lvlJc w:val="left"/>
      <w:lvlText w:val="(%1)"/>
      <w:numFmt w:val="lowerLetter"/>
      <w:start w:val="1"/>
    </w:lvl>
  </w:abstractNum>
  <w:abstractNum w:abstractNumId="151">
    <w:nsid w:val="77485850"/>
    <w:multiLevelType w:val="hybridMultilevel"/>
    <w:lvl w:ilvl="0">
      <w:lvlJc w:val="left"/>
      <w:lvlText w:val="(%1)"/>
      <w:numFmt w:val="lowerLetter"/>
      <w:start w:val="2"/>
    </w:lvl>
  </w:abstractNum>
  <w:abstractNum w:abstractNumId="152">
    <w:nsid w:val="744939A3"/>
    <w:multiLevelType w:val="hybridMultilevel"/>
    <w:lvl w:ilvl="0">
      <w:lvlJc w:val="left"/>
      <w:lvlText w:val="%1."/>
      <w:numFmt w:val="upperLetter"/>
      <w:start w:val="1"/>
    </w:lvl>
  </w:abstractNum>
  <w:abstractNum w:abstractNumId="153">
    <w:nsid w:val="4FA0D2E3"/>
    <w:multiLevelType w:val="hybridMultilevel"/>
    <w:lvl w:ilvl="0">
      <w:lvlJc w:val="left"/>
      <w:lvlText w:val="%1."/>
      <w:numFmt w:val="decimal"/>
      <w:start w:val="1"/>
    </w:lvl>
  </w:abstractNum>
  <w:abstractNum w:abstractNumId="154">
    <w:nsid w:val="6B1D2C14"/>
    <w:multiLevelType w:val="hybridMultilevel"/>
    <w:lvl w:ilvl="0">
      <w:lvlJc w:val="left"/>
      <w:lvlText w:val="%1."/>
      <w:numFmt w:val="decimal"/>
      <w:start w:val="3"/>
    </w:lvl>
  </w:abstractNum>
  <w:abstractNum w:abstractNumId="155">
    <w:nsid w:val="68B867D3"/>
    <w:multiLevelType w:val="hybridMultilevel"/>
    <w:lvl w:ilvl="0">
      <w:lvlJc w:val="left"/>
      <w:lvlText w:val="(%1)"/>
      <w:numFmt w:val="lowerRoman"/>
      <w:start w:val="2"/>
    </w:lvl>
  </w:abstractNum>
  <w:abstractNum w:abstractNumId="156">
    <w:nsid w:val="3F7F5DD9"/>
    <w:multiLevelType w:val="hybridMultilevel"/>
    <w:lvl w:ilvl="0">
      <w:lvlJc w:val="left"/>
      <w:lvlText w:val="(%1)"/>
      <w:numFmt w:val="lowerRoman"/>
      <w:start w:val="2"/>
    </w:lvl>
  </w:abstractNum>
  <w:abstractNum w:abstractNumId="157">
    <w:nsid w:val="2AE05A34"/>
    <w:multiLevelType w:val="hybridMultilevel"/>
    <w:lvl w:ilvl="0">
      <w:lvlJc w:val="left"/>
      <w:lvlText w:val="(%1)"/>
      <w:numFmt w:val="lowerLetter"/>
      <w:start w:val="1"/>
    </w:lvl>
  </w:abstractNum>
  <w:abstractNum w:abstractNumId="158">
    <w:nsid w:val="32794FF7"/>
    <w:multiLevelType w:val="hybridMultilevel"/>
    <w:lvl w:ilvl="0">
      <w:lvlJc w:val="left"/>
      <w:lvlText w:val="(%1)"/>
      <w:numFmt w:val="lowerRoman"/>
      <w:start w:val="10"/>
    </w:lvl>
  </w:abstractNum>
  <w:abstractNum w:abstractNumId="159">
    <w:nsid w:val="5454945E"/>
    <w:multiLevelType w:val="hybridMultilevel"/>
    <w:lvl w:ilvl="0">
      <w:lvlJc w:val="left"/>
      <w:lvlText w:val="6"/>
      <w:numFmt w:val="bullet"/>
      <w:start w:val="1"/>
    </w:lvl>
  </w:abstractNum>
  <w:abstractNum w:abstractNumId="160">
    <w:nsid w:val="4DEFDFA0"/>
    <w:multiLevelType w:val="hybridMultilevel"/>
    <w:lvl w:ilvl="0">
      <w:lvlJc w:val="left"/>
      <w:lvlText w:val="7"/>
      <w:numFmt w:val="bullet"/>
      <w:start w:val="1"/>
    </w:lvl>
  </w:abstractNum>
  <w:abstractNum w:abstractNumId="161">
    <w:nsid w:val="2123D5F2"/>
    <w:multiLevelType w:val="hybridMultilevel"/>
    <w:lvl w:ilvl="0">
      <w:lvlJc w:val="left"/>
      <w:lvlText w:val="(%1)"/>
      <w:numFmt w:val="lowerRoman"/>
      <w:start w:val="1"/>
    </w:lvl>
  </w:abstractNum>
  <w:abstractNum w:abstractNumId="162">
    <w:nsid w:val="135B8110"/>
    <w:multiLevelType w:val="hybridMultilevel"/>
    <w:lvl w:ilvl="0">
      <w:lvlJc w:val="left"/>
      <w:lvlText w:val="(%1)"/>
      <w:numFmt w:val="lowerRoman"/>
      <w:start w:val="3"/>
    </w:lvl>
  </w:abstractNum>
  <w:abstractNum w:abstractNumId="163">
    <w:nsid w:val="94927A8"/>
    <w:multiLevelType w:val="hybridMultilevel"/>
    <w:lvl w:ilvl="0">
      <w:lvlJc w:val="left"/>
      <w:lvlText w:val="(%1)"/>
      <w:numFmt w:val="lowerLetter"/>
      <w:start w:val="2"/>
    </w:lvl>
  </w:abstractNum>
  <w:abstractNum w:abstractNumId="164">
    <w:nsid w:val="DCDF8F6"/>
    <w:multiLevelType w:val="hybridMultilevel"/>
    <w:lvl w:ilvl="0">
      <w:lvlJc w:val="left"/>
      <w:lvlText w:val="(%1)"/>
      <w:numFmt w:val="lowerLetter"/>
      <w:start w:val="5"/>
    </w:lvl>
  </w:abstractNum>
  <w:abstractNum w:abstractNumId="165">
    <w:nsid w:val="52D7B105"/>
    <w:multiLevelType w:val="hybridMultilevel"/>
    <w:lvl w:ilvl="0">
      <w:lvlJc w:val="left"/>
      <w:lvlText w:val="(%1)"/>
      <w:numFmt w:val="lowerLetter"/>
      <w:start w:val="1"/>
    </w:lvl>
  </w:abstractNum>
  <w:abstractNum w:abstractNumId="166">
    <w:nsid w:val="2E8A6394"/>
    <w:multiLevelType w:val="hybridMultilevel"/>
    <w:lvl w:ilvl="0">
      <w:lvlJc w:val="left"/>
      <w:lvlText w:val="%1"/>
      <w:numFmt w:val="decimal"/>
      <w:start w:val="1"/>
    </w:lvl>
    <w:lvl w:ilvl="1">
      <w:lvlJc w:val="left"/>
      <w:lvlText w:val="(%2)"/>
      <w:numFmt w:val="lowerLetter"/>
      <w:start w:val="4"/>
    </w:lvl>
  </w:abstractNum>
  <w:abstractNum w:abstractNumId="167">
    <w:nsid w:val="24E60401"/>
    <w:multiLevelType w:val="hybridMultilevel"/>
    <w:lvl w:ilvl="0">
      <w:lvlJc w:val="left"/>
      <w:lvlText w:val="(%1)"/>
      <w:numFmt w:val="decimal"/>
      <w:start w:val="5"/>
    </w:lvl>
    <w:lvl w:ilvl="1">
      <w:lvlJc w:val="left"/>
      <w:lvlText w:val="%2"/>
      <w:numFmt w:val="lowerLetter"/>
      <w:start w:val="1"/>
    </w:lvl>
  </w:abstractNum>
  <w:abstractNum w:abstractNumId="168">
    <w:nsid w:val="2A6AD9BE"/>
    <w:multiLevelType w:val="hybridMultilevel"/>
    <w:lvl w:ilvl="0">
      <w:lvlJc w:val="left"/>
      <w:lvlText w:val="(%1)"/>
      <w:numFmt w:val="lowerLetter"/>
      <w:start w:val="1"/>
    </w:lvl>
  </w:abstractNum>
  <w:abstractNum w:abstractNumId="169">
    <w:nsid w:val="BAAC1B4"/>
    <w:multiLevelType w:val="hybridMultilevel"/>
    <w:lvl w:ilvl="0">
      <w:lvlJc w:val="left"/>
      <w:lvlText w:val="(%1)"/>
      <w:numFmt w:val="lowerLetter"/>
      <w:start w:val="1"/>
    </w:lvl>
  </w:abstractNum>
  <w:abstractNum w:abstractNumId="170">
    <w:nsid w:val="36B2ACBC"/>
    <w:multiLevelType w:val="hybridMultilevel"/>
    <w:lvl w:ilvl="0">
      <w:lvlJc w:val="left"/>
      <w:lvlText w:val="(%1)"/>
      <w:numFmt w:val="lowerLetter"/>
      <w:start w:val="4"/>
    </w:lvl>
  </w:abstractNum>
  <w:abstractNum w:abstractNumId="171">
    <w:nsid w:val="779D8544"/>
    <w:multiLevelType w:val="hybridMultilevel"/>
    <w:lvl w:ilvl="0">
      <w:lvlJc w:val="left"/>
      <w:lvlText w:val="(%1)"/>
      <w:numFmt w:val="lowerLetter"/>
      <w:start w:val="1"/>
    </w:lvl>
  </w:abstractNum>
  <w:abstractNum w:abstractNumId="172">
    <w:nsid w:val="4AB26E78"/>
    <w:multiLevelType w:val="hybridMultilevel"/>
    <w:lvl w:ilvl="0">
      <w:lvlJc w:val="left"/>
      <w:lvlText w:val="(%1)"/>
      <w:numFmt w:val="lowerLetter"/>
      <w:start w:val="1"/>
    </w:lvl>
  </w:abstractNum>
  <w:abstractNum w:abstractNumId="173">
    <w:nsid w:val="21FAA2FA"/>
    <w:multiLevelType w:val="hybridMultilevel"/>
    <w:lvl w:ilvl="0">
      <w:lvlJc w:val="left"/>
      <w:lvlText w:val="(%1)"/>
      <w:numFmt w:val="lowerLetter"/>
      <w:start w:val="6"/>
    </w:lvl>
  </w:abstractNum>
  <w:abstractNum w:abstractNumId="174">
    <w:nsid w:val="5451CF49"/>
    <w:multiLevelType w:val="hybridMultilevel"/>
    <w:lvl w:ilvl="0">
      <w:lvlJc w:val="left"/>
      <w:lvlText w:val="(%1)"/>
      <w:numFmt w:val="lowerLetter"/>
      <w:start w:val="8"/>
    </w:lvl>
  </w:abstractNum>
  <w:abstractNum w:abstractNumId="175">
    <w:nsid w:val="6181EF69"/>
    <w:multiLevelType w:val="hybridMultilevel"/>
    <w:lvl w:ilvl="0">
      <w:lvlJc w:val="left"/>
      <w:lvlText w:val="(%1)"/>
      <w:numFmt w:val="lowerLetter"/>
      <w:start w:val="16"/>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272" Type="http://schemas.openxmlformats.org/officeDocument/2006/relationships/hyperlink" Target="https://www.sec.gov/Archives/edgar/data/1579428/000095017022005231/axsm-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2022-05-02T16:31:14Z</dcterms:created>
  <dcterms:modified xsi:type="dcterms:W3CDTF">2022-05-02T16:31:14Z</dcterms:modified>
</cp:coreProperties>
</file>