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20, 2017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538"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001-37635</w:t>
      </w:r>
    </w:p>
    <w:p>
      <w:pPr>
        <w:spacing w:after="0" w:line="3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45-4241907</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538" w:right="259" w:bottom="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25 Broadway, 9th Floor</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10004</w:t>
      </w:r>
    </w:p>
    <w:p>
      <w:pPr>
        <w:spacing w:after="0" w:line="31"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538" w:right="259" w:bottom="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4"/>
          <w:szCs w:val="24"/>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color w:val="auto"/>
        </w:rPr>
        <w:t>On October 20, 2017, Axsome Therapeutics, Inc. (the “Company”) entered into a Sales Agreement (the “Agreement”) with Leerink Partners LLC (“Leerink”) with respect to an at the market offering program, under which the Company may, from time to time in its sole discretion, issue and sell through Leerink, acting as agent, up to $30.0 million of shares of the Company’s common stock, par value $0.0001 per share (the “Placement Shares”). The issuance and sale, if any, of the Placement Shares by the Company under the Agreement will be made pursuant to a prospectus supplement to the Company’s</w:t>
      </w:r>
    </w:p>
    <w:p>
      <w:pPr>
        <w:sectPr>
          <w:pgSz w:w="11900" w:h="16838" w:orient="portrait"/>
          <w:cols w:equalWidth="0" w:num="1">
            <w:col w:w="11400"/>
          </w:cols>
          <w:pgMar w:left="240" w:top="538" w:right="259" w:bottom="0" w:gutter="0" w:footer="0" w:header="0"/>
          <w:type w:val="continuous"/>
        </w:sectPr>
      </w:pPr>
    </w:p>
    <w:bookmarkStart w:id="1" w:name="page2"/>
    <w:bookmarkEnd w:id="1"/>
    <w:p>
      <w:pPr>
        <w:spacing w:after="0" w:line="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registration statement on Form S-3, originally filed with the Securities and Exchange Commission (the “SEC”) on December 1, 2016, and declared effective by the SEC on December 16, 2016.</w:t>
      </w:r>
    </w:p>
    <w:p>
      <w:pPr>
        <w:spacing w:after="0" w:line="162" w:lineRule="exact"/>
        <w:rPr>
          <w:sz w:val="20"/>
          <w:szCs w:val="20"/>
          <w:color w:val="auto"/>
        </w:rPr>
      </w:pPr>
    </w:p>
    <w:p>
      <w:pPr>
        <w:ind w:right="200" w:firstLine="881"/>
        <w:spacing w:after="0" w:line="255" w:lineRule="auto"/>
        <w:rPr>
          <w:sz w:val="20"/>
          <w:szCs w:val="20"/>
          <w:color w:val="auto"/>
        </w:rPr>
      </w:pPr>
      <w:r>
        <w:rPr>
          <w:rFonts w:ascii="Times New Roman" w:cs="Times New Roman" w:eastAsia="Times New Roman" w:hAnsi="Times New Roman"/>
          <w:sz w:val="18"/>
          <w:szCs w:val="18"/>
          <w:color w:val="auto"/>
        </w:rPr>
        <w:t>Pursuant to the Agreement, Leerink may sell the Placement Shares by any method permitted by law deemed to be an “at the market” offering as defined in Rule 415 of the Securities Act of 1933, as amended (the “Securities Act”), including, without limitation, sales made directly on or through the NASDAQ Global Market, on or through any other existing trading market for the Company’s common stock or to or through a market maker. Leerink will use commercially reasonable efforts consistent with its normal trading and sales practices to sell the Placement Shares from time to time, based upon instructions from the Company (including any price or size limits or other customary parameters or conditions the Company may impose). Leerink shall not purchase any Placement Shares on a principal basis pursuant to the Agreement unless the Company and Leerink enter into a separate written agreement setting forth the terms of such sale.</w:t>
      </w:r>
    </w:p>
    <w:p>
      <w:pPr>
        <w:spacing w:after="0" w:line="189" w:lineRule="exact"/>
        <w:rPr>
          <w:sz w:val="20"/>
          <w:szCs w:val="20"/>
          <w:color w:val="auto"/>
        </w:rPr>
      </w:pPr>
    </w:p>
    <w:p>
      <w:pPr>
        <w:ind w:right="120" w:firstLine="881"/>
        <w:spacing w:after="0" w:line="282" w:lineRule="auto"/>
        <w:rPr>
          <w:sz w:val="20"/>
          <w:szCs w:val="20"/>
          <w:color w:val="auto"/>
        </w:rPr>
      </w:pPr>
      <w:r>
        <w:rPr>
          <w:rFonts w:ascii="Times New Roman" w:cs="Times New Roman" w:eastAsia="Times New Roman" w:hAnsi="Times New Roman"/>
          <w:sz w:val="18"/>
          <w:szCs w:val="18"/>
          <w:color w:val="auto"/>
        </w:rPr>
        <w:t>The Company will pay Leerink a commission of 3.0% of the gross sales proceeds of any Placement Shares sold through Leerink, acting as agent, under the Agreement.</w:t>
      </w:r>
    </w:p>
    <w:p>
      <w:pPr>
        <w:spacing w:after="0" w:line="162" w:lineRule="exact"/>
        <w:rPr>
          <w:sz w:val="20"/>
          <w:szCs w:val="20"/>
          <w:color w:val="auto"/>
        </w:rPr>
      </w:pPr>
    </w:p>
    <w:p>
      <w:pPr>
        <w:ind w:right="380" w:firstLine="881"/>
        <w:spacing w:after="0" w:line="266" w:lineRule="auto"/>
        <w:rPr>
          <w:sz w:val="20"/>
          <w:szCs w:val="20"/>
          <w:color w:val="auto"/>
        </w:rPr>
      </w:pPr>
      <w:r>
        <w:rPr>
          <w:rFonts w:ascii="Times New Roman" w:cs="Times New Roman" w:eastAsia="Times New Roman" w:hAnsi="Times New Roman"/>
          <w:sz w:val="18"/>
          <w:szCs w:val="18"/>
          <w:color w:val="auto"/>
        </w:rPr>
        <w:t>The Company is not obligated to make any sales of Placement Shares under the Agreement. The offering of Placement Shares pursuant to the Agreement will terminate upon the earlier to occur of (i) the issuance and sale, through Leerink, of all Placement Shares subject to the Agreement and (ii) termination of the Agreement in accordance with its terms.</w:t>
      </w:r>
    </w:p>
    <w:p>
      <w:pPr>
        <w:spacing w:after="0" w:line="176" w:lineRule="exact"/>
        <w:rPr>
          <w:sz w:val="20"/>
          <w:szCs w:val="20"/>
          <w:color w:val="auto"/>
        </w:rPr>
      </w:pPr>
    </w:p>
    <w:p>
      <w:pPr>
        <w:ind w:right="160" w:firstLine="881"/>
        <w:spacing w:after="0" w:line="282" w:lineRule="auto"/>
        <w:rPr>
          <w:sz w:val="20"/>
          <w:szCs w:val="20"/>
          <w:color w:val="auto"/>
        </w:rPr>
      </w:pPr>
      <w:r>
        <w:rPr>
          <w:rFonts w:ascii="Times New Roman" w:cs="Times New Roman" w:eastAsia="Times New Roman" w:hAnsi="Times New Roman"/>
          <w:sz w:val="18"/>
          <w:szCs w:val="18"/>
          <w:color w:val="auto"/>
        </w:rPr>
        <w:t>The Agreement contains representations, warranties and covenants that are customary for transactions of this type. In addition, the Company has agreed to indemnify Leerink against certain liabilities, including liabilities under the Securities Act and the Securities Exchange Act of 1934, as amended.</w:t>
      </w:r>
    </w:p>
    <w:p>
      <w:pPr>
        <w:spacing w:after="0" w:line="162" w:lineRule="exact"/>
        <w:rPr>
          <w:sz w:val="20"/>
          <w:szCs w:val="20"/>
          <w:color w:val="auto"/>
        </w:rPr>
      </w:pPr>
    </w:p>
    <w:p>
      <w:pPr>
        <w:ind w:right="240" w:firstLine="88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is not complete and is qualified in its entirety by reference to the full text of the Agreement, a copy of which is filed herewith as Exhibit 1.1 to this Current Report on Form 8-K and is incorporated herein by reference.</w:t>
      </w:r>
    </w:p>
    <w:p>
      <w:pPr>
        <w:spacing w:after="0" w:line="162" w:lineRule="exact"/>
        <w:rPr>
          <w:sz w:val="20"/>
          <w:szCs w:val="20"/>
          <w:color w:val="auto"/>
        </w:rPr>
      </w:pPr>
    </w:p>
    <w:p>
      <w:pPr>
        <w:ind w:right="120" w:firstLine="881"/>
        <w:spacing w:after="0" w:line="282" w:lineRule="auto"/>
        <w:rPr>
          <w:sz w:val="20"/>
          <w:szCs w:val="20"/>
          <w:color w:val="auto"/>
        </w:rPr>
      </w:pPr>
      <w:r>
        <w:rPr>
          <w:rFonts w:ascii="Times New Roman" w:cs="Times New Roman" w:eastAsia="Times New Roman" w:hAnsi="Times New Roman"/>
          <w:sz w:val="18"/>
          <w:szCs w:val="18"/>
          <w:color w:val="auto"/>
        </w:rPr>
        <w:t>The legal opinion of Morgan, Lewis &amp; Bockius LLP as to the legality of the Placement Shares is being filed as Exhibit 5.1 to this Current Report on Form 8-K.</w:t>
      </w:r>
    </w:p>
    <w:p>
      <w:pPr>
        <w:spacing w:after="0" w:line="162" w:lineRule="exact"/>
        <w:rPr>
          <w:sz w:val="20"/>
          <w:szCs w:val="20"/>
          <w:color w:val="auto"/>
        </w:rPr>
      </w:pPr>
    </w:p>
    <w:p>
      <w:pPr>
        <w:ind w:right="100" w:firstLine="881"/>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securities discussed herein, nor shall there be any offer, solicitation or sale of the securities in any jurisdiction in which such offer, solicitation or sale would be unlawful prior to registration or qualification under the securities laws of any such jurisdiction.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340" w:type="dxa"/>
            <w:vAlign w:val="bottom"/>
            <w:gridSpan w:val="4"/>
          </w:tcPr>
          <w:p>
            <w:pPr>
              <w:jc w:val="center"/>
              <w:ind w:left="3670"/>
              <w:spacing w:after="0"/>
              <w:rPr>
                <w:sz w:val="20"/>
                <w:szCs w:val="20"/>
                <w:color w:val="auto"/>
              </w:rPr>
            </w:pPr>
            <w:r>
              <w:rPr>
                <w:rFonts w:ascii="Times New Roman" w:cs="Times New Roman" w:eastAsia="Times New Roman" w:hAnsi="Times New Roman"/>
                <w:sz w:val="18"/>
                <w:szCs w:val="18"/>
                <w:color w:val="auto"/>
              </w:rPr>
              <w:t>2</w:t>
            </w:r>
          </w:p>
        </w:tc>
        <w:tc>
          <w:tcPr>
            <w:tcW w:w="30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150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304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114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4"/>
                <w:szCs w:val="24"/>
                <w:color w:val="auto"/>
              </w:rPr>
            </w:pPr>
          </w:p>
        </w:tc>
        <w:tc>
          <w:tcPr>
            <w:tcW w:w="9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Sales Agreement dated October 20, 2017 by and between Axsome Therapeutics, Inc. and Leerink Partners LLC</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4"/>
                <w:szCs w:val="24"/>
                <w:color w:val="auto"/>
              </w:rPr>
            </w:pPr>
          </w:p>
        </w:tc>
        <w:tc>
          <w:tcPr>
            <w:tcW w:w="9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Opinion of Morgan, Lewis &amp; Bockius LLP</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24"/>
                <w:szCs w:val="24"/>
                <w:color w:val="auto"/>
              </w:rPr>
            </w:pPr>
          </w:p>
        </w:tc>
        <w:tc>
          <w:tcPr>
            <w:tcW w:w="9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Consent of Morgan, Lewis &amp; Bockius LLP (contained in Exhibit 5.1)</w:t>
            </w:r>
          </w:p>
        </w:tc>
      </w:tr>
      <w:tr>
        <w:trPr>
          <w:trHeight w:val="432"/>
        </w:trPr>
        <w:tc>
          <w:tcPr>
            <w:tcW w:w="1160" w:type="dxa"/>
            <w:vAlign w:val="bottom"/>
          </w:tcPr>
          <w:p>
            <w:pPr>
              <w:spacing w:after="0"/>
              <w:rPr>
                <w:sz w:val="24"/>
                <w:szCs w:val="24"/>
                <w:color w:val="auto"/>
              </w:rPr>
            </w:pPr>
          </w:p>
        </w:tc>
        <w:tc>
          <w:tcPr>
            <w:tcW w:w="5340" w:type="dxa"/>
            <w:vAlign w:val="bottom"/>
            <w:gridSpan w:val="4"/>
          </w:tcPr>
          <w:p>
            <w:pPr>
              <w:jc w:val="center"/>
              <w:ind w:left="3670"/>
              <w:spacing w:after="0"/>
              <w:rPr>
                <w:sz w:val="20"/>
                <w:szCs w:val="20"/>
                <w:color w:val="auto"/>
              </w:rPr>
            </w:pPr>
            <w:r>
              <w:rPr>
                <w:rFonts w:ascii="Times New Roman" w:cs="Times New Roman" w:eastAsia="Times New Roman" w:hAnsi="Times New Roman"/>
                <w:sz w:val="18"/>
                <w:szCs w:val="18"/>
                <w:color w:val="auto"/>
              </w:rPr>
              <w:t>3</w:t>
            </w:r>
          </w:p>
        </w:tc>
        <w:tc>
          <w:tcPr>
            <w:tcW w:w="3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304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gridSpan w:val="2"/>
          </w:tcPr>
          <w:p>
            <w:pPr>
              <w:spacing w:after="0"/>
              <w:rPr>
                <w:sz w:val="11"/>
                <w:szCs w:val="11"/>
                <w:color w:val="auto"/>
              </w:rPr>
            </w:pPr>
          </w:p>
        </w:tc>
      </w:tr>
      <w:tr>
        <w:trPr>
          <w:trHeight w:val="780"/>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860" w:type="dxa"/>
            <w:vAlign w:val="bottom"/>
            <w:gridSpan w:val="4"/>
          </w:tcPr>
          <w:p>
            <w:pPr>
              <w:jc w:val="center"/>
              <w:ind w:right="46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4"/>
                <w:szCs w:val="24"/>
                <w:color w:val="auto"/>
              </w:rPr>
            </w:pPr>
          </w:p>
        </w:tc>
        <w:tc>
          <w:tcPr>
            <w:tcW w:w="9960" w:type="dxa"/>
            <w:vAlign w:val="bottom"/>
            <w:gridSpan w:val="6"/>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Sales Agreement dated October 20, 2017 by and between Axsome Therapeutics, Inc. and Leerink Partners LLC</w:t>
              </w:r>
            </w:hyperlink>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4"/>
                <w:szCs w:val="24"/>
                <w:color w:val="auto"/>
              </w:rPr>
            </w:pPr>
          </w:p>
        </w:tc>
        <w:tc>
          <w:tcPr>
            <w:tcW w:w="804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Consent of Morgan, Lewis &amp; Bockius LLP</w:t>
              </w:r>
            </w:hyperlink>
          </w:p>
        </w:tc>
        <w:tc>
          <w:tcPr>
            <w:tcW w:w="1920" w:type="dxa"/>
            <w:vAlign w:val="bottom"/>
            <w:gridSpan w:val="2"/>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24"/>
                <w:szCs w:val="24"/>
                <w:color w:val="auto"/>
              </w:rPr>
            </w:pPr>
          </w:p>
        </w:tc>
        <w:tc>
          <w:tcPr>
            <w:tcW w:w="9960" w:type="dxa"/>
            <w:vAlign w:val="bottom"/>
            <w:gridSpan w:val="6"/>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Consent of Morgan, Lewis &amp; Bockius LLP (contained in Exhibit 5.1)</w:t>
              </w:r>
            </w:hyperlink>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4980" w:type="dxa"/>
            <w:vAlign w:val="bottom"/>
            <w:tcBorders>
              <w:top w:val="single" w:sz="8" w:color="0000EE"/>
            </w:tcBorders>
            <w:gridSpan w:val="2"/>
          </w:tcPr>
          <w:p>
            <w:pPr>
              <w:jc w:val="center"/>
              <w:ind w:left="3310"/>
              <w:spacing w:after="0"/>
              <w:rPr>
                <w:sz w:val="20"/>
                <w:szCs w:val="20"/>
                <w:color w:val="auto"/>
              </w:rPr>
            </w:pPr>
            <w:r>
              <w:rPr>
                <w:rFonts w:ascii="Times New Roman" w:cs="Times New Roman" w:eastAsia="Times New Roman" w:hAnsi="Times New Roman"/>
                <w:sz w:val="18"/>
                <w:szCs w:val="18"/>
                <w:color w:val="auto"/>
              </w:rPr>
              <w:t>4</w:t>
            </w:r>
          </w:p>
        </w:tc>
        <w:tc>
          <w:tcPr>
            <w:tcW w:w="3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304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-4163060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-4163060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-1958975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-1958975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20, 2017</w:t>
      </w:r>
    </w:p>
    <w:p>
      <w:pPr>
        <w:spacing w:after="0" w:line="225"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Herriot Tabuteau, M.D.</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ectPr>
          <w:pgSz w:w="11900" w:h="16848" w:orient="portrait"/>
          <w:cols w:equalWidth="0" w:num="1">
            <w:col w:w="11460"/>
          </w:cols>
          <w:pgMar w:left="240" w:top="121" w:right="199" w:bottom="0" w:gutter="0" w:footer="0" w:header="0"/>
        </w:sectPr>
      </w:pPr>
    </w:p>
    <w:bookmarkStart w:id="2" w:name="page3"/>
    <w:bookmarkEnd w:id="2"/>
    <w:p>
      <w:pPr>
        <w:jc w:val="right"/>
        <w:ind w:right="187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($0.0001 par value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8"/>
          <w:szCs w:val="18"/>
          <w:color w:val="auto"/>
        </w:rPr>
        <w:t>October 20,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22" w:lineRule="auto"/>
        <w:rPr>
          <w:sz w:val="20"/>
          <w:szCs w:val="20"/>
          <w:color w:val="auto"/>
        </w:rPr>
      </w:pPr>
      <w:r>
        <w:rPr>
          <w:rFonts w:ascii="Times New Roman" w:cs="Times New Roman" w:eastAsia="Times New Roman" w:hAnsi="Times New Roman"/>
          <w:sz w:val="18"/>
          <w:szCs w:val="18"/>
          <w:color w:val="auto"/>
        </w:rPr>
        <w:t>299 Park Avenue,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Axsome Therapeutics,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Leerink Partners LLC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as follows:</w:t>
      </w:r>
    </w:p>
    <w:p>
      <w:pPr>
        <w:spacing w:after="0" w:line="159" w:lineRule="exact"/>
        <w:rPr>
          <w:sz w:val="20"/>
          <w:szCs w:val="20"/>
          <w:color w:val="auto"/>
        </w:rPr>
      </w:pPr>
    </w:p>
    <w:p>
      <w:pPr>
        <w:ind w:right="140" w:firstLine="656"/>
        <w:spacing w:after="0" w:line="255" w:lineRule="auto"/>
        <w:tabs>
          <w:tab w:leader="none" w:pos="129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the Agent up to $30.0 million of shares of common stock, $0.0001 par value per share, of the Company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subject to the limitations set forth in Section 5(c)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Notwithstanding anything to the contrary contained herein, the parties hereto agree that compliance with the limitation set forth in this Section 1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filed by the Company and declared effective by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on December 16, 2016, although nothing in this Agreement shall be construed as requiring the Company to issue any Placement Shares.</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prepared and filed, in accordance with the provisions of the Securities Act of 1933, as amended, and the rules and regulations thereunder (collectively,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with the Commission a registration statement on Form S-3 (File No. 333-214859),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The Company has prepared a prospectus supplement to the base prospectus included as part of such registration statement at the time the registration statement became effective, which prospectus supplement specifically relates to the Placement Shares to be issued from time to time pursuant to this Agreement (the “</w:t>
      </w:r>
      <w:r>
        <w:rPr>
          <w:rFonts w:ascii="Times New Roman" w:cs="Times New Roman" w:eastAsia="Times New Roman" w:hAnsi="Times New Roman"/>
          <w:sz w:val="18"/>
          <w:szCs w:val="18"/>
          <w:b w:val="1"/>
          <w:bCs w:val="1"/>
          <w:u w:val="single" w:color="auto"/>
          <w:color w:val="auto"/>
        </w:rPr>
        <w:t>Prospectus Supplement</w:t>
      </w:r>
      <w:r>
        <w:rPr>
          <w:rFonts w:ascii="Times New Roman" w:cs="Times New Roman" w:eastAsia="Times New Roman" w:hAnsi="Times New Roman"/>
          <w:sz w:val="18"/>
          <w:szCs w:val="18"/>
          <w:color w:val="auto"/>
        </w:rPr>
        <w:t>”). The Company will furnish to the Agent, for use by the Agent, copies of the base prospectus included as part of such registration statement at the time it became effective, as supplemented by the Prospectus Supplement. Except where the context otherwise requires, such registration statement,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is herein called the “</w:t>
      </w:r>
      <w:r>
        <w:rPr>
          <w:rFonts w:ascii="Times New Roman" w:cs="Times New Roman" w:eastAsia="Times New Roman" w:hAnsi="Times New Roman"/>
          <w:sz w:val="18"/>
          <w:szCs w:val="18"/>
          <w:b w:val="1"/>
          <w:bCs w:val="1"/>
          <w:u w:val="single" w:color="auto"/>
          <w:color w:val="auto"/>
        </w:rPr>
        <w:t>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6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Statement</w:t>
      </w:r>
      <w:r>
        <w:rPr>
          <w:rFonts w:ascii="Times New Roman" w:cs="Times New Roman" w:eastAsia="Times New Roman" w:hAnsi="Times New Roman"/>
          <w:sz w:val="18"/>
          <w:szCs w:val="18"/>
          <w:color w:val="auto"/>
        </w:rPr>
        <w:t>.” The base prospectus, including all documents incorporated therein by reference, included in the Registration Statement, as it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any Placement Shares through the Agent hereunder (each, a</w:t>
      </w:r>
    </w:p>
    <w:p>
      <w:pPr>
        <w:spacing w:after="0" w:line="2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Placement</w:t>
      </w:r>
      <w:r>
        <w:rPr>
          <w:rFonts w:ascii="Times New Roman" w:cs="Times New Roman" w:eastAsia="Times New Roman" w:hAnsi="Times New Roman"/>
          <w:sz w:val="17"/>
          <w:szCs w:val="17"/>
          <w:color w:val="auto"/>
        </w:rPr>
        <w:t>”), it will notify the Agent by email notice (or other method mutually agreed to in writing by the parties) (each such notice, a “</w:t>
      </w:r>
      <w:r>
        <w:rPr>
          <w:rFonts w:ascii="Times New Roman" w:cs="Times New Roman" w:eastAsia="Times New Roman" w:hAnsi="Times New Roman"/>
          <w:sz w:val="17"/>
          <w:szCs w:val="17"/>
          <w:b w:val="1"/>
          <w:bCs w:val="1"/>
          <w:u w:val="single" w:color="auto"/>
          <w:color w:val="auto"/>
        </w:rPr>
        <w:t>Placement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Notice</w:t>
      </w:r>
      <w:r>
        <w:rPr>
          <w:rFonts w:ascii="Times New Roman" w:cs="Times New Roman" w:eastAsia="Times New Roman" w:hAnsi="Times New Roman"/>
          <w:sz w:val="17"/>
          <w:szCs w:val="17"/>
          <w:color w:val="auto"/>
        </w:rPr>
        <w:t>”) containing the parameters in accordance with which it desires such Placement Shares to be sold, which at a minimum shall include the maximum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Times New Roman" w:cs="Times New Roman" w:eastAsia="Times New Roman" w:hAnsi="Times New Roman"/>
          <w:sz w:val="17"/>
          <w:szCs w:val="17"/>
          <w:b w:val="1"/>
          <w:bCs w:val="1"/>
          <w:u w:val="single" w:color="auto"/>
          <w:color w:val="auto"/>
        </w:rPr>
        <w:t>Schedule 1</w:t>
      </w:r>
      <w:r>
        <w:rPr>
          <w:rFonts w:ascii="Times New Roman" w:cs="Times New Roman" w:eastAsia="Times New Roman" w:hAnsi="Times New Roman"/>
          <w:sz w:val="17"/>
          <w:szCs w:val="17"/>
          <w:color w:val="auto"/>
        </w:rPr>
        <w:t xml:space="preserve">. The Placement Notice must originate from one of the individuals authorized to act on behalf of the Company and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(with a copy to each of the other individuals from the Company listed on such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and shall be addressed to each of the individuals from the Agent set forth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as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be updated by either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from time to time by sending a written notice containing a revised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to the other party in the manner provided in Section 12 (including by email correspondence to each of the individuals of the Company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w:t>
      </w:r>
    </w:p>
    <w:p>
      <w:pPr>
        <w:sectPr>
          <w:pgSz w:w="11900" w:h="16849" w:orient="portrait"/>
          <w:cols w:equalWidth="0" w:num="1">
            <w:col w:w="11420"/>
          </w:cols>
          <w:pgMar w:left="240" w:top="117" w:right="239" w:bottom="0" w:gutter="0" w:footer="0" w:header="0"/>
        </w:sectPr>
      </w:pPr>
    </w:p>
    <w:bookmarkStart w:id="4" w:name="page5"/>
    <w:bookmarkEnd w:id="4"/>
    <w:p>
      <w:pPr>
        <w:spacing w:after="0" w:line="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reason in its sole discretion, (v) the Company issues a subsequent Placement Notice and explicitly indicates that its parameters supersede those contained in the earlier dated Placement Notice or (vi) this Agreement has been terminated pursuant to the provisions of Section 11. The amount of any discount, commission or other compensation to be paid by the Company to the Agent in connection with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the sale of the Placement Shares effected through the Agent shall be calculated in accordance with the terms set forth in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184" w:lineRule="exact"/>
        <w:rPr>
          <w:sz w:val="20"/>
          <w:szCs w:val="20"/>
          <w:color w:val="auto"/>
        </w:rPr>
      </w:pPr>
    </w:p>
    <w:p>
      <w:pPr>
        <w:ind w:right="20" w:firstLine="656"/>
        <w:spacing w:after="0" w:line="252" w:lineRule="auto"/>
        <w:tabs>
          <w:tab w:leader="none" w:pos="12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Agent</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including, without limitation,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Market (“</w:t>
      </w:r>
      <w:r>
        <w:rPr>
          <w:rFonts w:ascii="Times New Roman" w:cs="Times New Roman" w:eastAsia="Times New Roman" w:hAnsi="Times New Roman"/>
          <w:sz w:val="18"/>
          <w:szCs w:val="18"/>
          <w:b w:val="1"/>
          <w:bCs w:val="1"/>
          <w:u w:val="single" w:color="auto"/>
          <w:color w:val="auto"/>
        </w:rPr>
        <w:t>Nasdaq</w:t>
      </w:r>
      <w:r>
        <w:rPr>
          <w:rFonts w:ascii="Times New Roman" w:cs="Times New Roman" w:eastAsia="Times New Roman" w:hAnsi="Times New Roman"/>
          <w:sz w:val="18"/>
          <w:szCs w:val="18"/>
          <w:color w:val="auto"/>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 of the Securities Act, including, without limitation, sales made directly on or through Nasdaq, on or through any other existing trading market for the Shares or to or through a market maker. If expressly authorized by the Company (including in a Placement Notice), the Agent may also sell Placement Shares in negotiated transactions. Notwithstanding the provisions of Section 6(tt),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Shares are purchased and sold on Nasdaq.</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56"/>
        <w:spacing w:after="0" w:line="258" w:lineRule="auto"/>
        <w:tabs>
          <w:tab w:leader="none" w:pos="12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suspend any sale of Placement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suspension shall not affect or impair either party’s obligations with respect to any Placement Shares sold hereunder prior to the receipt of such notice. Each</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of the parties agrees that no such notice under this Section 4 shall be effective against the other party unless notice is sent by one of the individuals named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to the other party in writing (including by email correspondence to each of the individuals of the other party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of such correspondence is actually acknowledged by any of the individuals to whom the notice is sent, other than via auto-reply).</w:t>
      </w:r>
    </w:p>
    <w:p>
      <w:pPr>
        <w:spacing w:after="0" w:line="176" w:lineRule="exact"/>
        <w:rPr>
          <w:sz w:val="20"/>
          <w:szCs w:val="20"/>
          <w:color w:val="auto"/>
        </w:rPr>
      </w:pPr>
    </w:p>
    <w:p>
      <w:pPr>
        <w:ind w:firstLine="656"/>
        <w:spacing w:after="0" w:line="261" w:lineRule="auto"/>
        <w:tabs>
          <w:tab w:leader="none" w:pos="13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during any period in which the Company is, or could be deemed to be,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spacing w:after="0" w:line="180"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and Delivery of the Placement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56"/>
        <w:spacing w:after="0" w:line="255" w:lineRule="auto"/>
        <w:tabs>
          <w:tab w:leader="none" w:pos="12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color w:val="auto"/>
        </w:rPr>
        <w:t>. Unless otherwise specified in the applicable Placement Notice, settlement for sales of Placement Shares will occur on the second Trading Day (or such earlier day as is industry practice or as is required for regular-way trading)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will be equal to the aggregate gross sales price received by the Agent at which such Placement Shares were sold, after deduction of (i) the Agent’s commission, discount or other compensation for such sales payable by the Company pursuant to Section 2 hereof, (ii) any other amounts due and payable by the Company to the Agent hereunder pursuant to Section 7(g) hereof and (iii) any transaction fees imposed by any governmental or self-regulatory organization in respect of such sales.</w:t>
      </w:r>
    </w:p>
    <w:p>
      <w:pPr>
        <w:spacing w:after="0" w:line="189" w:lineRule="exact"/>
        <w:rPr>
          <w:rFonts w:ascii="Times New Roman" w:cs="Times New Roman" w:eastAsia="Times New Roman" w:hAnsi="Times New Roman"/>
          <w:sz w:val="18"/>
          <w:szCs w:val="18"/>
          <w:color w:val="auto"/>
        </w:rPr>
      </w:pPr>
    </w:p>
    <w:p>
      <w:pPr>
        <w:ind w:firstLine="656"/>
        <w:spacing w:after="0" w:line="255" w:lineRule="auto"/>
        <w:tabs>
          <w:tab w:leader="none" w:pos="13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On or before each Settlement Date, the Company will issue the Placement Shares being sold on such date and will, or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Times New Roman" w:cs="Times New Roman" w:eastAsia="Times New Roman" w:hAnsi="Times New Roman"/>
          <w:sz w:val="18"/>
          <w:szCs w:val="18"/>
          <w:b w:val="1"/>
          <w:bCs w:val="1"/>
          <w:u w:val="single" w:color="auto"/>
          <w:color w:val="auto"/>
        </w:rPr>
        <w:t>DWAC</w:t>
      </w:r>
      <w:r>
        <w:rPr>
          <w:rFonts w:ascii="Times New Roman" w:cs="Times New Roman" w:eastAsia="Times New Roman" w:hAnsi="Times New Roman"/>
          <w:sz w:val="18"/>
          <w:szCs w:val="18"/>
          <w:color w:val="auto"/>
        </w:rPr>
        <w:t>”) or by such other means of delivery as may be mutually agreed upon by the parties hereto, which in all cases shall be duly authorized, freely tradeable, transferable, registered Shares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defaults in</w:t>
      </w:r>
    </w:p>
    <w:p>
      <w:pPr>
        <w:sectPr>
          <w:pgSz w:w="11900" w:h="16910" w:orient="portrait"/>
          <w:cols w:equalWidth="0" w:num="1">
            <w:col w:w="11420"/>
          </w:cols>
          <w:pgMar w:left="240" w:top="121" w:right="239" w:bottom="0" w:gutter="0" w:footer="0" w:header="0"/>
        </w:sectPr>
      </w:pPr>
    </w:p>
    <w:bookmarkStart w:id="5" w:name="page6"/>
    <w:bookmarkEnd w:id="5"/>
    <w:p>
      <w:pPr>
        <w:spacing w:after="0" w:line="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its obligation to deliver duly authorized, freely tradeable, transferable, registered Placement Shares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expense (including reasonable legal fees and expenses), as incurred, arising out of or in connection with such default by the Company or its transfer agent (if applicable) and (iii) pay to the Agent any commission, discount or other compensation to which it would otherwise have been entitled absent such default. Certificates for the Placement Shares, if any, shall be in such denominations and registered in such names as the Agent may request in writing one Business Day (as defined below) before the applicable Settlement Date. Certificates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Placement Shares, if any, will be made available by the Company for examination and packaging by the Agent in New York City not later than 12:00 P.M., New York City time, on the Business Day prior to the applicable Settlement Date.</w:t>
      </w:r>
    </w:p>
    <w:p>
      <w:pPr>
        <w:spacing w:after="0" w:line="162" w:lineRule="exact"/>
        <w:rPr>
          <w:sz w:val="20"/>
          <w:szCs w:val="20"/>
          <w:color w:val="auto"/>
        </w:rPr>
      </w:pPr>
    </w:p>
    <w:p>
      <w:pPr>
        <w:ind w:right="20" w:firstLine="656"/>
        <w:spacing w:after="0" w:line="269" w:lineRule="auto"/>
        <w:tabs>
          <w:tab w:leader="none" w:pos="130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Offering Size</w:t>
      </w:r>
      <w:r>
        <w:rPr>
          <w:rFonts w:ascii="Times New Roman" w:cs="Times New Roman" w:eastAsia="Times New Roman" w:hAnsi="Times New Roman"/>
          <w:sz w:val="17"/>
          <w:szCs w:val="17"/>
          <w:color w:val="auto"/>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registered pursuant to, and available for offer and sale under, the Registration Statement pursuant to which the offering of Placement Shares is being made, (ii) the number of authorized but unissued Shares of the Company (less Shares issuable upon exercise, conversion or exchange of any outstanding securities of the Company or otherwise reserved from the Company’s authorized capital stock),</w:t>
      </w:r>
    </w:p>
    <w:p>
      <w:pPr>
        <w:spacing w:after="0" w:line="3" w:lineRule="exact"/>
        <w:rPr>
          <w:rFonts w:ascii="Times New Roman" w:cs="Times New Roman" w:eastAsia="Times New Roman" w:hAnsi="Times New Roman"/>
          <w:sz w:val="17"/>
          <w:szCs w:val="17"/>
          <w:color w:val="auto"/>
        </w:rPr>
      </w:pPr>
    </w:p>
    <w:p>
      <w:pPr>
        <w:ind w:right="60" w:firstLine="8"/>
        <w:spacing w:after="0" w:line="252"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dollar amount of Shares permitted to be offered and sold by the Company under Form S-3 (including General Instruction I.B.6. thereof, if such instruction is applicable), (iv) the number or dollar amount of Shares the Company’s board of directors or a duly authorized committee thereof is authorized to issue and sell from time to time, and notified to the Agent in writing, or (v) the dollar amount of Shares for which the Company has filed the Prospectus Supplement.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w:t>
      </w:r>
    </w:p>
    <w:p>
      <w:pPr>
        <w:spacing w:after="0" w:line="188" w:lineRule="exact"/>
        <w:rPr>
          <w:sz w:val="20"/>
          <w:szCs w:val="20"/>
          <w:color w:val="auto"/>
        </w:rPr>
      </w:pPr>
    </w:p>
    <w:p>
      <w:pPr>
        <w:ind w:firstLine="656"/>
        <w:spacing w:after="0" w:line="261"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Agent that as of the date of this Agreement, and as of (i) each Representation Date (as defined in Section 7(m)), (ii) each date on which a Placement Notice is given, (iii) the date and time of each sale of any Placement Shares pursuant to this Agreement and (iv) each Settlement Date (each such time or date referred to in clauses (i) through (iv), an “</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656"/>
        <w:spacing w:after="0" w:line="253" w:lineRule="auto"/>
        <w:tabs>
          <w:tab w:leader="none" w:pos="129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transactions contemplated by this Agreement meet the requirements for and comply with the conditions for the use of Form S-3 (including General Instructions I.A and I.B.1.) under the Securities Act. The Registration Statement has been filed with and has been declared effective by the Commission under the Securities Act. At the time the Registration Statement originally became effective and at the time the Company’s Annual Report on Form 10-K for the year ended December 31, 2016, was filed with the Commission, the Company met the then-applicable requirements for use of Form S-3 (including General Instructions I.A and I.B.1.) under the Securities Act. The Registration Statement meets, and the offering and sale of Placement Shares as contemplated hereby comply with, the requirements of Rule 415(a)(1)(x) under the Securities Act. The Agent is named as the agent engaged by the Company in the section entitled “Plan of Distribution” in the Prospectus Supplement. The Company has not received, and has no notice from the Commission of, any notice pursuant to 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are pending before or, to the knowledge of the Company, threatened by the Commission. At the time of the initial filing of the Registration Statement, the Company paid the required Commission filing fees relating to the securities covered by the Registration Statement, including the Shares that may be sold pursuant to this Agreement, in accordance with Rule 457(o) under the Securities Act. Copies of the Registration Statement, the Prospectus, any such amendments or supplements to any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foregoing and all Incorporated Documents that were filed with the Commission on or prior to the date of this Agreement have been delivered, or are available through EDGAR, to the Agent and its counsel.</w:t>
      </w:r>
    </w:p>
    <w:p>
      <w:pPr>
        <w:spacing w:after="0" w:line="162" w:lineRule="exact"/>
        <w:rPr>
          <w:sz w:val="20"/>
          <w:szCs w:val="20"/>
          <w:color w:val="auto"/>
        </w:rPr>
      </w:pPr>
    </w:p>
    <w:p>
      <w:pPr>
        <w:ind w:right="20" w:firstLine="656"/>
        <w:spacing w:after="0" w:line="252" w:lineRule="auto"/>
        <w:tabs>
          <w:tab w:leader="none" w:pos="13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Registration Statement and any post-effective amendment thereto, at the time it became or becomes effective, at each deemed effective date with respect to the Agent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Prospectus or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w:t>
      </w:r>
    </w:p>
    <w:p>
      <w:pPr>
        <w:sectPr>
          <w:pgSz w:w="11900" w:h="16902" w:orient="portrait"/>
          <w:cols w:equalWidth="0" w:num="1">
            <w:col w:w="11400"/>
          </w:cols>
          <w:pgMar w:left="240" w:top="121" w:right="259" w:bottom="0" w:gutter="0" w:footer="0" w:header="0"/>
        </w:sectPr>
      </w:pPr>
    </w:p>
    <w:bookmarkStart w:id="6" w:name="page7"/>
    <w:bookmarkEnd w:id="6"/>
    <w:p>
      <w:pPr>
        <w:spacing w:after="0" w:line="6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w:t>
      </w:r>
    </w:p>
    <w:p>
      <w:pPr>
        <w:spacing w:after="0" w:line="162" w:lineRule="exact"/>
        <w:rPr>
          <w:sz w:val="20"/>
          <w:szCs w:val="20"/>
          <w:color w:val="auto"/>
        </w:rPr>
      </w:pPr>
    </w:p>
    <w:p>
      <w:pPr>
        <w:jc w:val="both"/>
        <w:ind w:right="120" w:firstLine="656"/>
        <w:spacing w:after="0" w:line="266" w:lineRule="auto"/>
        <w:tabs>
          <w:tab w:leader="none" w:pos="13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the time of filing the Registration Statement and (ii) at the time of the execution of this Agreement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76" w:lineRule="exact"/>
        <w:rPr>
          <w:rFonts w:ascii="Times New Roman" w:cs="Times New Roman" w:eastAsia="Times New Roman" w:hAnsi="Times New Roman"/>
          <w:sz w:val="18"/>
          <w:szCs w:val="18"/>
          <w:color w:val="auto"/>
        </w:rPr>
      </w:pPr>
    </w:p>
    <w:p>
      <w:pPr>
        <w:ind w:right="80" w:firstLine="656"/>
        <w:spacing w:after="0" w:line="282" w:lineRule="auto"/>
        <w:tabs>
          <w:tab w:leader="none" w:pos="13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since October 30, 2015 has been, an “emerging growth company,” as defined in Section 2(a) of the Securities Act (an “</w:t>
      </w:r>
      <w:r>
        <w:rPr>
          <w:rFonts w:ascii="Times New Roman" w:cs="Times New Roman" w:eastAsia="Times New Roman" w:hAnsi="Times New Roman"/>
          <w:sz w:val="18"/>
          <w:szCs w:val="18"/>
          <w:b w:val="1"/>
          <w:bCs w:val="1"/>
          <w:u w:val="single" w:color="auto"/>
          <w:color w:val="auto"/>
        </w:rPr>
        <w:t>Emerging Growth Company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40" w:firstLine="656"/>
        <w:spacing w:after="0" w:line="258" w:lineRule="auto"/>
        <w:tabs>
          <w:tab w:leader="none" w:pos="13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firstLine="656"/>
        <w:spacing w:after="0" w:line="266" w:lineRule="auto"/>
        <w:tabs>
          <w:tab w:leader="none" w:pos="13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spacing w:after="0" w:line="176" w:lineRule="exact"/>
        <w:rPr>
          <w:rFonts w:ascii="Times New Roman" w:cs="Times New Roman" w:eastAsia="Times New Roman" w:hAnsi="Times New Roman"/>
          <w:sz w:val="18"/>
          <w:szCs w:val="18"/>
          <w:color w:val="auto"/>
        </w:rPr>
      </w:pPr>
    </w:p>
    <w:p>
      <w:pPr>
        <w:ind w:right="260" w:firstLine="656"/>
        <w:spacing w:after="0" w:line="266" w:lineRule="auto"/>
        <w:tabs>
          <w:tab w:leader="none" w:pos="131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76" w:lineRule="exact"/>
        <w:rPr>
          <w:rFonts w:ascii="Times New Roman" w:cs="Times New Roman" w:eastAsia="Times New Roman" w:hAnsi="Times New Roman"/>
          <w:sz w:val="18"/>
          <w:szCs w:val="18"/>
          <w:color w:val="auto"/>
        </w:rPr>
      </w:pPr>
    </w:p>
    <w:p>
      <w:pPr>
        <w:ind w:right="100" w:firstLine="656"/>
        <w:spacing w:after="0" w:line="256" w:lineRule="auto"/>
        <w:tabs>
          <w:tab w:leader="none" w:pos="13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and in compliance in all material respects with the reporting requirements of Section 13 or Section 15(d) of the Exchange Act. The Shares are registered pursuant to Section 12(b) of the Exchange Act and are listed on Nasdaq, and the Company has taken no action designed to, or reasonably likely to have the effect of, terminating the registration of the Shares under the Exchange Act or delisting the Shares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Placement Shares.</w:t>
      </w:r>
    </w:p>
    <w:p>
      <w:pPr>
        <w:spacing w:after="0" w:line="187" w:lineRule="exact"/>
        <w:rPr>
          <w:rFonts w:ascii="Times New Roman" w:cs="Times New Roman" w:eastAsia="Times New Roman" w:hAnsi="Times New Roman"/>
          <w:sz w:val="18"/>
          <w:szCs w:val="18"/>
          <w:color w:val="auto"/>
        </w:rPr>
      </w:pPr>
    </w:p>
    <w:p>
      <w:pPr>
        <w:ind w:right="80" w:firstLine="656"/>
        <w:spacing w:after="0" w:line="258" w:lineRule="auto"/>
        <w:tabs>
          <w:tab w:leader="none" w:pos="13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(as such term is defined in Rule 1-02 of Regulation S-X promulgated under the Securities Act) has the right to act as an underwriter or as a financial advisor to the Company in connection with the offer and sale of the Placement Shares hereunder, whether as a result of the filing or effectiveness of the Registration Statement or the sale of the Placement Shares as contemplated hereby or otherwise. Except for the Agent,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183" w:lineRule="exact"/>
        <w:rPr>
          <w:rFonts w:ascii="Times New Roman" w:cs="Times New Roman" w:eastAsia="Times New Roman" w:hAnsi="Times New Roman"/>
          <w:sz w:val="18"/>
          <w:szCs w:val="18"/>
          <w:color w:val="auto"/>
        </w:rPr>
      </w:pPr>
    </w:p>
    <w:p>
      <w:pPr>
        <w:ind w:right="120" w:firstLine="656"/>
        <w:spacing w:after="0" w:line="255" w:lineRule="auto"/>
        <w:tabs>
          <w:tab w:leader="none" w:pos="13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organized and is validly existing as a corporation in good standing under the laws of the State of Delaware, with full corporate power and authority to acquire, own, lease and operate its properties, and to lease the same to others, and to conduct its business as described in the Registration Statement and the Prospectus and to enter into and perform its obligations under this Agreement. The Company is duly qualified to transact business as a foreign corporation and is in good standing in the State of New York and under the laws of each other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on the condition (financial or otherwise), earnings, results of operations, business, properties, operations, assets, liabilities or prospects of the Company and its Subsidiaries, taken as a whole, whether or not arising from transactions in the ordinary course of business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“subsidiaries” (for purposes of this Agreement, as defined in Rule 405 under the Securities Act) (each, a</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has been duly organized and is validly existing in good standing (where such concept exists) under the laws of the jurisdiction of its organization and has full power and authority to acquire, own, lease and operate its properties, and to conduct its business as described in the Registration Statement and the Prospectus. Each Subsidiary is duly qualified to transact business and is in good standing (where such concept exists)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each Subsidiary has been duly authorized and validly issued, is fully paid and nonassessable, has been issued in compliance with federal state and securities laws and is owned by the Company, directly or through other wholly-owned Subsidiaries, free and clear of any security interest, mortgage, pledge, lien, encumbrance or adverse claim. The Company does not own or control, directly or indirectly, any corporation, association or other entity, other than the Subsidiaries listed on Exhibit 21.1 to the Company’s most recent Annual Report on Form 10-K filed with the Commission.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189" w:lineRule="exact"/>
        <w:rPr>
          <w:sz w:val="20"/>
          <w:szCs w:val="20"/>
          <w:color w:val="auto"/>
        </w:rPr>
      </w:pPr>
    </w:p>
    <w:p>
      <w:pPr>
        <w:ind w:firstLine="656"/>
        <w:spacing w:after="0" w:line="256" w:lineRule="auto"/>
        <w:tabs>
          <w:tab w:leader="none" w:pos="13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authorized and outstanding capitalization as set forth in the Company’s quarterly report on Form 10-Q for the most recent fiscal quarter, as of the dates referred to therein (subject, in each case, to the issuance of Placement Shares under this Agreement, the issuance of Shares upon exercise of share options and warrants disclosed as outstanding as of the date hereof in the Registration Statement and the Prospectus and the grant of options under existing share option plans described in the Registration Statement and the Prospectus). The Shares conform in all material respects to the description thereof contained in the Registration Statement and the Prospectus, including under the heading “Description of Capital Stock.” All of the issued and outstanding share capital or other equity or ownership interest of the Company (including the Shares) has been duly authorized and validly issued and is</w:t>
      </w:r>
    </w:p>
    <w:p>
      <w:pPr>
        <w:sectPr>
          <w:pgSz w:w="11900" w:h="16907" w:orient="portrait"/>
          <w:cols w:equalWidth="0" w:num="1">
            <w:col w:w="11420"/>
          </w:cols>
          <w:pgMar w:left="240" w:top="121" w:right="239" w:bottom="0" w:gutter="0" w:footer="0" w:header="0"/>
        </w:sectPr>
      </w:pPr>
    </w:p>
    <w:bookmarkStart w:id="7" w:name="page8"/>
    <w:bookmarkEnd w:id="7"/>
    <w:p>
      <w:pPr>
        <w:spacing w:after="0" w:line="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fully paid and nonassessable, has been issued in compliance with all federal, state and local securities laws and is free and clear of any security interest, mortgage, pledge, lien, encumbrance or adverse claim. None of the outstanding Shares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subscribe for, or equity or debt securities convertible into or exchangeable or exercisable for, any share capital of the Company or any of its Subsidiaries or to which the Company or any of its Subsidiaries is a party or by which any of them may be bound. The descriptions of the Company’s equity incentive plan, stock option plans and other stock plans or arrangements described in the Prospectus and in effect as of the date hereof (collectively, the “</w:t>
      </w:r>
      <w:r>
        <w:rPr>
          <w:rFonts w:ascii="Times New Roman" w:cs="Times New Roman" w:eastAsia="Times New Roman" w:hAnsi="Times New Roman"/>
          <w:sz w:val="18"/>
          <w:szCs w:val="18"/>
          <w:b w:val="1"/>
          <w:bCs w:val="1"/>
          <w:u w:val="single" w:color="auto"/>
          <w:color w:val="auto"/>
        </w:rPr>
        <w:t>Stock Plans</w:t>
      </w:r>
      <w:r>
        <w:rPr>
          <w:rFonts w:ascii="Times New Roman" w:cs="Times New Roman" w:eastAsia="Times New Roman" w:hAnsi="Times New Roman"/>
          <w:sz w:val="18"/>
          <w:szCs w:val="18"/>
          <w:color w:val="auto"/>
        </w:rPr>
        <w:t>”) and the options or other rights granted thereunder, set forth in the Registration Statement and the Prospectus accurately and fairly present the information required to be shown with respect to such Stock Plans and the options or other rights granted thereunder.</w:t>
      </w:r>
    </w:p>
    <w:p>
      <w:pPr>
        <w:spacing w:after="0" w:line="200" w:lineRule="exact"/>
        <w:rPr>
          <w:sz w:val="20"/>
          <w:szCs w:val="20"/>
          <w:color w:val="auto"/>
        </w:rPr>
      </w:pPr>
    </w:p>
    <w:p>
      <w:pPr>
        <w:spacing w:after="0" w:line="208" w:lineRule="exact"/>
        <w:rPr>
          <w:sz w:val="20"/>
          <w:szCs w:val="20"/>
          <w:color w:val="auto"/>
        </w:rPr>
      </w:pPr>
    </w:p>
    <w:p>
      <w:pPr>
        <w:ind w:firstLine="656"/>
        <w:spacing w:after="0" w:line="253"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Shares have been duly authorized for issuance and sale pursuant to this Agreement and, when issued and delivered by the Company against payment therefor pursuant to this Agreement, will be validly issued, fully paid and nonassessable and will conform in all material respects to the description thereof contained in the Prospectus. The issuance and sale of the Placement Shares as contemplated hereby shall not be subject to any preemptive rights, rights of first refusal or other similar rights to subscribe for or purchase the Placement Shares. When issued and delivered by the Company against payment therefor pursuant to this Agreement, the purchasers of the Placement Shares issued and sold hereunder will acquire good, marketable and valid title to such Placement Shares, free and clear of all pledges, liens, security interests, charges, claims or encumbrances. The issuance and sale of the Placement Shares as contemplated hereby will not cause any holder of any share capital, securities convertible into or exchangeable or exercisable for share capital or options, warrants or other rights to purchase share capital or any other securities of the Company to have any right to acquire any preferred shares of the Company. There are no restrictions upon the voting or transfer of the Shares under the Company’s amended and restated certificate of incorporation or amended and restated bylaws or any agreement or other instrument to which the Company is a party or otherwise filed as an exhibit to the Registration Statement.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3" w:lineRule="auto"/>
        <w:tabs>
          <w:tab w:leader="none" w:pos="13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statute, regulation, contract, agreement or other document required to be described in the Registration Statement, Prospectus or in any Incorporated Document, or to be filed as an exhibit to the Registration Statement or any Incorporated Document which is not described or filed as required. The statements set forth or incorporated by reference in the Prospectus, insofar as they purport to constitute summaries of the terms of the statutes, regulations, contracts, agreements or other documents described and filed, constitute accurate summaries of the terms thereof in all material respects. The statements set forth or incorporated by reference in the Prospectus under the headings “Risk Factors,” “Business—Intellectual Property,” “Business—Material License Agreements,” “Business—Government Regulation and Product Approval,” “Business—Legal Proceedings,” and “Description of Capital Stock,” insofar as such statements summarize legal matters, agreements, documents or proceedings discussed therein, are accurate and fair summaries of such legal matters, agreements, documents or proceedings. Neither the Company nor any of its Subsidiaries has sent or received any communication regarding termination of, or intent not to renew or render performance under, any of the contracts or agreements referred to or described in the Prospectus or any free writing prospectus, or referred to or described in, or filed as an exhibit to, the Registration Statement, or any Incorporated Document,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90" w:lineRule="exact"/>
        <w:rPr>
          <w:rFonts w:ascii="Times New Roman" w:cs="Times New Roman" w:eastAsia="Times New Roman" w:hAnsi="Times New Roman"/>
          <w:sz w:val="18"/>
          <w:szCs w:val="18"/>
          <w:color w:val="auto"/>
        </w:rPr>
      </w:pPr>
    </w:p>
    <w:p>
      <w:pPr>
        <w:ind w:right="140" w:firstLine="656"/>
        <w:spacing w:after="0" w:line="258" w:lineRule="auto"/>
        <w:tabs>
          <w:tab w:leader="none" w:pos="13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the Company and constitutes a valid and legally binding obligation of the Company, enforceable against the Company in accordance with its terms, except as enforceability, including rights of indemnification, may be limited by bankruptcy, insolvency, fraudulent conveyance, reorganization, moratorium and other similar laws relating to or affecting creditors’ rights generally and by general principles of equity. This Agreement conforms in all material respects to the descriptions thereof in the Registration Statement and the Prospectus.</w:t>
      </w:r>
    </w:p>
    <w:p>
      <w:pPr>
        <w:spacing w:after="0" w:line="183" w:lineRule="exact"/>
        <w:rPr>
          <w:rFonts w:ascii="Times New Roman" w:cs="Times New Roman" w:eastAsia="Times New Roman" w:hAnsi="Times New Roman"/>
          <w:sz w:val="18"/>
          <w:szCs w:val="18"/>
          <w:color w:val="auto"/>
        </w:rPr>
      </w:pPr>
    </w:p>
    <w:p>
      <w:pPr>
        <w:ind w:right="180" w:firstLine="656"/>
        <w:spacing w:after="0" w:line="282" w:lineRule="auto"/>
        <w:tabs>
          <w:tab w:leader="none" w:pos="13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Placement Shares and the application of the proceeds thereof as described in the Prospectus, will not be an “investment company” as defined in the Investment Company Act of 1940, as amended.</w:t>
      </w:r>
    </w:p>
    <w:p>
      <w:pPr>
        <w:spacing w:after="0" w:line="161" w:lineRule="exact"/>
        <w:rPr>
          <w:rFonts w:ascii="Times New Roman" w:cs="Times New Roman" w:eastAsia="Times New Roman" w:hAnsi="Times New Roman"/>
          <w:sz w:val="18"/>
          <w:szCs w:val="18"/>
          <w:color w:val="auto"/>
        </w:rPr>
      </w:pPr>
    </w:p>
    <w:p>
      <w:pPr>
        <w:ind w:right="80" w:firstLine="656"/>
        <w:spacing w:after="0" w:line="258" w:lineRule="auto"/>
        <w:tabs>
          <w:tab w:leader="none" w:pos="13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license, permit, qualification, authorization or other order or decree of, or registration or filing with, any court or other governmental, taxing or regulatory authority or agency, is required for the Company’s execution, delivery and performance of this Agreement or consummation of the transactions contemplated hereby or by the Registration Statement and the Prospectus (including the issuance and sale of the Placement Shares hereunder), except such as have been already obtained or made or as may be required under the Securities Act, applicable state securities or Blue Sky laws, applicable rules of Nasdaq, or Rule 5110 of the Financial Industry Regulatory Authority, Inc.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 w:firstLine="656"/>
        <w:spacing w:after="0" w:line="255" w:lineRule="auto"/>
        <w:tabs>
          <w:tab w:leader="none" w:pos="13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nor the performance of the Company of its obligations under, this Agreement will conflict with, result in a breach or violation of, or result in the creation or imposition of any lien, charge or encumbrance upon any property or assets of the Company or any of its Subsidiaries pursuant to: (i) the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license, lease, mortgage, deed of trust, note agreement, agreement or other instrument, obligation, condition, covenant or instrument to which it is a party or bound or to which its property or assets is subject or (iii) any statute, law, rule, regulation, judgment, order or decree applicable to the Company or any of its Subsidiaries of any court, regulatory body, administrative agency, governmental body, arbitrator or other authority having jurisdiction over the Company, any of its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Subsidiaries or any of their respective properties or assets, as applicable, except, in the case of clauses (ii) and (iii) above, for any such conflict, breach, violation or default that would not, individually or in the aggregate, have a Material Adverse Effect.</w:t>
      </w:r>
    </w:p>
    <w:p>
      <w:pPr>
        <w:spacing w:after="0" w:line="162" w:lineRule="exact"/>
        <w:rPr>
          <w:sz w:val="20"/>
          <w:szCs w:val="20"/>
          <w:color w:val="auto"/>
        </w:rPr>
      </w:pPr>
    </w:p>
    <w:p>
      <w:pPr>
        <w:ind w:right="60" w:firstLine="656"/>
        <w:spacing w:after="0" w:line="256" w:lineRule="auto"/>
        <w:tabs>
          <w:tab w:leader="none" w:pos="13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Registration Statement and the Prospectus: (i) 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(ii) neither the Company nor its Subsidiaries has (A)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w:t>
      </w:r>
    </w:p>
    <w:p>
      <w:pPr>
        <w:sectPr>
          <w:pgSz w:w="11900" w:h="16907" w:orient="portrait"/>
          <w:cols w:equalWidth="0" w:num="1">
            <w:col w:w="11420"/>
          </w:cols>
          <w:pgMar w:left="240" w:top="121" w:right="239" w:bottom="0" w:gutter="0" w:footer="0" w:header="0"/>
        </w:sectPr>
      </w:pPr>
    </w:p>
    <w:bookmarkStart w:id="8" w:name="page9"/>
    <w:bookmarkEnd w:id="8"/>
    <w:p>
      <w:pPr>
        <w:ind w:right="80"/>
        <w:spacing w:after="0" w:line="256" w:lineRule="auto"/>
        <w:rPr>
          <w:sz w:val="20"/>
          <w:szCs w:val="20"/>
          <w:color w:val="auto"/>
        </w:rPr>
      </w:pPr>
      <w:r>
        <w:rPr>
          <w:rFonts w:ascii="Times New Roman" w:cs="Times New Roman" w:eastAsia="Times New Roman" w:hAnsi="Times New Roman"/>
          <w:sz w:val="18"/>
          <w:szCs w:val="18"/>
          <w:color w:val="auto"/>
        </w:rPr>
        <w:t>decree, that are material, individually or in the aggregate, to the Company and its Subsidiaries, considered as one entity, (B) entered into any material transactions not in the ordinary course of business or (C) issued or granted any Shares or securities convertible into or exchangeable or exercisable for or that represent the right to receive Shares other than under the Stock Plans; and (iii) there has not been any material decrease in the share capital or any material increase in any short-term or long-term indebtedness of the Company or any of its Subsidiaries and there has been no dividend or distribution of any kind declared, paid or made by the Company or, except for dividends paid to the Company or another Subsidiary, by any Subsidiary on any class of shares, or any repurchase or redemption by the Company or any of its Subsidiaries of any class of shares.</w:t>
      </w:r>
    </w:p>
    <w:p>
      <w:pPr>
        <w:spacing w:after="0" w:line="188" w:lineRule="exact"/>
        <w:rPr>
          <w:sz w:val="20"/>
          <w:szCs w:val="20"/>
          <w:color w:val="auto"/>
        </w:rPr>
      </w:pPr>
    </w:p>
    <w:p>
      <w:pPr>
        <w:ind w:right="300" w:firstLine="656"/>
        <w:spacing w:after="0" w:line="266" w:lineRule="auto"/>
        <w:tabs>
          <w:tab w:leader="none" w:pos="13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persons (as such term is defined in Rule 1-02 of Regulation S-X promulgated under the Securities Act) with registration or other similar rights to have any equity or debt securities of the Company registered for sale under the Registration Statement or included in the offering contemplated by this Agreement, except for such rights as have been duly waived in a writing previously furnished to the Agent.</w:t>
      </w:r>
    </w:p>
    <w:p>
      <w:pPr>
        <w:spacing w:after="0" w:line="176" w:lineRule="exact"/>
        <w:rPr>
          <w:rFonts w:ascii="Times New Roman" w:cs="Times New Roman" w:eastAsia="Times New Roman" w:hAnsi="Times New Roman"/>
          <w:sz w:val="18"/>
          <w:szCs w:val="18"/>
          <w:color w:val="auto"/>
        </w:rPr>
      </w:pPr>
    </w:p>
    <w:p>
      <w:pPr>
        <w:ind w:right="20" w:firstLine="656"/>
        <w:spacing w:after="0" w:line="252" w:lineRule="auto"/>
        <w:tabs>
          <w:tab w:leader="none" w:pos="13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or incorporated by reference in the Registration Statement and the Prospectus, together with the related notes and schedules, present fairly the consolidated financial position of the Company and the Subsidiaries as of the dates indicated and the consolidated results of operations, cash flows and changes in stockholders’ equity of the Company and the Subsidiaries for the periods specified and have been prepared in compliance with the requirements of the Securities Act and Exchange Act and in conformity with United States generally accepted accounting principles (“</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applied on a consistent basis during the periods involved. To the extent applicable, any pro forma financial statements, information or data included or incorporated by reference in the Registration Statement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data set forth or incorporated by reference in the Registration Statement and the Prospectus is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 included or incorporated by reference therein as required. The Company and the Subsidiaries do not have any material liabilities or obligations, direct or contingent (including any off-balance sheet obligations or any “variable interest entities” as that term is used in Accounting Standards Codification Paragraph 810-10-25-20), not disclosed in the Registration Statement and the Prospectus. All disclosures contained in the Registration Statement or the Prospectus</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that contain “non-GAAP financial measures” (as such term is defined by the rules and regulations of the Commission) comply, in all material respects, with Regulation G under the Exchange Act and Item 10 of Regulation S-K under the Securities Act, to the extent applicable. The statistical, industry-related and market-related data included or incorporated by reference in the Registration Statement and the Prospectus were obtained or derived from sources which the Company reasonably and in good faith believes are reliable and accurate, such data agree with the sources from which they are derived,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Public Company Accounting Oversight Board (“</w:t>
      </w:r>
      <w:r>
        <w:rPr>
          <w:rFonts w:ascii="Times New Roman" w:cs="Times New Roman" w:eastAsia="Times New Roman" w:hAnsi="Times New Roman"/>
          <w:sz w:val="18"/>
          <w:szCs w:val="18"/>
          <w:b w:val="1"/>
          <w:bCs w:val="1"/>
          <w:u w:val="single" w:color="auto"/>
          <w:color w:val="auto"/>
        </w:rPr>
        <w:t>PCAOB</w:t>
      </w:r>
      <w:r>
        <w:rPr>
          <w:rFonts w:ascii="Times New Roman" w:cs="Times New Roman" w:eastAsia="Times New Roman" w:hAnsi="Times New Roman"/>
          <w:sz w:val="18"/>
          <w:szCs w:val="18"/>
          <w:color w:val="auto"/>
        </w:rPr>
        <w:t>”), has participated in or otherwise aided the preparation of, or audited, the financial statements, supporting schedules or other financial data filed with the Commission as a part of the Registration Statement and the Prospectus.</w:t>
      </w:r>
    </w:p>
    <w:p>
      <w:pPr>
        <w:spacing w:after="0" w:line="185" w:lineRule="exact"/>
        <w:rPr>
          <w:sz w:val="20"/>
          <w:szCs w:val="20"/>
          <w:color w:val="auto"/>
        </w:rPr>
      </w:pPr>
    </w:p>
    <w:p>
      <w:pPr>
        <w:ind w:right="240" w:firstLine="656"/>
        <w:spacing w:after="0" w:line="270" w:lineRule="auto"/>
        <w:tabs>
          <w:tab w:leader="none" w:pos="130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actions, suits, claims, investigations or proceedings pending or, to the Company’s knowledge, threatened to which the Company or any of the Subsidiaries is or would be a party, or of which any of the respective properties or assets of the Company and the Subsidiaries is or would be subject, at law or in equity, before any court or arbitral body or by or before any federal, state, local or foreign governmental or regulatory commission, board, body, authority or agency, that (i) are required to be described in the Registration Statement or the Prospectus and are not so described,</w:t>
      </w:r>
    </w:p>
    <w:p>
      <w:pPr>
        <w:spacing w:after="0" w:line="2" w:lineRule="exact"/>
        <w:rPr>
          <w:rFonts w:ascii="Times New Roman" w:cs="Times New Roman" w:eastAsia="Times New Roman" w:hAnsi="Times New Roman"/>
          <w:sz w:val="17"/>
          <w:szCs w:val="17"/>
          <w:color w:val="auto"/>
        </w:rPr>
      </w:pPr>
    </w:p>
    <w:p>
      <w:pPr>
        <w:ind w:right="100" w:firstLine="8"/>
        <w:spacing w:after="0" w:line="252"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reasonably be expected to have a material adverse effect on the ability of the Company to perform its obligations under this Agreement or on the consummation of any of the transactions contemplated hereby or (iii) could reasonably be expected to have a Material Adverse Effect. The aggregate of all pending legal or governmental proceedings to which the Company or any of its Subsidiaries is a party or of which any of their respective properties or assets is the subject which are not described in the Prospectus, including ordinary routine litigation incidental to the Company’s business, could not reasonably be expected to (A) result in a Material Adverse Effect or (B) have a material adverse effect on the ability of the Company to perform its obligations under this Agreement or the consummation of any of the transactions contemplated hereby.</w:t>
      </w:r>
    </w:p>
    <w:p>
      <w:pPr>
        <w:spacing w:after="0" w:line="190"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or leases all such real properties as are necessary to the conduct of its operations as presently conducted in all material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respects.</w:t>
      </w:r>
    </w:p>
    <w:p>
      <w:pPr>
        <w:spacing w:after="0" w:line="206" w:lineRule="exact"/>
        <w:rPr>
          <w:rFonts w:ascii="Times New Roman" w:cs="Times New Roman" w:eastAsia="Times New Roman" w:hAnsi="Times New Roman"/>
          <w:sz w:val="18"/>
          <w:szCs w:val="18"/>
          <w:color w:val="auto"/>
        </w:rPr>
      </w:pPr>
    </w:p>
    <w:p>
      <w:pPr>
        <w:ind w:firstLine="656"/>
        <w:spacing w:after="0" w:line="254" w:lineRule="auto"/>
        <w:tabs>
          <w:tab w:leader="none" w:pos="130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in violation or default of (i) any provision of its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lease, mortgage, deed of trust, note agreement, loan agreement or other agreement, obligation, condition, covenant or instrument to which it is a party or bound or to which its property or assets is subject, or (iii) any statute, law, rule, regulation, judgment, order or decree of any court, regulatory body, administrative agency, governmental body, arbitrator or other authority having jurisdiction over the Company, any of its Subsidiaries or any of their respective properties or assets, as applicable, except, in the case of clauses (ii) and</w:t>
      </w: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for any such default or violation that would not, individually or in the aggregate, have a Material Adverse Effect.</w:t>
      </w:r>
    </w:p>
    <w:p>
      <w:pPr>
        <w:spacing w:after="0" w:line="206" w:lineRule="exact"/>
        <w:rPr>
          <w:rFonts w:ascii="Times New Roman" w:cs="Times New Roman" w:eastAsia="Times New Roman" w:hAnsi="Times New Roman"/>
          <w:sz w:val="18"/>
          <w:szCs w:val="18"/>
          <w:color w:val="auto"/>
        </w:rPr>
      </w:pPr>
    </w:p>
    <w:p>
      <w:pPr>
        <w:ind w:right="280" w:firstLine="656"/>
        <w:spacing w:after="0" w:line="255" w:lineRule="auto"/>
        <w:tabs>
          <w:tab w:leader="none" w:pos="130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whose report on the consolidated financial statements of the Company is filed with the Commission as part of the Company’s most recent annual report on Form 10-K filed with the Commission and incorporated by reference in the Registration Statement and the Prospectus, is (i) an independent registered public accounting firm as required by the Securities Act, the Exchange Act and the rules of the PCAOB, (ii) in compliance with the applicable requirements relating to the qualification of accountants under Rule 2-01 of Regulation S-X under the Securities Act and</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registered public accounting firm as defined by the PCAOB whose registration has not been suspended or revoked and who has not requested such registration to be withdrawn. Ernst &amp; Young LLP has not been engaged by the Company to perform any “prohibited activities” or provided to the Company any “non-audit services” (as defined in Section 10A of the Exchange Act).</w:t>
      </w:r>
    </w:p>
    <w:p>
      <w:pPr>
        <w:sectPr>
          <w:pgSz w:w="11900" w:h="16838" w:orient="portrait"/>
          <w:cols w:equalWidth="0" w:num="1">
            <w:col w:w="11400"/>
          </w:cols>
          <w:pgMar w:left="240" w:top="121" w:right="259" w:bottom="0" w:gutter="0" w:footer="0" w:header="0"/>
        </w:sectPr>
      </w:pPr>
    </w:p>
    <w:bookmarkStart w:id="9" w:name="page10"/>
    <w:bookmarkEnd w:id="9"/>
    <w:p>
      <w:pPr>
        <w:ind w:right="540" w:firstLine="656"/>
        <w:spacing w:after="0" w:line="266" w:lineRule="auto"/>
        <w:tabs>
          <w:tab w:leader="none" w:pos="13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Placement Shares.</w:t>
      </w:r>
    </w:p>
    <w:p>
      <w:pPr>
        <w:spacing w:after="0" w:line="176" w:lineRule="exact"/>
        <w:rPr>
          <w:sz w:val="20"/>
          <w:szCs w:val="20"/>
          <w:color w:val="auto"/>
        </w:rPr>
      </w:pPr>
    </w:p>
    <w:p>
      <w:pPr>
        <w:ind w:right="20" w:firstLine="656"/>
        <w:spacing w:after="0" w:line="252" w:lineRule="auto"/>
        <w:tabs>
          <w:tab w:leader="none" w:pos="12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United States federal income tax returns of the Company and its Subsidiaries required by law to be filed have been filed or extensions thereof have been requested, and all taxes shown by such returns or otherwise assessed, which are due and payable, have been paid, except assessments that are being contested in good faith and as to which adequate reserves have been provided under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 in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 All material taxes which the Company and its Subsidiaries are required by law to withhold or to collect for payment have been duly withheld and collected and have been paid to the appropriate governmental authority or agency or have been accrued, reserved against and entered on the books of the Company and its Subsidiaries.</w:t>
      </w:r>
    </w:p>
    <w:p>
      <w:pPr>
        <w:spacing w:after="0" w:line="198" w:lineRule="exact"/>
        <w:rPr>
          <w:rFonts w:ascii="Times New Roman" w:cs="Times New Roman" w:eastAsia="Times New Roman" w:hAnsi="Times New Roman"/>
          <w:sz w:val="18"/>
          <w:szCs w:val="18"/>
          <w:color w:val="auto"/>
        </w:rPr>
      </w:pPr>
    </w:p>
    <w:p>
      <w:pPr>
        <w:ind w:right="80" w:firstLine="656"/>
        <w:spacing w:after="0" w:line="255" w:lineRule="auto"/>
        <w:tabs>
          <w:tab w:leader="none" w:pos="129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dispute with the employees of the Company or any of its Subsidiaries exists or, to the Company’s knowledge, is threatened or imminent, and the Company is not aware of any existing, threatened or imminent labor disturbance by the employees of any of its or any of its Subsidiaries’ principal suppliers, manufacturers, contractors or customers, in each case that would have a Material Adverse Effect. None of the employees of the Company or any of its Subsidiaries is represented by a union and, to the knowledge of the Company, no union organizing activities are taking place. Neither the Company nor any of its Subsidiaries has violated (or received notice of any violation of) any federal, state or local law or foreign law relating to the discrimination in hiring, promotion or pay of employees, nor any applicable wage or hour laws, or the rules and regulations thereunder, or analogous foreign laws and regulations, which would, individually or in the aggregate,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ind w:right="20" w:firstLine="656"/>
        <w:spacing w:after="0" w:line="258" w:lineRule="auto"/>
        <w:tabs>
          <w:tab w:leader="none" w:pos="13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are insured by recognized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clinical trial liability claims. The Company has no reason to believe that it or any of its Subsidiaries will not be able (i) to renew its existing insurance coverage as and when such policies expire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or (ii) to obtain comparable coverage from similar institutions as may be necessary or appropriate to conduct its business as now conducted and at a cost that could not reasonably be expected to have a Material Adverse Effect. Neither the Company nor any of its Subsidiaries has been denied any material insurance coverage which it has sought or for which it has applied.</w:t>
      </w:r>
    </w:p>
    <w:p>
      <w:pPr>
        <w:spacing w:after="0" w:line="176" w:lineRule="exact"/>
        <w:rPr>
          <w:sz w:val="20"/>
          <w:szCs w:val="20"/>
          <w:color w:val="auto"/>
        </w:rPr>
      </w:pPr>
    </w:p>
    <w:p>
      <w:pPr>
        <w:ind w:right="160" w:firstLine="656"/>
        <w:spacing w:after="0" w:line="253" w:lineRule="auto"/>
        <w:tabs>
          <w:tab w:leader="none" w:pos="12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good and marketable title in fee simple to all real property owned by them and good and marketable title to all personal property owned by them that is material to their business (except with respect to intellectual property, which is addressed exclusively in Section 6(pp) and Section 6(ggg) below), in each case free and clear of all liens, encumbrances and defects except such as do not materially affect the value of such property and do not interfere with the use made and proposed to be made of such property by the Company or any Subsidiary; and any real property and buildings held under lease by the Company or any of its Subsidiaries are held by them under valid, subsisting and enforceable leases (subject to the effects of (A) 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w:t>
      </w:r>
    </w:p>
    <w:p>
      <w:pPr>
        <w:spacing w:after="0" w:line="1" w:lineRule="exact"/>
        <w:rPr>
          <w:rFonts w:ascii="Times New Roman" w:cs="Times New Roman" w:eastAsia="Times New Roman" w:hAnsi="Times New Roman"/>
          <w:sz w:val="18"/>
          <w:szCs w:val="18"/>
          <w:color w:val="auto"/>
        </w:rPr>
      </w:pPr>
    </w:p>
    <w:p>
      <w:pPr>
        <w:ind w:right="220" w:firstLine="8"/>
        <w:spacing w:after="0" w:line="261" w:lineRule="auto"/>
        <w:tabs>
          <w:tab w:leader="none" w:pos="2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and public policy with respect to rights to indemnity and contribution) with such exceptions as are not material and do not interfere with the use made and proposed to be made of such property and buildings by the Company or such Subsidiary.</w:t>
      </w:r>
    </w:p>
    <w:p>
      <w:pPr>
        <w:spacing w:after="0" w:line="179" w:lineRule="exact"/>
        <w:rPr>
          <w:rFonts w:ascii="Times New Roman" w:cs="Times New Roman" w:eastAsia="Times New Roman" w:hAnsi="Times New Roman"/>
          <w:sz w:val="18"/>
          <w:szCs w:val="18"/>
          <w:color w:val="auto"/>
        </w:rPr>
      </w:pPr>
    </w:p>
    <w:p>
      <w:pPr>
        <w:ind w:right="80" w:firstLine="656"/>
        <w:spacing w:after="0" w:line="256" w:lineRule="auto"/>
        <w:tabs>
          <w:tab w:leader="none" w:pos="130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and are operating in compliance with such valid and current material certificates, authorizations or permits required by United States federal, state or foreign regulatory agencies or bodies to conduct their respective businesses as currently conducted and as described in the Registration Statement and the Prospectus (collectively,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Neither the Company nor any of its Subsidiaries is in violation of, or in default under, any of the Permits or has received any written notice of proceedings relating to the revocation or modification of, or non-compliance with, any such certificate, authorization or permit, which, individually or in the aggregate, if the subject of an unfavorable decision, ruling or finding, could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ind w:right="60" w:firstLine="656"/>
        <w:spacing w:after="0" w:line="261"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make and keep accurate books and records and maintain a system of internal accounting controls sufficient to provide reasonable assurance that: (i) transactions are executed in accordance with management’s general or specific authorization;</w:t>
      </w: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87" w:lineRule="exact"/>
        <w:rPr>
          <w:rFonts w:ascii="Times New Roman" w:cs="Times New Roman" w:eastAsia="Times New Roman" w:hAnsi="Times New Roman"/>
          <w:sz w:val="18"/>
          <w:szCs w:val="18"/>
          <w:color w:val="auto"/>
        </w:rPr>
      </w:pPr>
    </w:p>
    <w:p>
      <w:pPr>
        <w:ind w:right="60" w:firstLine="656"/>
        <w:spacing w:after="0" w:line="256" w:lineRule="auto"/>
        <w:tabs>
          <w:tab w:leader="none" w:pos="13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established and maintain disclosure controls and procedures (as defined in Rules 13a-15 and 15d-15 under the Exchange Act), which (i) are designed to ensure that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w:t>
      </w:r>
    </w:p>
    <w:p>
      <w:pPr>
        <w:sectPr>
          <w:pgSz w:w="11900" w:h="16838" w:orient="portrait"/>
          <w:cols w:equalWidth="0" w:num="1">
            <w:col w:w="11420"/>
          </w:cols>
          <w:pgMar w:left="240" w:top="121"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0" w:name="page11"/>
    <w:bookmarkEnd w:id="10"/>
    <w:p>
      <w:pPr>
        <w:spacing w:after="0" w:line="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Company’s most recent audited fiscal year, there has been no material weakness in the Company’s internal control over financial reporting (whether or not remediated) and no change in the Company’s internal control over financial reporting, including any corrective actions with regard to significant deficiencies or material weaknesses.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0" w:lineRule="exact"/>
        <w:rPr>
          <w:sz w:val="20"/>
          <w:szCs w:val="20"/>
          <w:color w:val="auto"/>
        </w:rPr>
      </w:pPr>
    </w:p>
    <w:p>
      <w:pPr>
        <w:ind w:right="60" w:firstLine="656"/>
        <w:spacing w:after="0" w:line="258" w:lineRule="auto"/>
        <w:tabs>
          <w:tab w:leader="none" w:pos="12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its or their respective directors, officers or controlling persons has taken, directly or indirectly, without giving effect to any actions taken by the Agent, (i) any action designed to or that might constitute or reasonably be expected to cause or result in, under the Exchange Act or otherwise, stabilization or manipulation of the price of any security of the Company to facilitate the sale or resale of the Placement Shares or (ii) any action designed to or that might constitute or reasonably be expected to cause or result in a violation of Regulation M under the Exchange Act.</w:t>
      </w:r>
    </w:p>
    <w:p>
      <w:pPr>
        <w:spacing w:after="0" w:line="183" w:lineRule="exact"/>
        <w:rPr>
          <w:rFonts w:ascii="Times New Roman" w:cs="Times New Roman" w:eastAsia="Times New Roman" w:hAnsi="Times New Roman"/>
          <w:sz w:val="18"/>
          <w:szCs w:val="18"/>
          <w:color w:val="auto"/>
        </w:rPr>
      </w:pPr>
    </w:p>
    <w:p>
      <w:pPr>
        <w:ind w:right="40" w:firstLine="656"/>
        <w:spacing w:after="0" w:line="252" w:lineRule="auto"/>
        <w:tabs>
          <w:tab w:leader="none" w:pos="13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reasonably be expected, individually or in the aggregate, to have a Material Adverse Effect: (i) neither the Company nor any of its Subsidiaries is in violation of any United States federal, state or local, or any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emissions, discharges, release or threatened release of chemicals, pollutants, contaminants, wastes, toxic substances, hazardous substances, petroleum or petroleum products (collectively, “</w:t>
      </w:r>
      <w:r>
        <w:rPr>
          <w:rFonts w:ascii="Times New Roman" w:cs="Times New Roman" w:eastAsia="Times New Roman" w:hAnsi="Times New Roman"/>
          <w:sz w:val="18"/>
          <w:szCs w:val="18"/>
          <w:b w:val="1"/>
          <w:bCs w:val="1"/>
          <w:u w:val="single" w:color="auto"/>
          <w:color w:val="auto"/>
        </w:rPr>
        <w:t>Hazardous Materials</w:t>
      </w:r>
      <w:r>
        <w:rPr>
          <w:rFonts w:ascii="Times New Roman" w:cs="Times New Roman" w:eastAsia="Times New Roman" w:hAnsi="Times New Roman"/>
          <w:sz w:val="18"/>
          <w:szCs w:val="18"/>
          <w:color w:val="auto"/>
        </w:rPr>
        <w:t>”) or otherwise related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which violation includes, but is not limited to, noncompliance with any permits or other governmental authorizations required for the operation of the business of the Company or any of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 Company and its Subsidiaries have all material permits, authorizations and approvals required under any applicable Environmental Laws and are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or any investigation with respect to which the Company or any of its Subsidiaries has received written notice or any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Hazardous Materials at any location owned, leased or operated by the Company or any of its Subsidiaries, now or in the past; and (iv) to the Company’s knowledge, there are no past or present actions, activities, events, conditions, incidents or circumstances that might reasonably be expected to result in a violation of any Environmental Law or form the basis of an order for clean-up or remediation, or an action, suit, investigation or proceeding by any private party or governmental body or agency, against or affecting the Company or any of its Subsidiaries relating to Hazardous Materials or any Environmental Laws.</w:t>
      </w:r>
    </w:p>
    <w:p>
      <w:pPr>
        <w:spacing w:after="0" w:line="189" w:lineRule="exact"/>
        <w:rPr>
          <w:rFonts w:ascii="Times New Roman" w:cs="Times New Roman" w:eastAsia="Times New Roman" w:hAnsi="Times New Roman"/>
          <w:sz w:val="18"/>
          <w:szCs w:val="18"/>
          <w:color w:val="auto"/>
        </w:rPr>
      </w:pPr>
    </w:p>
    <w:p>
      <w:pPr>
        <w:ind w:right="80" w:firstLine="656"/>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established or maintained by the Company, or its “ERISA Affiliates”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defined below) are in compliance in all material respects with ERISA. “ERISA Affiliates” means, with respect to the Company,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nothing has occurred, whether by action or failure to act, which would cause the loss of such qualification.</w:t>
      </w:r>
    </w:p>
    <w:p>
      <w:pPr>
        <w:spacing w:after="0" w:line="186" w:lineRule="exact"/>
        <w:rPr>
          <w:sz w:val="20"/>
          <w:szCs w:val="20"/>
          <w:color w:val="auto"/>
        </w:rPr>
      </w:pPr>
    </w:p>
    <w:p>
      <w:pPr>
        <w:ind w:right="300" w:firstLine="656"/>
        <w:spacing w:after="0" w:line="261" w:lineRule="auto"/>
        <w:tabs>
          <w:tab w:leader="none" w:pos="12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and there is and has been no failure on the part of the Company and, to the Company’s knowledge, any of the Company’s directors or officers, in their capacities as such, to comply with, any provision of the Sarbanes-Oxley Act of 2002 and all rules and regulations promulgated thereunder or implementing the provisions thereof (the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and the rules and regulations promulgated in connection therewith, including Section 402 relating to loans.</w:t>
      </w:r>
    </w:p>
    <w:p>
      <w:pPr>
        <w:spacing w:after="0" w:line="180" w:lineRule="exact"/>
        <w:rPr>
          <w:rFonts w:ascii="Times New Roman" w:cs="Times New Roman" w:eastAsia="Times New Roman" w:hAnsi="Times New Roman"/>
          <w:sz w:val="18"/>
          <w:szCs w:val="18"/>
          <w:color w:val="auto"/>
        </w:rPr>
      </w:pPr>
    </w:p>
    <w:p>
      <w:pPr>
        <w:ind w:right="100" w:firstLine="656"/>
        <w:spacing w:after="0" w:line="255" w:lineRule="auto"/>
        <w:tabs>
          <w:tab w:leader="none" w:pos="13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any of its Subsidiaries, nor, to the knowledge of the Company, any of their respective directors, officers, agents, employees or affiliates, has taken or will take any action in furtherance of an offer, payment, promise to pay, or authorization or approval of the unlawful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each of its Subsidiaries and, to the Company’s knowledge, each of their respective affiliates have conducted their businesses in compliance with applicable anti-corruption laws.</w:t>
      </w:r>
    </w:p>
    <w:p>
      <w:pPr>
        <w:spacing w:after="0" w:line="189" w:lineRule="exact"/>
        <w:rPr>
          <w:rFonts w:ascii="Times New Roman" w:cs="Times New Roman" w:eastAsia="Times New Roman" w:hAnsi="Times New Roman"/>
          <w:sz w:val="18"/>
          <w:szCs w:val="18"/>
          <w:color w:val="auto"/>
        </w:rPr>
      </w:pPr>
    </w:p>
    <w:p>
      <w:pPr>
        <w:ind w:right="20" w:firstLine="656"/>
        <w:spacing w:after="0" w:line="254" w:lineRule="auto"/>
        <w:tabs>
          <w:tab w:leader="none" w:pos="129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Subsidiary, affiliate, director, officer or employee thereof or, to the best of the Company’s knowledge, any agent, representative or other person acting on behalf of the Company or any of its Subsidiaries or affiliates, is aware of or has taken any action, directly or indirectly, that would result in a violation by such persons of any applicable anti-corruption laws, including the Foreign Corrupt Practices Act of 1977, as amended, and the rules and regulations thereunder (the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or otherwise took any action (or failed to fully disclose any action) in contravention of the FCPA; and the Company, its Subsidiaries and each of their respective affiliates have conducted their businesses in compliance with the FCPA and have instituted and maintain, and will continue to maintain, policies and procedures designed to ensure, and which are reasonably expected to continue to ensure, continued compliance therewith.</w:t>
      </w:r>
    </w:p>
    <w:p>
      <w:pPr>
        <w:sectPr>
          <w:pgSz w:w="11900" w:h="16868" w:orient="portrait"/>
          <w:cols w:equalWidth="0" w:num="1">
            <w:col w:w="11420"/>
          </w:cols>
          <w:pgMar w:left="240" w:top="580" w:right="239" w:bottom="0" w:gutter="0" w:footer="0" w:header="0"/>
        </w:sectPr>
      </w:pPr>
    </w:p>
    <w:bookmarkStart w:id="11" w:name="page12"/>
    <w:bookmarkEnd w:id="11"/>
    <w:p>
      <w:pPr>
        <w:spacing w:after="0" w:line="64" w:lineRule="exact"/>
        <w:rPr>
          <w:sz w:val="20"/>
          <w:szCs w:val="20"/>
          <w:color w:val="auto"/>
        </w:rPr>
      </w:pPr>
    </w:p>
    <w:p>
      <w:pPr>
        <w:ind w:right="520" w:firstLine="656"/>
        <w:spacing w:after="0" w:line="266" w:lineRule="auto"/>
        <w:tabs>
          <w:tab w:leader="none" w:pos="129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Money Laundering Laws</w:t>
      </w:r>
      <w:r>
        <w:rPr>
          <w:rFonts w:ascii="Times New Roman" w:cs="Times New Roman" w:eastAsia="Times New Roman" w:hAnsi="Times New Roman"/>
          <w:sz w:val="18"/>
          <w:szCs w:val="18"/>
          <w:color w:val="auto"/>
        </w:rPr>
        <w:t>”) and no action, suit, investigation or proceeding by or before any court or governmental agency, authority or body or any arbitrator involving the Company or any of its Subsidiaries with respect to the Money Laundering Laws is pending or, to the best of the Company’s knowledge, threatened.</w:t>
      </w:r>
    </w:p>
    <w:p>
      <w:pPr>
        <w:spacing w:after="0" w:line="175" w:lineRule="exact"/>
        <w:rPr>
          <w:sz w:val="20"/>
          <w:szCs w:val="20"/>
          <w:color w:val="auto"/>
        </w:rPr>
      </w:pPr>
    </w:p>
    <w:p>
      <w:pPr>
        <w:ind w:right="160" w:firstLine="656"/>
        <w:spacing w:after="0" w:line="253" w:lineRule="auto"/>
        <w:tabs>
          <w:tab w:leader="none" w:pos="129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director or officer thereof, nor, to the Company’s knowledge, any employee, agent, affiliate or representative of the Company or any of its Subsidiaries, is currently or is owned or controlled by an individual or entity that is subject to any sanctions administered or enforced by the United States government (including, without limitation, the Office of Foreign Assets Control of the United States Department of the Treasury),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or is located, organized or resident in a country or territory that is the subject or target of Sanctions; and the Company will not directly or indirectly use the proceeds of the sale of the Shares, or lend, contribute or otherwise make available such proceeds to any Subsidiary, or any joint venture partner or other person or entity, for the purpose of financing or facilitating the activities of or business of any person or entity, or in any country or territory, that currently or at the time of such financing or facilitation is the subject of any Sanctions or in any other manner that will result in a violation by any person or entity (including any person participating in the transactions contemplated by this Agreement) of any Sanctions. For the past five years, the Company and its Subsidiaries have not knowingly engaged in and are not now knowingly engaged in any dealings or transactions with any person or entity, or in any country or territory, that at the time of the dealing or transaction is or was the subject of Sanctions.</w:t>
      </w:r>
    </w:p>
    <w:p>
      <w:pPr>
        <w:spacing w:after="0" w:line="192" w:lineRule="exact"/>
        <w:rPr>
          <w:rFonts w:ascii="Times New Roman" w:cs="Times New Roman" w:eastAsia="Times New Roman" w:hAnsi="Times New Roman"/>
          <w:sz w:val="18"/>
          <w:szCs w:val="18"/>
          <w:color w:val="auto"/>
        </w:rPr>
      </w:pPr>
    </w:p>
    <w:p>
      <w:pPr>
        <w:ind w:right="60" w:firstLine="656"/>
        <w:spacing w:after="0" w:line="268" w:lineRule="auto"/>
        <w:tabs>
          <w:tab w:leader="none" w:pos="129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own or possess the right to use all inventions, patent applications, patents, trademarks, trade names, service names, domain names, copyrights, trade secrets, know-how and other intellectual property (collectively, “</w:t>
      </w:r>
      <w:r>
        <w:rPr>
          <w:rFonts w:ascii="Times New Roman" w:cs="Times New Roman" w:eastAsia="Times New Roman" w:hAnsi="Times New Roman"/>
          <w:sz w:val="17"/>
          <w:szCs w:val="17"/>
          <w:b w:val="1"/>
          <w:bCs w:val="1"/>
          <w:u w:val="single" w:color="auto"/>
          <w:color w:val="auto"/>
        </w:rPr>
        <w:t>Intellectual Property</w:t>
      </w:r>
      <w:r>
        <w:rPr>
          <w:rFonts w:ascii="Times New Roman" w:cs="Times New Roman" w:eastAsia="Times New Roman" w:hAnsi="Times New Roman"/>
          <w:sz w:val="17"/>
          <w:szCs w:val="17"/>
          <w:color w:val="auto"/>
        </w:rPr>
        <w:t>”) as are (i) necessary or material for the conduct of their respective businesses as currently conducted or as currently proposed to be conducted and as described in the Registration Statement and the Prospectus and (ii) necessary or material for the commercialization of the products described in the Registration Statement and the Prospectus as being under development. There is no pending or, to the Company’s knowledge, threatened (i) action, suit, proceeding, or claim by others challenging the rights of the Company or any of its Subsidiaries in or to any such Intellectual Property that, if decided adversely to the Company or such Subsidiary would, individually or in the aggregate, have a Material Adverse Effect, and the Company is unaware of any facts which would form a reasonable basis for any such claim; (ii) action, suit, proceeding, or claim by others that the Company or any of its Subsidiaries infringes, misappropriates, or otherwise violates any Intellectual Property of others that, if decided adversely to the Company or such Subsidiary would, individually or in the aggregate, have a Material Adverse Effect, and the Company is unaware of any facts which would form a reasonable basis for any such claim; or (iii) action, suit, proceeding, or claim by others challenging the validity, scope, or enforceability of any such Intellectual Property owned or licensed by the Company or its Subsidiaries and the Company is unaware of any facts which would form a reasonable basis for any such claim. To the best of the Company’s knowledge, the operation of the business of the Company and its Subsidiaries as now conducted, and as described in the Prospectus, and in connection with the development and commercialization of the products described in the Prospectus does not infringe, misappropriate, conflict with or otherwise violate any claim of any patent or published patent application of any other person or entity. There is no prior art of which the Company or any of its Subsidiaries is aware that may render any patent owned or licensed by the Company or its Subsidiaries invalid or any patent application owned or licensed by the Company or its Subsidiaries unpatentable which has not been disclosed to the applicable government patent office. The Company’s granted or issued patents, registered trademarks and registered copyrights have been duly maintained and are in full force and effect, and none of the patents, trademarks and copyrights have been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adjudged invalid or unenforceable in whole or in part. The Company knows of no infringement, misappropriation or violation by others of any Intellectual Property owned or licensed by the Company or its Subsidiaries which would reasonably be expected to have a Material Adverse Effect. Neither the Company nor any of its Subsidiaries is a party to or bound by any options, licenses or agreements with respect to the Intellectual Property of any other person or entity that are required to be set forth in the Prospectus and that are not described therein in all material respects. The Company and its Subsidiaries have taken all reasonable steps necessary to secure their interests in the Intellectual Property of the Company and its Subsidiaries from their employees and contractors and to protect the confidentiality of all of their confidential information and trade secrets. None of the technology or intellectual property used by the Company and its Subsidiaries in its business has been obtained or is being used by the Company or its Subsidiaries in violation of any contractual obligation binding on the Company or its Subsidiaries, or, to the Company’s knowledge, any of its officers, directors or employees or otherwise in violation of the rights of any persons. No third party has been granted by the Company or its Subsidiaries rights to the Intellectual Property of the Company or its Subsidiaries, including any rights that, if exercised, could enable such party to develop products competitive to those of the Company as described in the Registration Statement and the Prospectus. All Intellectual Property owned or exclusively licensed by the Company or its Subsidiaries are free and clear of all liens, encumbrances, defects or other restrictions (other than non-exclusive licenses granted in the ordinary course of business), except those that could not reasonably be expected, individually or in the aggregate, to have a Material Adverse Effect. The Company and its Subsidiaries are not subject to any judgment, order, writ, injunction or decree of any court or any federal, state, local, foreign or other governmental department, commission, board, bureau, agency or instrumentality, domestic or foreign, or any arbitrator, nor has it entered into or is it a party to any agreement made in settlement of any pending or threatened litigation, which materially restricts or impairs their use of any Intellectual Property.</w:t>
      </w:r>
    </w:p>
    <w:p>
      <w:pPr>
        <w:spacing w:after="0" w:line="196" w:lineRule="exact"/>
        <w:rPr>
          <w:sz w:val="20"/>
          <w:szCs w:val="20"/>
          <w:color w:val="auto"/>
        </w:rPr>
      </w:pPr>
    </w:p>
    <w:p>
      <w:pPr>
        <w:ind w:firstLine="656"/>
        <w:spacing w:after="0" w:line="253" w:lineRule="auto"/>
        <w:tabs>
          <w:tab w:leader="none" w:pos="12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 are and have at all times been in full compliance with all laws, statutes, rules, regulations or guidance applicable to the Company and its Subsidiaries and the ownership, testing, development, manufacture, packaging, processing, use, distribution, marketing, advertising, labeling, promotion, sale, offer for sale, storage, import, export or disposal of any pharmaceuticals or biohazardous substances, materials or any other products developed, manufactured or distributed by the Company (including, without limitation, from the United States Food and Drug Administration (“</w:t>
      </w:r>
      <w:r>
        <w:rPr>
          <w:rFonts w:ascii="Times New Roman" w:cs="Times New Roman" w:eastAsia="Times New Roman" w:hAnsi="Times New Roman"/>
          <w:sz w:val="18"/>
          <w:szCs w:val="18"/>
          <w:b w:val="1"/>
          <w:bCs w:val="1"/>
          <w:u w:val="single" w:color="auto"/>
          <w:color w:val="auto"/>
        </w:rPr>
        <w:t>FDA</w:t>
      </w:r>
      <w:r>
        <w:rPr>
          <w:rFonts w:ascii="Times New Roman" w:cs="Times New Roman" w:eastAsia="Times New Roman" w:hAnsi="Times New Roman"/>
          <w:sz w:val="18"/>
          <w:szCs w:val="18"/>
          <w:color w:val="auto"/>
        </w:rPr>
        <w:t>”), European Medicines Agency (“</w:t>
      </w:r>
      <w:r>
        <w:rPr>
          <w:rFonts w:ascii="Times New Roman" w:cs="Times New Roman" w:eastAsia="Times New Roman" w:hAnsi="Times New Roman"/>
          <w:sz w:val="18"/>
          <w:szCs w:val="18"/>
          <w:b w:val="1"/>
          <w:bCs w:val="1"/>
          <w:u w:val="single" w:color="auto"/>
          <w:color w:val="auto"/>
        </w:rPr>
        <w:t>EMA</w:t>
      </w:r>
      <w:r>
        <w:rPr>
          <w:rFonts w:ascii="Times New Roman" w:cs="Times New Roman" w:eastAsia="Times New Roman" w:hAnsi="Times New Roman"/>
          <w:sz w:val="18"/>
          <w:szCs w:val="18"/>
          <w:color w:val="auto"/>
        </w:rPr>
        <w:t>”) and any local or other governmental or regulatory authority performing functions similar to those performed by the FDA or EMA) (collectively, “</w:t>
      </w:r>
      <w:r>
        <w:rPr>
          <w:rFonts w:ascii="Times New Roman" w:cs="Times New Roman" w:eastAsia="Times New Roman" w:hAnsi="Times New Roman"/>
          <w:sz w:val="18"/>
          <w:szCs w:val="18"/>
          <w:b w:val="1"/>
          <w:bCs w:val="1"/>
          <w:u w:val="single" w:color="auto"/>
          <w:color w:val="auto"/>
        </w:rPr>
        <w:t>Applicable Laws</w:t>
      </w:r>
      <w:r>
        <w:rPr>
          <w:rFonts w:ascii="Times New Roman" w:cs="Times New Roman" w:eastAsia="Times New Roman" w:hAnsi="Times New Roman"/>
          <w:sz w:val="18"/>
          <w:szCs w:val="18"/>
          <w:color w:val="auto"/>
        </w:rPr>
        <w:t>”), except as could not, individually or in the aggregate, reasonably be expected to result in a Material Adverse Effect, (ii) have not received any notice of adverse finding, warning letter, untitled letter or other correspondence or notice from the FDA or any other federal, state or foreign governmental authority having authority over the Company, any of its Subsidiaries or their activities alleging or asserting noncompliance with any Applicable Laws or any licenses, certificates, approvals, clearances, authorizations, permits and supplements or amendments thereto required by any such Applicable Laws (collectively, the “</w:t>
      </w:r>
      <w:r>
        <w:rPr>
          <w:rFonts w:ascii="Times New Roman" w:cs="Times New Roman" w:eastAsia="Times New Roman" w:hAnsi="Times New Roman"/>
          <w:sz w:val="18"/>
          <w:szCs w:val="18"/>
          <w:b w:val="1"/>
          <w:bCs w:val="1"/>
          <w:u w:val="single" w:color="auto"/>
          <w:color w:val="auto"/>
        </w:rPr>
        <w:t>Governmental Permits</w:t>
      </w:r>
      <w:r>
        <w:rPr>
          <w:rFonts w:ascii="Times New Roman" w:cs="Times New Roman" w:eastAsia="Times New Roman" w:hAnsi="Times New Roman"/>
          <w:sz w:val="18"/>
          <w:szCs w:val="18"/>
          <w:color w:val="auto"/>
        </w:rPr>
        <w:t>”), (iii) have made all filings with, the appropriate local, or other governmental or regulatory agencies or bodies that are necessary for the ownership or lease of their respective properties or the conduct of their</w:t>
      </w:r>
    </w:p>
    <w:p>
      <w:pPr>
        <w:sectPr>
          <w:pgSz w:w="11900" w:h="16902" w:orient="portrait"/>
          <w:cols w:equalWidth="0" w:num="1">
            <w:col w:w="11400"/>
          </w:cols>
          <w:pgMar w:left="240" w:top="337" w:right="259" w:bottom="0" w:gutter="0" w:footer="0" w:header="0"/>
        </w:sectPr>
      </w:pPr>
    </w:p>
    <w:bookmarkStart w:id="12" w:name="page13"/>
    <w:bookmarkEnd w:id="12"/>
    <w:p>
      <w:pPr>
        <w:spacing w:after="0" w:line="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respective businesses as described in the Registration Statement and the Prospectus, except where any failures to possess or make the same would not, singularly or in the aggregate, have a Material Adverse Effect, (iv) possess all material Governmental Permits necessary to conduct their respective businesses as described in the Registration Statement and the Prospectus, and such Governmental Permits are valid and in full force and effect and are not in violation of any term of any such Governmental Permits, (v) have filed, obtained, maintained or submitted all material reports, documents, forms, notices, applications, records, claims, submissions and supplements or amendments as required by any Applicable Laws or Governmental Permits and that all such reports, documents, forms, notices, applications, records, claims, submissions and supplements or amendments were complete and correct in all material respects on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date filed (or were corrected or supplemented by a subsequent submission), and (vi) are not a party to any corporate integrity agreements, monitoring agreements, consent decrees, settlement orders or similar agreements with or imposed by any governmental authority. All Governmental Permits are valid and in full force and effect, except where the validity or failure to be in full force and effect would not, singularly or in the aggregate, have a Material Adverse Effect. Neither the Company nor any Subsidiary has received notification of any revocation, modification, suspension, termination or invalidation (or proceedings related thereto) of any such Governmental Permit and the Company has no reason to believe that any such Governmental Permit will not be renewed. Neither the Company, any of its Subsidiaries nor, to the Company’s knowledge, any of their respective directors, officers, employees or agents has been convicted of any crime under any Applicable Laws or has been the subject of an FDA debarment proceeding. Neither the Company nor any of its Subsidiaries has been nor is now subject to the FDA’s Application Integrity Policy. To the Company’s knowledge, neither the Company, any of its Subsidiaries nor any of its directors, officers, employees or agents has made, or caused the making of, any false statements on, or material omissions from, any other records or documentation prepared or maintained to comply with the requirements of the FDA or any other governmental authority.</w:t>
      </w:r>
    </w:p>
    <w:p>
      <w:pPr>
        <w:spacing w:after="0" w:line="186" w:lineRule="exact"/>
        <w:rPr>
          <w:sz w:val="20"/>
          <w:szCs w:val="20"/>
          <w:color w:val="auto"/>
        </w:rPr>
      </w:pPr>
    </w:p>
    <w:p>
      <w:pPr>
        <w:ind w:right="100" w:firstLine="656"/>
        <w:spacing w:after="0" w:line="253" w:lineRule="auto"/>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legal or governmental proceeding to which the Company or any of its Subsidiaries is a party or of which any property or assets of the Company or any of its Subsidiaries is the subject, including any proceeding before the FDA, the EMA or any foreign, local, national or other governmental agency with jurisdiction over the types of products being developed by the Company that is required to be described in the Registration Statement or the Prospectus and is not described therein, or which, singularly or in the aggregate, if determined adversely to the Company or any of its Subsidiaries, could reasonably be expected to have a Material Adverse Effect; and no such proceedings are threatened or contemplated by governmental or regulatory authorities or threatened by others. The Company and its Subsidiaries (i) have not received notice of any claim, action, suit, proceeding, hearing, enforcement, investigation, arbitration or other action from any governmental authority or third party alleging that any product operation or activity is in violation of any Applicable Laws or Governmental Permits and have no knowledge that any such governmental authority or third party is considering any such claim, litigation, arbitration, action, suit, investigation or proceeding and (ii) have not received notice that any governmental authority has taken, is taking or intends to take action to limit, suspend, modify or revoke any Governmental Permits and the Company has no knowledge that any such governmental authority is considering such action.</w:t>
      </w:r>
    </w:p>
    <w:p>
      <w:pPr>
        <w:spacing w:after="0" w:line="192" w:lineRule="exact"/>
        <w:rPr>
          <w:rFonts w:ascii="Times New Roman" w:cs="Times New Roman" w:eastAsia="Times New Roman" w:hAnsi="Times New Roman"/>
          <w:sz w:val="18"/>
          <w:szCs w:val="18"/>
          <w:color w:val="auto"/>
        </w:rPr>
      </w:pPr>
    </w:p>
    <w:p>
      <w:pPr>
        <w:ind w:right="20" w:firstLine="656"/>
        <w:spacing w:after="0" w:line="253" w:lineRule="auto"/>
        <w:tabs>
          <w:tab w:leader="none" w:pos="131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non-clinical pre-clinical studies and clinical studies and tests conducted or being conducted by or on behalf of the Company or any of its Subsidiaries or in which any of their respective product candidates have participated and, to the Company’s knowledge, the preclinical studies and clinical trials directed or sponsored by the Company’s collaborators (collectively, the “</w:t>
      </w:r>
      <w:r>
        <w:rPr>
          <w:rFonts w:ascii="Times New Roman" w:cs="Times New Roman" w:eastAsia="Times New Roman" w:hAnsi="Times New Roman"/>
          <w:sz w:val="18"/>
          <w:szCs w:val="18"/>
          <w:b w:val="1"/>
          <w:bCs w:val="1"/>
          <w:u w:val="single" w:color="auto"/>
          <w:color w:val="auto"/>
        </w:rPr>
        <w:t>Studies</w:t>
      </w:r>
      <w:r>
        <w:rPr>
          <w:rFonts w:ascii="Times New Roman" w:cs="Times New Roman" w:eastAsia="Times New Roman" w:hAnsi="Times New Roman"/>
          <w:sz w:val="18"/>
          <w:szCs w:val="18"/>
          <w:color w:val="auto"/>
        </w:rPr>
        <w:t>”) that are described in, or the results of which are referred to in, the Registration Statement and the Prospectus were and, if still pending, are being conducted with reasonable care and in all material respects in accordance with the protocols, procedures and controls pursuant to all Applicable Laws and Governmental Permits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research, non-clinical studies or tests the results of which are inconsistent with, or otherwise call into question, the results described or referred to in the Registration Statement and the Prospectus; the Company and its Subsidiaries have made all such filings and obtained all such approvals as may be required by the EMA, the FDA or any committee thereof or from any other United States or foreign government agency with jurisdiction over the types of products being developed by the Company; neither the Company nor any of its Subsidiaries has received any notice of, or correspondence from, any governmental authority requiring the termination, suspension or modification of any Study; and the Company and its Subsidiaries have each operated and currently are in compliance in all material respects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with all applicable rules, regulations and policies of all governmental authorities. There have been no material serious adverse events resulting from any Study. To the Company’s knowledge, the manufacturing facilities and operations of its suppliers are operated in compliance in all material respects with all Applicable Laws and Governmental Permits.</w:t>
      </w:r>
    </w:p>
    <w:p>
      <w:pPr>
        <w:spacing w:after="0" w:line="176" w:lineRule="exact"/>
        <w:rPr>
          <w:sz w:val="20"/>
          <w:szCs w:val="20"/>
          <w:color w:val="auto"/>
        </w:rPr>
      </w:pPr>
    </w:p>
    <w:p>
      <w:pPr>
        <w:ind w:right="200" w:firstLine="656"/>
        <w:spacing w:after="0" w:line="258"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acknowledges and agrees that the Agent has informed the Company that Leerink may, to the extent permitted under the Securities Act and the Exchange Act, purchase and sell Shares for its own account while this Agreement is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agreement with an agent or underwriter for any other “at the market” or continuous equity transaction.</w:t>
      </w:r>
    </w:p>
    <w:p>
      <w:pPr>
        <w:spacing w:after="0" w:line="225" w:lineRule="exact"/>
        <w:rPr>
          <w:rFonts w:ascii="Times New Roman" w:cs="Times New Roman" w:eastAsia="Times New Roman" w:hAnsi="Times New Roman"/>
          <w:sz w:val="18"/>
          <w:szCs w:val="18"/>
          <w:color w:val="auto"/>
        </w:rPr>
      </w:pPr>
    </w:p>
    <w:p>
      <w:pPr>
        <w:ind w:right="20" w:firstLine="656"/>
        <w:spacing w:after="0" w:line="255" w:lineRule="auto"/>
        <w:tabs>
          <w:tab w:leader="none" w:pos="12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shareholders of the Company, on the 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the Agent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w:t>
      </w:r>
    </w:p>
    <w:p>
      <w:pPr>
        <w:spacing w:after="0" w:line="185" w:lineRule="exact"/>
        <w:rPr>
          <w:rFonts w:ascii="Times New Roman" w:cs="Times New Roman" w:eastAsia="Times New Roman" w:hAnsi="Times New Roman"/>
          <w:sz w:val="18"/>
          <w:szCs w:val="18"/>
          <w:color w:val="auto"/>
        </w:rPr>
      </w:pPr>
    </w:p>
    <w:p>
      <w:pPr>
        <w:jc w:val="both"/>
        <w:ind w:right="80" w:firstLine="656"/>
        <w:spacing w:after="0" w:line="289" w:lineRule="auto"/>
        <w:tabs>
          <w:tab w:leader="none" w:pos="132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close of trading on Nasdaq on October 19, 2017,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Times New Roman" w:cs="Times New Roman" w:eastAsia="Times New Roman" w:hAnsi="Times New Roman"/>
          <w:sz w:val="17"/>
          <w:szCs w:val="17"/>
          <w:b w:val="1"/>
          <w:bCs w:val="1"/>
          <w:u w:val="single" w:color="auto"/>
          <w:color w:val="auto"/>
        </w:rPr>
        <w:t>Non-Affiliate</w:t>
      </w:r>
    </w:p>
    <w:p>
      <w:pPr>
        <w:sectPr>
          <w:pgSz w:w="11900" w:h="16937" w:orient="portrait"/>
          <w:cols w:equalWidth="0" w:num="1">
            <w:col w:w="11420"/>
          </w:cols>
          <w:pgMar w:left="240" w:top="121" w:right="239" w:bottom="0" w:gutter="0" w:footer="0" w:header="0"/>
        </w:sectPr>
      </w:pPr>
    </w:p>
    <w:bookmarkStart w:id="13" w:name="page14"/>
    <w:bookmarkEnd w:id="13"/>
    <w:p>
      <w:pPr>
        <w:spacing w:after="0" w:line="9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was approximately $77.6 million (calculated by multiplying (x) the price at which the common equity of the Company was last sold on Nasdaq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19, 2017 by (y) the number of Non-Affiliate Shares outstanding on October 19, 2017). The Company is not a shell company (as defined in Rule 405) and has not been a shell company for at least 12 calendar months previously.</w:t>
      </w:r>
    </w:p>
    <w:p>
      <w:pPr>
        <w:spacing w:after="0" w:line="175" w:lineRule="exact"/>
        <w:rPr>
          <w:sz w:val="20"/>
          <w:szCs w:val="20"/>
          <w:color w:val="auto"/>
        </w:rPr>
      </w:pPr>
    </w:p>
    <w:p>
      <w:pPr>
        <w:ind w:right="120" w:firstLine="656"/>
        <w:spacing w:after="0" w:line="266" w:lineRule="auto"/>
        <w:tabs>
          <w:tab w:leader="none" w:pos="12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76" w:lineRule="exact"/>
        <w:rPr>
          <w:rFonts w:ascii="Times New Roman" w:cs="Times New Roman" w:eastAsia="Times New Roman" w:hAnsi="Times New Roman"/>
          <w:sz w:val="18"/>
          <w:szCs w:val="18"/>
          <w:color w:val="auto"/>
        </w:rPr>
      </w:pPr>
    </w:p>
    <w:p>
      <w:pPr>
        <w:jc w:val="both"/>
        <w:ind w:right="280" w:firstLine="656"/>
        <w:spacing w:after="0" w:line="266" w:lineRule="auto"/>
        <w:tabs>
          <w:tab w:leader="none" w:pos="12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independent directors (or independent director nominees, once appointed, if applicable) named in the Registration Statement and Prospectus satisfies the independence standards established by Nasdaq and, with respect to members of the Company’s audit committee, the enhanced independence standards contained in Rule 10A-3(b)(1) promulgated by the Commission under the Exchange 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656"/>
        <w:spacing w:after="0" w:line="266" w:lineRule="auto"/>
        <w:tabs>
          <w:tab w:leader="none" w:pos="13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Company’s knowledge, any of its affiliates (within the meaning of Rule 144 under the Securities Act) has, prior to the date hereof, made any offer or sale of any securities which could be “integrated” (within the meaning of the Securities Act) with the offer and sale of the Placement Shares hereunder.</w:t>
      </w:r>
    </w:p>
    <w:p>
      <w:pPr>
        <w:spacing w:after="0" w:line="176" w:lineRule="exact"/>
        <w:rPr>
          <w:sz w:val="20"/>
          <w:szCs w:val="20"/>
          <w:color w:val="auto"/>
        </w:rPr>
      </w:pPr>
    </w:p>
    <w:p>
      <w:pPr>
        <w:ind w:left="1280" w:hanging="624"/>
        <w:spacing w:after="0"/>
        <w:tabs>
          <w:tab w:leader="none" w:pos="12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(i) failed to pay any dividend or sinking fund installment on preferred stock or</w:t>
      </w:r>
    </w:p>
    <w:p>
      <w:pPr>
        <w:spacing w:after="0" w:line="27" w:lineRule="exact"/>
        <w:rPr>
          <w:rFonts w:ascii="Times New Roman" w:cs="Times New Roman" w:eastAsia="Times New Roman" w:hAnsi="Times New Roman"/>
          <w:sz w:val="18"/>
          <w:szCs w:val="18"/>
          <w:color w:val="auto"/>
        </w:rPr>
      </w:pPr>
    </w:p>
    <w:p>
      <w:pPr>
        <w:ind w:right="480" w:firstLine="8"/>
        <w:spacing w:after="0" w:line="261" w:lineRule="auto"/>
        <w:tabs>
          <w:tab w:leader="none" w:pos="2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defaulted on any installment or payment due on indebtedness for borrowed money or on any rental on one or more long-term leases, which defaults, individually or in the aggregate, could reasonably be expected to result in a Material Adverse Effect.</w:t>
      </w:r>
    </w:p>
    <w:p>
      <w:pPr>
        <w:spacing w:after="0" w:line="179" w:lineRule="exact"/>
        <w:rPr>
          <w:rFonts w:ascii="Times New Roman" w:cs="Times New Roman" w:eastAsia="Times New Roman" w:hAnsi="Times New Roman"/>
          <w:sz w:val="18"/>
          <w:szCs w:val="18"/>
          <w:color w:val="auto"/>
        </w:rPr>
      </w:pPr>
    </w:p>
    <w:p>
      <w:pPr>
        <w:ind w:right="140" w:firstLine="656"/>
        <w:spacing w:after="0" w:line="258" w:lineRule="auto"/>
        <w:tabs>
          <w:tab w:leader="none" w:pos="12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83" w:lineRule="exact"/>
        <w:rPr>
          <w:rFonts w:ascii="Times New Roman" w:cs="Times New Roman" w:eastAsia="Times New Roman" w:hAnsi="Times New Roman"/>
          <w:sz w:val="18"/>
          <w:szCs w:val="18"/>
          <w:color w:val="auto"/>
        </w:rPr>
      </w:pPr>
    </w:p>
    <w:p>
      <w:pPr>
        <w:ind w:right="360" w:firstLine="656"/>
        <w:spacing w:after="0" w:line="258" w:lineRule="auto"/>
        <w:tabs>
          <w:tab w:leader="none" w:pos="130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relationships, direct or indirect, or related party transactions involving the Company or any of its Subsidiaries or any other person (including any director, officer, stockholder, customer or supplier of the Company or any of its Subsidiaries) required to be described in the Registration Statement or the Prospectus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or subject to a bankruptcy or insolvency proceeding in any jurisdiction.</w:t>
      </w:r>
    </w:p>
    <w:p>
      <w:pPr>
        <w:spacing w:after="0" w:line="225" w:lineRule="exact"/>
        <w:rPr>
          <w:rFonts w:ascii="Times New Roman" w:cs="Times New Roman" w:eastAsia="Times New Roman" w:hAnsi="Times New Roman"/>
          <w:sz w:val="18"/>
          <w:szCs w:val="18"/>
          <w:color w:val="auto"/>
        </w:rPr>
      </w:pPr>
    </w:p>
    <w:p>
      <w:pPr>
        <w:ind w:right="20" w:firstLine="656"/>
        <w:spacing w:after="0" w:line="255" w:lineRule="auto"/>
        <w:tabs>
          <w:tab w:leader="none" w:pos="130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 are in compliance, in all 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the workplace (“</w:t>
      </w:r>
      <w:r>
        <w:rPr>
          <w:rFonts w:ascii="Times New Roman" w:cs="Times New Roman" w:eastAsia="Times New Roman" w:hAnsi="Times New Roman"/>
          <w:sz w:val="18"/>
          <w:szCs w:val="18"/>
          <w:b w:val="1"/>
          <w:bCs w:val="1"/>
          <w:u w:val="single" w:color="auto"/>
          <w:color w:val="auto"/>
        </w:rPr>
        <w:t>Occupational Laws</w:t>
      </w:r>
      <w:r>
        <w:rPr>
          <w:rFonts w:ascii="Times New Roman" w:cs="Times New Roman" w:eastAsia="Times New Roman" w:hAnsi="Times New Roman"/>
          <w:sz w:val="18"/>
          <w:szCs w:val="18"/>
          <w:color w:val="auto"/>
        </w:rPr>
        <w:t>”); (ii) have received all material permits, licenses or other approvals required of it under applicable Occupational Laws to conduct their respective businesses as currently conducted; and (iii) are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185" w:lineRule="exact"/>
        <w:rPr>
          <w:rFonts w:ascii="Times New Roman" w:cs="Times New Roman" w:eastAsia="Times New Roman" w:hAnsi="Times New Roman"/>
          <w:sz w:val="18"/>
          <w:szCs w:val="18"/>
          <w:color w:val="auto"/>
        </w:rPr>
      </w:pPr>
    </w:p>
    <w:p>
      <w:pPr>
        <w:ind w:right="140" w:firstLine="656"/>
        <w:spacing w:after="0" w:line="266" w:lineRule="auto"/>
        <w:tabs>
          <w:tab w:leader="none" w:pos="127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or officer of the Company or any of its Subsidiaries is subject to any non-competition agreement or non-solicitation agreement with any employer or prior employer which could materially affect each director’s or officer’s ability to be and act in the capacity of a director or officer of the Company or a Subsidiary.</w:t>
      </w:r>
    </w:p>
    <w:p>
      <w:pPr>
        <w:spacing w:after="0" w:line="172" w:lineRule="exact"/>
        <w:rPr>
          <w:rFonts w:ascii="Times New Roman" w:cs="Times New Roman" w:eastAsia="Times New Roman" w:hAnsi="Times New Roman"/>
          <w:sz w:val="18"/>
          <w:szCs w:val="18"/>
          <w:color w:val="auto"/>
        </w:rPr>
      </w:pPr>
    </w:p>
    <w:p>
      <w:pPr>
        <w:ind w:right="400" w:firstLine="656"/>
        <w:spacing w:after="0" w:line="286" w:lineRule="auto"/>
        <w:tabs>
          <w:tab w:leader="none" w:pos="133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duly and properly filed or caused to be filed with the U.S. Patent and Trademark Office (the “</w:t>
      </w:r>
      <w:r>
        <w:rPr>
          <w:rFonts w:ascii="Times New Roman" w:cs="Times New Roman" w:eastAsia="Times New Roman" w:hAnsi="Times New Roman"/>
          <w:sz w:val="18"/>
          <w:szCs w:val="18"/>
          <w:b w:val="1"/>
          <w:bCs w:val="1"/>
          <w:u w:val="single" w:color="auto"/>
          <w:color w:val="auto"/>
        </w:rPr>
        <w:t>PTO</w:t>
      </w:r>
      <w:r>
        <w:rPr>
          <w:rFonts w:ascii="Times New Roman" w:cs="Times New Roman" w:eastAsia="Times New Roman" w:hAnsi="Times New Roman"/>
          <w:sz w:val="18"/>
          <w:szCs w:val="18"/>
          <w:color w:val="auto"/>
        </w:rPr>
        <w:t>”) and applicable foreign and international patent and trademark authorities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all patents, trademarks, copyrights and applications relating to the same owned by the Company and its Subsidiaries (the “</w:t>
      </w:r>
      <w:r>
        <w:rPr>
          <w:rFonts w:ascii="Times New Roman" w:cs="Times New Roman" w:eastAsia="Times New Roman" w:hAnsi="Times New Roman"/>
          <w:sz w:val="18"/>
          <w:szCs w:val="18"/>
          <w:b w:val="1"/>
          <w:bCs w:val="1"/>
          <w:u w:val="single" w:color="auto"/>
          <w:color w:val="auto"/>
        </w:rPr>
        <w:t>Company Patent and Trademark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Applications</w:t>
      </w:r>
      <w:r>
        <w:rPr>
          <w:rFonts w:ascii="Times New Roman" w:cs="Times New Roman" w:eastAsia="Times New Roman" w:hAnsi="Times New Roman"/>
          <w:sz w:val="18"/>
          <w:szCs w:val="18"/>
          <w:color w:val="auto"/>
        </w:rPr>
        <w:t>”). To the knowledge of the Company, the Company has complied with the PTO’s duty of candor and disclosure for the Company Patent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Trademark Applications and has made no material misrepresentation in the Company Patent and Trademark Applications. To the Company’s knowledge, the Company Patent and Trademark Applications disclose patentable subject matter. The Company has not been notified of any inventorship challenges nor has any interference been declared or provoked nor is any material fact known by the Company that would preclude the issuance of patents with respect to the Company Patent and Trademark Applications or would render such patents, if issued, invalid or unenforceable. Except as would not have a Material Adverse Effect, neither the Company nor any of its Subsidiaries has breached and is currently in breach of any provision of any license, contract or other agreement governing the use by the Company or its Subsidiaries of Intellectual Property owned by third parties (collectively, the “</w:t>
      </w:r>
      <w:r>
        <w:rPr>
          <w:rFonts w:ascii="Times New Roman" w:cs="Times New Roman" w:eastAsia="Times New Roman" w:hAnsi="Times New Roman"/>
          <w:sz w:val="18"/>
          <w:szCs w:val="18"/>
          <w:b w:val="1"/>
          <w:bCs w:val="1"/>
          <w:u w:val="single" w:color="auto"/>
          <w:color w:val="auto"/>
        </w:rPr>
        <w:t>Licenses</w:t>
      </w:r>
      <w:r>
        <w:rPr>
          <w:rFonts w:ascii="Times New Roman" w:cs="Times New Roman" w:eastAsia="Times New Roman" w:hAnsi="Times New Roman"/>
          <w:sz w:val="18"/>
          <w:szCs w:val="18"/>
          <w:color w:val="auto"/>
        </w:rPr>
        <w:t>”) and no third party has alleged any such breach and the Company is unaware of any facts that would form a reasonable basis for such a claim. To the Company’s knowledge, no other party to the Licenses has breached or is currently in breach of any provision of the Licenses. Each of the Licenses is in full force and effect and constitutes a valid and binding agreement between the parties thereto, enforceable in accordance with its terms, and there has not occurred any breach or default under any such Licenses or any event that, with the giving of notice or lapse of time, would constitute a breach or default thereunder. Except as would not have a Material Adverse Effect, neither the Company nor any of its Subsidiaries has been and is currently involved in any disputes regarding the Licenses. To the Company’s knowledge, all patents licensed to the Company pursuant to the Licenses are valid, enforceable and being duly maintained. To the Company’s knowledge, all patent applications licensed to the Company pursuant to the Licenses are being duly prosecuted.</w:t>
      </w:r>
    </w:p>
    <w:p>
      <w:pPr>
        <w:spacing w:after="0" w:line="18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sectPr>
          <w:pgSz w:w="11900" w:h="16933" w:orient="portrait"/>
          <w:cols w:equalWidth="0" w:num="1">
            <w:col w:w="11420"/>
          </w:cols>
          <w:pgMar w:left="240" w:top="117" w:right="239" w:bottom="0" w:gutter="0" w:footer="0" w:header="0"/>
        </w:sectPr>
      </w:pPr>
    </w:p>
    <w:bookmarkStart w:id="14" w:name="page15"/>
    <w:bookmarkEnd w:id="14"/>
    <w:p>
      <w:pPr>
        <w:spacing w:after="0" w:line="95"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the Agent that:</w:t>
      </w:r>
    </w:p>
    <w:p>
      <w:pPr>
        <w:spacing w:after="0" w:line="225" w:lineRule="exact"/>
        <w:rPr>
          <w:sz w:val="20"/>
          <w:szCs w:val="20"/>
          <w:color w:val="auto"/>
        </w:rPr>
      </w:pPr>
    </w:p>
    <w:p>
      <w:pPr>
        <w:ind w:right="20" w:firstLine="656"/>
        <w:spacing w:after="0" w:line="252" w:lineRule="auto"/>
        <w:tabs>
          <w:tab w:leader="none" w:pos="12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(provided, however, that the failure of the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 rights under Section 9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w:t>
      </w:r>
    </w:p>
    <w:p>
      <w:pPr>
        <w:spacing w:after="0" w:line="189" w:lineRule="exact"/>
        <w:rPr>
          <w:sz w:val="20"/>
          <w:szCs w:val="20"/>
          <w:color w:val="auto"/>
        </w:rPr>
      </w:pPr>
    </w:p>
    <w:p>
      <w:pPr>
        <w:ind w:right="60" w:firstLine="656"/>
        <w:spacing w:after="0" w:line="255" w:lineRule="auto"/>
        <w:tabs>
          <w:tab w:leader="none" w:pos="13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189" w:lineRule="exact"/>
        <w:rPr>
          <w:rFonts w:ascii="Times New Roman" w:cs="Times New Roman" w:eastAsia="Times New Roman" w:hAnsi="Times New Roman"/>
          <w:sz w:val="18"/>
          <w:szCs w:val="18"/>
          <w:color w:val="auto"/>
        </w:rPr>
      </w:pPr>
    </w:p>
    <w:p>
      <w:pPr>
        <w:ind w:firstLine="656"/>
        <w:spacing w:after="0" w:line="252" w:lineRule="auto"/>
        <w:tabs>
          <w:tab w:leader="none" w:pos="130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If the Company has omitted any information from the Registration Statement pursuant to Rule 430B under the Securities Act, it will use its best efforts to comply with the provisions thereof and make all requisite filings with the Commission pursuant to said</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430B and to notify the Agent promptly of all such filings if not available on EDGAR.</w:t>
      </w:r>
    </w:p>
    <w:p>
      <w:pPr>
        <w:spacing w:after="0" w:line="206" w:lineRule="exact"/>
        <w:rPr>
          <w:rFonts w:ascii="Times New Roman" w:cs="Times New Roman" w:eastAsia="Times New Roman" w:hAnsi="Times New Roman"/>
          <w:sz w:val="18"/>
          <w:szCs w:val="18"/>
          <w:color w:val="auto"/>
        </w:rPr>
      </w:pPr>
    </w:p>
    <w:p>
      <w:pPr>
        <w:ind w:right="100" w:firstLine="656"/>
        <w:spacing w:after="0" w:line="258" w:lineRule="auto"/>
        <w:tabs>
          <w:tab w:leader="none" w:pos="13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55" w:lineRule="auto"/>
        <w:tabs>
          <w:tab w:leader="none" w:pos="130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Agent to the extent such document is available on EDGAR.</w:t>
      </w:r>
    </w:p>
    <w:p>
      <w:pPr>
        <w:spacing w:after="0" w:line="189" w:lineRule="exact"/>
        <w:rPr>
          <w:rFonts w:ascii="Times New Roman" w:cs="Times New Roman" w:eastAsia="Times New Roman" w:hAnsi="Times New Roman"/>
          <w:sz w:val="18"/>
          <w:szCs w:val="18"/>
          <w:color w:val="auto"/>
        </w:rPr>
      </w:pPr>
    </w:p>
    <w:p>
      <w:pPr>
        <w:ind w:right="120" w:firstLine="656"/>
        <w:spacing w:after="0" w:line="266" w:lineRule="auto"/>
        <w:tabs>
          <w:tab w:leader="none" w:pos="130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w:t>
      </w:r>
    </w:p>
    <w:p>
      <w:pPr>
        <w:spacing w:after="0" w:line="176" w:lineRule="exact"/>
        <w:rPr>
          <w:rFonts w:ascii="Times New Roman" w:cs="Times New Roman" w:eastAsia="Times New Roman" w:hAnsi="Times New Roman"/>
          <w:sz w:val="18"/>
          <w:szCs w:val="18"/>
          <w:color w:val="auto"/>
        </w:rPr>
      </w:pPr>
    </w:p>
    <w:p>
      <w:pPr>
        <w:jc w:val="both"/>
        <w:ind w:right="360" w:firstLine="656"/>
        <w:spacing w:after="0" w:line="282" w:lineRule="auto"/>
        <w:tabs>
          <w:tab w:leader="none" w:pos="131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whether or not the transactions contemplated hereunder are consummated or this Agreement is terminated in accordance with the provisions of Section 11 hereunder, will pay all expenses incident to the performance of its obligations hereunder, including, but not</w:t>
      </w:r>
    </w:p>
    <w:p>
      <w:pPr>
        <w:sectPr>
          <w:pgSz w:w="11900" w:h="16933" w:orient="portrait"/>
          <w:cols w:equalWidth="0" w:num="1">
            <w:col w:w="11420"/>
          </w:cols>
          <w:pgMar w:left="240" w:top="337" w:right="239" w:bottom="0" w:gutter="0" w:footer="0" w:header="0"/>
        </w:sectPr>
      </w:pPr>
    </w:p>
    <w:bookmarkStart w:id="15" w:name="page16"/>
    <w:bookmarkEnd w:id="15"/>
    <w:p>
      <w:pPr>
        <w:ind w:right="180"/>
        <w:spacing w:after="0" w:line="255" w:lineRule="auto"/>
        <w:rPr>
          <w:sz w:val="20"/>
          <w:szCs w:val="20"/>
          <w:color w:val="auto"/>
        </w:rPr>
      </w:pPr>
      <w:r>
        <w:rPr>
          <w:rFonts w:ascii="Times New Roman" w:cs="Times New Roman" w:eastAsia="Times New Roman" w:hAnsi="Times New Roman"/>
          <w:sz w:val="18"/>
          <w:szCs w:val="18"/>
          <w:color w:val="auto"/>
        </w:rPr>
        <w:t>limited to,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taxes due or payable in connection therewith, (iii) the qualification of the Placement Shares under securities laws in accordance with the provisions of</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Section 7(w)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Shares, (vii) the fees and associated expenses of the Agent’s outside legal counsel for filings with the FINRA Corporate Financing Department in an amount not to exceed $15,000 (excluding FINRA filing fees referred to in clause (vi) above and in addition to the fees and disbursements referred to in clause (viii) below), and (viii) the reasonable fees and disbursements of the Agent’s outside legal counsel in an amount not to exceed $50,000 (in addition to the fees and associated expenses referred to in clause (vii) above).</w:t>
      </w:r>
    </w:p>
    <w:p>
      <w:pPr>
        <w:spacing w:after="0" w:line="188" w:lineRule="exact"/>
        <w:rPr>
          <w:sz w:val="20"/>
          <w:szCs w:val="20"/>
          <w:color w:val="auto"/>
        </w:rPr>
      </w:pPr>
    </w:p>
    <w:p>
      <w:pPr>
        <w:ind w:left="1320" w:hanging="66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rFonts w:ascii="Times New Roman" w:cs="Times New Roman" w:eastAsia="Times New Roman" w:hAnsi="Times New Roman"/>
          <w:sz w:val="18"/>
          <w:szCs w:val="18"/>
          <w:color w:val="auto"/>
        </w:rPr>
      </w:pPr>
    </w:p>
    <w:p>
      <w:pPr>
        <w:ind w:right="100" w:firstLine="656"/>
        <w:spacing w:after="0" w:line="255" w:lineRule="auto"/>
        <w:tabs>
          <w:tab w:leader="none" w:pos="13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Without the prior written consent of the Agent, the Company will not, directly or indirectly, offer to sell, sell, contract to sell, grant any option to sell or otherwise dispose of any Shares (other than the Placement Shares offered pursuant to this Agreement) or securities convertible into or exchangeable or exercisable for Shares, warrants or any rights to purchase or acquire Shares during the period beginning on the fifth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or indirectly in any other “at the market offering” or continuous equity transaction offer to sell, sell, contract to sell, grant any option to sell or otherwise dispose of any Shares (other than the Placement Shares offered pursuant to this Agreement) or securities convertible into or exchangeable or exercisable for Shares, warrants or any rights to purchase or acquire, Shares prior to the later of the termination of this Agreement and the sixtieth day immediately following the final Settlement Date with respect to Placement Shares sold pursuant to such Placement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restrictions will not be required in connection with the Company’s issuance or sale of (i) Shares, options to purchase Shares, other securities under the Company’s existing equity incentive plans, or Shares issuable upon the exercise of options or vesting of other securities, pursuant to any employee or director stock option or benefits plan, stock ownership plan or dividend reinvestment plan (but not Shares subject to a waiver to exceed plan limits in its dividend reinvestment plan) of the Company whether now in effect or hereafter implemented, (ii) Shares issuable upon conversion of securities or the exercise of warrants, options or other rights in effect or outstanding, and disclosed in filings by the Company available on EDGAR or otherwise in writing to the Agent and (iii) Shares or securities convertible into or exchangeable for Shares as consideration for mergers, acquisitions, other business combinations or strategic alliances occurring after the date of this Agreement which are not issued for capital raising purposes.</w:t>
      </w:r>
    </w:p>
    <w:p>
      <w:pPr>
        <w:spacing w:after="0" w:line="193" w:lineRule="exact"/>
        <w:rPr>
          <w:sz w:val="20"/>
          <w:szCs w:val="20"/>
          <w:color w:val="auto"/>
        </w:rPr>
      </w:pPr>
    </w:p>
    <w:p>
      <w:pPr>
        <w:ind w:right="280" w:firstLine="656"/>
        <w:spacing w:after="0" w:line="261" w:lineRule="auto"/>
        <w:tabs>
          <w:tab w:leader="none" w:pos="13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a fiscal quarter in which the Company intends to tender a Placement Notice or sell Placement Shares,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spacing w:after="0" w:line="180" w:lineRule="exact"/>
        <w:rPr>
          <w:rFonts w:ascii="Times New Roman" w:cs="Times New Roman" w:eastAsia="Times New Roman" w:hAnsi="Times New Roman"/>
          <w:sz w:val="18"/>
          <w:szCs w:val="18"/>
          <w:color w:val="auto"/>
        </w:rPr>
      </w:pPr>
    </w:p>
    <w:p>
      <w:pPr>
        <w:ind w:firstLine="656"/>
        <w:spacing w:after="0" w:line="261" w:lineRule="auto"/>
        <w:tabs>
          <w:tab w:leader="none" w:pos="13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During the term of this Agreement, the Company will cooperate with any reasonable due diligence review conducted by the Agent, its affiliates agents and counsel from time to time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80" w:lineRule="exact"/>
        <w:rPr>
          <w:rFonts w:ascii="Times New Roman" w:cs="Times New Roman" w:eastAsia="Times New Roman" w:hAnsi="Times New Roman"/>
          <w:sz w:val="18"/>
          <w:szCs w:val="18"/>
          <w:color w:val="auto"/>
        </w:rPr>
      </w:pPr>
    </w:p>
    <w:p>
      <w:pPr>
        <w:ind w:right="20" w:firstLine="656"/>
        <w:spacing w:after="0" w:line="254" w:lineRule="auto"/>
        <w:tabs>
          <w:tab w:leader="none" w:pos="13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unless a prospectus supplement containing such information is required to be filed under the Securities Act, the requirement of this Section 7(l) may be satisfied by Company’s inclusion in the Company’s Form 10-K or Form 10-Q, as applicable, of the number or amount of Placement Shares sold through the Agent, the Net Proceeds to the Company and the compensation payable by the Company to the Agent with respect to such Placement Shares during the relevant period.</w:t>
      </w:r>
    </w:p>
    <w:p>
      <w:pPr>
        <w:spacing w:after="0" w:line="189" w:lineRule="exact"/>
        <w:rPr>
          <w:rFonts w:ascii="Times New Roman" w:cs="Times New Roman" w:eastAsia="Times New Roman" w:hAnsi="Times New Roman"/>
          <w:sz w:val="18"/>
          <w:szCs w:val="18"/>
          <w:color w:val="auto"/>
        </w:rPr>
      </w:pPr>
    </w:p>
    <w:p>
      <w:pPr>
        <w:ind w:right="220" w:firstLine="656"/>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On the date hereof and on or prior to the date on which the Company first delivers a Placement Notice pursuant to this agreement (the “</w:t>
      </w:r>
      <w:r>
        <w:rPr>
          <w:rFonts w:ascii="Times New Roman" w:cs="Times New Roman" w:eastAsia="Times New Roman" w:hAnsi="Times New Roman"/>
          <w:sz w:val="18"/>
          <w:szCs w:val="18"/>
          <w:b w:val="1"/>
          <w:bCs w:val="1"/>
          <w:u w:val="single" w:color="auto"/>
          <w:color w:val="auto"/>
        </w:rPr>
        <w:t>First Placement Notice Date</w:t>
      </w:r>
      <w:r>
        <w:rPr>
          <w:rFonts w:ascii="Times New Roman" w:cs="Times New Roman" w:eastAsia="Times New Roman" w:hAnsi="Times New Roman"/>
          <w:sz w:val="18"/>
          <w:szCs w:val="18"/>
          <w:color w:val="auto"/>
        </w:rPr>
        <w:t>”) and each time the Company:</w:t>
      </w:r>
    </w:p>
    <w:p>
      <w:pPr>
        <w:spacing w:after="0" w:line="162" w:lineRule="exact"/>
        <w:rPr>
          <w:sz w:val="20"/>
          <w:szCs w:val="20"/>
          <w:color w:val="auto"/>
        </w:rPr>
      </w:pPr>
    </w:p>
    <w:p>
      <w:pPr>
        <w:jc w:val="both"/>
        <w:ind w:right="380" w:firstLine="1305"/>
        <w:spacing w:after="0" w:line="282" w:lineRule="auto"/>
        <w:tabs>
          <w:tab w:leader="none" w:pos="196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amends or supplements the Registration Statement or the Prospectus relating to the Placement Shares (other than a prospectus supplement filed in accordance with Section 7(l) of this Agreement) by means of a post-effective amendment, sticker or supplement but not by means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of document(s) by reference into the Registration Statement or the Prospectus relating to the Placement Shares;</w:t>
      </w:r>
    </w:p>
    <w:p>
      <w:pPr>
        <w:spacing w:after="0" w:line="225" w:lineRule="exact"/>
        <w:rPr>
          <w:sz w:val="20"/>
          <w:szCs w:val="20"/>
          <w:color w:val="auto"/>
        </w:rPr>
      </w:pPr>
    </w:p>
    <w:p>
      <w:pPr>
        <w:ind w:right="760" w:firstLine="1305"/>
        <w:spacing w:after="0" w:line="282" w:lineRule="auto"/>
        <w:tabs>
          <w:tab w:leader="none" w:pos="19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containing amended financial information or a material amendment to the previously filed Form 10-K);</w:t>
      </w:r>
    </w:p>
    <w:p>
      <w:pPr>
        <w:spacing w:after="0" w:line="161"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quarterly report on Form 10-Q under the Exchange Act; or</w:t>
      </w:r>
    </w:p>
    <w:p>
      <w:pPr>
        <w:sectPr>
          <w:pgSz w:w="11900" w:h="16838" w:orient="portrait"/>
          <w:cols w:equalWidth="0" w:num="1">
            <w:col w:w="11420"/>
          </w:cols>
          <w:pgMar w:left="240" w:top="121" w:right="239" w:bottom="0" w:gutter="0" w:footer="0" w:header="0"/>
        </w:sectPr>
      </w:pPr>
    </w:p>
    <w:bookmarkStart w:id="16" w:name="page17"/>
    <w:bookmarkEnd w:id="16"/>
    <w:p>
      <w:pPr>
        <w:ind w:right="320" w:firstLine="1305"/>
        <w:spacing w:after="0" w:line="261" w:lineRule="auto"/>
        <w:tabs>
          <w:tab w:leader="none" w:pos="196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(other than an earnings release that is “furnished” pursuant to Item 2.02 or Item 7.01 of Form 8-K) under the Exchange Act (each date of filing of one or more of the documents referred to in clauses</w:t>
      </w:r>
    </w:p>
    <w:p>
      <w:pPr>
        <w:ind w:left="220" w:hanging="212"/>
        <w:spacing w:after="0"/>
        <w:tabs>
          <w:tab w:leader="none" w:pos="2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furnish the Agent (but in the case of clause (iv) above only if (1) a Placement Notice is pending or in effect and (2) the Agent requests such certificate within three Business Days after the filing of such Form 8-K with the Commission) with a certificate, in the form attached hereto as </w:t>
      </w:r>
      <w:r>
        <w:rPr>
          <w:rFonts w:ascii="Times New Roman" w:cs="Times New Roman" w:eastAsia="Times New Roman" w:hAnsi="Times New Roman"/>
          <w:sz w:val="18"/>
          <w:szCs w:val="18"/>
          <w:b w:val="1"/>
          <w:bCs w:val="1"/>
          <w:u w:val="single" w:color="auto"/>
          <w:color w:val="auto"/>
        </w:rPr>
        <w:t>Exhibit 7(m)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as necessary, to relate to the Registration Statement and the Prospectus as then amended or supplemented), within three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of 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waiver shall not apply for any Representation Date on which the Company files its annual report on Form 10-K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Form 10-K/A containing amended financial information or a material amendment to the previously filed Form 10-K).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Times New Roman" w:cs="Times New Roman" w:eastAsia="Times New Roman" w:hAnsi="Times New Roman"/>
          <w:sz w:val="18"/>
          <w:szCs w:val="18"/>
          <w:b w:val="1"/>
          <w:bCs w:val="1"/>
          <w:u w:val="single" w:color="auto"/>
          <w:color w:val="auto"/>
        </w:rPr>
        <w:t>Exhibit 7(m)</w:t>
      </w:r>
      <w:r>
        <w:rPr>
          <w:rFonts w:ascii="Times New Roman" w:cs="Times New Roman" w:eastAsia="Times New Roman" w:hAnsi="Times New Roman"/>
          <w:sz w:val="18"/>
          <w:szCs w:val="18"/>
          <w:color w:val="auto"/>
        </w:rPr>
        <w:t>, dated the date of such Placement Notice. Within three Trading Days of each Representation Date, the Company shall have furnished to the Agent such further information, certificates and documents as the Agent may reasonably request.</w:t>
      </w:r>
    </w:p>
    <w:p>
      <w:pPr>
        <w:spacing w:after="0" w:line="189" w:lineRule="exact"/>
        <w:rPr>
          <w:sz w:val="20"/>
          <w:szCs w:val="20"/>
          <w:color w:val="auto"/>
        </w:rPr>
      </w:pPr>
    </w:p>
    <w:p>
      <w:pPr>
        <w:ind w:right="80" w:firstLine="656"/>
        <w:spacing w:after="0" w:line="254" w:lineRule="auto"/>
        <w:tabs>
          <w:tab w:leader="none" w:pos="13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On the date hereof and on or prior to the First Placement Notice Date and within three Trading Days of each Representation Date with respect to which the Company is obligated to deliver a certificate pursuant to Section 7(m) for which no waiver is applicable, the Company shall cause to be furnished to the Agent the written opinion and negative assurance letter of Morgan, Lewis &amp; Bockius LLP, counsel to the Company, or such other counsel satisfactory to the Agent (“</w:t>
      </w:r>
      <w:r>
        <w:rPr>
          <w:rFonts w:ascii="Times New Roman" w:cs="Times New Roman" w:eastAsia="Times New Roman" w:hAnsi="Times New Roman"/>
          <w:sz w:val="18"/>
          <w:szCs w:val="18"/>
          <w:b w:val="1"/>
          <w:bCs w:val="1"/>
          <w:u w:val="single" w:color="auto"/>
          <w:color w:val="auto"/>
        </w:rPr>
        <w:t>Company Counsel</w:t>
      </w:r>
      <w:r>
        <w:rPr>
          <w:rFonts w:ascii="Times New Roman" w:cs="Times New Roman" w:eastAsia="Times New Roman" w:hAnsi="Times New Roman"/>
          <w:sz w:val="18"/>
          <w:szCs w:val="18"/>
          <w:color w:val="auto"/>
        </w:rPr>
        <w:t xml:space="preserve">”), in form and substance satisfactory to the Agent and its counsel, dated the date that the opinion and negative assurance letter are required to 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opinion and negative assurance letter for subsequent Representation Dates, Company Counsel may furnish the Agent with a letter to the effect that the Agent may rely on a prior opinion or negative assurance letter delivered by such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spacing w:after="0" w:line="189" w:lineRule="exact"/>
        <w:rPr>
          <w:rFonts w:ascii="Times New Roman" w:cs="Times New Roman" w:eastAsia="Times New Roman" w:hAnsi="Times New Roman"/>
          <w:sz w:val="18"/>
          <w:szCs w:val="18"/>
          <w:color w:val="auto"/>
        </w:rPr>
      </w:pPr>
    </w:p>
    <w:p>
      <w:pPr>
        <w:ind w:right="120" w:firstLine="656"/>
        <w:spacing w:after="0" w:line="282" w:lineRule="auto"/>
        <w:tabs>
          <w:tab w:leader="none" w:pos="13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Opinion</w:t>
      </w:r>
      <w:r>
        <w:rPr>
          <w:rFonts w:ascii="Times New Roman" w:cs="Times New Roman" w:eastAsia="Times New Roman" w:hAnsi="Times New Roman"/>
          <w:sz w:val="18"/>
          <w:szCs w:val="18"/>
          <w:color w:val="auto"/>
        </w:rPr>
        <w:t>. On the date hereof and on or prior to the First Placement Notice Date and within three Trading Days of each Representation Date with respect to which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Company is obligated to deliver a certificate pursuant to Section 7(m) for which no waiver is applicable, the Company shall cause to be furnished to the Agent the written opinion of Maschoff Brennan, counsel for the Company with respect to intellectual property matters, or such other intellectual property counsel satisfactory to the Agent (“</w:t>
      </w:r>
      <w:r>
        <w:rPr>
          <w:rFonts w:ascii="Times New Roman" w:cs="Times New Roman" w:eastAsia="Times New Roman" w:hAnsi="Times New Roman"/>
          <w:sz w:val="18"/>
          <w:szCs w:val="18"/>
          <w:b w:val="1"/>
          <w:bCs w:val="1"/>
          <w:u w:val="single" w:color="auto"/>
          <w:color w:val="auto"/>
        </w:rPr>
        <w:t>Intellectual Property Counsel</w:t>
      </w:r>
      <w:r>
        <w:rPr>
          <w:rFonts w:ascii="Times New Roman" w:cs="Times New Roman" w:eastAsia="Times New Roman" w:hAnsi="Times New Roman"/>
          <w:sz w:val="18"/>
          <w:szCs w:val="18"/>
          <w:color w:val="auto"/>
        </w:rPr>
        <w:t xml:space="preserve">”), in form and substance satisfactory to the Agent and its counsel, dated the date that the opinion letter is required to 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lieu of such written opinion for subsequent Representation Dates, Intellectual Property Counsel may furnish the Agent with a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185" w:lineRule="exact"/>
        <w:rPr>
          <w:sz w:val="20"/>
          <w:szCs w:val="20"/>
          <w:color w:val="auto"/>
        </w:rPr>
      </w:pPr>
    </w:p>
    <w:p>
      <w:pPr>
        <w:ind w:right="20" w:firstLine="656"/>
        <w:spacing w:after="0" w:line="253" w:lineRule="auto"/>
        <w:tabs>
          <w:tab w:leader="none" w:pos="13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On the date hereof and on or prior to the First Placement Notice Date and within three Trading Days of each Representation Date with respect to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Prospectus) to furnish the Agent letters (the “</w:t>
      </w:r>
      <w:r>
        <w:rPr>
          <w:rFonts w:ascii="Times New Roman" w:cs="Times New Roman" w:eastAsia="Times New Roman" w:hAnsi="Times New Roman"/>
          <w:sz w:val="18"/>
          <w:szCs w:val="18"/>
          <w:b w:val="1"/>
          <w:bCs w:val="1"/>
          <w:u w:val="single" w:color="auto"/>
          <w:color w:val="auto"/>
        </w:rPr>
        <w:t>Comfort Letters</w:t>
      </w:r>
      <w:r>
        <w:rPr>
          <w:rFonts w:ascii="Times New Roman" w:cs="Times New Roman" w:eastAsia="Times New Roman" w:hAnsi="Times New Roman"/>
          <w:sz w:val="18"/>
          <w:szCs w:val="18"/>
          <w:color w:val="auto"/>
        </w:rPr>
        <w:t xml:space="preserve">”), dated the date the Comfort Letter is delivered, which shall meet the requirements set forth in this Section 7(p);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b w:val="1"/>
          <w:bCs w:val="1"/>
          <w:u w:val="single" w:color="auto"/>
          <w:color w:val="auto"/>
        </w:rPr>
        <w:t>Initial Comfort Letter</w:t>
      </w:r>
      <w:r>
        <w:rPr>
          <w:rFonts w:ascii="Times New Roman" w:cs="Times New Roman" w:eastAsia="Times New Roman" w:hAnsi="Times New Roman"/>
          <w:sz w:val="18"/>
          <w:szCs w:val="18"/>
          <w:color w:val="auto"/>
        </w:rPr>
        <w:t>”) and (iii) update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88" w:lineRule="exact"/>
        <w:rPr>
          <w:rFonts w:ascii="Times New Roman" w:cs="Times New Roman" w:eastAsia="Times New Roman" w:hAnsi="Times New Roman"/>
          <w:sz w:val="18"/>
          <w:szCs w:val="18"/>
          <w:color w:val="auto"/>
        </w:rPr>
      </w:pPr>
    </w:p>
    <w:p>
      <w:pPr>
        <w:ind w:firstLine="656"/>
        <w:spacing w:after="0" w:line="258" w:lineRule="auto"/>
        <w:tabs>
          <w:tab w:leader="none" w:pos="13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xml:space="preserve">. The Company will not, directly or indirectly, and will cause its officers, directors and Subsidiaries not to (i) take any action designed to cause or result in, or that constitutes or might reasonably be expected to constitute, the stabilization or manipulation of the price of any security of the Company to facilitate the sale or resale of Shares or (ii) sell, bid for, or purchase Shares in violation of Regulation M, or pay anyone any compensation for soliciting purchases of the Placement Shares other than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bid for and purchase Shares in accordance with Rule 10b-18 under the Exchange Act.</w:t>
      </w:r>
    </w:p>
    <w:p>
      <w:pPr>
        <w:spacing w:after="0" w:line="183" w:lineRule="exact"/>
        <w:rPr>
          <w:rFonts w:ascii="Times New Roman" w:cs="Times New Roman" w:eastAsia="Times New Roman" w:hAnsi="Times New Roman"/>
          <w:sz w:val="18"/>
          <w:szCs w:val="18"/>
          <w:color w:val="auto"/>
        </w:rPr>
      </w:pPr>
    </w:p>
    <w:p>
      <w:pPr>
        <w:ind w:right="80" w:firstLine="656"/>
        <w:spacing w:after="0" w:line="282" w:lineRule="auto"/>
        <w:tabs>
          <w:tab w:leader="none" w:pos="131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shall maintain, or cause to be maintained, insurance in such amounts and covering such risks as is reasonable and customary for the business for which it is engaged.</w:t>
      </w:r>
    </w:p>
    <w:p>
      <w:pPr>
        <w:spacing w:after="0" w:line="161" w:lineRule="exact"/>
        <w:rPr>
          <w:rFonts w:ascii="Times New Roman" w:cs="Times New Roman" w:eastAsia="Times New Roman" w:hAnsi="Times New Roman"/>
          <w:sz w:val="18"/>
          <w:szCs w:val="18"/>
          <w:color w:val="auto"/>
        </w:rPr>
      </w:pPr>
    </w:p>
    <w:p>
      <w:pPr>
        <w:ind w:right="280" w:firstLine="656"/>
        <w:spacing w:after="0" w:line="258" w:lineRule="auto"/>
        <w:tabs>
          <w:tab w:leader="none" w:pos="131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environmental Permits required by federal, state and local law in order to conduct their businesses as described in the Prospectus, and the Company and each of its Subsidiaries shall conduct their businesses, or cause their businesses to be conducted, in substantial compliance with such Permits and with applicable Environmental Laws, except where the failure to maintain or be in compliance with such Permits could not reasonably be expected to result in a Material Adverse Effect.</w:t>
      </w:r>
    </w:p>
    <w:p>
      <w:pPr>
        <w:sectPr>
          <w:pgSz w:w="11900" w:h="16838" w:orient="portrait"/>
          <w:cols w:equalWidth="0" w:num="1">
            <w:col w:w="11420"/>
          </w:cols>
          <w:pgMar w:left="240" w:top="121" w:right="239" w:bottom="104"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04" w:gutter="0" w:footer="0" w:header="0"/>
          <w:type w:val="continuous"/>
        </w:sectPr>
      </w:pPr>
    </w:p>
    <w:bookmarkStart w:id="17" w:name="page18"/>
    <w:bookmarkEnd w:id="17"/>
    <w:p>
      <w:pPr>
        <w:spacing w:after="0" w:line="9" w:lineRule="exact"/>
        <w:rPr>
          <w:sz w:val="20"/>
          <w:szCs w:val="20"/>
          <w:color w:val="auto"/>
        </w:rPr>
      </w:pPr>
    </w:p>
    <w:p>
      <w:pPr>
        <w:jc w:val="both"/>
        <w:ind w:right="220" w:firstLine="656"/>
        <w:spacing w:after="0" w:line="266" w:lineRule="auto"/>
        <w:tabs>
          <w:tab w:leader="none" w:pos="130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176" w:lineRule="exact"/>
        <w:rPr>
          <w:rFonts w:ascii="Times New Roman" w:cs="Times New Roman" w:eastAsia="Times New Roman" w:hAnsi="Times New Roman"/>
          <w:sz w:val="18"/>
          <w:szCs w:val="18"/>
          <w:color w:val="auto"/>
        </w:rPr>
      </w:pPr>
    </w:p>
    <w:p>
      <w:pPr>
        <w:ind w:right="20" w:firstLine="656"/>
        <w:spacing w:after="0" w:line="266" w:lineRule="auto"/>
        <w:tabs>
          <w:tab w:leader="none" w:pos="130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w:t>
      </w:r>
      <w:r>
        <w:rPr>
          <w:rFonts w:ascii="Times New Roman" w:cs="Times New Roman" w:eastAsia="Times New Roman" w:hAnsi="Times New Roman"/>
          <w:sz w:val="18"/>
          <w:szCs w:val="18"/>
          <w:color w:val="auto"/>
        </w:rPr>
        <w:t>. The Company will use its best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176" w:lineRule="exact"/>
        <w:rPr>
          <w:rFonts w:ascii="Times New Roman" w:cs="Times New Roman" w:eastAsia="Times New Roman" w:hAnsi="Times New Roman"/>
          <w:sz w:val="18"/>
          <w:szCs w:val="18"/>
          <w:color w:val="auto"/>
        </w:rPr>
      </w:pPr>
    </w:p>
    <w:p>
      <w:pPr>
        <w:ind w:right="160" w:firstLine="656"/>
        <w:spacing w:after="0" w:line="261" w:lineRule="auto"/>
        <w:tabs>
          <w:tab w:leader="none" w:pos="130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 free writing prospectus (as defined in Rule 405 under the Securities Act) approved in advance by the Company and the Agent,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Shares hereunder.</w:t>
      </w:r>
    </w:p>
    <w:p>
      <w:pPr>
        <w:spacing w:after="0" w:line="180" w:lineRule="exact"/>
        <w:rPr>
          <w:rFonts w:ascii="Times New Roman" w:cs="Times New Roman" w:eastAsia="Times New Roman" w:hAnsi="Times New Roman"/>
          <w:sz w:val="18"/>
          <w:szCs w:val="18"/>
          <w:color w:val="auto"/>
        </w:rPr>
      </w:pPr>
    </w:p>
    <w:p>
      <w:pPr>
        <w:ind w:firstLine="656"/>
        <w:spacing w:after="0" w:line="254" w:lineRule="auto"/>
        <w:tabs>
          <w:tab w:leader="none" w:pos="131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and Other Qualifications</w:t>
      </w:r>
      <w:r>
        <w:rPr>
          <w:rFonts w:ascii="Times New Roman" w:cs="Times New Roman" w:eastAsia="Times New Roman" w:hAnsi="Times New Roman"/>
          <w:sz w:val="18"/>
          <w:szCs w:val="18"/>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89" w:lineRule="exact"/>
        <w:rPr>
          <w:rFonts w:ascii="Times New Roman" w:cs="Times New Roman" w:eastAsia="Times New Roman" w:hAnsi="Times New Roman"/>
          <w:sz w:val="18"/>
          <w:szCs w:val="18"/>
          <w:color w:val="auto"/>
        </w:rPr>
      </w:pPr>
    </w:p>
    <w:p>
      <w:pPr>
        <w:ind w:firstLine="656"/>
        <w:spacing w:after="0" w:line="253" w:lineRule="auto"/>
        <w:tabs>
          <w:tab w:leader="none" w:pos="130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allow timely decisions regarding required disclosure and to ensure that material information relating to the Company is made known to it by others within the Company, particularly during the period in which such periodic reports are being prepared..</w:t>
      </w:r>
    </w:p>
    <w:p>
      <w:pPr>
        <w:spacing w:after="0" w:line="162" w:lineRule="exact"/>
        <w:rPr>
          <w:sz w:val="20"/>
          <w:szCs w:val="20"/>
          <w:color w:val="auto"/>
        </w:rPr>
      </w:pPr>
    </w:p>
    <w:p>
      <w:pPr>
        <w:ind w:right="160" w:firstLine="656"/>
        <w:spacing w:after="0" w:line="282" w:lineRule="auto"/>
        <w:tabs>
          <w:tab w:leader="none" w:pos="130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The Company will promptly notify the Agent if the company ceases to be an Emerging Growth company at any time prior to the completion of the Agent’s distribution of the Placement Shares pursuant to this Agreement.</w:t>
      </w:r>
    </w:p>
    <w:p>
      <w:pPr>
        <w:spacing w:after="0" w:line="161" w:lineRule="exact"/>
        <w:rPr>
          <w:rFonts w:ascii="Times New Roman" w:cs="Times New Roman" w:eastAsia="Times New Roman" w:hAnsi="Times New Roman"/>
          <w:sz w:val="18"/>
          <w:szCs w:val="18"/>
          <w:color w:val="auto"/>
        </w:rPr>
      </w:pPr>
    </w:p>
    <w:p>
      <w:pPr>
        <w:ind w:firstLine="656"/>
        <w:spacing w:after="0" w:line="254" w:lineRule="auto"/>
        <w:tabs>
          <w:tab w:leader="none" w:pos="13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Renewal of Registration Statement.</w:t>
      </w:r>
      <w:r>
        <w:rPr>
          <w:rFonts w:ascii="Times New Roman" w:cs="Times New Roman" w:eastAsia="Times New Roman" w:hAnsi="Times New Roman"/>
          <w:sz w:val="18"/>
          <w:szCs w:val="18"/>
          <w:color w:val="auto"/>
        </w:rPr>
        <w:t xml:space="preserve"> If, immediately prior to the third anniversary of the initial effective date of the Registration Statement (the “</w:t>
      </w:r>
      <w:r>
        <w:rPr>
          <w:rFonts w:ascii="Times New Roman" w:cs="Times New Roman" w:eastAsia="Times New Roman" w:hAnsi="Times New Roman"/>
          <w:sz w:val="18"/>
          <w:szCs w:val="18"/>
          <w:b w:val="1"/>
          <w:bCs w:val="1"/>
          <w:u w:val="single" w:color="auto"/>
          <w:color w:val="auto"/>
        </w:rPr>
        <w:t>Renewal Date</w:t>
      </w:r>
      <w:r>
        <w:rPr>
          <w:rFonts w:ascii="Times New Roman" w:cs="Times New Roman" w:eastAsia="Times New Roman" w:hAnsi="Times New Roman"/>
          <w:sz w:val="18"/>
          <w:szCs w:val="18"/>
          <w:color w:val="auto"/>
        </w:rPr>
        <w:t>”), any of the Placement Shares remain unsold and this Agreement has not been terminated, the Company will, prior to the Renewal Date, file a new shelf registration statement or, if applicable, an automatic shelf registration statement relating to the Shares that may be offered and sold pursuant to this Agreement (which shall include a prospectus reflecting the number or amount of Placement Shares that may be offered and sold pursuant to this Agreement), in a form satisfactory to the Agent and its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spacing w:after="0" w:line="189" w:lineRule="exact"/>
        <w:rPr>
          <w:sz w:val="20"/>
          <w:szCs w:val="20"/>
          <w:color w:val="auto"/>
        </w:rPr>
      </w:pPr>
    </w:p>
    <w:p>
      <w:pPr>
        <w:ind w:right="80" w:firstLine="656"/>
        <w:spacing w:after="0" w:line="255" w:lineRule="auto"/>
        <w:tabs>
          <w:tab w:leader="none" w:pos="127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Instruction I.B.6. of Form S-3</w:t>
      </w:r>
      <w:r>
        <w:rPr>
          <w:rFonts w:ascii="Times New Roman" w:cs="Times New Roman" w:eastAsia="Times New Roman" w:hAnsi="Times New Roman"/>
          <w:sz w:val="18"/>
          <w:szCs w:val="18"/>
          <w:color w:val="auto"/>
        </w:rPr>
        <w:t xml:space="preserve">. If, from and after the date of this Agreement, the Company is no longer eligible to use Form S-3 (including pursuant to General Instruction I.B.6.) at the time it files with the Commission an annual report on Form 10-K or any post-effective amendment to the Registration Statement, then it shall promptly notify the Agent and, within two Business Days after the date of filing of such annual report on Form 10-K or amendment to the Registration Statement, the Company shall file a new prospectus supplement with the Commission reflecting the number of Shares available to be offered and sold by the Company under this Agreement pursuant to General Instruction I.B.6. of Form S-3;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delay the filing of any such prospectus supplement for up to 30 days if, in the reasonable judgment of the 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 to resume the offering of Placement Shares.</w:t>
      </w:r>
    </w:p>
    <w:p>
      <w:pPr>
        <w:spacing w:after="0" w:line="185" w:lineRule="exact"/>
        <w:rPr>
          <w:rFonts w:ascii="Times New Roman" w:cs="Times New Roman" w:eastAsia="Times New Roman" w:hAnsi="Times New Roman"/>
          <w:sz w:val="18"/>
          <w:szCs w:val="18"/>
          <w:color w:val="auto"/>
        </w:rPr>
      </w:pPr>
    </w:p>
    <w:p>
      <w:pPr>
        <w:ind w:right="180" w:firstLine="656"/>
        <w:spacing w:after="0" w:line="282" w:lineRule="auto"/>
        <w:tabs>
          <w:tab w:leader="none" w:pos="129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Indemnity</w:t>
      </w:r>
      <w:r>
        <w:rPr>
          <w:rFonts w:ascii="Times New Roman" w:cs="Times New Roman" w:eastAsia="Times New Roman" w:hAnsi="Times New Roman"/>
          <w:sz w:val="18"/>
          <w:szCs w:val="18"/>
          <w:color w:val="auto"/>
        </w:rPr>
        <w:t>. The Company will indemnify and hold harmless the Agent against any documentary, stamp or similar issue tax, including any interest and penalties, on the issue and sale of the Placement Shares.</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has engaged and will maintain, at its sole expense, a transfer agent and registrar for the Shares.</w:t>
      </w:r>
    </w:p>
    <w:p>
      <w:pPr>
        <w:spacing w:after="0" w:line="225" w:lineRule="exact"/>
        <w:rPr>
          <w:sz w:val="20"/>
          <w:szCs w:val="20"/>
          <w:color w:val="auto"/>
        </w:rPr>
      </w:pPr>
    </w:p>
    <w:p>
      <w:pPr>
        <w:ind w:firstLine="656"/>
        <w:spacing w:after="0" w:line="261" w:lineRule="auto"/>
        <w:tabs>
          <w:tab w:leader="none" w:pos="12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w:t>
      </w:r>
      <w:r>
        <w:rPr>
          <w:rFonts w:ascii="Times New Roman" w:cs="Times New Roman" w:eastAsia="Times New Roman" w:hAnsi="Times New Roman"/>
          <w:sz w:val="18"/>
          <w:szCs w:val="18"/>
          <w:color w:val="auto"/>
        </w:rPr>
        <w:t xml:space="preserve"> the Agent</w:t>
      </w:r>
      <w:r>
        <w:rPr>
          <w:rFonts w:ascii="Times New Roman" w:cs="Times New Roman" w:eastAsia="Times New Roman" w:hAnsi="Times New Roman"/>
          <w:sz w:val="18"/>
          <w:szCs w:val="18"/>
          <w:u w:val="single" w:color="auto"/>
          <w:color w:val="auto"/>
        </w:rPr>
        <w:t>’s Obligations</w:t>
      </w:r>
      <w:r>
        <w:rPr>
          <w:rFonts w:ascii="Times New Roman" w:cs="Times New Roman" w:eastAsia="Times New Roman" w:hAnsi="Times New Roman"/>
          <w:sz w:val="18"/>
          <w:szCs w:val="18"/>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sectPr>
          <w:pgSz w:w="11900" w:h="16848" w:orient="portrait"/>
          <w:cols w:equalWidth="0" w:num="1">
            <w:col w:w="11400"/>
          </w:cols>
          <w:pgMar w:left="240" w:top="337" w:right="259" w:bottom="0" w:gutter="0" w:footer="0" w:header="0"/>
        </w:sectPr>
      </w:pPr>
    </w:p>
    <w:bookmarkStart w:id="18" w:name="page19"/>
    <w:bookmarkEnd w:id="18"/>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56"/>
        <w:spacing w:after="0" w:line="282" w:lineRule="auto"/>
        <w:tabs>
          <w:tab w:leader="none" w:pos="12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be effective and shall be available for all offers and sales of Placement Shares (i) that have been issued pursuant to all prior Placement Notices and (ii) that will be issued pursuant to any Placement Notice.</w:t>
      </w:r>
    </w:p>
    <w:p>
      <w:pPr>
        <w:spacing w:after="0" w:line="161" w:lineRule="exact"/>
        <w:rPr>
          <w:rFonts w:ascii="Times New Roman" w:cs="Times New Roman" w:eastAsia="Times New Roman" w:hAnsi="Times New Roman"/>
          <w:sz w:val="18"/>
          <w:szCs w:val="18"/>
          <w:color w:val="auto"/>
        </w:rPr>
      </w:pPr>
    </w:p>
    <w:p>
      <w:pPr>
        <w:ind w:right="100" w:firstLine="656"/>
        <w:spacing w:after="0" w:line="282" w:lineRule="auto"/>
        <w:tabs>
          <w:tab w:leader="none" w:pos="13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Company shall have filed with the Commission the Prospectus Supplement pursuant to Rule 424(b) under the Securities Act not later than the Commission’s close of business on the second Business Day following the date of this Agreement.</w:t>
      </w:r>
    </w:p>
    <w:p>
      <w:pPr>
        <w:spacing w:after="0" w:line="161" w:lineRule="exact"/>
        <w:rPr>
          <w:rFonts w:ascii="Times New Roman" w:cs="Times New Roman" w:eastAsia="Times New Roman" w:hAnsi="Times New Roman"/>
          <w:sz w:val="18"/>
          <w:szCs w:val="18"/>
          <w:color w:val="auto"/>
        </w:rPr>
      </w:pPr>
    </w:p>
    <w:p>
      <w:pPr>
        <w:ind w:right="40" w:firstLine="656"/>
        <w:spacing w:after="0" w:line="253" w:lineRule="auto"/>
        <w:tabs>
          <w:tab w:leader="none" w:pos="130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90" w:lineRule="exact"/>
        <w:rPr>
          <w:rFonts w:ascii="Times New Roman" w:cs="Times New Roman" w:eastAsia="Times New Roman" w:hAnsi="Times New Roman"/>
          <w:sz w:val="18"/>
          <w:szCs w:val="18"/>
          <w:color w:val="auto"/>
        </w:rPr>
      </w:pPr>
    </w:p>
    <w:p>
      <w:pPr>
        <w:jc w:val="both"/>
        <w:ind w:right="180" w:firstLine="656"/>
        <w:spacing w:after="0" w:line="266" w:lineRule="auto"/>
        <w:tabs>
          <w:tab w:leader="none" w:pos="13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The Agent shall not have advised the Company that the Registration Statement or Prospectus, or any amendment or supplement thereto, contains an untrue statement of fact that in the Agent’s opinion is material, or omits to state a fact that in the Agent’s opinion is material and is required to be stated therein or is necessary to make the statements therein not misleading.</w:t>
      </w:r>
    </w:p>
    <w:p>
      <w:pPr>
        <w:spacing w:after="0" w:line="176" w:lineRule="exact"/>
        <w:rPr>
          <w:rFonts w:ascii="Times New Roman" w:cs="Times New Roman" w:eastAsia="Times New Roman" w:hAnsi="Times New Roman"/>
          <w:sz w:val="18"/>
          <w:szCs w:val="18"/>
          <w:color w:val="auto"/>
        </w:rPr>
      </w:pPr>
    </w:p>
    <w:p>
      <w:pPr>
        <w:ind w:right="100" w:firstLine="656"/>
        <w:spacing w:after="0" w:line="255" w:lineRule="auto"/>
        <w:tabs>
          <w:tab w:leader="none" w:pos="130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result in a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89" w:lineRule="exact"/>
        <w:rPr>
          <w:rFonts w:ascii="Times New Roman" w:cs="Times New Roman" w:eastAsia="Times New Roman" w:hAnsi="Times New Roman"/>
          <w:sz w:val="18"/>
          <w:szCs w:val="18"/>
          <w:color w:val="auto"/>
        </w:rPr>
      </w:pPr>
    </w:p>
    <w:p>
      <w:pPr>
        <w:ind w:right="160" w:firstLine="656"/>
        <w:spacing w:after="0" w:line="266" w:lineRule="auto"/>
        <w:tabs>
          <w:tab w:leader="none" w:pos="130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Opinions</w:t>
      </w:r>
      <w:r>
        <w:rPr>
          <w:rFonts w:ascii="Times New Roman" w:cs="Times New Roman" w:eastAsia="Times New Roman" w:hAnsi="Times New Roman"/>
          <w:sz w:val="18"/>
          <w:szCs w:val="18"/>
          <w:color w:val="auto"/>
        </w:rPr>
        <w:t>. The Agent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 Section 7(o), as applicable.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61" w:lineRule="auto"/>
        <w:tabs>
          <w:tab w:leader="none" w:pos="131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Counsel Legal Opinion</w:t>
      </w:r>
      <w:r>
        <w:rPr>
          <w:rFonts w:ascii="Times New Roman" w:cs="Times New Roman" w:eastAsia="Times New Roman" w:hAnsi="Times New Roman"/>
          <w:sz w:val="18"/>
          <w:szCs w:val="18"/>
          <w:color w:val="auto"/>
        </w:rPr>
        <w:t>. The Agent shall have received from Covington &amp; Burling LLP, counsel for the Agent, such opinion or opinions, on or before the date on which the delivery of the Company Counsel legal opinion is required pursuant to Section 7(n), with respect to such matters as the Agent may reasonably require, and the Company shall have furnished to such counsel such documents as they may request to enable them to pass upon such matters.</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130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The Agent shall have received the Comfort Letter required to be delivered pursuant to Section 7(p) on or before the date on which such delivery of such Comfort Letter is required pursuant to Section 7(p).</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The Agent shall have received the certificate required to be delivered pursuant to Section 7(m) on or before the date on which delivery of such certificate is required pursuant to Section 7(m).</w:t>
      </w:r>
    </w:p>
    <w:p>
      <w:pPr>
        <w:spacing w:after="0" w:line="161" w:lineRule="exact"/>
        <w:rPr>
          <w:rFonts w:ascii="Times New Roman" w:cs="Times New Roman" w:eastAsia="Times New Roman" w:hAnsi="Times New Roman"/>
          <w:sz w:val="18"/>
          <w:szCs w:val="18"/>
          <w:color w:val="auto"/>
        </w:rPr>
      </w:pPr>
    </w:p>
    <w:p>
      <w:pPr>
        <w:ind w:right="60" w:firstLine="656"/>
        <w:spacing w:after="0" w:line="255" w:lineRule="auto"/>
        <w:tabs>
          <w:tab w:leader="none" w:pos="130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xml:space="preserve">. On the date hereof and on or prior to the First Placement Notice Date, the Agent shall have received a certificate, signed on behalf of the Company by its Secretary of the Company and attested to by an executive officer of the Company, dated as of such date and in form and substance satisfactory to the Agent and its counsel, certifying as to (i) the amended and restated certificate of incorporation of the Company, (ii) the amended and restated bylaws of the Company, (iii) the resolutions of the board of directors of the Company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480" w:firstLine="656"/>
        <w:spacing w:after="0" w:line="282" w:lineRule="auto"/>
        <w:tabs>
          <w:tab w:leader="none" w:pos="13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The Shares are duly listed, and admitted and authorized for trading, subject to official notice of issuance, on Nasdaq. Trading in the Shares shall not have been suspended on, and the Shares shall not have been delisted from, Nasdaq.</w:t>
      </w:r>
    </w:p>
    <w:p>
      <w:pPr>
        <w:spacing w:after="0" w:line="161" w:lineRule="exact"/>
        <w:rPr>
          <w:rFonts w:ascii="Times New Roman" w:cs="Times New Roman" w:eastAsia="Times New Roman" w:hAnsi="Times New Roman"/>
          <w:sz w:val="18"/>
          <w:szCs w:val="18"/>
          <w:color w:val="auto"/>
        </w:rPr>
      </w:pPr>
    </w:p>
    <w:p>
      <w:pPr>
        <w:ind w:right="100" w:firstLine="656"/>
        <w:spacing w:after="0" w:line="261"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 the Agent with conformed copies of such opinions, certificates, letters and other documents as the Agent may have reasonably requested.</w:t>
      </w:r>
    </w:p>
    <w:p>
      <w:pPr>
        <w:spacing w:after="0" w:line="180" w:lineRule="exact"/>
        <w:rPr>
          <w:rFonts w:ascii="Times New Roman" w:cs="Times New Roman" w:eastAsia="Times New Roman" w:hAnsi="Times New Roman"/>
          <w:sz w:val="18"/>
          <w:szCs w:val="18"/>
          <w:color w:val="auto"/>
        </w:rPr>
      </w:pPr>
    </w:p>
    <w:p>
      <w:pPr>
        <w:ind w:right="240" w:firstLine="656"/>
        <w:spacing w:after="0" w:line="261" w:lineRule="auto"/>
        <w:tabs>
          <w:tab w:leader="none" w:pos="130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424(b) or Rule 433 under the Securities Act to have been filed prior to the issuance of any Placement Notice hereunder shall have been made within the applicable time period prescribed for such filing by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424(b) (without reliance on Rule 424(b)(8) of the Securities Act) or Rule 433, as applicable.</w:t>
      </w:r>
    </w:p>
    <w:p>
      <w:pPr>
        <w:sectPr>
          <w:pgSz w:w="11900" w:h="16888" w:orient="portrait"/>
          <w:cols w:equalWidth="0" w:num="1">
            <w:col w:w="11420"/>
          </w:cols>
          <w:pgMar w:left="240" w:top="337" w:right="239" w:bottom="0" w:gutter="0" w:footer="0" w:header="0"/>
        </w:sectPr>
      </w:pPr>
    </w:p>
    <w:bookmarkStart w:id="19" w:name="page20"/>
    <w:bookmarkEnd w:id="19"/>
    <w:p>
      <w:pPr>
        <w:ind w:left="1320" w:hanging="664"/>
        <w:spacing w:after="0"/>
        <w:tabs>
          <w:tab w:leader="none" w:pos="13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(i) approved for listing on Nasdaq, subject only to notice of issuance, or</w:t>
      </w:r>
    </w:p>
    <w:p>
      <w:pPr>
        <w:spacing w:after="0" w:line="27" w:lineRule="exact"/>
        <w:rPr>
          <w:rFonts w:ascii="Times New Roman" w:cs="Times New Roman" w:eastAsia="Times New Roman" w:hAnsi="Times New Roman"/>
          <w:sz w:val="18"/>
          <w:szCs w:val="18"/>
          <w:color w:val="auto"/>
        </w:rPr>
      </w:pPr>
    </w:p>
    <w:p>
      <w:pPr>
        <w:ind w:right="360" w:firstLine="8"/>
        <w:spacing w:after="0" w:line="261" w:lineRule="auto"/>
        <w:tabs>
          <w:tab w:leader="none" w:pos="2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an application for listing of the Placement Shares on Nasdaq at, or prior to, the First Placement Notice Date and Nasdaq shall have reviewed such application and not provided any objections thereto.</w:t>
      </w:r>
    </w:p>
    <w:p>
      <w:pPr>
        <w:spacing w:after="0" w:line="179" w:lineRule="exact"/>
        <w:rPr>
          <w:rFonts w:ascii="Times New Roman" w:cs="Times New Roman" w:eastAsia="Times New Roman" w:hAnsi="Times New Roman"/>
          <w:sz w:val="18"/>
          <w:szCs w:val="18"/>
          <w:color w:val="auto"/>
        </w:rPr>
      </w:pPr>
    </w:p>
    <w:p>
      <w:pPr>
        <w:ind w:right="40" w:firstLine="656"/>
        <w:spacing w:after="0" w:line="282" w:lineRule="auto"/>
        <w:tabs>
          <w:tab w:leader="none" w:pos="130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FINRA shall have raised no objection to the terms of the offering contemplated hereby and the amount of compensation allowable or payable to the Agent as described in the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Leerink to terminate this Agreement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11(a).</w:t>
      </w:r>
    </w:p>
    <w:p>
      <w:pPr>
        <w:spacing w:after="0" w:line="207"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52" w:lineRule="auto"/>
        <w:tabs>
          <w:tab w:leader="none" w:pos="129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xml:space="preserve">.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but not limited to, any and all investigative, legal and other expenses reasonably incurred in connection with, and any and all amounts paid in settlement (in accordance with this Section 9), any action, suit, investigation or proceeding between any of the indemnified parties and any indemnifying parties or between any indemnified party and any third party (including, without limitation,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Shares under the securities laws thereof or filed with the Commission, (y) the omission or alleged omission to state in any such document a material fact required to be stated therein or necessary to make the statements therein (solely with respect to the Prospectus, in light of the circumstances under which they were made) not misleading or (z) any breach by any of the indemnifying parties of any of their respective representations, warranties or agreements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w:t>
      </w:r>
    </w:p>
    <w:p>
      <w:pPr>
        <w:spacing w:after="0" w:line="193" w:lineRule="exact"/>
        <w:rPr>
          <w:rFonts w:ascii="Times New Roman" w:cs="Times New Roman" w:eastAsia="Times New Roman" w:hAnsi="Times New Roman"/>
          <w:sz w:val="18"/>
          <w:szCs w:val="18"/>
          <w:color w:val="auto"/>
        </w:rPr>
      </w:pPr>
    </w:p>
    <w:p>
      <w:pPr>
        <w:ind w:right="180" w:firstLine="656"/>
        <w:spacing w:after="0" w:line="256" w:lineRule="auto"/>
        <w:tabs>
          <w:tab w:leader="none" w:pos="130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Indemnification</w:t>
      </w:r>
      <w:r>
        <w:rPr>
          <w:rFonts w:ascii="Times New Roman" w:cs="Times New Roman" w:eastAsia="Times New Roman" w:hAnsi="Times New Roman"/>
          <w:sz w:val="18"/>
          <w:szCs w:val="18"/>
          <w:color w:val="auto"/>
        </w:rPr>
        <w:t>. The Agent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87" w:lineRule="exact"/>
        <w:rPr>
          <w:rFonts w:ascii="Times New Roman" w:cs="Times New Roman" w:eastAsia="Times New Roman" w:hAnsi="Times New Roman"/>
          <w:sz w:val="18"/>
          <w:szCs w:val="18"/>
          <w:color w:val="auto"/>
        </w:rPr>
      </w:pPr>
    </w:p>
    <w:p>
      <w:pPr>
        <w:ind w:right="40" w:firstLine="656"/>
        <w:spacing w:after="0" w:line="258" w:lineRule="auto"/>
        <w:tabs>
          <w:tab w:leader="none" w:pos="130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w:t>
      </w:r>
    </w:p>
    <w:p>
      <w:pPr>
        <w:spacing w:after="0" w:line="4" w:lineRule="exact"/>
        <w:rPr>
          <w:sz w:val="20"/>
          <w:szCs w:val="20"/>
          <w:color w:val="auto"/>
        </w:rPr>
      </w:pPr>
    </w:p>
    <w:p>
      <w:pPr>
        <w:ind w:right="20" w:firstLine="8"/>
        <w:spacing w:after="0" w:line="251"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in form and substance reasonably</w:t>
      </w:r>
    </w:p>
    <w:p>
      <w:pPr>
        <w:sectPr>
          <w:pgSz w:w="11900" w:h="16838" w:orient="portrait"/>
          <w:cols w:equalWidth="0" w:num="1">
            <w:col w:w="11420"/>
          </w:cols>
          <w:pgMar w:left="240" w:top="337" w:right="239" w:bottom="0" w:gutter="0" w:footer="0" w:header="0"/>
        </w:sectPr>
      </w:pPr>
    </w:p>
    <w:bookmarkStart w:id="20" w:name="page21"/>
    <w:bookmarkEnd w:id="20"/>
    <w:p>
      <w:pPr>
        <w:spacing w:after="0" w:line="5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satisfactory to such indemnified party, from all liability arising out of such claim, action or proceeding and (2) does not include a statement as to or an admission of fault, culpability or a failure to act by or on behalf of any indemnified party.</w:t>
      </w:r>
    </w:p>
    <w:p>
      <w:pPr>
        <w:spacing w:after="0" w:line="160" w:lineRule="exact"/>
        <w:rPr>
          <w:sz w:val="20"/>
          <w:szCs w:val="20"/>
          <w:color w:val="auto"/>
        </w:rPr>
      </w:pPr>
    </w:p>
    <w:p>
      <w:pPr>
        <w:ind w:right="40" w:firstLine="656"/>
        <w:spacing w:after="0" w:line="257" w:lineRule="auto"/>
        <w:tabs>
          <w:tab w:leader="none" w:pos="130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Without Consent if Failure to Reimburse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indemnified party shall have requested an indemnifying party to reimburse the indemnified party for reasonable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rFonts w:ascii="Times New Roman" w:cs="Times New Roman" w:eastAsia="Times New Roman" w:hAnsi="Times New Roman"/>
          <w:sz w:val="18"/>
          <w:szCs w:val="18"/>
          <w:color w:val="auto"/>
        </w:rPr>
      </w:pPr>
    </w:p>
    <w:p>
      <w:pPr>
        <w:ind w:right="40" w:firstLine="656"/>
        <w:spacing w:after="0" w:line="266" w:lineRule="auto"/>
        <w:tabs>
          <w:tab w:leader="none" w:pos="130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damages (including any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9(e) were to be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spacing w:after="0" w:line="204" w:lineRule="exact"/>
        <w:rPr>
          <w:sz w:val="20"/>
          <w:szCs w:val="20"/>
          <w:color w:val="auto"/>
        </w:rPr>
      </w:pPr>
    </w:p>
    <w:p>
      <w:pPr>
        <w:ind w:firstLine="656"/>
        <w:spacing w:after="0" w:line="282" w:lineRule="auto"/>
        <w:tabs>
          <w:tab w:leader="none" w:pos="129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The indemnity and contribution agreements contained in Section 9 of this Agreement and all representations and warranties of the Company herein or in certificates delivered pursuant hereto shall survive, as of their respective 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162"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56"/>
        <w:spacing w:after="0" w:line="252" w:lineRule="auto"/>
        <w:tabs>
          <w:tab w:leader="none" w:pos="129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have the right, by giving notice as hereinafter specified, at any time to terminate this Agreement if (i) any Material Adverse Effect, or any development that could reasonably be expected to result in a Material Adverse Effect,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the case of any failure of the Company to deliver (or cause another person to deliver) any certification, opinion or letter required under Section 7(m), Section 7(n), Section 7(o) or Section 7(p), the Agent’s right to terminate shall not arise unless such failure to deliver (or cause to be delivered) continues for more than 15 calendar days from the date such delivery was required, (iii) 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16 and Section 17 hereof shall remain in full force and effect notwithstanding such termination. If the Agent elects to terminate this Agreement as provided in this Section 11(a), the Agent shall provide the required notice as specified in Section 12.</w:t>
      </w:r>
    </w:p>
    <w:p>
      <w:pPr>
        <w:sectPr>
          <w:pgSz w:w="11900" w:h="16897" w:orient="portrait"/>
          <w:cols w:equalWidth="0" w:num="1">
            <w:col w:w="11420"/>
          </w:cols>
          <w:pgMar w:left="240" w:top="121" w:right="239" w:bottom="0" w:gutter="0" w:footer="0" w:header="0"/>
        </w:sectPr>
      </w:pPr>
    </w:p>
    <w:bookmarkStart w:id="21" w:name="page22"/>
    <w:bookmarkEnd w:id="21"/>
    <w:p>
      <w:pPr>
        <w:spacing w:after="0" w:line="50" w:lineRule="exact"/>
        <w:rPr>
          <w:sz w:val="20"/>
          <w:szCs w:val="20"/>
          <w:color w:val="auto"/>
        </w:rPr>
      </w:pPr>
    </w:p>
    <w:p>
      <w:pPr>
        <w:ind w:firstLine="656"/>
        <w:spacing w:after="0" w:line="266" w:lineRule="auto"/>
        <w:tabs>
          <w:tab w:leader="none" w:pos="13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76" w:lineRule="exact"/>
        <w:rPr>
          <w:rFonts w:ascii="Times New Roman" w:cs="Times New Roman" w:eastAsia="Times New Roman" w:hAnsi="Times New Roman"/>
          <w:sz w:val="18"/>
          <w:szCs w:val="18"/>
          <w:color w:val="auto"/>
        </w:rPr>
      </w:pPr>
    </w:p>
    <w:p>
      <w:pPr>
        <w:ind w:right="80" w:firstLine="656"/>
        <w:spacing w:after="0" w:line="266" w:lineRule="auto"/>
        <w:tabs>
          <w:tab w:leader="none" w:pos="130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76" w:lineRule="exact"/>
        <w:rPr>
          <w:rFonts w:ascii="Times New Roman" w:cs="Times New Roman" w:eastAsia="Times New Roman" w:hAnsi="Times New Roman"/>
          <w:sz w:val="18"/>
          <w:szCs w:val="18"/>
          <w:color w:val="auto"/>
        </w:rPr>
      </w:pPr>
    </w:p>
    <w:p>
      <w:pPr>
        <w:ind w:right="140" w:firstLine="656"/>
        <w:spacing w:after="0" w:line="266" w:lineRule="auto"/>
        <w:tabs>
          <w:tab w:leader="none" w:pos="13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Section 11, this Agreement shall automatically terminate upon the issuance and sale of all of the Placement Shares through the Agent on the terms and subject to the conditions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Section 7(g), Section 9, Section 10, Section 11(f), Section 16 and Section 17 hereof shall remain in full force and effect notwithstanding such termination.</w:t>
      </w:r>
    </w:p>
    <w:p>
      <w:pPr>
        <w:spacing w:after="0" w:line="176" w:lineRule="exact"/>
        <w:rPr>
          <w:rFonts w:ascii="Times New Roman" w:cs="Times New Roman" w:eastAsia="Times New Roman" w:hAnsi="Times New Roman"/>
          <w:sz w:val="18"/>
          <w:szCs w:val="18"/>
          <w:color w:val="auto"/>
        </w:rPr>
      </w:pPr>
    </w:p>
    <w:p>
      <w:pPr>
        <w:ind w:right="80" w:firstLine="656"/>
        <w:spacing w:after="0" w:line="266" w:lineRule="auto"/>
        <w:tabs>
          <w:tab w:leader="none" w:pos="130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Sections 11(a), (b), (c), or (d)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termination by mutual agreement shall in all cases be deemed to provide that Section 7(g), Section 9, Section 10, Section 11(f), Section 16 and Section 17 shall remain in full force and effect.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firstLine="656"/>
        <w:spacing w:after="0" w:line="257" w:lineRule="auto"/>
        <w:tabs>
          <w:tab w:leader="none" w:pos="130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remain obligated to reimburse the Agent’s expenses pursuant to Section 7(g).</w:t>
      </w:r>
    </w:p>
    <w:p>
      <w:pPr>
        <w:spacing w:after="0" w:line="185" w:lineRule="exact"/>
        <w:rPr>
          <w:sz w:val="20"/>
          <w:szCs w:val="20"/>
          <w:color w:val="auto"/>
        </w:rPr>
      </w:pPr>
    </w:p>
    <w:p>
      <w:pPr>
        <w:ind w:right="20" w:firstLine="656"/>
        <w:spacing w:after="0" w:line="282" w:lineRule="auto"/>
        <w:tabs>
          <w:tab w:leader="none" w:pos="129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Leerink Partners LLC</w:t>
      </w:r>
    </w:p>
    <w:p>
      <w:pPr>
        <w:ind w:left="580"/>
        <w:spacing w:after="0" w:line="222" w:lineRule="auto"/>
        <w:rPr>
          <w:sz w:val="20"/>
          <w:szCs w:val="20"/>
          <w:color w:val="auto"/>
        </w:rPr>
      </w:pPr>
      <w:r>
        <w:rPr>
          <w:rFonts w:ascii="Times New Roman" w:cs="Times New Roman" w:eastAsia="Times New Roman" w:hAnsi="Times New Roman"/>
          <w:sz w:val="18"/>
          <w:szCs w:val="18"/>
          <w:color w:val="auto"/>
        </w:rPr>
        <w:t>299 Park Avenue,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New York 10171</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Attention: Gabriel Cavazos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Facsimile: (646) 499-7130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Leerink Partners LLC</w:t>
      </w:r>
    </w:p>
    <w:p>
      <w:pPr>
        <w:ind w:left="580"/>
        <w:spacing w:after="0" w:line="222" w:lineRule="auto"/>
        <w:rPr>
          <w:sz w:val="20"/>
          <w:szCs w:val="20"/>
          <w:color w:val="auto"/>
        </w:rPr>
      </w:pPr>
      <w:r>
        <w:rPr>
          <w:rFonts w:ascii="Times New Roman" w:cs="Times New Roman" w:eastAsia="Times New Roman" w:hAnsi="Times New Roman"/>
          <w:sz w:val="18"/>
          <w:szCs w:val="18"/>
          <w:color w:val="auto"/>
        </w:rPr>
        <w:t>299 Park Avenue, 29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New York 10171</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Attention: Stuart R. Nayman, Esq.</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Facsimile: (646) 499-7051</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E-mail: stuart.nayman@leerink.com</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Attention: Brian Rosenzweig, Esq.</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Facsimile: (646) 441-9108</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E-mail: brosenzweig@cov.com</w:t>
      </w:r>
    </w:p>
    <w:p>
      <w:pPr>
        <w:spacing w:after="0" w:line="207" w:lineRule="exact"/>
        <w:rPr>
          <w:sz w:val="20"/>
          <w:szCs w:val="20"/>
          <w:color w:val="auto"/>
        </w:rPr>
      </w:pPr>
    </w:p>
    <w:p>
      <w:pPr>
        <w:jc w:val="center"/>
        <w:ind w:right="8180"/>
        <w:spacing w:after="0"/>
        <w:rPr>
          <w:sz w:val="20"/>
          <w:szCs w:val="20"/>
          <w:color w:val="auto"/>
        </w:rPr>
      </w:pPr>
      <w:r>
        <w:rPr>
          <w:rFonts w:ascii="Times New Roman" w:cs="Times New Roman" w:eastAsia="Times New Roman" w:hAnsi="Times New Roman"/>
          <w:sz w:val="17"/>
          <w:szCs w:val="17"/>
          <w:color w:val="auto"/>
        </w:rPr>
        <w:t>and if to the Company, shall be delivered to:</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7" w:lineRule="exact"/>
        <w:rPr>
          <w:sz w:val="20"/>
          <w:szCs w:val="20"/>
          <w:color w:val="auto"/>
        </w:rPr>
      </w:pPr>
    </w:p>
    <w:p>
      <w:pPr>
        <w:ind w:left="660" w:right="9760" w:hanging="4"/>
        <w:spacing w:after="0" w:line="232" w:lineRule="auto"/>
        <w:tabs>
          <w:tab w:leader="none" w:pos="88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Broadway 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w:t>
      </w:r>
    </w:p>
    <w:p>
      <w:pPr>
        <w:ind w:left="660" w:right="822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New York, New York 10004 Attention: Chief Executive Officer Facsimile: (212) 320-0245</w:t>
      </w:r>
    </w:p>
    <w:p>
      <w:pPr>
        <w:spacing w:after="0" w:line="187" w:lineRule="exact"/>
        <w:rPr>
          <w:sz w:val="20"/>
          <w:szCs w:val="20"/>
          <w:color w:val="auto"/>
        </w:rPr>
      </w:pPr>
    </w:p>
    <w:p>
      <w:pPr>
        <w:jc w:val="center"/>
        <w:ind w:right="782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Morgan, Lewis &amp; Bockius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 Park Avenue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10178</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Emilio Ragosa, Esq.</w:t>
      </w:r>
    </w:p>
    <w:p>
      <w:pPr>
        <w:sectPr>
          <w:pgSz w:w="11900" w:h="16888" w:orient="portrait"/>
          <w:cols w:equalWidth="0" w:num="1">
            <w:col w:w="11380"/>
          </w:cols>
          <w:pgMar w:left="240" w:top="337" w:right="279" w:bottom="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Facsimile: (212) 309-6001</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emilio.ragosa@morganlewis.com</w:t>
      </w:r>
    </w:p>
    <w:p>
      <w:pPr>
        <w:spacing w:after="0" w:line="20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in the next paragraph, (iii) 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7"/>
          <w:szCs w:val="17"/>
          <w:b w:val="1"/>
          <w:bCs w:val="1"/>
          <w:u w:val="single" w:color="auto"/>
          <w:color w:val="auto"/>
        </w:rPr>
        <w:t>Business Day</w:t>
      </w:r>
      <w:r>
        <w:rPr>
          <w:rFonts w:ascii="Times New Roman" w:cs="Times New Roman" w:eastAsia="Times New Roman" w:hAnsi="Times New Roman"/>
          <w:sz w:val="17"/>
          <w:szCs w:val="17"/>
          <w:color w:val="auto"/>
        </w:rPr>
        <w:t>” shall mean any day on which the Nasdaq and commercial banks in the City of New York are open for business.</w:t>
      </w:r>
    </w:p>
    <w:p>
      <w:pPr>
        <w:spacing w:after="0" w:line="1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Notice</w:t>
      </w:r>
      <w:r>
        <w:rPr>
          <w:rFonts w:ascii="Times New Roman" w:cs="Times New Roman" w:eastAsia="Times New Roman" w:hAnsi="Times New Roman"/>
          <w:sz w:val="18"/>
          <w:szCs w:val="18"/>
          <w:color w:val="auto"/>
        </w:rPr>
        <w:t>”), which shall be sent to the requesting party within 10 days of receipt of the written request for Nonelectronic Notice.</w:t>
      </w:r>
    </w:p>
    <w:p>
      <w:pPr>
        <w:spacing w:after="0" w:line="184" w:lineRule="exact"/>
        <w:rPr>
          <w:sz w:val="20"/>
          <w:szCs w:val="20"/>
          <w:color w:val="auto"/>
        </w:rPr>
      </w:pPr>
    </w:p>
    <w:p>
      <w:pPr>
        <w:ind w:right="60" w:firstLine="656"/>
        <w:spacing w:after="0" w:line="255" w:lineRule="auto"/>
        <w:tabs>
          <w:tab w:leader="none" w:pos="129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Agent may assign its rights and obligations hereunder to an affiliate of the Agent without obtaining the Company’s consent, so long as such affiliate is a registered broker-dealer.</w:t>
      </w:r>
    </w:p>
    <w:p>
      <w:pPr>
        <w:spacing w:after="0" w:line="185" w:lineRule="exact"/>
        <w:rPr>
          <w:rFonts w:ascii="Times New Roman" w:cs="Times New Roman" w:eastAsia="Times New Roman" w:hAnsi="Times New Roman"/>
          <w:sz w:val="18"/>
          <w:szCs w:val="18"/>
          <w:color w:val="auto"/>
        </w:rPr>
      </w:pPr>
    </w:p>
    <w:p>
      <w:pPr>
        <w:ind w:right="520" w:firstLine="656"/>
        <w:spacing w:after="0" w:line="282" w:lineRule="auto"/>
        <w:tabs>
          <w:tab w:leader="none" w:pos="129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Share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split, share dividend or similar event effected with respect to the Shares.</w:t>
      </w:r>
    </w:p>
    <w:p>
      <w:pPr>
        <w:spacing w:after="0" w:line="161" w:lineRule="exact"/>
        <w:rPr>
          <w:rFonts w:ascii="Times New Roman" w:cs="Times New Roman" w:eastAsia="Times New Roman" w:hAnsi="Times New Roman"/>
          <w:sz w:val="18"/>
          <w:szCs w:val="18"/>
          <w:color w:val="auto"/>
        </w:rPr>
      </w:pPr>
    </w:p>
    <w:p>
      <w:pPr>
        <w:ind w:right="40" w:firstLine="656"/>
        <w:spacing w:after="0" w:line="255" w:lineRule="auto"/>
        <w:tabs>
          <w:tab w:leader="none" w:pos="129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 Waiver</w:t>
      </w:r>
      <w:r>
        <w:rPr>
          <w:rFonts w:ascii="Times New Roman" w:cs="Times New Roman" w:eastAsia="Times New Roman" w:hAnsi="Times New Roman"/>
          <w:sz w:val="18"/>
          <w:szCs w:val="18"/>
          <w:color w:val="auto"/>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may be amended by either party from time to time by sending a notice containing a revised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other party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manner provided in Section 12 and, upon such amendment, all references herein to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shall automatically be deemed to refer to such amended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In the event that any one or more of the provisions contained herein, or the application thereof in any circumstance, is held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as written by a court of competent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84" w:lineRule="exact"/>
        <w:rPr>
          <w:sz w:val="20"/>
          <w:szCs w:val="20"/>
          <w:color w:val="auto"/>
        </w:rPr>
      </w:pPr>
    </w:p>
    <w:p>
      <w:pPr>
        <w:ind w:right="140" w:firstLine="656"/>
        <w:spacing w:after="0" w:line="278" w:lineRule="auto"/>
        <w:tabs>
          <w:tab w:leader="none" w:pos="1292"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LAW AND TIME; WAIVER OF JURY TRIAL</w:t>
      </w:r>
      <w:r>
        <w:rPr>
          <w:rFonts w:ascii="Times New Roman" w:cs="Times New Roman" w:eastAsia="Times New Roman" w:hAnsi="Times New Roman"/>
          <w:sz w:val="17"/>
          <w:szCs w:val="17"/>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68" w:lineRule="exact"/>
        <w:rPr>
          <w:rFonts w:ascii="Times New Roman" w:cs="Times New Roman" w:eastAsia="Times New Roman" w:hAnsi="Times New Roman"/>
          <w:sz w:val="17"/>
          <w:szCs w:val="17"/>
          <w:color w:val="auto"/>
        </w:rPr>
      </w:pPr>
    </w:p>
    <w:p>
      <w:pPr>
        <w:ind w:right="40" w:firstLine="656"/>
        <w:spacing w:after="0" w:line="255" w:lineRule="auto"/>
        <w:tabs>
          <w:tab w:leader="none" w:pos="12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and exhibit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defined in the singular shall have a comparable meaning when used in the plural, and vice versa.</w:t>
      </w:r>
    </w:p>
    <w:p>
      <w:pPr>
        <w:spacing w:after="0" w:line="225" w:lineRule="exact"/>
        <w:rPr>
          <w:rFonts w:ascii="Times New Roman" w:cs="Times New Roman" w:eastAsia="Times New Roman" w:hAnsi="Times New Roman"/>
          <w:sz w:val="18"/>
          <w:szCs w:val="18"/>
          <w:color w:val="auto"/>
        </w:rPr>
      </w:pPr>
    </w:p>
    <w:p>
      <w:pPr>
        <w:ind w:right="500" w:firstLine="656"/>
        <w:spacing w:after="0" w:line="282" w:lineRule="auto"/>
        <w:tabs>
          <w:tab w:leader="none" w:pos="13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“hereto,” “herein” and “hereunder” and words of similar import, when used in this Agreement, shall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the word “include,” “includes” or “including” is used in this Agreement, it shall be deemed to be followed by the words “without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w:t>
      </w:r>
    </w:p>
    <w:p>
      <w:pPr>
        <w:spacing w:after="0" w:line="20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gender shall include each other gender.</w:t>
      </w:r>
    </w:p>
    <w:p>
      <w:pPr>
        <w:sectPr>
          <w:pgSz w:w="11900" w:h="16838" w:orient="portrait"/>
          <w:cols w:equalWidth="0" w:num="1">
            <w:col w:w="11420"/>
          </w:cols>
          <w:pgMar w:left="240" w:top="121" w:right="239" w:bottom="0" w:gutter="0" w:footer="0" w:header="0"/>
        </w:sectPr>
      </w:pPr>
    </w:p>
    <w:bookmarkStart w:id="23" w:name="page24"/>
    <w:bookmarkEnd w:id="23"/>
    <w:p>
      <w:pPr>
        <w:ind w:right="60" w:firstLine="656"/>
        <w:spacing w:after="0" w:line="313" w:lineRule="auto"/>
        <w:tabs>
          <w:tab w:leader="none" w:pos="130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superseded in whole or in part and in effect from time to time and also to all rules and regulations promulgated thereunder.</w:t>
      </w:r>
    </w:p>
    <w:p>
      <w:pPr>
        <w:spacing w:after="0" w:line="225" w:lineRule="exact"/>
        <w:rPr>
          <w:sz w:val="20"/>
          <w:szCs w:val="20"/>
          <w:color w:val="auto"/>
        </w:rPr>
      </w:pPr>
    </w:p>
    <w:p>
      <w:pPr>
        <w:ind w:right="20" w:firstLine="656"/>
        <w:spacing w:after="0" w:line="255" w:lineRule="auto"/>
        <w:tabs>
          <w:tab w:leader="none" w:pos="129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The Company represents, warrants and agrees that, unless it obtains the prior written consent of the Agent, which consent shall not be unreasonably withheld, conditioned or delayed, and the Agent represents, warrants and agrees that, unless it obtains the prior written consent of the Company,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Times New Roman" w:cs="Times New Roman" w:eastAsia="Times New Roman" w:hAnsi="Times New Roman"/>
          <w:sz w:val="18"/>
          <w:szCs w:val="18"/>
          <w:b w:val="1"/>
          <w:bCs w:val="1"/>
          <w:u w:val="single" w:color="auto"/>
          <w:color w:val="auto"/>
        </w:rPr>
        <w:t>Permitted Free Writing Prospectus</w:t>
      </w:r>
      <w:r>
        <w:rPr>
          <w:rFonts w:ascii="Times New Roman" w:cs="Times New Roman" w:eastAsia="Times New Roman" w:hAnsi="Times New Roman"/>
          <w:sz w:val="18"/>
          <w:szCs w:val="18"/>
          <w:color w:val="auto"/>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5" w:lineRule="exact"/>
        <w:rPr>
          <w:sz w:val="20"/>
          <w:szCs w:val="20"/>
          <w:color w:val="auto"/>
        </w:rPr>
      </w:pPr>
    </w:p>
    <w:p>
      <w:pPr>
        <w:ind w:right="240" w:firstLine="656"/>
        <w:spacing w:after="0" w:line="258" w:lineRule="auto"/>
        <w:tabs>
          <w:tab w:leader="none" w:pos="129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been retained to act as sales agent in connection with the sale of the Shares, the Agent has acted at arms’ length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spacing w:after="0" w:line="183" w:lineRule="exact"/>
        <w:rPr>
          <w:rFonts w:ascii="Times New Roman" w:cs="Times New Roman" w:eastAsia="Times New Roman" w:hAnsi="Times New Roman"/>
          <w:sz w:val="18"/>
          <w:szCs w:val="18"/>
          <w:color w:val="auto"/>
        </w:rPr>
      </w:pPr>
    </w:p>
    <w:p>
      <w:pPr>
        <w:ind w:right="200" w:firstLine="656"/>
        <w:spacing w:after="0" w:line="282" w:lineRule="auto"/>
        <w:tabs>
          <w:tab w:leader="none" w:pos="130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ind w:right="780" w:firstLine="656"/>
        <w:spacing w:after="0" w:line="282" w:lineRule="auto"/>
        <w:tabs>
          <w:tab w:leader="none" w:pos="130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61" w:lineRule="exact"/>
        <w:rPr>
          <w:rFonts w:ascii="Times New Roman" w:cs="Times New Roman" w:eastAsia="Times New Roman" w:hAnsi="Times New Roman"/>
          <w:sz w:val="18"/>
          <w:szCs w:val="18"/>
          <w:color w:val="auto"/>
        </w:rPr>
      </w:pPr>
    </w:p>
    <w:p>
      <w:pPr>
        <w:ind w:firstLine="656"/>
        <w:spacing w:after="0" w:line="266" w:lineRule="auto"/>
        <w:tabs>
          <w:tab w:leader="none" w:pos="130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spacing w:after="0" w:line="176" w:lineRule="exact"/>
        <w:rPr>
          <w:rFonts w:ascii="Times New Roman" w:cs="Times New Roman" w:eastAsia="Times New Roman" w:hAnsi="Times New Roman"/>
          <w:sz w:val="18"/>
          <w:szCs w:val="18"/>
          <w:color w:val="auto"/>
        </w:rPr>
      </w:pPr>
    </w:p>
    <w:p>
      <w:pPr>
        <w:ind w:firstLine="656"/>
        <w:spacing w:after="0" w:line="261" w:lineRule="auto"/>
        <w:tabs>
          <w:tab w:leader="none" w:pos="130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stockholders (or other equity holders), creditors or employees of the Company.</w:t>
      </w:r>
    </w:p>
    <w:p>
      <w:pPr>
        <w:spacing w:after="0" w:line="180" w:lineRule="exact"/>
        <w:rPr>
          <w:sz w:val="20"/>
          <w:szCs w:val="20"/>
          <w:color w:val="auto"/>
        </w:rPr>
      </w:pPr>
    </w:p>
    <w:p>
      <w:pPr>
        <w:jc w:val="both"/>
        <w:ind w:right="200" w:firstLine="656"/>
        <w:spacing w:after="0" w:line="266" w:lineRule="auto"/>
        <w:tabs>
          <w:tab w:leader="none" w:pos="129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firstLine="656"/>
        <w:spacing w:after="0" w:line="266" w:lineRule="auto"/>
        <w:tabs>
          <w:tab w:leader="none" w:pos="12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w:t>
      </w:r>
      <w:r>
        <w:rPr>
          <w:rFonts w:ascii="Times New Roman" w:cs="Times New Roman" w:eastAsia="Times New Roman" w:hAnsi="Times New Roman"/>
          <w:sz w:val="18"/>
          <w:szCs w:val="18"/>
          <w:color w:val="auto"/>
        </w:rPr>
        <w:t>. The Agent may not provide any information gained in connection with this Agreement and the transactions contemplated by this Agreement, including due diligence, to any third party other than its legal counsel advising it on this Agreement unless expressly approved by the Company in writing.</w:t>
      </w:r>
    </w:p>
    <w:p>
      <w:pPr>
        <w:spacing w:after="0" w:line="172" w:lineRule="exact"/>
        <w:rPr>
          <w:rFonts w:ascii="Times New Roman" w:cs="Times New Roman" w:eastAsia="Times New Roman" w:hAnsi="Times New Roman"/>
          <w:sz w:val="18"/>
          <w:szCs w:val="18"/>
          <w:color w:val="auto"/>
        </w:rPr>
      </w:pPr>
    </w:p>
    <w:p>
      <w:pPr>
        <w:ind w:right="360" w:firstLine="656"/>
        <w:spacing w:after="0" w:line="286" w:lineRule="auto"/>
        <w:tabs>
          <w:tab w:leader="none" w:pos="12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Information; Knowledge of the Company</w:t>
      </w:r>
      <w:r>
        <w:rPr>
          <w:rFonts w:ascii="Times New Roman" w:cs="Times New Roman" w:eastAsia="Times New Roman" w:hAnsi="Times New Roman"/>
          <w:sz w:val="18"/>
          <w:szCs w:val="18"/>
          <w:color w:val="auto"/>
        </w:rPr>
        <w:t>. As used in this Agreement, “</w:t>
      </w:r>
      <w:r>
        <w:rPr>
          <w:rFonts w:ascii="Times New Roman" w:cs="Times New Roman" w:eastAsia="Times New Roman" w:hAnsi="Times New Roman"/>
          <w:sz w:val="18"/>
          <w:szCs w:val="18"/>
          <w:b w:val="1"/>
          <w:bCs w:val="1"/>
          <w:u w:val="single" w:color="auto"/>
          <w:color w:val="auto"/>
        </w:rPr>
        <w:t>Agent’s Information</w:t>
      </w:r>
      <w:r>
        <w:rPr>
          <w:rFonts w:ascii="Times New Roman" w:cs="Times New Roman" w:eastAsia="Times New Roman" w:hAnsi="Times New Roman"/>
          <w:sz w:val="18"/>
          <w:szCs w:val="18"/>
          <w:color w:val="auto"/>
        </w:rPr>
        <w:t>” means solely the following information in the Registration Statement and the Prospectus: the fifth paragraph under the heading “Plan of Distribution” in the Prospectus Supplement.</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4"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[Remainder of Page Intentionally Blank]</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ectPr>
          <w:pgSz w:w="11900" w:h="16838" w:orient="portrait"/>
          <w:cols w:equalWidth="0" w:num="1">
            <w:col w:w="11380"/>
          </w:cols>
          <w:pgMar w:left="240" w:top="337" w:right="279" w:bottom="0" w:gutter="0" w:footer="0" w:header="0"/>
        </w:sectPr>
      </w:pPr>
    </w:p>
    <w:bookmarkStart w:id="24" w:name="page25"/>
    <w:bookmarkEnd w:id="24"/>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00" w:val="left"/>
        </w:tabs>
        <w:rPr>
          <w:sz w:val="20"/>
          <w:szCs w:val="20"/>
          <w:color w:val="auto"/>
        </w:rPr>
      </w:pPr>
      <w:r>
        <w:rPr>
          <w:rFonts w:ascii="Times New Roman" w:cs="Times New Roman" w:eastAsia="Times New Roman" w:hAnsi="Times New Roman"/>
          <w:sz w:val="18"/>
          <w:szCs w:val="18"/>
          <w:color w:val="auto"/>
        </w:rPr>
        <w:t>By:</w:t>
        <w:tab/>
        <w:t>/s/ Herriot Tabuteau</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Name: Herriot Tabuteau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ACCEPTED as of the date</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first-above written:</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LEERINK PARTNERS LLC</w:t>
      </w:r>
    </w:p>
    <w:p>
      <w:pPr>
        <w:spacing w:after="0" w:line="200" w:lineRule="exact"/>
        <w:rPr>
          <w:sz w:val="20"/>
          <w:szCs w:val="20"/>
          <w:color w:val="auto"/>
        </w:rPr>
      </w:pPr>
    </w:p>
    <w:p>
      <w:pPr>
        <w:spacing w:after="0" w:line="223" w:lineRule="exact"/>
        <w:rPr>
          <w:sz w:val="20"/>
          <w:szCs w:val="20"/>
          <w:color w:val="auto"/>
        </w:rPr>
      </w:pPr>
    </w:p>
    <w:p>
      <w:pPr>
        <w:ind w:left="5720"/>
        <w:spacing w:after="0"/>
        <w:tabs>
          <w:tab w:leader="none" w:pos="6200" w:val="left"/>
        </w:tabs>
        <w:rPr>
          <w:sz w:val="20"/>
          <w:szCs w:val="20"/>
          <w:color w:val="auto"/>
        </w:rPr>
      </w:pPr>
      <w:r>
        <w:rPr>
          <w:rFonts w:ascii="Times New Roman" w:cs="Times New Roman" w:eastAsia="Times New Roman" w:hAnsi="Times New Roman"/>
          <w:sz w:val="18"/>
          <w:szCs w:val="18"/>
          <w:color w:val="auto"/>
        </w:rPr>
        <w:t>By:</w:t>
        <w:tab/>
        <w:t>/s/ John I. Fitzgerald, Esq.</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7"/>
          <w:szCs w:val="17"/>
          <w:color w:val="auto"/>
        </w:rPr>
        <w:t>John I. Fitzgerald,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18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w w:val="99"/>
              </w:rPr>
              <w:t>FORM OF PLACEMENT NOTICE</w:t>
            </w:r>
          </w:p>
        </w:tc>
      </w:tr>
      <w:tr>
        <w:trPr>
          <w:trHeight w:val="4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top w:val="single" w:sz="8" w:color="auto"/>
            </w:tcBorders>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w:t>
            </w:r>
          </w:p>
        </w:tc>
        <w:tc>
          <w:tcPr>
            <w:tcW w:w="13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Axsome Therapeutics, Inc.</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Leerink Partners LLC</w:t>
            </w:r>
          </w:p>
        </w:tc>
        <w:tc>
          <w:tcPr>
            <w:tcW w:w="13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61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Leerink—At the Market Offering—Placement Notice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dated [·], 2017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between Axsome Therapeutics,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Leerink Partners LLC (“</w:t>
      </w:r>
      <w:r>
        <w:rPr>
          <w:rFonts w:ascii="Times New Roman" w:cs="Times New Roman" w:eastAsia="Times New Roman" w:hAnsi="Times New Roman"/>
          <w:sz w:val="18"/>
          <w:szCs w:val="18"/>
          <w:b w:val="1"/>
          <w:bCs w:val="1"/>
          <w:u w:val="single" w:color="auto"/>
          <w:color w:val="auto"/>
        </w:rPr>
        <w:t>Leerink</w:t>
      </w:r>
      <w:r>
        <w:rPr>
          <w:rFonts w:ascii="Times New Roman" w:cs="Times New Roman" w:eastAsia="Times New Roman" w:hAnsi="Times New Roman"/>
          <w:sz w:val="18"/>
          <w:szCs w:val="18"/>
          <w:color w:val="auto"/>
        </w:rPr>
        <w:t>”), I hereby request on behalf of the Company that Leerink sell up to [ ] shares of common stock, $0.0001 par value per share, of the Company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xml:space="preserve">”), at a minimum market price of $ per share[;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more than [ ] Shares shall be sold in any one Trading Day (as such term is defined in Section 3 of the Agreement)]. Sales should begin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this Placement Notice] and end on [DATE] [until all Shares that are the subject of this Placement Notice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Herriot Tabuteau,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Golubieski, Chief Financial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Leerink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Rahul Chaudhary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Morley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Stuart Nayman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Olson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 Cavazos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 xml:space="preserve">The Company shall pay Leerink compensation in cash equal to 3.0% of the gross proceeds from the sales of Shares pursuant to the terms of the Sales Agreement of which this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forms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526"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7(m)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Each of Herriot Tabuteau, the duly qualified and elected Chief Executive Officer of Axsome Therapeutics,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John Golubieski, the duly qualified and elected Chief Financial Officer of the Company, does hereby certify in his respective capacity and on behalf of the Company, pursuant to Section 7(m) of the Sales Agreement, dated October 20, 2017 (the “</w:t>
      </w:r>
      <w:r>
        <w:rPr>
          <w:rFonts w:ascii="Times New Roman" w:cs="Times New Roman" w:eastAsia="Times New Roman" w:hAnsi="Times New Roman"/>
          <w:sz w:val="18"/>
          <w:szCs w:val="18"/>
          <w:b w:val="1"/>
          <w:bCs w:val="1"/>
          <w:u w:val="single" w:color="auto"/>
          <w:color w:val="auto"/>
        </w:rPr>
        <w:t>Sales Agreement</w:t>
      </w:r>
      <w:r>
        <w:rPr>
          <w:rFonts w:ascii="Times New Roman" w:cs="Times New Roman" w:eastAsia="Times New Roman" w:hAnsi="Times New Roman"/>
          <w:sz w:val="18"/>
          <w:szCs w:val="18"/>
          <w:color w:val="auto"/>
        </w:rPr>
        <w:t>”), by and between the Company and Leerink Partners LLC, that, after due inquiry, to the best of the knowledge of the undersigned:</w:t>
      </w:r>
    </w:p>
    <w:p>
      <w:pPr>
        <w:spacing w:after="0" w:line="181" w:lineRule="exact"/>
        <w:rPr>
          <w:sz w:val="20"/>
          <w:szCs w:val="20"/>
          <w:color w:val="auto"/>
        </w:rPr>
      </w:pPr>
    </w:p>
    <w:p>
      <w:pPr>
        <w:ind w:right="140" w:firstLine="656"/>
        <w:spacing w:after="0" w:line="258" w:lineRule="auto"/>
        <w:tabs>
          <w:tab w:leader="none" w:pos="13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Section 6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and (B) to the extent such representations and warranties are not subject to any qualifications or exceptions relating to materiality or Material Adverse Effect, are true and correct in all material respects as of the date hereof as if made on and as of the date hereof with the same force and effect as if expressly made on and as of the date hereof.</w:t>
      </w:r>
    </w:p>
    <w:p>
      <w:pPr>
        <w:spacing w:after="0" w:line="183" w:lineRule="exact"/>
        <w:rPr>
          <w:rFonts w:ascii="Times New Roman" w:cs="Times New Roman" w:eastAsia="Times New Roman" w:hAnsi="Times New Roman"/>
          <w:sz w:val="18"/>
          <w:szCs w:val="18"/>
          <w:color w:val="auto"/>
        </w:rPr>
      </w:pPr>
    </w:p>
    <w:p>
      <w:pPr>
        <w:ind w:right="300" w:firstLine="656"/>
        <w:spacing w:after="0" w:line="282" w:lineRule="auto"/>
        <w:tabs>
          <w:tab w:leader="none" w:pos="132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61" w:lineRule="exact"/>
        <w:rPr>
          <w:rFonts w:ascii="Times New Roman" w:cs="Times New Roman" w:eastAsia="Times New Roman" w:hAnsi="Times New Roman"/>
          <w:sz w:val="18"/>
          <w:szCs w:val="18"/>
          <w:color w:val="auto"/>
        </w:rPr>
      </w:pPr>
    </w:p>
    <w:p>
      <w:pPr>
        <w:ind w:right="20" w:firstLine="656"/>
        <w:spacing w:after="0" w:line="256" w:lineRule="auto"/>
        <w:tabs>
          <w:tab w:leader="none" w:pos="133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 the Registration Statement complies in all material respects with the requirements of the Securities Act and does not contain any untrue statement of a material fact or omit to state a material fact required to be stated therein or necessary in order to make the statements therein not misleading, (B) the Prospectus complies in all material respects with the requirements of the Securities Act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or for clauses (A) and (B) above, to be true and correct.</w:t>
      </w:r>
    </w:p>
    <w:p>
      <w:pPr>
        <w:spacing w:after="0" w:line="187" w:lineRule="exact"/>
        <w:rPr>
          <w:rFonts w:ascii="Times New Roman" w:cs="Times New Roman" w:eastAsia="Times New Roman" w:hAnsi="Times New Roman"/>
          <w:sz w:val="18"/>
          <w:szCs w:val="18"/>
          <w:color w:val="auto"/>
        </w:rPr>
      </w:pPr>
    </w:p>
    <w:p>
      <w:pPr>
        <w:ind w:right="40" w:firstLine="656"/>
        <w:spacing w:after="0" w:line="261" w:lineRule="auto"/>
        <w:tabs>
          <w:tab w:leader="none" w:pos="131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since the date as of which information is given in the Prospectus, as amended or supplemented to the date hereof.</w:t>
      </w:r>
    </w:p>
    <w:p>
      <w:pPr>
        <w:spacing w:after="0" w:line="180"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possess any material non-public information.</w:t>
      </w:r>
    </w:p>
    <w:p>
      <w:pPr>
        <w:spacing w:after="0" w:line="225" w:lineRule="exact"/>
        <w:rPr>
          <w:rFonts w:ascii="Times New Roman" w:cs="Times New Roman" w:eastAsia="Times New Roman" w:hAnsi="Times New Roman"/>
          <w:sz w:val="18"/>
          <w:szCs w:val="18"/>
          <w:color w:val="auto"/>
        </w:rPr>
      </w:pPr>
    </w:p>
    <w:p>
      <w:pPr>
        <w:jc w:val="both"/>
        <w:ind w:right="140" w:firstLine="656"/>
        <w:spacing w:after="0" w:line="266" w:lineRule="auto"/>
        <w:tabs>
          <w:tab w:leader="none" w:pos="131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Placement Shares that may be sold pursuant to the Sales Agreement has been duly authorized by the Company’s board of directors or a duly authorized committee thereof pursuant to a resolution or unanimous written consent in accordance with the Company’s amended and restated articles of incorporation, amended and restated bylaws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to them in the Sales Agreement.</w:t>
      </w:r>
    </w:p>
    <w:p>
      <w:pPr>
        <w:spacing w:after="0" w:line="225"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undersigned, in his respective capacity as Chief Executive Officer and Chief Financial Officer of the Company, has executed this Officers’ Certificate on behalf of the Company.</w:t>
      </w:r>
    </w:p>
    <w:p>
      <w:pPr>
        <w:spacing w:after="0" w:line="378"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Herriot Tabuteau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31813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John Golubieski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31813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Signature Page to Officers’ Certificate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Broadway, 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Axsome Therapeutics, Inc. Registration Statement on Form S-3 (File No. 333-214859)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acted as counsel to Axsome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issuance and sale by the Company from time to time of shares of the Company’s common stock, par value $0.0001 per share, having an aggregate offering price of up to $30,000,000 million (the “</w:t>
      </w:r>
      <w:r>
        <w:rPr>
          <w:rFonts w:ascii="Times New Roman" w:cs="Times New Roman" w:eastAsia="Times New Roman" w:hAnsi="Times New Roman"/>
          <w:sz w:val="18"/>
          <w:szCs w:val="18"/>
          <w:u w:val="single" w:color="auto"/>
          <w:color w:val="auto"/>
        </w:rPr>
        <w:t>Placement Shares</w:t>
      </w:r>
      <w:r>
        <w:rPr>
          <w:rFonts w:ascii="Times New Roman" w:cs="Times New Roman" w:eastAsia="Times New Roman" w:hAnsi="Times New Roman"/>
          <w:sz w:val="18"/>
          <w:szCs w:val="18"/>
          <w:color w:val="auto"/>
        </w:rPr>
        <w:t>”), pursuant to the Registration Statement on Form S-3 (File No. 333-214859),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on December 1, 2016, which was declared effective by the SEC on December 16, 2016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related base prospectus, dated December 16, 2016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the prospectus supplement, dated October 20, 2017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filed with the SEC pursuant to Rule 424(b) under the Act, and a sales agreement dated October 20, 2017 by and between the Company and Leerink Partners LLC, as sales agent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this opinion letter, we have examined the Registration Statement, the Prospectus, the Sales Agreement,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Based upon the foregoing, we are of the opinion that the Placement Shares have been duly authorized by the Company and, when issued and sold by the Company and delivered by the Company against receipt of the purchase price therefor, in the manner contemplated by the Sales Agreement, will be validly issued, fully paid and non-assessable.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herein are limited to Delaware General Corporation Law.</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hereby consent to the use of this opinion as Exhibit 5.1 to the Registration Statement and to the reference to us under the caption “Legal Matters” in the prospectus included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Registration Statement. In giving such consent, we do not hereby admit that we are acting within the category of persons whose consent is required under Section 7 of the Act or the rules or regulations of the SEC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MORGAN, LEWIS &amp; BOCKIUS LLP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80BD78F"/>
    <w:multiLevelType w:val="hybridMultilevel"/>
    <w:lvl w:ilvl="0">
      <w:lvlJc w:val="left"/>
      <w:lvlText w:val="o"/>
      <w:numFmt w:val="bullet"/>
      <w:start w:val="1"/>
    </w:lvl>
  </w:abstractNum>
  <w:abstractNum w:abstractNumId="1">
    <w:nsid w:val="153EA438"/>
    <w:multiLevelType w:val="hybridMultilevel"/>
    <w:lvl w:ilvl="0">
      <w:lvlJc w:val="left"/>
      <w:lvlText w:val="%1."/>
      <w:numFmt w:val="decimal"/>
      <w:start w:val="1"/>
    </w:lvl>
  </w:abstractNum>
  <w:abstractNum w:abstractNumId="2">
    <w:nsid w:val="3855585C"/>
    <w:multiLevelType w:val="hybridMultilevel"/>
    <w:lvl w:ilvl="0">
      <w:lvlJc w:val="left"/>
      <w:lvlText w:val="%1."/>
      <w:numFmt w:val="decimal"/>
      <w:start w:val="2"/>
    </w:lvl>
  </w:abstractNum>
  <w:abstractNum w:abstractNumId="3">
    <w:nsid w:val="70A64E2A"/>
    <w:multiLevelType w:val="hybridMultilevel"/>
    <w:lvl w:ilvl="0">
      <w:lvlJc w:val="left"/>
      <w:lvlText w:val="%1."/>
      <w:numFmt w:val="decimal"/>
      <w:start w:val="3"/>
    </w:lvl>
  </w:abstractNum>
  <w:abstractNum w:abstractNumId="4">
    <w:nsid w:val="6A2342EC"/>
    <w:multiLevelType w:val="hybridMultilevel"/>
    <w:lvl w:ilvl="0">
      <w:lvlJc w:val="left"/>
      <w:lvlText w:val="(%1)"/>
      <w:numFmt w:val="lowerLetter"/>
      <w:start w:val="1"/>
    </w:lvl>
  </w:abstractNum>
  <w:abstractNum w:abstractNumId="5">
    <w:nsid w:val="2A487CB0"/>
    <w:multiLevelType w:val="hybridMultilevel"/>
    <w:lvl w:ilvl="0">
      <w:lvlJc w:val="left"/>
      <w:lvlText w:val="(%1)"/>
      <w:numFmt w:val="lowerLetter"/>
      <w:start w:val="2"/>
    </w:lvl>
  </w:abstractNum>
  <w:abstractNum w:abstractNumId="6">
    <w:nsid w:val="1D4ED43B"/>
    <w:multiLevelType w:val="hybridMultilevel"/>
    <w:lvl w:ilvl="0">
      <w:lvlJc w:val="left"/>
      <w:lvlText w:val="%1."/>
      <w:numFmt w:val="decimal"/>
      <w:start w:val="5"/>
    </w:lvl>
  </w:abstractNum>
  <w:abstractNum w:abstractNumId="7">
    <w:nsid w:val="725A06FB"/>
    <w:multiLevelType w:val="hybridMultilevel"/>
    <w:lvl w:ilvl="0">
      <w:lvlJc w:val="left"/>
      <w:lvlText w:val="(%1)"/>
      <w:numFmt w:val="lowerLetter"/>
      <w:start w:val="1"/>
    </w:lvl>
  </w:abstractNum>
  <w:abstractNum w:abstractNumId="8">
    <w:nsid w:val="2CD89A32"/>
    <w:multiLevelType w:val="hybridMultilevel"/>
    <w:lvl w:ilvl="0">
      <w:lvlJc w:val="left"/>
      <w:lvlText w:val="%1"/>
      <w:numFmt w:val="lowerLetter"/>
      <w:start w:val="1"/>
    </w:lvl>
    <w:lvl w:ilvl="1">
      <w:lvlJc w:val="left"/>
      <w:lvlText w:val="(%2)"/>
      <w:numFmt w:val="lowerLetter"/>
      <w:start w:val="3"/>
    </w:lvl>
  </w:abstractNum>
  <w:abstractNum w:abstractNumId="9">
    <w:nsid w:val="57E4CCAF"/>
    <w:multiLevelType w:val="hybridMultilevel"/>
    <w:lvl w:ilvl="0">
      <w:lvlJc w:val="left"/>
      <w:lvlText w:val="(%1)"/>
      <w:numFmt w:val="lowerLetter"/>
      <w:start w:val="61"/>
    </w:lvl>
    <w:lvl w:ilvl="1">
      <w:lvlJc w:val="left"/>
      <w:lvlText w:val="%2"/>
      <w:numFmt w:val="lowerLetter"/>
      <w:start w:val="1"/>
    </w:lvl>
  </w:abstractNum>
  <w:abstractNum w:abstractNumId="10">
    <w:nsid w:val="7A6D8D3C"/>
    <w:multiLevelType w:val="hybridMultilevel"/>
    <w:lvl w:ilvl="0">
      <w:lvlJc w:val="left"/>
      <w:lvlText w:val="%1."/>
      <w:numFmt w:val="decimal"/>
      <w:start w:val="6"/>
    </w:lvl>
  </w:abstractNum>
  <w:abstractNum w:abstractNumId="11">
    <w:nsid w:val="4B588F54"/>
    <w:multiLevelType w:val="hybridMultilevel"/>
    <w:lvl w:ilvl="0">
      <w:lvlJc w:val="left"/>
      <w:lvlText w:val="(%1)"/>
      <w:numFmt w:val="lowerLetter"/>
      <w:start w:val="1"/>
    </w:lvl>
  </w:abstractNum>
  <w:abstractNum w:abstractNumId="12">
    <w:nsid w:val="542289EC"/>
    <w:multiLevelType w:val="hybridMultilevel"/>
    <w:lvl w:ilvl="0">
      <w:lvlJc w:val="left"/>
      <w:lvlText w:val="(%1)"/>
      <w:numFmt w:val="lowerLetter"/>
      <w:start w:val="2"/>
    </w:lvl>
  </w:abstractNum>
  <w:abstractNum w:abstractNumId="13">
    <w:nsid w:val="6DE91B18"/>
    <w:multiLevelType w:val="hybridMultilevel"/>
    <w:lvl w:ilvl="0">
      <w:lvlJc w:val="left"/>
      <w:lvlText w:val="(%1)"/>
      <w:numFmt w:val="lowerLetter"/>
      <w:start w:val="3"/>
    </w:lvl>
  </w:abstractNum>
  <w:abstractNum w:abstractNumId="14">
    <w:nsid w:val="38437FDB"/>
    <w:multiLevelType w:val="hybridMultilevel"/>
    <w:lvl w:ilvl="0">
      <w:lvlJc w:val="left"/>
      <w:lvlText w:val="(%1)"/>
      <w:numFmt w:val="lowerLetter"/>
      <w:start w:val="6"/>
    </w:lvl>
  </w:abstractNum>
  <w:abstractNum w:abstractNumId="15">
    <w:nsid w:val="7644A45C"/>
    <w:multiLevelType w:val="hybridMultilevel"/>
    <w:lvl w:ilvl="0">
      <w:lvlJc w:val="left"/>
      <w:lvlText w:val="(%1)"/>
      <w:numFmt w:val="lowerLetter"/>
      <w:start w:val="12"/>
    </w:lvl>
  </w:abstractNum>
  <w:abstractNum w:abstractNumId="16">
    <w:nsid w:val="32FFF902"/>
    <w:multiLevelType w:val="hybridMultilevel"/>
    <w:lvl w:ilvl="0">
      <w:lvlJc w:val="left"/>
      <w:lvlText w:val="(%1)"/>
      <w:numFmt w:val="lowerLetter"/>
      <w:start w:val="13"/>
    </w:lvl>
  </w:abstractNum>
  <w:abstractNum w:abstractNumId="17">
    <w:nsid w:val="684A481A"/>
    <w:multiLevelType w:val="hybridMultilevel"/>
    <w:lvl w:ilvl="0">
      <w:lvlJc w:val="left"/>
      <w:lvlText w:val="(%1)"/>
      <w:numFmt w:val="lowerLetter"/>
      <w:start w:val="14"/>
    </w:lvl>
  </w:abstractNum>
  <w:abstractNum w:abstractNumId="18">
    <w:nsid w:val="579478FE"/>
    <w:multiLevelType w:val="hybridMultilevel"/>
    <w:lvl w:ilvl="0">
      <w:lvlJc w:val="left"/>
      <w:lvlText w:val="(%1)"/>
      <w:numFmt w:val="lowerLetter"/>
      <w:start w:val="19"/>
    </w:lvl>
  </w:abstractNum>
  <w:abstractNum w:abstractNumId="19">
    <w:nsid w:val="749ABB43"/>
    <w:multiLevelType w:val="hybridMultilevel"/>
    <w:lvl w:ilvl="0">
      <w:lvlJc w:val="left"/>
      <w:lvlText w:val="(%1)"/>
      <w:numFmt w:val="lowerLetter"/>
      <w:start w:val="20"/>
    </w:lvl>
  </w:abstractNum>
  <w:abstractNum w:abstractNumId="20">
    <w:nsid w:val="3DC240FB"/>
    <w:multiLevelType w:val="hybridMultilevel"/>
    <w:lvl w:ilvl="0">
      <w:lvlJc w:val="left"/>
      <w:lvlText w:val="%1"/>
      <w:numFmt w:val="lowerLetter"/>
      <w:start w:val="1"/>
    </w:lvl>
    <w:lvl w:ilvl="1">
      <w:lvlJc w:val="left"/>
      <w:lvlText w:val="(%2)"/>
      <w:numFmt w:val="lowerLetter"/>
      <w:start w:val="22"/>
    </w:lvl>
  </w:abstractNum>
  <w:abstractNum w:abstractNumId="21">
    <w:nsid w:val="1BA026FA"/>
    <w:multiLevelType w:val="hybridMultilevel"/>
    <w:lvl w:ilvl="0">
      <w:lvlJc w:val="left"/>
      <w:lvlText w:val="(%1)"/>
      <w:numFmt w:val="lowerLetter"/>
      <w:start w:val="35"/>
    </w:lvl>
    <w:lvl w:ilvl="1">
      <w:lvlJc w:val="left"/>
      <w:lvlText w:val="(%2)"/>
      <w:numFmt w:val="lowerLetter"/>
      <w:start w:val="23"/>
    </w:lvl>
  </w:abstractNum>
  <w:abstractNum w:abstractNumId="22">
    <w:nsid w:val="79A1DEAA"/>
    <w:multiLevelType w:val="hybridMultilevel"/>
    <w:lvl w:ilvl="0">
      <w:lvlJc w:val="left"/>
      <w:lvlText w:val="(%1)"/>
      <w:numFmt w:val="lowerLetter"/>
      <w:start w:val="61"/>
    </w:lvl>
    <w:lvl w:ilvl="1">
      <w:lvlJc w:val="left"/>
      <w:lvlText w:val="(%2)"/>
      <w:numFmt w:val="lowerLetter"/>
      <w:start w:val="25"/>
    </w:lvl>
  </w:abstractNum>
  <w:abstractNum w:abstractNumId="23">
    <w:nsid w:val="75C6C33A"/>
    <w:multiLevelType w:val="hybridMultilevel"/>
    <w:lvl w:ilvl="0">
      <w:lvlJc w:val="left"/>
      <w:lvlText w:val="(%1)"/>
      <w:numFmt w:val="lowerLetter"/>
      <w:start w:val="61"/>
    </w:lvl>
    <w:lvl w:ilvl="1">
      <w:lvlJc w:val="left"/>
      <w:lvlText w:val="%2"/>
      <w:numFmt w:val="lowerLetter"/>
      <w:start w:val="1"/>
    </w:lvl>
  </w:abstractNum>
  <w:abstractNum w:abstractNumId="24">
    <w:nsid w:val="12E685FB"/>
    <w:multiLevelType w:val="hybridMultilevel"/>
    <w:lvl w:ilvl="0">
      <w:lvlJc w:val="left"/>
      <w:lvlText w:val="(%1)"/>
      <w:numFmt w:val="lowerLetter"/>
      <w:start w:val="26"/>
    </w:lvl>
  </w:abstractNum>
  <w:abstractNum w:abstractNumId="25">
    <w:nsid w:val="70C6A529"/>
    <w:multiLevelType w:val="hybridMultilevel"/>
    <w:lvl w:ilvl="0">
      <w:lvlJc w:val="left"/>
      <w:lvlText w:val="(%1)"/>
      <w:numFmt w:val="lowerLetter"/>
      <w:start w:val="27"/>
    </w:lvl>
  </w:abstractNum>
  <w:abstractNum w:abstractNumId="26">
    <w:nsid w:val="520EEDD1"/>
    <w:multiLevelType w:val="hybridMultilevel"/>
    <w:lvl w:ilvl="0">
      <w:lvlJc w:val="left"/>
      <w:lvlText w:val="%1"/>
      <w:numFmt w:val="upperLetter"/>
      <w:start w:val="1"/>
    </w:lvl>
    <w:lvl w:ilvl="1">
      <w:lvlJc w:val="left"/>
      <w:lvlText w:val="(%2)"/>
      <w:numFmt w:val="lowerLetter"/>
      <w:start w:val="30"/>
    </w:lvl>
  </w:abstractNum>
  <w:abstractNum w:abstractNumId="27">
    <w:nsid w:val="374A3FE6"/>
    <w:multiLevelType w:val="hybridMultilevel"/>
    <w:lvl w:ilvl="0">
      <w:lvlJc w:val="left"/>
      <w:lvlText w:val="(%1)"/>
      <w:numFmt w:val="upperLetter"/>
      <w:start w:val="3"/>
    </w:lvl>
    <w:lvl w:ilvl="1">
      <w:lvlJc w:val="left"/>
      <w:lvlText w:val="(%2)"/>
      <w:numFmt w:val="lowerLetter"/>
      <w:start w:val="31"/>
    </w:lvl>
  </w:abstractNum>
  <w:abstractNum w:abstractNumId="28">
    <w:nsid w:val="4F4EF005"/>
    <w:multiLevelType w:val="hybridMultilevel"/>
    <w:lvl w:ilvl="0">
      <w:lvlJc w:val="left"/>
      <w:lvlText w:val="(%1)"/>
      <w:numFmt w:val="lowerLetter"/>
      <w:start w:val="34"/>
    </w:lvl>
  </w:abstractNum>
  <w:abstractNum w:abstractNumId="29">
    <w:nsid w:val="23F9C13C"/>
    <w:multiLevelType w:val="hybridMultilevel"/>
    <w:lvl w:ilvl="0">
      <w:lvlJc w:val="left"/>
      <w:lvlText w:val="(%1)"/>
      <w:numFmt w:val="lowerLetter"/>
      <w:start w:val="37"/>
    </w:lvl>
  </w:abstractNum>
  <w:abstractNum w:abstractNumId="30">
    <w:nsid w:val="649BB77C"/>
    <w:multiLevelType w:val="hybridMultilevel"/>
    <w:lvl w:ilvl="0">
      <w:lvlJc w:val="left"/>
      <w:lvlText w:val="(%1)"/>
      <w:numFmt w:val="lowerLetter"/>
      <w:start w:val="40"/>
    </w:lvl>
  </w:abstractNum>
  <w:abstractNum w:abstractNumId="31">
    <w:nsid w:val="275AC794"/>
    <w:multiLevelType w:val="hybridMultilevel"/>
    <w:lvl w:ilvl="0">
      <w:lvlJc w:val="left"/>
      <w:lvlText w:val="(%1)"/>
      <w:numFmt w:val="lowerLetter"/>
      <w:start w:val="41"/>
    </w:lvl>
  </w:abstractNum>
  <w:abstractNum w:abstractNumId="32">
    <w:nsid w:val="39386575"/>
    <w:multiLevelType w:val="hybridMultilevel"/>
    <w:lvl w:ilvl="0">
      <w:lvlJc w:val="left"/>
      <w:lvlText w:val="(%1)"/>
      <w:numFmt w:val="lowerLetter"/>
      <w:start w:val="43"/>
    </w:lvl>
  </w:abstractNum>
  <w:abstractNum w:abstractNumId="33">
    <w:nsid w:val="1CF10FD8"/>
    <w:multiLevelType w:val="hybridMultilevel"/>
    <w:lvl w:ilvl="0">
      <w:lvlJc w:val="left"/>
      <w:lvlText w:val="(%1)"/>
      <w:numFmt w:val="lowerLetter"/>
      <w:start w:val="44"/>
    </w:lvl>
  </w:abstractNum>
  <w:abstractNum w:abstractNumId="34">
    <w:nsid w:val="180115BE"/>
    <w:multiLevelType w:val="hybridMultilevel"/>
    <w:lvl w:ilvl="0">
      <w:lvlJc w:val="left"/>
      <w:lvlText w:val="(%1)"/>
      <w:numFmt w:val="lowerLetter"/>
      <w:start w:val="46"/>
    </w:lvl>
  </w:abstractNum>
  <w:abstractNum w:abstractNumId="35">
    <w:nsid w:val="235BA861"/>
    <w:multiLevelType w:val="hybridMultilevel"/>
    <w:lvl w:ilvl="0">
      <w:lvlJc w:val="left"/>
      <w:lvlText w:val="(%1)"/>
      <w:numFmt w:val="lowerLetter"/>
      <w:start w:val="50"/>
    </w:lvl>
  </w:abstractNum>
  <w:abstractNum w:abstractNumId="36">
    <w:nsid w:val="47398C89"/>
    <w:multiLevelType w:val="hybridMultilevel"/>
    <w:lvl w:ilvl="0">
      <w:lvlJc w:val="left"/>
      <w:lvlText w:val="(%1)"/>
      <w:numFmt w:val="lowerLetter"/>
      <w:start w:val="52"/>
    </w:lvl>
  </w:abstractNum>
  <w:abstractNum w:abstractNumId="37">
    <w:nsid w:val="354FE9F9"/>
    <w:multiLevelType w:val="hybridMultilevel"/>
    <w:lvl w:ilvl="0">
      <w:lvlJc w:val="left"/>
      <w:lvlText w:val="%1"/>
      <w:numFmt w:val="lowerLetter"/>
      <w:start w:val="1"/>
    </w:lvl>
    <w:lvl w:ilvl="1">
      <w:lvlJc w:val="left"/>
      <w:lvlText w:val="(%2)"/>
      <w:numFmt w:val="lowerLetter"/>
      <w:start w:val="53"/>
    </w:lvl>
  </w:abstractNum>
  <w:abstractNum w:abstractNumId="38">
    <w:nsid w:val="15B5AF5C"/>
    <w:multiLevelType w:val="hybridMultilevel"/>
    <w:lvl w:ilvl="0">
      <w:lvlJc w:val="left"/>
      <w:lvlText w:val="(%1)"/>
      <w:numFmt w:val="lowerLetter"/>
      <w:start w:val="35"/>
    </w:lvl>
    <w:lvl w:ilvl="1">
      <w:lvlJc w:val="left"/>
      <w:lvlText w:val="(%2)"/>
      <w:numFmt w:val="lowerLetter"/>
      <w:start w:val="54"/>
    </w:lvl>
  </w:abstractNum>
  <w:abstractNum w:abstractNumId="39">
    <w:nsid w:val="741226BB"/>
    <w:multiLevelType w:val="hybridMultilevel"/>
    <w:lvl w:ilvl="0">
      <w:lvlJc w:val="left"/>
      <w:lvlText w:val="%1."/>
      <w:numFmt w:val="decimal"/>
      <w:start w:val="7"/>
    </w:lvl>
  </w:abstractNum>
  <w:abstractNum w:abstractNumId="40">
    <w:nsid w:val="D34B6A8"/>
    <w:multiLevelType w:val="hybridMultilevel"/>
    <w:lvl w:ilvl="0">
      <w:lvlJc w:val="left"/>
      <w:lvlText w:val="(%1)"/>
      <w:numFmt w:val="lowerLetter"/>
      <w:start w:val="1"/>
    </w:lvl>
  </w:abstractNum>
  <w:abstractNum w:abstractNumId="41">
    <w:nsid w:val="10233C99"/>
    <w:multiLevelType w:val="hybridMultilevel"/>
    <w:lvl w:ilvl="0">
      <w:lvlJc w:val="left"/>
      <w:lvlText w:val="(%1)"/>
      <w:numFmt w:val="lowerLetter"/>
      <w:start w:val="2"/>
    </w:lvl>
  </w:abstractNum>
  <w:abstractNum w:abstractNumId="42">
    <w:nsid w:val="3F6AB60F"/>
    <w:multiLevelType w:val="hybridMultilevel"/>
    <w:lvl w:ilvl="0">
      <w:lvlJc w:val="left"/>
      <w:lvlText w:val="(%1)"/>
      <w:numFmt w:val="lowerLetter"/>
      <w:start w:val="5"/>
    </w:lvl>
  </w:abstractNum>
  <w:abstractNum w:abstractNumId="43">
    <w:nsid w:val="61574095"/>
    <w:multiLevelType w:val="hybridMultilevel"/>
    <w:lvl w:ilvl="0">
      <w:lvlJc w:val="left"/>
      <w:lvlText w:val="(%1)"/>
      <w:numFmt w:val="lowerLetter"/>
      <w:start w:val="8"/>
    </w:lvl>
  </w:abstractNum>
  <w:abstractNum w:abstractNumId="44">
    <w:nsid w:val="7E0C57B1"/>
    <w:multiLevelType w:val="hybridMultilevel"/>
    <w:lvl w:ilvl="0">
      <w:lvlJc w:val="left"/>
      <w:lvlText w:val="(%1)"/>
      <w:numFmt w:val="lowerLetter"/>
      <w:start w:val="10"/>
    </w:lvl>
  </w:abstractNum>
  <w:abstractNum w:abstractNumId="45">
    <w:nsid w:val="77AE35EB"/>
    <w:multiLevelType w:val="hybridMultilevel"/>
    <w:lvl w:ilvl="0">
      <w:lvlJc w:val="left"/>
      <w:lvlText w:val="(%1)"/>
      <w:numFmt w:val="lowerRoman"/>
      <w:start w:val="1"/>
    </w:lvl>
  </w:abstractNum>
  <w:abstractNum w:abstractNumId="46">
    <w:nsid w:val="579BE4F1"/>
    <w:multiLevelType w:val="hybridMultilevel"/>
    <w:lvl w:ilvl="0">
      <w:lvlJc w:val="left"/>
      <w:lvlText w:val="(%1)"/>
      <w:numFmt w:val="lowerRoman"/>
      <w:start w:val="2"/>
    </w:lvl>
  </w:abstractNum>
  <w:abstractNum w:abstractNumId="47">
    <w:nsid w:val="310C50B3"/>
    <w:multiLevelType w:val="hybridMultilevel"/>
    <w:lvl w:ilvl="0">
      <w:lvlJc w:val="left"/>
      <w:lvlText w:val="%1"/>
      <w:numFmt w:val="lowerRoman"/>
      <w:start w:val="1"/>
    </w:lvl>
    <w:lvl w:ilvl="1">
      <w:lvlJc w:val="left"/>
      <w:lvlText w:val="(%2)"/>
      <w:numFmt w:val="lowerRoman"/>
      <w:start w:val="4"/>
    </w:lvl>
  </w:abstractNum>
  <w:abstractNum w:abstractNumId="48">
    <w:nsid w:val="5FF87E05"/>
    <w:multiLevelType w:val="hybridMultilevel"/>
    <w:lvl w:ilvl="0">
      <w:lvlJc w:val="left"/>
      <w:lvlText w:val="(%1)"/>
      <w:numFmt w:val="lowerRoman"/>
      <w:start w:val="1"/>
    </w:lvl>
    <w:lvl w:ilvl="1">
      <w:lvlJc w:val="left"/>
      <w:lvlText w:val="%2"/>
      <w:numFmt w:val="lowerRoman"/>
      <w:start w:val="1"/>
    </w:lvl>
  </w:abstractNum>
  <w:abstractNum w:abstractNumId="49">
    <w:nsid w:val="2F305DEF"/>
    <w:multiLevelType w:val="hybridMultilevel"/>
    <w:lvl w:ilvl="0">
      <w:lvlJc w:val="left"/>
      <w:lvlText w:val="(%1)"/>
      <w:numFmt w:val="lowerLetter"/>
      <w:start w:val="14"/>
    </w:lvl>
  </w:abstractNum>
  <w:abstractNum w:abstractNumId="50">
    <w:nsid w:val="25A70BF7"/>
    <w:multiLevelType w:val="hybridMultilevel"/>
    <w:lvl w:ilvl="0">
      <w:lvlJc w:val="left"/>
      <w:lvlText w:val="(%1)"/>
      <w:numFmt w:val="lowerLetter"/>
      <w:start w:val="16"/>
    </w:lvl>
  </w:abstractNum>
  <w:abstractNum w:abstractNumId="51">
    <w:nsid w:val="1DBABF00"/>
    <w:multiLevelType w:val="hybridMultilevel"/>
    <w:lvl w:ilvl="0">
      <w:lvlJc w:val="left"/>
      <w:lvlText w:val="(%1)"/>
      <w:numFmt w:val="lowerLetter"/>
      <w:start w:val="20"/>
    </w:lvl>
  </w:abstractNum>
  <w:abstractNum w:abstractNumId="52">
    <w:nsid w:val="4AD084E9"/>
    <w:multiLevelType w:val="hybridMultilevel"/>
    <w:lvl w:ilvl="0">
      <w:lvlJc w:val="left"/>
      <w:lvlText w:val="(%1)"/>
      <w:numFmt w:val="lowerLetter"/>
      <w:start w:val="25"/>
    </w:lvl>
  </w:abstractNum>
  <w:abstractNum w:abstractNumId="53">
    <w:nsid w:val="1F48EAA1"/>
    <w:multiLevelType w:val="hybridMultilevel"/>
    <w:lvl w:ilvl="0">
      <w:lvlJc w:val="left"/>
      <w:lvlText w:val="(%1)"/>
      <w:numFmt w:val="lowerLetter"/>
      <w:start w:val="27"/>
    </w:lvl>
  </w:abstractNum>
  <w:abstractNum w:abstractNumId="54">
    <w:nsid w:val="1381823A"/>
    <w:multiLevelType w:val="hybridMultilevel"/>
    <w:lvl w:ilvl="0">
      <w:lvlJc w:val="left"/>
      <w:lvlText w:val="%1."/>
      <w:numFmt w:val="decimal"/>
      <w:start w:val="8"/>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Letter"/>
      <w:start w:val="7"/>
    </w:lvl>
  </w:abstractNum>
  <w:abstractNum w:abstractNumId="57">
    <w:nsid w:val="6590700B"/>
    <w:multiLevelType w:val="hybridMultilevel"/>
    <w:lvl w:ilvl="0">
      <w:lvlJc w:val="left"/>
      <w:lvlText w:val="%1"/>
      <w:numFmt w:val="lowerLetter"/>
      <w:start w:val="1"/>
    </w:lvl>
    <w:lvl w:ilvl="1">
      <w:lvlJc w:val="left"/>
      <w:lvlText w:val="(%2)"/>
      <w:numFmt w:val="lowerLetter"/>
      <w:start w:val="15"/>
    </w:lvl>
  </w:abstractNum>
  <w:abstractNum w:abstractNumId="58">
    <w:nsid w:val="15014ACB"/>
    <w:multiLevelType w:val="hybridMultilevel"/>
    <w:lvl w:ilvl="0">
      <w:lvlJc w:val="left"/>
      <w:lvlText w:val="(%1)"/>
      <w:numFmt w:val="lowerLetter"/>
      <w:start w:val="35"/>
    </w:lvl>
    <w:lvl w:ilvl="1">
      <w:lvlJc w:val="left"/>
      <w:lvlText w:val="(%2)"/>
      <w:numFmt w:val="lowerLetter"/>
      <w:start w:val="16"/>
    </w:lvl>
  </w:abstractNum>
  <w:abstractNum w:abstractNumId="59">
    <w:nsid w:val="5F5E7FD0"/>
    <w:multiLevelType w:val="hybridMultilevel"/>
    <w:lvl w:ilvl="0">
      <w:lvlJc w:val="left"/>
      <w:lvlText w:val="(%1)"/>
      <w:numFmt w:val="lowerLetter"/>
      <w:start w:val="17"/>
    </w:lvl>
  </w:abstractNum>
  <w:abstractNum w:abstractNumId="60">
    <w:nsid w:val="98A3148"/>
    <w:multiLevelType w:val="hybridMultilevel"/>
    <w:lvl w:ilvl="0">
      <w:lvlJc w:val="left"/>
      <w:lvlText w:val="%1."/>
      <w:numFmt w:val="decimal"/>
      <w:start w:val="9"/>
    </w:lvl>
  </w:abstractNum>
  <w:abstractNum w:abstractNumId="61">
    <w:nsid w:val="799D0247"/>
    <w:multiLevelType w:val="hybridMultilevel"/>
    <w:lvl w:ilvl="0">
      <w:lvlJc w:val="left"/>
      <w:lvlText w:val="(%1)"/>
      <w:numFmt w:val="lowerLetter"/>
      <w:start w:val="1"/>
    </w:lvl>
  </w:abstractNum>
  <w:abstractNum w:abstractNumId="62">
    <w:nsid w:val="6B94764"/>
    <w:multiLevelType w:val="hybridMultilevel"/>
    <w:lvl w:ilvl="0">
      <w:lvlJc w:val="left"/>
      <w:lvlText w:val="(%1)"/>
      <w:numFmt w:val="decimal"/>
      <w:start w:val="3"/>
    </w:lvl>
  </w:abstractNum>
  <w:abstractNum w:abstractNumId="63">
    <w:nsid w:val="42C296BD"/>
    <w:multiLevelType w:val="hybridMultilevel"/>
    <w:lvl w:ilvl="0">
      <w:lvlJc w:val="left"/>
      <w:lvlText w:val="(%1)"/>
      <w:numFmt w:val="lowerLetter"/>
      <w:start w:val="4"/>
    </w:lvl>
  </w:abstractNum>
  <w:abstractNum w:abstractNumId="64">
    <w:nsid w:val="168E121F"/>
    <w:multiLevelType w:val="hybridMultilevel"/>
    <w:lvl w:ilvl="0">
      <w:lvlJc w:val="left"/>
      <w:lvlText w:val="%1."/>
      <w:numFmt w:val="decimal"/>
      <w:start w:val="10"/>
    </w:lvl>
  </w:abstractNum>
  <w:abstractNum w:abstractNumId="65">
    <w:nsid w:val="1EBA5D23"/>
    <w:multiLevelType w:val="hybridMultilevel"/>
    <w:lvl w:ilvl="0">
      <w:lvlJc w:val="left"/>
      <w:lvlText w:val="%1."/>
      <w:numFmt w:val="decimal"/>
      <w:start w:val="11"/>
    </w:lvl>
  </w:abstractNum>
  <w:abstractNum w:abstractNumId="66">
    <w:nsid w:val="661E3F1E"/>
    <w:multiLevelType w:val="hybridMultilevel"/>
    <w:lvl w:ilvl="0">
      <w:lvlJc w:val="left"/>
      <w:lvlText w:val="(%1)"/>
      <w:numFmt w:val="lowerLetter"/>
      <w:start w:val="1"/>
    </w:lvl>
  </w:abstractNum>
  <w:abstractNum w:abstractNumId="67">
    <w:nsid w:val="5DC79EA8"/>
    <w:multiLevelType w:val="hybridMultilevel"/>
    <w:lvl w:ilvl="0">
      <w:lvlJc w:val="left"/>
      <w:lvlText w:val="(%1)"/>
      <w:numFmt w:val="lowerLetter"/>
      <w:start w:val="2"/>
    </w:lvl>
  </w:abstractNum>
  <w:abstractNum w:abstractNumId="68">
    <w:nsid w:val="540A471C"/>
    <w:multiLevelType w:val="hybridMultilevel"/>
    <w:lvl w:ilvl="0">
      <w:lvlJc w:val="left"/>
      <w:lvlText w:val="(%1)"/>
      <w:numFmt w:val="lowerLetter"/>
      <w:start w:val="6"/>
    </w:lvl>
  </w:abstractNum>
  <w:abstractNum w:abstractNumId="69">
    <w:nsid w:val="7BD3EE7B"/>
    <w:multiLevelType w:val="hybridMultilevel"/>
    <w:lvl w:ilvl="0">
      <w:lvlJc w:val="left"/>
      <w:lvlText w:val="%1."/>
      <w:numFmt w:val="decimal"/>
      <w:start w:val="12"/>
    </w:lvl>
  </w:abstractNum>
  <w:abstractNum w:abstractNumId="70">
    <w:nsid w:val="51D9C564"/>
    <w:multiLevelType w:val="hybridMultilevel"/>
    <w:lvl w:ilvl="0">
      <w:lvlJc w:val="left"/>
      <w:lvlText w:val="%1"/>
      <w:numFmt w:val="decimal"/>
      <w:start w:val="25"/>
    </w:lvl>
  </w:abstractNum>
  <w:abstractNum w:abstractNumId="71">
    <w:nsid w:val="613EFDC5"/>
    <w:multiLevelType w:val="hybridMultilevel"/>
    <w:lvl w:ilvl="0">
      <w:lvlJc w:val="left"/>
      <w:lvlText w:val="%1."/>
      <w:numFmt w:val="decimal"/>
      <w:start w:val="13"/>
    </w:lvl>
  </w:abstractNum>
  <w:abstractNum w:abstractNumId="72">
    <w:nsid w:val="BF72B14"/>
    <w:multiLevelType w:val="hybridMultilevel"/>
    <w:lvl w:ilvl="0">
      <w:lvlJc w:val="left"/>
      <w:lvlText w:val="%1."/>
      <w:numFmt w:val="decimal"/>
      <w:start w:val="16"/>
    </w:lvl>
  </w:abstractNum>
  <w:abstractNum w:abstractNumId="73">
    <w:nsid w:val="11447B73"/>
    <w:multiLevelType w:val="hybridMultilevel"/>
    <w:lvl w:ilvl="0">
      <w:lvlJc w:val="left"/>
      <w:lvlText w:val="(%1)"/>
      <w:numFmt w:val="lowerLetter"/>
      <w:start w:val="1"/>
    </w:lvl>
  </w:abstractNum>
  <w:abstractNum w:abstractNumId="74">
    <w:nsid w:val="42963E5A"/>
    <w:multiLevelType w:val="hybridMultilevel"/>
    <w:lvl w:ilvl="0">
      <w:lvlJc w:val="left"/>
      <w:lvlText w:val="(%1)"/>
      <w:numFmt w:val="lowerLetter"/>
      <w:start w:val="6"/>
    </w:lvl>
  </w:abstractNum>
  <w:abstractNum w:abstractNumId="75">
    <w:nsid w:val="A0382C5"/>
    <w:multiLevelType w:val="hybridMultilevel"/>
    <w:lvl w:ilvl="0">
      <w:lvlJc w:val="left"/>
      <w:lvlText w:val="%1."/>
      <w:numFmt w:val="decimal"/>
      <w:start w:val="19"/>
    </w:lvl>
  </w:abstractNum>
  <w:abstractNum w:abstractNumId="76">
    <w:nsid w:val="8F2B15E"/>
    <w:multiLevelType w:val="hybridMultilevel"/>
    <w:lvl w:ilvl="0">
      <w:lvlJc w:val="left"/>
      <w:lvlText w:val="(%1)"/>
      <w:numFmt w:val="lowerLetter"/>
      <w:start w:val="1"/>
    </w:lvl>
  </w:abstractNum>
  <w:abstractNum w:abstractNumId="77">
    <w:nsid w:val="1A32234B"/>
    <w:multiLevelType w:val="hybridMultilevel"/>
    <w:lvl w:ilvl="0">
      <w:lvlJc w:val="left"/>
      <w:lvlText w:val="%1."/>
      <w:numFmt w:val="decimal"/>
      <w:start w:val="21"/>
    </w:lvl>
  </w:abstractNum>
  <w:abstractNum w:abstractNumId="78">
    <w:nsid w:val="3B0FD379"/>
    <w:multiLevelType w:val="hybridMultilevel"/>
    <w:lvl w:ilvl="0">
      <w:lvlJc w:val="left"/>
      <w:lvlText w:val="%1."/>
      <w:numFmt w:val="decimal"/>
      <w:start w:val="22"/>
    </w:lvl>
  </w:abstractNum>
  <w:abstractNum w:abstractNumId="79">
    <w:nsid w:val="68EB2F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2019-12-29T04:17:12Z</dcterms:created>
  <dcterms:modified xsi:type="dcterms:W3CDTF">2019-12-29T04:17:12Z</dcterms:modified>
</cp:coreProperties>
</file>