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32385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4"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Date of Report (Date of earliest event reported): November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67" w:lineRule="exact"/>
        <w:rPr>
          <w:sz w:val="24"/>
          <w:szCs w:val="24"/>
          <w:color w:val="auto"/>
        </w:rPr>
      </w:pPr>
    </w:p>
    <w:tbl>
      <w:tblPr>
        <w:tblLayout w:type="fixed"/>
        <w:tblInd w:w="1180" w:type="dxa"/>
        <w:tblCellMar>
          <w:top w:w="0" w:type="dxa"/>
          <w:left w:w="0" w:type="dxa"/>
          <w:bottom w:w="0" w:type="dxa"/>
          <w:right w:w="0" w:type="dxa"/>
        </w:tblCellMar>
      </w:tblPr>
      <w:tr>
        <w:trPr>
          <w:trHeight w:val="190"/>
        </w:trPr>
        <w:tc>
          <w:tcPr>
            <w:tcW w:w="3320" w:type="dxa"/>
            <w:vAlign w:val="bottom"/>
          </w:tcPr>
          <w:p>
            <w:pPr>
              <w:jc w:val="center"/>
              <w:ind w:right="841"/>
              <w:spacing w:after="0" w:line="189" w:lineRule="exact"/>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541"/>
              <w:spacing w:after="0" w:line="189" w:lineRule="exact"/>
              <w:rPr>
                <w:sz w:val="20"/>
                <w:szCs w:val="20"/>
                <w:color w:val="auto"/>
              </w:rPr>
            </w:pPr>
            <w:r>
              <w:rPr>
                <w:rFonts w:ascii="Arial" w:cs="Arial" w:eastAsia="Arial" w:hAnsi="Arial"/>
                <w:sz w:val="18"/>
                <w:szCs w:val="18"/>
                <w:b w:val="1"/>
                <w:bCs w:val="1"/>
                <w:color w:val="auto"/>
              </w:rPr>
              <w:t>001-37635</w:t>
            </w:r>
          </w:p>
        </w:tc>
        <w:tc>
          <w:tcPr>
            <w:tcW w:w="2780" w:type="dxa"/>
            <w:vAlign w:val="bottom"/>
          </w:tcPr>
          <w:p>
            <w:pPr>
              <w:jc w:val="right"/>
              <w:ind w:right="24"/>
              <w:spacing w:after="0" w:line="189" w:lineRule="exact"/>
              <w:rPr>
                <w:sz w:val="20"/>
                <w:szCs w:val="20"/>
                <w:color w:val="auto"/>
              </w:rPr>
            </w:pPr>
            <w:r>
              <w:rPr>
                <w:rFonts w:ascii="Arial" w:cs="Arial" w:eastAsia="Arial" w:hAnsi="Arial"/>
                <w:sz w:val="18"/>
                <w:szCs w:val="18"/>
                <w:b w:val="1"/>
                <w:bCs w:val="1"/>
                <w:color w:val="auto"/>
              </w:rPr>
              <w:t>45-4241907</w:t>
            </w:r>
          </w:p>
        </w:tc>
      </w:tr>
      <w:tr>
        <w:trPr>
          <w:trHeight w:val="135"/>
        </w:trPr>
        <w:tc>
          <w:tcPr>
            <w:tcW w:w="3320" w:type="dxa"/>
            <w:vAlign w:val="bottom"/>
          </w:tcPr>
          <w:p>
            <w:pPr>
              <w:jc w:val="center"/>
              <w:ind w:right="841"/>
              <w:spacing w:after="0" w:line="135" w:lineRule="exact"/>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ind w:left="161"/>
              <w:spacing w:after="0" w:line="135" w:lineRule="exact"/>
              <w:rPr>
                <w:sz w:val="20"/>
                <w:szCs w:val="20"/>
                <w:color w:val="auto"/>
              </w:rPr>
            </w:pPr>
            <w:r>
              <w:rPr>
                <w:rFonts w:ascii="Arial" w:cs="Arial" w:eastAsia="Arial" w:hAnsi="Arial"/>
                <w:sz w:val="13"/>
                <w:szCs w:val="13"/>
                <w:b w:val="1"/>
                <w:bCs w:val="1"/>
                <w:color w:val="auto"/>
                <w:w w:val="94"/>
              </w:rPr>
              <w:t>(Commission File Number)</w:t>
            </w:r>
          </w:p>
        </w:tc>
        <w:tc>
          <w:tcPr>
            <w:tcW w:w="2780" w:type="dxa"/>
            <w:vAlign w:val="bottom"/>
          </w:tcPr>
          <w:p>
            <w:pPr>
              <w:jc w:val="center"/>
              <w:ind w:left="162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3320" w:type="dxa"/>
            <w:vAlign w:val="bottom"/>
          </w:tcPr>
          <w:p>
            <w:pPr>
              <w:jc w:val="center"/>
              <w:ind w:right="84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Arial" w:cs="Arial" w:eastAsia="Arial" w:hAnsi="Arial"/>
                <w:sz w:val="13"/>
                <w:szCs w:val="13"/>
                <w:b w:val="1"/>
                <w:bCs w:val="1"/>
                <w:color w:val="auto"/>
                <w:w w:val="96"/>
              </w:rPr>
              <w:t>Identification No.)</w:t>
            </w:r>
          </w:p>
        </w:tc>
      </w:tr>
      <w:tr>
        <w:trPr>
          <w:trHeight w:val="387"/>
        </w:trPr>
        <w:tc>
          <w:tcPr>
            <w:tcW w:w="3320" w:type="dxa"/>
            <w:vAlign w:val="bottom"/>
          </w:tcPr>
          <w:p>
            <w:pPr>
              <w:jc w:val="center"/>
              <w:ind w:right="861"/>
              <w:spacing w:after="0"/>
              <w:rPr>
                <w:sz w:val="20"/>
                <w:szCs w:val="20"/>
                <w:color w:val="auto"/>
              </w:rPr>
            </w:pPr>
            <w:r>
              <w:rPr>
                <w:rFonts w:ascii="Arial" w:cs="Arial" w:eastAsia="Arial" w:hAnsi="Arial"/>
                <w:sz w:val="18"/>
                <w:szCs w:val="18"/>
                <w:b w:val="1"/>
                <w:bCs w:val="1"/>
                <w:color w:val="auto"/>
                <w:w w:val="92"/>
              </w:rPr>
              <w:t>22 Cortlandt Street, 16th Floor</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320" w:type="dxa"/>
            <w:vAlign w:val="bottom"/>
          </w:tcPr>
          <w:p>
            <w:pPr>
              <w:jc w:val="center"/>
              <w:ind w:right="861"/>
              <w:spacing w:after="0"/>
              <w:rPr>
                <w:sz w:val="20"/>
                <w:szCs w:val="20"/>
                <w:color w:val="auto"/>
              </w:rPr>
            </w:pPr>
            <w:r>
              <w:rPr>
                <w:rFonts w:ascii="Arial" w:cs="Arial" w:eastAsia="Arial" w:hAnsi="Arial"/>
                <w:sz w:val="18"/>
                <w:szCs w:val="18"/>
                <w:b w:val="1"/>
                <w:bCs w:val="1"/>
                <w:color w:val="auto"/>
                <w:w w:val="93"/>
              </w:rPr>
              <w:t>New York, New York</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10007</w:t>
            </w:r>
          </w:p>
        </w:tc>
      </w:tr>
      <w:tr>
        <w:trPr>
          <w:trHeight w:val="174"/>
        </w:trPr>
        <w:tc>
          <w:tcPr>
            <w:tcW w:w="3320" w:type="dxa"/>
            <w:vAlign w:val="bottom"/>
          </w:tcPr>
          <w:p>
            <w:pPr>
              <w:jc w:val="center"/>
              <w:ind w:right="84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Arial" w:cs="Arial" w:eastAsia="Arial" w:hAnsi="Arial"/>
                <w:sz w:val="13"/>
                <w:szCs w:val="13"/>
                <w:b w:val="1"/>
                <w:bCs w:val="1"/>
                <w:color w:val="auto"/>
                <w:w w:val="96"/>
              </w:rPr>
              <w:t>(Zip Code)</w:t>
            </w:r>
          </w:p>
        </w:tc>
      </w:tr>
    </w:tbl>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bl>
    <w:p>
      <w:pPr>
        <w:spacing w:after="0" w:line="174" w:lineRule="exact"/>
        <w:rPr>
          <w:sz w:val="24"/>
          <w:szCs w:val="24"/>
          <w:color w:val="auto"/>
        </w:rPr>
      </w:pPr>
    </w:p>
    <w:p>
      <w:pPr>
        <w:ind w:right="4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121" w:lineRule="exact"/>
        <w:rPr>
          <w:sz w:val="20"/>
          <w:szCs w:val="20"/>
          <w:color w:val="auto"/>
        </w:rPr>
      </w:pPr>
    </w:p>
    <w:p>
      <w:pPr>
        <w:ind w:right="240" w:firstLine="749"/>
        <w:spacing w:after="0" w:line="245" w:lineRule="auto"/>
        <w:rPr>
          <w:sz w:val="20"/>
          <w:szCs w:val="20"/>
          <w:color w:val="auto"/>
        </w:rPr>
      </w:pPr>
      <w:r>
        <w:rPr>
          <w:rFonts w:ascii="Arial" w:cs="Arial" w:eastAsia="Arial" w:hAnsi="Arial"/>
          <w:sz w:val="18"/>
          <w:szCs w:val="18"/>
          <w:color w:val="auto"/>
        </w:rPr>
        <w:t>As previously disclosed in the Current Report on Form 8-K filed by Axsome Therapeutics, Inc. (the “Company”) with the Securities and Exchange Commission (the “SEC”) on March 28, 2022, the Company entered into an Asset Purchase Agreement (the “Purchase Agreement”) with Jazz Pharmaceuticals plc, a public limited liability corporation organized under the laws of Ireland (“Jazz Pharmaceuticals”), pursuant to which the Company acquired worldwide rights to Sunosi® (excluding twelve Asian markets, including China, Korea, and Japan) from Jazz Pharmaceuticals (the “Acquisition”).</w:t>
      </w:r>
    </w:p>
    <w:p>
      <w:pPr>
        <w:spacing w:after="0" w:line="294" w:lineRule="exact"/>
        <w:rPr>
          <w:sz w:val="20"/>
          <w:szCs w:val="20"/>
          <w:color w:val="auto"/>
        </w:rPr>
      </w:pPr>
    </w:p>
    <w:p>
      <w:pPr>
        <w:ind w:right="700" w:firstLine="749"/>
        <w:spacing w:after="0" w:line="261" w:lineRule="auto"/>
        <w:rPr>
          <w:sz w:val="20"/>
          <w:szCs w:val="20"/>
          <w:color w:val="auto"/>
        </w:rPr>
      </w:pPr>
      <w:r>
        <w:rPr>
          <w:rFonts w:ascii="Arial" w:cs="Arial" w:eastAsia="Arial" w:hAnsi="Arial"/>
          <w:sz w:val="18"/>
          <w:szCs w:val="18"/>
          <w:color w:val="auto"/>
        </w:rPr>
        <w:t>The final closing contemplated by the Purchase Agreement (i.e., the conveyance of the ex-U.S. assets) occurred on November 14, 2022, following the satisfaction or waiver of the closing conditions under the Purchase Agreement.</w:t>
      </w:r>
    </w:p>
    <w:p>
      <w:pPr>
        <w:spacing w:after="0" w:line="265" w:lineRule="exact"/>
        <w:rPr>
          <w:sz w:val="20"/>
          <w:szCs w:val="20"/>
          <w:color w:val="auto"/>
        </w:rPr>
      </w:pPr>
    </w:p>
    <w:p>
      <w:pPr>
        <w:ind w:right="60" w:firstLine="749"/>
        <w:spacing w:after="0" w:line="342" w:lineRule="auto"/>
        <w:rPr>
          <w:sz w:val="20"/>
          <w:szCs w:val="20"/>
          <w:color w:val="auto"/>
        </w:rPr>
      </w:pPr>
      <w:r>
        <w:rPr>
          <w:rFonts w:ascii="Arial" w:cs="Arial" w:eastAsia="Arial" w:hAnsi="Arial"/>
          <w:sz w:val="16"/>
          <w:szCs w:val="16"/>
          <w:color w:val="auto"/>
        </w:rPr>
        <w:t>As noted in the Company’s Current Report on Form 8-K filed May 9, 2022, the initial closing contemplated by the Purchase Agreement (i.e., the conveyance of the U.S. assets) occurred on May 9, 2022, following the satisfaction or waiver of the closing conditions under the Purchase Agreement.</w:t>
      </w:r>
    </w:p>
    <w:p>
      <w:pPr>
        <w:spacing w:after="0" w:line="205" w:lineRule="exact"/>
        <w:rPr>
          <w:sz w:val="20"/>
          <w:szCs w:val="20"/>
          <w:color w:val="auto"/>
        </w:rPr>
      </w:pPr>
    </w:p>
    <w:p>
      <w:pPr>
        <w:jc w:val="both"/>
        <w:ind w:right="460" w:firstLine="749"/>
        <w:spacing w:after="0" w:line="256" w:lineRule="auto"/>
        <w:rPr>
          <w:sz w:val="20"/>
          <w:szCs w:val="20"/>
          <w:color w:val="auto"/>
        </w:rPr>
      </w:pPr>
      <w:r>
        <w:rPr>
          <w:rFonts w:ascii="Arial" w:cs="Arial" w:eastAsia="Arial" w:hAnsi="Arial"/>
          <w:sz w:val="18"/>
          <w:szCs w:val="18"/>
          <w:color w:val="auto"/>
        </w:rPr>
        <w:t>The foregoing description of the Acquisition and the Purchase Agreement does not purport to be complete and is qualified in its entirety by reference to the Purchase Agreement, a copy of which was filed as Exhibit 10.1 to Amendment No. 1 to the Current Report on Form 8-K filed by the Company with the SEC on March 31, 2022.</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of Business Acquired.</w:t>
      </w:r>
    </w:p>
    <w:p>
      <w:pPr>
        <w:spacing w:after="0" w:line="108"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The financial statements were previously filed as Exhibits 99.1 and 99.2 to the Current Report on Form 8-K/A filed by the Company on July 21, 2022 and are incorporated herein by reference.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108"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The financial information was previously filed as Exhibit 99.3 to the Current Report on Form 8-K/A filed by the Company on July 21, 2022 and is incorporated herein by reference.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760" w:type="dxa"/>
            <w:vAlign w:val="bottom"/>
          </w:tcPr>
          <w:p>
            <w:pPr>
              <w:spacing w:after="0"/>
              <w:rPr>
                <w:sz w:val="20"/>
                <w:szCs w:val="20"/>
                <w:color w:val="auto"/>
              </w:rPr>
            </w:pPr>
          </w:p>
        </w:tc>
        <w:tc>
          <w:tcPr>
            <w:tcW w:w="9400" w:type="dxa"/>
            <w:vAlign w:val="bottom"/>
            <w:tcBorders>
              <w:bottom w:val="single" w:sz="8" w:color="auto"/>
            </w:tcBorders>
          </w:tcPr>
          <w:p>
            <w:pPr>
              <w:ind w:left="4260"/>
              <w:spacing w:after="0"/>
              <w:rPr>
                <w:sz w:val="20"/>
                <w:szCs w:val="20"/>
                <w:color w:val="auto"/>
              </w:rPr>
            </w:pPr>
            <w:r>
              <w:rPr>
                <w:rFonts w:ascii="Arial" w:cs="Arial" w:eastAsia="Arial" w:hAnsi="Arial"/>
                <w:sz w:val="18"/>
                <w:szCs w:val="18"/>
                <w:b w:val="1"/>
                <w:bCs w:val="1"/>
                <w:color w:val="auto"/>
              </w:rPr>
              <w:t>Description</w:t>
            </w:r>
          </w:p>
        </w:tc>
      </w:tr>
      <w:tr>
        <w:trPr>
          <w:trHeight w:val="399"/>
        </w:trPr>
        <w:tc>
          <w:tcPr>
            <w:tcW w:w="1080" w:type="dxa"/>
            <w:vAlign w:val="bottom"/>
          </w:tcPr>
          <w:p>
            <w:pPr>
              <w:ind w:left="20"/>
              <w:spacing w:after="0"/>
              <w:rPr>
                <w:sz w:val="20"/>
                <w:szCs w:val="20"/>
                <w:color w:val="auto"/>
              </w:rPr>
            </w:pPr>
            <w:r>
              <w:rPr>
                <w:rFonts w:ascii="Arial" w:cs="Arial" w:eastAsia="Arial" w:hAnsi="Arial"/>
                <w:sz w:val="18"/>
                <w:szCs w:val="18"/>
                <w:color w:val="auto"/>
              </w:rPr>
              <w:t>104</w:t>
            </w:r>
          </w:p>
        </w:tc>
        <w:tc>
          <w:tcPr>
            <w:tcW w:w="76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36"/>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553"/>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340" w:type="dxa"/>
            <w:vAlign w:val="bottom"/>
          </w:tcPr>
          <w:p>
            <w:pPr>
              <w:ind w:left="140"/>
              <w:spacing w:after="0"/>
              <w:rPr>
                <w:sz w:val="20"/>
                <w:szCs w:val="20"/>
                <w:color w:val="auto"/>
              </w:rPr>
            </w:pPr>
            <w:r>
              <w:rPr>
                <w:rFonts w:ascii="Arial" w:cs="Arial" w:eastAsia="Arial" w:hAnsi="Arial"/>
                <w:sz w:val="18"/>
                <w:szCs w:val="18"/>
                <w:color w:val="auto"/>
              </w:rPr>
              <w:t>November 14, 2022</w:t>
            </w:r>
          </w:p>
        </w:tc>
        <w:tc>
          <w:tcPr>
            <w:tcW w:w="2400" w:type="dxa"/>
            <w:vAlign w:val="bottom"/>
          </w:tcPr>
          <w:p>
            <w:pPr>
              <w:ind w:left="17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400" w:type="dxa"/>
            <w:vAlign w:val="bottom"/>
          </w:tcPr>
          <w:p>
            <w:pPr>
              <w:ind w:left="1760"/>
              <w:spacing w:after="0" w:line="156" w:lineRule="exact"/>
              <w:rPr>
                <w:sz w:val="20"/>
                <w:szCs w:val="20"/>
                <w:color w:val="auto"/>
              </w:rPr>
            </w:pPr>
            <w:r>
              <w:rPr>
                <w:rFonts w:ascii="Arial" w:cs="Arial" w:eastAsia="Arial" w:hAnsi="Arial"/>
                <w:sz w:val="18"/>
                <w:szCs w:val="18"/>
                <w:color w:val="auto"/>
              </w:rPr>
              <w:t>Name:</w:t>
            </w:r>
          </w:p>
        </w:tc>
        <w:tc>
          <w:tcPr>
            <w:tcW w:w="4940" w:type="dxa"/>
            <w:vAlign w:val="bottom"/>
          </w:tcPr>
          <w:p>
            <w:pPr>
              <w:ind w:left="20"/>
              <w:spacing w:after="0" w:line="156" w:lineRule="exact"/>
              <w:rPr>
                <w:sz w:val="20"/>
                <w:szCs w:val="20"/>
                <w:color w:val="auto"/>
              </w:rPr>
            </w:pPr>
            <w:r>
              <w:rPr>
                <w:rFonts w:ascii="Arial" w:cs="Arial" w:eastAsia="Arial" w:hAnsi="Arial"/>
                <w:sz w:val="18"/>
                <w:szCs w:val="18"/>
                <w:color w:val="auto"/>
              </w:rPr>
              <w:t>Herriot Tabuteau, M.D.</w:t>
            </w:r>
          </w:p>
        </w:tc>
      </w:tr>
      <w:tr>
        <w:trPr>
          <w:trHeight w:val="243"/>
        </w:trPr>
        <w:tc>
          <w:tcPr>
            <w:tcW w:w="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400" w:type="dxa"/>
            <w:vAlign w:val="bottom"/>
          </w:tcPr>
          <w:p>
            <w:pPr>
              <w:ind w:left="1760"/>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884"/>
        </w:trPr>
        <w:tc>
          <w:tcPr>
            <w:tcW w:w="5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2022-11-14T20:43:57Z</dcterms:created>
  <dcterms:modified xsi:type="dcterms:W3CDTF">2022-11-14T20:43:57Z</dcterms:modified>
</cp:coreProperties>
</file>