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380" w:hanging="21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w:t>
      </w:r>
    </w:p>
    <w:p>
      <w:pPr>
        <w:ind w:left="43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118110</wp:posOffset>
            </wp:positionH>
            <wp:positionV relativeFrom="paragraph">
              <wp:posOffset>-228600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109"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OR</w:t>
      </w:r>
    </w:p>
    <w:p>
      <w:pPr>
        <w:spacing w:after="0" w:line="102" w:lineRule="exact"/>
        <w:rPr>
          <w:sz w:val="24"/>
          <w:szCs w:val="24"/>
          <w:color w:val="auto"/>
        </w:rPr>
      </w:pPr>
    </w:p>
    <w:p>
      <w:pPr>
        <w:ind w:left="380" w:hanging="217"/>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ind w:left="43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1934</w:t>
      </w:r>
    </w:p>
    <w:p>
      <w:pPr>
        <w:spacing w:after="0" w:line="160" w:lineRule="exact"/>
        <w:rPr>
          <w:sz w:val="24"/>
          <w:szCs w:val="24"/>
          <w:color w:val="auto"/>
        </w:rPr>
      </w:pPr>
    </w:p>
    <w:p>
      <w:pPr>
        <w:ind w:left="3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AXSOME THERAPEUTICS, INC.</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4280" w:type="dxa"/>
            <w:vAlign w:val="bottom"/>
          </w:tcPr>
          <w:p>
            <w:pPr>
              <w:jc w:val="center"/>
              <w:ind w:right="776"/>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right"/>
              <w:ind w:right="539"/>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82"/>
        </w:trPr>
        <w:tc>
          <w:tcPr>
            <w:tcW w:w="4280" w:type="dxa"/>
            <w:vAlign w:val="bottom"/>
          </w:tcPr>
          <w:p>
            <w:pPr>
              <w:jc w:val="center"/>
              <w:ind w:right="75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940" w:type="dxa"/>
            <w:vAlign w:val="bottom"/>
          </w:tcPr>
          <w:p>
            <w:pPr>
              <w:jc w:val="center"/>
              <w:ind w:left="75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63"/>
        </w:trPr>
        <w:tc>
          <w:tcPr>
            <w:tcW w:w="4280" w:type="dxa"/>
            <w:vAlign w:val="bottom"/>
          </w:tcPr>
          <w:p>
            <w:pPr>
              <w:jc w:val="center"/>
              <w:ind w:right="776"/>
              <w:spacing w:after="0"/>
              <w:rPr>
                <w:sz w:val="20"/>
                <w:szCs w:val="20"/>
                <w:color w:val="auto"/>
              </w:rPr>
            </w:pPr>
            <w:r>
              <w:rPr>
                <w:rFonts w:ascii="Arial" w:cs="Arial" w:eastAsia="Arial" w:hAnsi="Arial"/>
                <w:sz w:val="18"/>
                <w:szCs w:val="18"/>
                <w:b w:val="1"/>
                <w:bCs w:val="1"/>
                <w:color w:val="auto"/>
                <w:w w:val="90"/>
              </w:rPr>
              <w:t>200 Broadway</w:t>
            </w: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280" w:type="dxa"/>
            <w:vAlign w:val="bottom"/>
          </w:tcPr>
          <w:p>
            <w:pPr>
              <w:jc w:val="center"/>
              <w:ind w:right="776"/>
              <w:spacing w:after="0" w:line="176" w:lineRule="exact"/>
              <w:rPr>
                <w:sz w:val="20"/>
                <w:szCs w:val="20"/>
                <w:color w:val="auto"/>
              </w:rPr>
            </w:pPr>
            <w:r>
              <w:rPr>
                <w:rFonts w:ascii="Arial" w:cs="Arial" w:eastAsia="Arial" w:hAnsi="Arial"/>
                <w:sz w:val="18"/>
                <w:szCs w:val="18"/>
                <w:b w:val="1"/>
                <w:bCs w:val="1"/>
                <w:color w:val="auto"/>
                <w:w w:val="96"/>
              </w:rPr>
              <w:t>3</w:t>
            </w:r>
            <w:r>
              <w:rPr>
                <w:rFonts w:ascii="Arial" w:cs="Arial" w:eastAsia="Arial" w:hAnsi="Arial"/>
                <w:sz w:val="8"/>
                <w:szCs w:val="8"/>
                <w:b w:val="1"/>
                <w:bCs w:val="1"/>
                <w:color w:val="auto"/>
                <w:w w:val="96"/>
              </w:rPr>
              <w:t>rd</w:t>
            </w:r>
            <w:r>
              <w:rPr>
                <w:rFonts w:ascii="Arial" w:cs="Arial" w:eastAsia="Arial" w:hAnsi="Arial"/>
                <w:sz w:val="18"/>
                <w:szCs w:val="18"/>
                <w:b w:val="1"/>
                <w:bCs w:val="1"/>
                <w:color w:val="auto"/>
                <w:w w:val="96"/>
              </w:rPr>
              <w:t xml:space="preserve"> Floor</w:t>
            </w:r>
          </w:p>
        </w:tc>
        <w:tc>
          <w:tcPr>
            <w:tcW w:w="2940" w:type="dxa"/>
            <w:vAlign w:val="bottom"/>
            <w:vMerge w:val="restart"/>
          </w:tcPr>
          <w:p>
            <w:pPr>
              <w:jc w:val="right"/>
              <w:ind w:right="739"/>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5"/>
        </w:trPr>
        <w:tc>
          <w:tcPr>
            <w:tcW w:w="4280" w:type="dxa"/>
            <w:vAlign w:val="bottom"/>
          </w:tcPr>
          <w:p>
            <w:pPr>
              <w:jc w:val="center"/>
              <w:ind w:right="776"/>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ind w:right="756"/>
              <w:spacing w:after="0"/>
              <w:rPr>
                <w:sz w:val="20"/>
                <w:szCs w:val="20"/>
                <w:color w:val="auto"/>
              </w:rPr>
            </w:pPr>
            <w:r>
              <w:rPr>
                <w:rFonts w:ascii="Arial" w:cs="Arial" w:eastAsia="Arial" w:hAnsi="Arial"/>
                <w:sz w:val="14"/>
                <w:szCs w:val="14"/>
                <w:color w:val="auto"/>
                <w:w w:val="95"/>
              </w:rPr>
              <w:t>(Address of principal executive offices)</w:t>
            </w:r>
          </w:p>
        </w:tc>
        <w:tc>
          <w:tcPr>
            <w:tcW w:w="2940" w:type="dxa"/>
            <w:vAlign w:val="bottom"/>
          </w:tcPr>
          <w:p>
            <w:pPr>
              <w:jc w:val="center"/>
              <w:ind w:left="73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4"/>
          <w:szCs w:val="14"/>
          <w:color w:val="auto"/>
        </w:rPr>
        <w:t>None</w:t>
      </w:r>
    </w:p>
    <w:p>
      <w:pPr>
        <w:spacing w:after="0" w:line="16" w:lineRule="exact"/>
        <w:rPr>
          <w:sz w:val="24"/>
          <w:szCs w:val="24"/>
          <w:color w:val="auto"/>
        </w:rPr>
      </w:pPr>
    </w:p>
    <w:p>
      <w:pPr>
        <w:ind w:left="40" w:right="199"/>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1451610</wp:posOffset>
            </wp:positionH>
            <wp:positionV relativeFrom="paragraph">
              <wp:posOffset>-133985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0" w:lineRule="exact"/>
        <w:rPr>
          <w:sz w:val="24"/>
          <w:szCs w:val="24"/>
          <w:color w:val="auto"/>
        </w:rPr>
      </w:pPr>
    </w:p>
    <w:p>
      <w:pPr>
        <w:ind w:left="40" w:right="279"/>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40" w:right="99"/>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19"/>
          </w:cols>
          <w:pgMar w:left="1440" w:top="220" w:right="1440" w:bottom="1440" w:gutter="0" w:footer="0" w:header="0"/>
        </w:sectPr>
      </w:pPr>
    </w:p>
    <w:p>
      <w:pPr>
        <w:spacing w:after="0" w:line="75"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5"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49"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9" w:lineRule="exact"/>
        <w:rPr>
          <w:sz w:val="24"/>
          <w:szCs w:val="24"/>
          <w:color w:val="auto"/>
        </w:rPr>
      </w:pPr>
    </w:p>
    <w:p>
      <w:pPr>
        <w:sectPr>
          <w:pgSz w:w="11900" w:h="16838" w:orient="portrait"/>
          <w:cols w:equalWidth="0" w:num="2">
            <w:col w:w="3780" w:space="720"/>
            <w:col w:w="4519"/>
          </w:cols>
          <w:pgMar w:left="1440" w:top="220" w:right="1440" w:bottom="1440" w:gutter="0" w:footer="0" w:header="0"/>
          <w:type w:val="continuous"/>
        </w:sectPr>
      </w:pPr>
    </w:p>
    <w:p>
      <w:pPr>
        <w:ind w:left="40" w:right="119"/>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56" w:lineRule="exact"/>
        <w:rPr>
          <w:sz w:val="24"/>
          <w:szCs w:val="24"/>
          <w:color w:val="auto"/>
        </w:rPr>
      </w:pPr>
    </w:p>
    <w:p>
      <w:pPr>
        <w:ind w:left="40"/>
        <w:spacing w:after="0"/>
        <w:rPr>
          <w:sz w:val="20"/>
          <w:szCs w:val="20"/>
          <w:color w:val="auto"/>
        </w:rPr>
      </w:pPr>
      <w:r>
        <w:rPr>
          <w:rFonts w:ascii="Arial" w:cs="Arial" w:eastAsia="Arial" w:hAnsi="Arial"/>
          <w:sz w:val="14"/>
          <w:szCs w:val="14"/>
          <w:color w:val="auto"/>
        </w:rPr>
        <w:t>There were 37,075,944 shares of the registrant’s common stock, $0.0001 par value, outstanding as of May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518160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1"/>
        </w:trPr>
        <w:tc>
          <w:tcPr>
            <w:tcW w:w="8340" w:type="dxa"/>
            <w:vAlign w:val="bottom"/>
            <w:gridSpan w:val="2"/>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800" w:type="dxa"/>
            <w:vAlign w:val="bottom"/>
          </w:tcPr>
          <w:p>
            <w:pPr>
              <w:spacing w:after="0"/>
              <w:rPr>
                <w:sz w:val="24"/>
                <w:szCs w:val="24"/>
                <w:color w:val="auto"/>
              </w:rPr>
            </w:pPr>
          </w:p>
        </w:tc>
        <w:tc>
          <w:tcPr>
            <w:tcW w:w="7540" w:type="dxa"/>
            <w:vAlign w:val="bottom"/>
          </w:tcPr>
          <w:p>
            <w:pPr>
              <w:jc w:val="center"/>
              <w:ind w:right="130"/>
              <w:spacing w:after="0"/>
              <w:rPr>
                <w:sz w:val="20"/>
                <w:szCs w:val="20"/>
                <w:color w:val="auto"/>
              </w:rPr>
            </w:pPr>
            <w:r>
              <w:rPr>
                <w:rFonts w:ascii="Arial" w:cs="Arial" w:eastAsia="Arial" w:hAnsi="Arial"/>
                <w:sz w:val="18"/>
                <w:szCs w:val="18"/>
                <w:b w:val="1"/>
                <w:bCs w:val="1"/>
                <w:color w:val="auto"/>
              </w:rPr>
              <w:t>AXSOME THERAPEUTICS,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75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7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FOR THE QUARTER ENDED MARCH 31, 2020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7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NOTE REGARDING FORWARD LOOKING STATEMENTS</w:t>
              </w:r>
            </w:hyperlink>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6"/>
        </w:trPr>
        <w:tc>
          <w:tcPr>
            <w:tcW w:w="834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5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7540" w:type="dxa"/>
            <w:vAlign w:val="bottom"/>
          </w:tcPr>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w:t>
              </w:r>
            </w:hyperlink>
          </w:p>
        </w:tc>
        <w:tc>
          <w:tcPr>
            <w:tcW w:w="75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w:t>
              </w:r>
            </w:hyperlink>
          </w:p>
        </w:tc>
        <w:tc>
          <w:tcPr>
            <w:tcW w:w="75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3"/>
        </w:trPr>
        <w:tc>
          <w:tcPr>
            <w:tcW w:w="8340" w:type="dxa"/>
            <w:vAlign w:val="bottom"/>
            <w:gridSpan w:val="2"/>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 OTHER INFORMATION</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754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w:t>
              </w:r>
            </w:hyperlink>
          </w:p>
        </w:tc>
        <w:tc>
          <w:tcPr>
            <w:tcW w:w="754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6</w:t>
              </w:r>
            </w:hyperlink>
          </w:p>
        </w:tc>
        <w:tc>
          <w:tcPr>
            <w:tcW w:w="7540" w:type="dxa"/>
            <w:vAlign w:val="bottom"/>
          </w:tcPr>
          <w:p>
            <w:pPr>
              <w:ind w:lef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3"/>
        </w:trPr>
        <w:tc>
          <w:tcPr>
            <w:tcW w:w="800" w:type="dxa"/>
            <w:vAlign w:val="bottom"/>
          </w:tcPr>
          <w:p>
            <w:pPr>
              <w:spacing w:after="0"/>
              <w:rPr>
                <w:rFonts w:ascii="Arial" w:cs="Arial" w:eastAsia="Arial" w:hAnsi="Arial"/>
                <w:sz w:val="18"/>
                <w:szCs w:val="18"/>
                <w:u w:val="single" w:color="auto"/>
                <w:color w:val="0000EE"/>
                <w:w w:val="90"/>
              </w:rPr>
            </w:pPr>
            <w:hyperlink w:anchor="page100">
              <w:r>
                <w:rPr>
                  <w:rFonts w:ascii="Arial" w:cs="Arial" w:eastAsia="Arial" w:hAnsi="Arial"/>
                  <w:sz w:val="18"/>
                  <w:szCs w:val="18"/>
                  <w:u w:val="single" w:color="auto"/>
                  <w:color w:val="0000EE"/>
                  <w:w w:val="90"/>
                </w:rPr>
                <w:t>Signatures</w:t>
              </w:r>
            </w:hyperlink>
          </w:p>
        </w:tc>
        <w:tc>
          <w:tcPr>
            <w:tcW w:w="7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972"/>
        </w:trPr>
        <w:tc>
          <w:tcPr>
            <w:tcW w:w="800" w:type="dxa"/>
            <w:vAlign w:val="bottom"/>
          </w:tcPr>
          <w:p>
            <w:pPr>
              <w:spacing w:after="0"/>
              <w:rPr>
                <w:sz w:val="24"/>
                <w:szCs w:val="24"/>
                <w:color w:val="auto"/>
              </w:rPr>
            </w:pPr>
          </w:p>
        </w:tc>
        <w:tc>
          <w:tcPr>
            <w:tcW w:w="7540" w:type="dxa"/>
            <w:vAlign w:val="bottom"/>
          </w:tcPr>
          <w:p>
            <w:pPr>
              <w:jc w:val="center"/>
              <w:ind w:right="130"/>
              <w:spacing w:after="0"/>
              <w:rPr>
                <w:sz w:val="20"/>
                <w:szCs w:val="20"/>
                <w:color w:val="auto"/>
              </w:rPr>
            </w:pPr>
            <w:r>
              <w:rPr>
                <w:rFonts w:ascii="Arial" w:cs="Arial" w:eastAsia="Arial" w:hAnsi="Arial"/>
                <w:sz w:val="18"/>
                <w:szCs w:val="18"/>
                <w:color w:val="auto"/>
                <w:w w:val="79"/>
              </w:rPr>
              <w:t>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09" w:lineRule="exact"/>
        <w:rPr>
          <w:sz w:val="20"/>
          <w:szCs w:val="20"/>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increases or decreases in expenses;</w:t>
      </w:r>
    </w:p>
    <w:p>
      <w:pPr>
        <w:ind w:left="1020" w:right="119"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Arial" w:cs="Arial" w:eastAsia="Arial" w:hAnsi="Arial"/>
          <w:sz w:val="18"/>
          <w:szCs w:val="18"/>
          <w:color w:val="auto"/>
        </w:rPr>
      </w:pPr>
    </w:p>
    <w:p>
      <w:pPr>
        <w:ind w:left="1020" w:right="159"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ind w:left="1020" w:right="1099"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ind w:left="1020" w:right="659"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arising from or related to COVID-19;</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marketing and other partnership agreements;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product acquisition and in-licensing transactions;</w:t>
      </w:r>
    </w:p>
    <w:p>
      <w:pPr>
        <w:ind w:left="1020" w:right="359"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manufacture, market and sell our product candidates;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losses;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products by doctors, patients, or payors;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manufacturers;</w:t>
      </w:r>
    </w:p>
    <w:p>
      <w:pPr>
        <w:ind w:left="1020" w:hanging="328"/>
        <w:spacing w:after="0" w:line="20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left="40" w:right="13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3" w:lineRule="exact"/>
        <w:rPr>
          <w:sz w:val="20"/>
          <w:szCs w:val="20"/>
          <w:color w:val="auto"/>
        </w:rPr>
      </w:pPr>
    </w:p>
    <w:p>
      <w:pPr>
        <w:jc w:val="both"/>
        <w:ind w:left="40" w:right="11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right="2979" w:firstLine="2927"/>
        <w:spacing w:after="0" w:line="383" w:lineRule="auto"/>
        <w:rPr>
          <w:sz w:val="20"/>
          <w:szCs w:val="20"/>
          <w:color w:val="auto"/>
        </w:rPr>
      </w:pPr>
      <w:r>
        <w:rPr>
          <w:rFonts w:ascii="Arial" w:cs="Arial" w:eastAsia="Arial" w:hAnsi="Arial"/>
          <w:sz w:val="18"/>
          <w:szCs w:val="18"/>
          <w:b w:val="1"/>
          <w:bCs w:val="1"/>
          <w:color w:val="auto"/>
        </w:rPr>
        <w:t>PART I. FINANCIAL INFORMATION ITEM 1. FINANCIAL STATEMENTS</w:t>
      </w:r>
    </w:p>
    <w:p>
      <w:pPr>
        <w:jc w:val="center"/>
        <w:ind w:right="19"/>
        <w:spacing w:after="0" w:line="227"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197,313,408</w:t>
            </w:r>
          </w:p>
        </w:tc>
        <w:tc>
          <w:tcPr>
            <w:tcW w:w="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219,966,167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309,370</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413,095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197,622,778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220,379,262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34,518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30,623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143,575</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139,875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197,800,871</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220,549,760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12,191,714</w:t>
            </w:r>
          </w:p>
        </w:tc>
        <w:tc>
          <w:tcPr>
            <w:tcW w:w="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10,943,325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9,339,721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10,949,128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4,568,432</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2,602,292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26,099,867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24,494,745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15,544,138</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17,332,626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41,644,005</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41,827,371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7"/>
                <w:szCs w:val="17"/>
                <w:color w:val="auto"/>
                <w:w w:val="99"/>
              </w:rPr>
              <w:t>Preferred stock, $0.0001 par value per share (10,000,000 shares authorized,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line="176" w:lineRule="exact"/>
              <w:rPr>
                <w:sz w:val="20"/>
                <w:szCs w:val="20"/>
                <w:color w:val="auto"/>
              </w:rPr>
            </w:pPr>
            <w:r>
              <w:rPr>
                <w:rFonts w:ascii="Arial" w:cs="Arial" w:eastAsia="Arial" w:hAnsi="Arial"/>
                <w:sz w:val="18"/>
                <w:szCs w:val="18"/>
                <w:color w:val="auto"/>
                <w:w w:val="98"/>
              </w:rPr>
              <w:t>none issued and outstanding at March 31, 2020 and December 31, 2019,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Common stock, $0.0001 par value per share (150,000,000 shares authorized,</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37,075,422 and 36,933,217 shares issued and outstanding at March 31, 2020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December 31, 2019, respectively)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364,532,798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354,614,189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(208,379,639)</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(175,895,493)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156,156,866</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178,722,389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197,800,871</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220,549,760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ind w:left="704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452"/>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72"/>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27,521,400</w:t>
            </w:r>
          </w:p>
        </w:tc>
        <w:tc>
          <w:tcPr>
            <w:tcW w:w="540" w:type="dxa"/>
            <w:vAlign w:val="bottom"/>
            <w:gridSpan w:val="2"/>
          </w:tcPr>
          <w:p>
            <w:pPr>
              <w:jc w:val="right"/>
              <w:ind w:right="127"/>
              <w:spacing w:after="0" w:line="17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7,603,081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4,970,057</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2,818,392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32,491,457</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10,421,473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(32,491,457)</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(10,421,473)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7,311</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(218,903)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loss</w:t>
            </w: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0"/>
              <w:spacing w:after="0" w:line="169"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(32,484,146)</w:t>
            </w: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(10,640,376)</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(0.88)</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7"/>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Weighted average common shares outstanding, basic and diluted</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37,061,356</w:t>
            </w:r>
          </w:p>
        </w:tc>
        <w:tc>
          <w:tcPr>
            <w:tcW w:w="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33,052,468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Total 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Balance at December 31, 2018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30,087,213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3,009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108,485,219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(107,550,307)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937,921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1,256,310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1,256,310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52,819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410,157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410,162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426,000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426,000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3,164,015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24,983,366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24,983,682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(10,640,376)</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(10,640,376)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March 31, 2019</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33,304,047</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3,330</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5"/>
              </w:rPr>
              <w:t>135,561,052</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(118,190,683)</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17,373,699</w:t>
            </w: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Balance at December 31, 2019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9"/>
              </w:rPr>
              <w:t>36,933,217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3,693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5"/>
              </w:rPr>
              <w:t>354,614,189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(175,895,493)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178,722,389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2,133,530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2,133,530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60,186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629,750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629,756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line="135" w:lineRule="exact"/>
              <w:rPr>
                <w:sz w:val="20"/>
                <w:szCs w:val="20"/>
                <w:color w:val="auto"/>
              </w:rPr>
            </w:pPr>
            <w:r>
              <w:rPr>
                <w:rFonts w:ascii="Arial" w:cs="Arial" w:eastAsia="Arial" w:hAnsi="Arial"/>
                <w:sz w:val="14"/>
                <w:szCs w:val="14"/>
                <w:color w:val="auto"/>
              </w:rPr>
              <w:t>Issuance of common stock related to license agreement</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82,019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7,155,329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7,155,337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(32,484,146)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(32,484,146)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line="129" w:lineRule="exact"/>
              <w:rPr>
                <w:sz w:val="20"/>
                <w:szCs w:val="20"/>
                <w:color w:val="auto"/>
              </w:rPr>
            </w:pPr>
            <w:r>
              <w:rPr>
                <w:rFonts w:ascii="Arial" w:cs="Arial" w:eastAsia="Arial" w:hAnsi="Arial"/>
                <w:sz w:val="14"/>
                <w:szCs w:val="14"/>
                <w:color w:val="auto"/>
              </w:rPr>
              <w:t>Balance at March 31, 2020</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37,075,422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3,707</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364,532,798</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(208,379,639)</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156,156,866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40"/>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39"/>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760" w:type="dxa"/>
            <w:vAlign w:val="bottom"/>
            <w:gridSpan w:val="2"/>
          </w:tcPr>
          <w:p>
            <w:pPr>
              <w:jc w:val="right"/>
              <w:ind w:right="18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(32,484,146)</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(10,640,376)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8"/>
              </w:rPr>
              <w:t>Adjustments to reconcile net loss to net cash used in operating activities: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2,133,530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1,256,310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Non-cash research and development license expense</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7,155,337</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177,652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107,433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Depreciation</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5,436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11,439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103,725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111,668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1,248,389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(253,060)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4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(1,609,407)</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(103,453)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4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(23,273,184)</w:t>
            </w: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(9,499,210)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Purchases of equipment</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(9,331)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(9,331)</w:t>
            </w: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24,983,682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629,756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410,162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term loan</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(7,238,889)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provided by financing activities</w:t>
            </w:r>
          </w:p>
        </w:tc>
        <w:tc>
          <w:tcPr>
            <w:tcW w:w="4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629,756</w:t>
            </w: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38,154,955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(22,652,759)</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28,655,745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at beginning of period</w:t>
            </w:r>
          </w:p>
        </w:tc>
        <w:tc>
          <w:tcPr>
            <w:tcW w:w="4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219,966,167</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13,968,742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20" w:type="dxa"/>
            <w:vAlign w:val="bottom"/>
            <w:gridSpan w:val="2"/>
          </w:tcPr>
          <w:p>
            <w:pPr>
              <w:spacing w:after="0" w:line="155" w:lineRule="exact"/>
              <w:rPr>
                <w:sz w:val="20"/>
                <w:szCs w:val="20"/>
                <w:color w:val="auto"/>
              </w:rPr>
            </w:pPr>
            <w:r>
              <w:rPr>
                <w:rFonts w:ascii="Arial" w:cs="Arial" w:eastAsia="Arial" w:hAnsi="Arial"/>
                <w:sz w:val="16"/>
                <w:szCs w:val="16"/>
                <w:color w:val="auto"/>
              </w:rPr>
              <w:t>Cash at end of period</w:t>
            </w:r>
          </w:p>
        </w:tc>
        <w:tc>
          <w:tcPr>
            <w:tcW w:w="420" w:type="dxa"/>
            <w:vAlign w:val="bottom"/>
          </w:tcPr>
          <w:p>
            <w:pPr>
              <w:spacing w:after="0"/>
              <w:rPr>
                <w:sz w:val="14"/>
                <w:szCs w:val="14"/>
                <w:color w:val="auto"/>
              </w:rPr>
            </w:pPr>
          </w:p>
        </w:tc>
        <w:tc>
          <w:tcPr>
            <w:tcW w:w="340" w:type="dxa"/>
            <w:vAlign w:val="bottom"/>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197,313,408</w:t>
            </w:r>
          </w:p>
        </w:tc>
        <w:tc>
          <w:tcPr>
            <w:tcW w:w="260" w:type="dxa"/>
            <w:vAlign w:val="bottom"/>
          </w:tcPr>
          <w:p>
            <w:pPr>
              <w:spacing w:after="0"/>
              <w:rPr>
                <w:sz w:val="14"/>
                <w:szCs w:val="14"/>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55" w:lineRule="exact"/>
              <w:rPr>
                <w:sz w:val="20"/>
                <w:szCs w:val="20"/>
                <w:color w:val="auto"/>
              </w:rPr>
            </w:pPr>
            <w:r>
              <w:rPr>
                <w:rFonts w:ascii="Arial" w:cs="Arial" w:eastAsia="Arial" w:hAnsi="Arial"/>
                <w:sz w:val="16"/>
                <w:szCs w:val="16"/>
                <w:color w:val="auto"/>
              </w:rPr>
              <w:t>42,624,487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4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line="162" w:lineRule="exact"/>
              <w:rPr>
                <w:sz w:val="20"/>
                <w:szCs w:val="20"/>
                <w:color w:val="auto"/>
              </w:rPr>
            </w:pPr>
            <w:r>
              <w:rPr>
                <w:rFonts w:ascii="Arial" w:cs="Arial" w:eastAsia="Arial" w:hAnsi="Arial"/>
                <w:sz w:val="16"/>
                <w:szCs w:val="16"/>
                <w:color w:val="auto"/>
              </w:rPr>
              <w:t>Interest paid</w:t>
            </w:r>
          </w:p>
        </w:tc>
        <w:tc>
          <w:tcPr>
            <w:tcW w:w="760" w:type="dxa"/>
            <w:vAlign w:val="bottom"/>
            <w:gridSpan w:val="2"/>
          </w:tcPr>
          <w:p>
            <w:pPr>
              <w:jc w:val="right"/>
              <w:ind w:right="18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379,167</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216,667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non-cash financing activity:</w:t>
            </w: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7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left="40" w:right="59" w:firstLine="648"/>
        <w:spacing w:after="0" w:line="182" w:lineRule="exact"/>
        <w:rPr>
          <w:sz w:val="20"/>
          <w:szCs w:val="20"/>
          <w:color w:val="auto"/>
        </w:rPr>
      </w:pPr>
      <w:r>
        <w:rPr>
          <w:rFonts w:ascii="Arial" w:cs="Arial" w:eastAsia="Arial" w:hAnsi="Arial"/>
          <w:sz w:val="17"/>
          <w:szCs w:val="17"/>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w:t>
      </w:r>
      <w:r>
        <w:rPr>
          <w:rFonts w:ascii="MS PGothic" w:cs="MS PGothic" w:eastAsia="MS PGothic" w:hAnsi="MS PGothic"/>
          <w:sz w:val="17"/>
          <w:szCs w:val="17"/>
          <w:color w:val="auto"/>
        </w:rPr>
        <w:t>‑</w:t>
      </w:r>
      <w:r>
        <w:rPr>
          <w:rFonts w:ascii="Arial" w:cs="Arial" w:eastAsia="Arial" w:hAnsi="Arial"/>
          <w:sz w:val="17"/>
          <w:szCs w:val="17"/>
          <w:color w:val="auto"/>
        </w:rPr>
        <w:t>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67" w:lineRule="exact"/>
        <w:rPr>
          <w:sz w:val="20"/>
          <w:szCs w:val="20"/>
          <w:color w:val="auto"/>
        </w:rPr>
      </w:pPr>
    </w:p>
    <w:p>
      <w:pPr>
        <w:ind w:left="40" w:right="79" w:firstLine="648"/>
        <w:spacing w:after="0" w:line="211" w:lineRule="auto"/>
        <w:rPr>
          <w:sz w:val="20"/>
          <w:szCs w:val="20"/>
          <w:color w:val="auto"/>
        </w:rPr>
      </w:pPr>
      <w:r>
        <w:rPr>
          <w:rFonts w:ascii="Arial" w:cs="Arial" w:eastAsia="Arial" w:hAnsi="Arial"/>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2019 filed with the SEC on March 12, 2020.</w:t>
      </w:r>
    </w:p>
    <w:p>
      <w:pPr>
        <w:spacing w:after="0" w:line="164" w:lineRule="exact"/>
        <w:rPr>
          <w:sz w:val="20"/>
          <w:szCs w:val="20"/>
          <w:color w:val="auto"/>
        </w:rPr>
      </w:pPr>
    </w:p>
    <w:p>
      <w:pPr>
        <w:ind w:left="40" w:right="79"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2020 are not necessarily indicative of the operating results for the full fiscal year or any future period.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40" w:right="239"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March 31, 2020, the Company had an accumulated deficit of $208.4 million.</w:t>
      </w:r>
    </w:p>
    <w:p>
      <w:pPr>
        <w:spacing w:after="0" w:line="163" w:lineRule="exact"/>
        <w:rPr>
          <w:sz w:val="20"/>
          <w:szCs w:val="20"/>
          <w:color w:val="auto"/>
        </w:rPr>
      </w:pPr>
    </w:p>
    <w:p>
      <w:pPr>
        <w:ind w:left="40" w:right="159" w:firstLine="648"/>
        <w:spacing w:after="0" w:line="226"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5" w:lineRule="exact"/>
        <w:rPr>
          <w:sz w:val="20"/>
          <w:szCs w:val="20"/>
          <w:color w:val="auto"/>
        </w:rPr>
      </w:pPr>
    </w:p>
    <w:p>
      <w:pPr>
        <w:ind w:left="40" w:right="99" w:firstLine="648"/>
        <w:spacing w:after="0" w:line="226" w:lineRule="auto"/>
        <w:rPr>
          <w:sz w:val="20"/>
          <w:szCs w:val="20"/>
          <w:color w:val="auto"/>
        </w:rPr>
      </w:pPr>
      <w:r>
        <w:rPr>
          <w:rFonts w:ascii="Arial" w:cs="Arial" w:eastAsia="Arial" w:hAnsi="Arial"/>
          <w:sz w:val="17"/>
          <w:szCs w:val="17"/>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left="40" w:right="79"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40" w:right="139"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left="40" w:right="139"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ind w:left="40" w:right="479" w:firstLine="648"/>
        <w:spacing w:after="0" w:line="249"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2020, the balance of cash and cash equivalents was $197.3 million, which approximates fair value and was determined based upon Level 1 inputs. The sweep account is valued using quoted market prices with no valuation adjustments applied. Accordingly, these securities are categorized as Level 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left="40" w:right="239" w:firstLine="648"/>
        <w:spacing w:after="0" w:line="244"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March 31, 2020,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left="40" w:right="79"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left="40" w:right="479"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62" w:lineRule="exact"/>
        <w:rPr>
          <w:sz w:val="20"/>
          <w:szCs w:val="20"/>
          <w:color w:val="auto"/>
        </w:rPr>
      </w:pPr>
    </w:p>
    <w:p>
      <w:pPr>
        <w:ind w:left="40" w:right="519"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left="40" w:right="99" w:firstLine="648"/>
        <w:spacing w:after="0" w:line="249"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4" w:lineRule="exact"/>
        <w:rPr>
          <w:sz w:val="20"/>
          <w:szCs w:val="20"/>
          <w:color w:val="auto"/>
        </w:rPr>
      </w:pPr>
    </w:p>
    <w:p>
      <w:pPr>
        <w:ind w:left="40" w:right="179" w:firstLine="648"/>
        <w:spacing w:after="0" w:line="187" w:lineRule="exact"/>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w:t>
      </w:r>
      <w:r>
        <w:rPr>
          <w:rFonts w:ascii="MS PGothic" w:cs="MS PGothic" w:eastAsia="MS PGothic" w:hAnsi="MS PGothic"/>
          <w:sz w:val="16"/>
          <w:szCs w:val="16"/>
          <w:color w:val="auto"/>
        </w:rPr>
        <w:t>‑</w:t>
      </w:r>
      <w:r>
        <w:rPr>
          <w:rFonts w:ascii="Arial" w:cs="Arial" w:eastAsia="Arial" w:hAnsi="Arial"/>
          <w:sz w:val="16"/>
          <w:szCs w:val="16"/>
          <w:color w:val="auto"/>
        </w:rPr>
        <w:t>term maturities. The carrying value of debt, the 2019 Term Loan (see Note 4 – Loan and Security Agreement), is estimated to approximate its fair value as the interest rate approximates the market rate for loans with similar terms and risk characteristics.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left="40" w:right="99" w:firstLine="648"/>
        <w:spacing w:after="0" w:line="220"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left="40" w:right="59"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regulatory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62" w:lineRule="exact"/>
        <w:rPr>
          <w:sz w:val="20"/>
          <w:szCs w:val="20"/>
          <w:color w:val="auto"/>
        </w:rPr>
      </w:pPr>
    </w:p>
    <w:p>
      <w:pPr>
        <w:ind w:left="40" w:right="79" w:firstLine="648"/>
        <w:spacing w:after="0"/>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clinical trial study expenses based on work performed and relies upon estimates of those costs applicable to the stage of completion of a study.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40" w:right="79"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7" w:lineRule="exact"/>
        <w:rPr>
          <w:sz w:val="20"/>
          <w:szCs w:val="20"/>
          <w:color w:val="auto"/>
        </w:rPr>
      </w:pPr>
    </w:p>
    <w:p>
      <w:pPr>
        <w:ind w:left="40" w:right="379" w:firstLine="648"/>
        <w:spacing w:after="0" w:line="224" w:lineRule="auto"/>
        <w:rPr>
          <w:sz w:val="20"/>
          <w:szCs w:val="20"/>
          <w:color w:val="auto"/>
        </w:rPr>
      </w:pPr>
      <w:r>
        <w:rPr>
          <w:rFonts w:ascii="Arial" w:cs="Arial" w:eastAsia="Arial" w:hAnsi="Arial"/>
          <w:sz w:val="18"/>
          <w:szCs w:val="18"/>
          <w:color w:val="auto"/>
        </w:rPr>
        <w:t>The Company estimates an annual effective tax rate of 0% for the year ending December 31, 2020 and has not recorded an income tax benefit for the three months ended March 31, 2020 and 2019 since it determined that a full valuation allowance is required against the Company’s deferred tax assets.</w:t>
      </w:r>
    </w:p>
    <w:p>
      <w:pPr>
        <w:spacing w:after="0" w:line="163" w:lineRule="exact"/>
        <w:rPr>
          <w:sz w:val="20"/>
          <w:szCs w:val="20"/>
          <w:color w:val="auto"/>
        </w:rPr>
      </w:pPr>
    </w:p>
    <w:p>
      <w:pPr>
        <w:ind w:left="40" w:right="139"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2020,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left="40" w:right="59" w:firstLine="648"/>
        <w:spacing w:after="0" w:line="185" w:lineRule="exact"/>
        <w:rPr>
          <w:sz w:val="20"/>
          <w:szCs w:val="20"/>
          <w:color w:val="auto"/>
        </w:rPr>
      </w:pPr>
      <w:r>
        <w:rPr>
          <w:rFonts w:ascii="Arial" w:cs="Arial" w:eastAsia="Arial" w:hAnsi="Arial"/>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w:t>
      </w:r>
    </w:p>
    <w:p>
      <w:pPr>
        <w:spacing w:after="0" w:line="165" w:lineRule="exact"/>
        <w:rPr>
          <w:sz w:val="20"/>
          <w:szCs w:val="20"/>
          <w:color w:val="auto"/>
        </w:rPr>
      </w:pPr>
    </w:p>
    <w:p>
      <w:pPr>
        <w:ind w:left="40" w:right="119" w:firstLine="648"/>
        <w:spacing w:after="0" w:line="219" w:lineRule="auto"/>
        <w:rPr>
          <w:sz w:val="20"/>
          <w:szCs w:val="20"/>
          <w:color w:val="auto"/>
        </w:rPr>
      </w:pPr>
      <w:r>
        <w:rPr>
          <w:rFonts w:ascii="Arial" w:cs="Arial" w:eastAsia="Arial" w:hAnsi="Arial"/>
          <w:sz w:val="18"/>
          <w:szCs w:val="18"/>
          <w:color w:val="auto"/>
        </w:rPr>
        <w:t>For restricted stock units (“RSUs”) issued, the Company issues them in the form of Company common stock. The fair value of these awards is based on the market close price per share on the grant date. Prior to January 1, 2020, the Company only granted stock options. Beginning in 2020, for grants to employees, the Company granted a mix of stock options and RSUs.</w:t>
      </w:r>
    </w:p>
    <w:p>
      <w:pPr>
        <w:spacing w:after="0" w:line="163" w:lineRule="exact"/>
        <w:rPr>
          <w:sz w:val="20"/>
          <w:szCs w:val="20"/>
          <w:color w:val="auto"/>
        </w:rPr>
      </w:pPr>
    </w:p>
    <w:p>
      <w:pPr>
        <w:ind w:left="40" w:right="119" w:firstLine="648"/>
        <w:spacing w:after="0" w:line="244"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58" w:lineRule="exact"/>
        <w:rPr>
          <w:sz w:val="20"/>
          <w:szCs w:val="20"/>
          <w:color w:val="auto"/>
        </w:rPr>
      </w:pPr>
    </w:p>
    <w:p>
      <w:pPr>
        <w:ind w:left="40" w:right="239" w:firstLine="648"/>
        <w:spacing w:after="0" w:line="235" w:lineRule="auto"/>
        <w:rPr>
          <w:sz w:val="20"/>
          <w:szCs w:val="20"/>
          <w:color w:val="auto"/>
        </w:rPr>
      </w:pPr>
      <w:r>
        <w:rPr>
          <w:rFonts w:ascii="Arial" w:cs="Arial" w:eastAsia="Arial" w:hAnsi="Arial"/>
          <w:sz w:val="18"/>
          <w:szCs w:val="18"/>
          <w:color w:val="auto"/>
        </w:rPr>
        <w:t>The Company’s policy upon exercise of stock options and RSUs is that shares will be issued as new shares from the Company’s 2015 Omnibus Incentive Compensation Plan available share pool.</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left="40" w:right="159"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months ended March 31, 2020 and 2019.</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40" w:right="119" w:firstLine="647"/>
        <w:spacing w:after="0" w:line="239"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(ASU 2019-12) enhances and simplifies various aspects of the income tax accounting guidance,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is currently evaluating the expected impact of this standard, but does not expect it to have a material impact on its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Accrued Expenses and Other Current Liabilities</w:t>
      </w:r>
    </w:p>
    <w:p>
      <w:pPr>
        <w:spacing w:after="0" w:line="189" w:lineRule="exact"/>
        <w:rPr>
          <w:sz w:val="20"/>
          <w:szCs w:val="20"/>
          <w:color w:val="auto"/>
        </w:rPr>
      </w:pPr>
    </w:p>
    <w:p>
      <w:pPr>
        <w:ind w:left="40" w:right="739" w:firstLine="648"/>
        <w:spacing w:after="0" w:line="235" w:lineRule="auto"/>
        <w:rPr>
          <w:sz w:val="20"/>
          <w:szCs w:val="20"/>
          <w:color w:val="auto"/>
        </w:rPr>
      </w:pPr>
      <w:r>
        <w:rPr>
          <w:rFonts w:ascii="Arial" w:cs="Arial" w:eastAsia="Arial" w:hAnsi="Arial"/>
          <w:sz w:val="18"/>
          <w:szCs w:val="18"/>
          <w:color w:val="auto"/>
        </w:rPr>
        <w:t>At March 31, 2020 and December 31, 2019 accrued expenses and other current liabilities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7,758,043</w:t>
            </w:r>
          </w:p>
        </w:tc>
        <w:tc>
          <w:tcPr>
            <w:tcW w:w="1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8,209,594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455,176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2,056,356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1,126,502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683,178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line="169" w:lineRule="exact"/>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9,339,721</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10,949,128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Loan and Security Agreement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Term Loan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Term Loan</w:t>
      </w:r>
    </w:p>
    <w:p>
      <w:pPr>
        <w:spacing w:after="0" w:line="185" w:lineRule="exact"/>
        <w:rPr>
          <w:sz w:val="20"/>
          <w:szCs w:val="20"/>
          <w:color w:val="auto"/>
        </w:rPr>
      </w:pPr>
    </w:p>
    <w:p>
      <w:pPr>
        <w:ind w:left="40" w:right="119" w:firstLine="648"/>
        <w:spacing w:after="0" w:line="234"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(“SVB”) and WestRiver Innovation Lending Fund VIII, L.P (“WestRiver”). The two-tranche loan agreement consists of an initial $20.0 million tranche (the “Term A Loan Advance”), which was funded upon closing, with the remaining $4.0 million (the “Term B Loan Advance”) initially available to be drawn, at the Company’s option, subject to the achievement of positive data, on or prior to August 15, 2019 (which was extended to December 31, 2019, in connection with the First Amendment to the 2019 Term Loan, as discussed below), with respect to the Company’s Phase 2 clinical trial for AXS-12 in narcolepsy, sufficient to submit a Phase 3 protocol to FDA, provided that the Company has not received any objections from the FDA within thirty days after submission of such Phase 3 protocol (the “Milestone Event”). A portion of the first tranche was used to satisfy the Company’s existing obligations under the 2016 Amended Term Loan (as defined below) with SVB, which consisted of $5.6 million in outstanding principal balance and $0.85 million as a final payment fee, and such obligations are considered to be fully repaid and performed. The Term B Loan Advance of $4.0 million was not drawn down by the Company and has since expired.</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loan bears interest at an annual rate equal to the greater of (i) seven and one-half of one percent (7.50%) and</w:t>
      </w:r>
    </w:p>
    <w:p>
      <w:pPr>
        <w:spacing w:after="0" w:line="8" w:lineRule="exact"/>
        <w:rPr>
          <w:sz w:val="20"/>
          <w:szCs w:val="20"/>
          <w:color w:val="auto"/>
        </w:rPr>
      </w:pPr>
    </w:p>
    <w:p>
      <w:pPr>
        <w:ind w:left="40" w:right="79" w:firstLine="4"/>
        <w:spacing w:after="0" w:line="220"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two percent (2%) above the Prime Rate. The loan advances mature in February 2023 and initially had an interest-only payment period of 12 months (which was extended to 18 months in connection with the First Amendment to the 2019 Term Loan, as discussed below), extendable to 18 months upon the drawing of the Term B Loan Advance (which is now extendable to 24 months as a result of the First Amendment to the 2019 Term Loan). The Company did not draw down on the Term B Loan Advance, and therefore, the interest-only monthly payment period was not extended. Principal payments coming due within twelve months have been classified as current liabilities in the accompanying balance sheet. In addition, the Company was initially required to pay a final payment fee of 6.0% of the principal amount extended on the date of repayment of the 2019 Term Loan (which was increased to 6.3% in connection with the First Amendment to the 2019 Term Loan, as discussed below), which is being accreted and amortized into interest expense using the effective interest rate method over the term of the loan.</w:t>
      </w:r>
    </w:p>
    <w:p>
      <w:pPr>
        <w:spacing w:after="0" w:line="163" w:lineRule="exact"/>
        <w:rPr>
          <w:sz w:val="20"/>
          <w:szCs w:val="20"/>
          <w:color w:val="auto"/>
        </w:rPr>
      </w:pPr>
    </w:p>
    <w:p>
      <w:pPr>
        <w:ind w:left="40" w:right="219" w:firstLine="648"/>
        <w:spacing w:after="0" w:line="226" w:lineRule="auto"/>
        <w:rPr>
          <w:sz w:val="20"/>
          <w:szCs w:val="20"/>
          <w:color w:val="auto"/>
        </w:rPr>
      </w:pPr>
      <w:r>
        <w:rPr>
          <w:rFonts w:ascii="Arial" w:cs="Arial" w:eastAsia="Arial" w:hAnsi="Arial"/>
          <w:sz w:val="17"/>
          <w:szCs w:val="17"/>
          <w:color w:val="auto"/>
        </w:rPr>
        <w:t>The Company could initially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First Amendment to the 2019 Term Loan</w:t>
      </w:r>
    </w:p>
    <w:p>
      <w:pPr>
        <w:spacing w:after="0" w:line="185" w:lineRule="exact"/>
        <w:rPr>
          <w:sz w:val="20"/>
          <w:szCs w:val="20"/>
          <w:color w:val="auto"/>
        </w:rPr>
      </w:pPr>
    </w:p>
    <w:p>
      <w:pPr>
        <w:ind w:left="40" w:right="119" w:firstLine="648"/>
        <w:spacing w:after="0" w:line="225" w:lineRule="auto"/>
        <w:rPr>
          <w:sz w:val="20"/>
          <w:szCs w:val="20"/>
          <w:color w:val="auto"/>
        </w:rPr>
      </w:pPr>
      <w:r>
        <w:rPr>
          <w:rFonts w:ascii="Arial" w:cs="Arial" w:eastAsia="Arial" w:hAnsi="Arial"/>
          <w:sz w:val="17"/>
          <w:szCs w:val="17"/>
          <w:color w:val="auto"/>
        </w:rPr>
        <w:t>On July 25, 2019 (the “First Amendment Effective Date”), the Company entered into the first amendment to the 2019 Term Loan (the “First Amendment to the 2019 Term Loan”). Under the First Amendment to the 2019 Term Loan, the interest-only monthly payment period was extended to 18 months after the date of the 2019 Term Loan, which may be further extended to 24 months upon receipt by the Company of the Term B Loan Advance. The Company’s ability to draw down the Term B Loan Advance was extended to December 31, 2019, subject to the Company’s achievement of the Milestone Event prior to or on December 31, 2019. The Term B Loan Advance and the Term A Loan Advance (together, the “Loan Advances”) mature on February 1, 2023 (the “Maturity Date”).</w:t>
      </w:r>
    </w:p>
    <w:p>
      <w:pPr>
        <w:spacing w:after="0" w:line="162" w:lineRule="exact"/>
        <w:rPr>
          <w:sz w:val="20"/>
          <w:szCs w:val="20"/>
          <w:color w:val="auto"/>
        </w:rPr>
      </w:pPr>
    </w:p>
    <w:p>
      <w:pPr>
        <w:ind w:left="40" w:right="239"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the Company’s repayment of the Loan Advances from 6.0% to 6.3% of the original principal amount of the Loan Advances.</w:t>
      </w:r>
    </w:p>
    <w:p>
      <w:pPr>
        <w:spacing w:after="0" w:line="167" w:lineRule="exact"/>
        <w:rPr>
          <w:sz w:val="20"/>
          <w:szCs w:val="20"/>
          <w:color w:val="auto"/>
        </w:rPr>
      </w:pPr>
    </w:p>
    <w:p>
      <w:pPr>
        <w:ind w:left="40" w:right="119" w:firstLine="648"/>
        <w:spacing w:after="0" w:line="214" w:lineRule="auto"/>
        <w:rPr>
          <w:sz w:val="20"/>
          <w:szCs w:val="20"/>
          <w:color w:val="auto"/>
        </w:rPr>
      </w:pPr>
      <w:r>
        <w:rPr>
          <w:rFonts w:ascii="Arial" w:cs="Arial" w:eastAsia="Arial" w:hAnsi="Arial"/>
          <w:sz w:val="18"/>
          <w:szCs w:val="18"/>
          <w:color w:val="auto"/>
        </w:rPr>
        <w:t>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ind w:left="40" w:right="139" w:firstLine="648"/>
        <w:spacing w:after="0" w:line="212" w:lineRule="auto"/>
        <w:rPr>
          <w:sz w:val="20"/>
          <w:szCs w:val="20"/>
          <w:color w:val="auto"/>
        </w:rPr>
      </w:pPr>
      <w:r>
        <w:rPr>
          <w:rFonts w:ascii="Arial" w:cs="Arial" w:eastAsia="Arial" w:hAnsi="Arial"/>
          <w:sz w:val="18"/>
          <w:szCs w:val="18"/>
          <w:color w:val="auto"/>
        </w:rPr>
        <w:t xml:space="preserve">The Company evaluated whether the First Amendment to the 2019 Term Loan entered into in July 2019 represented a debt modification or extinguishment in accordance with ASC 470-50, </w:t>
      </w:r>
      <w:r>
        <w:rPr>
          <w:rFonts w:ascii="Arial" w:cs="Arial" w:eastAsia="Arial" w:hAnsi="Arial"/>
          <w:sz w:val="18"/>
          <w:szCs w:val="18"/>
          <w:i w:val="1"/>
          <w:iCs w:val="1"/>
          <w:color w:val="auto"/>
        </w:rPr>
        <w:t>Debt – 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Extinguishments</w:t>
      </w:r>
      <w:r>
        <w:rPr>
          <w:rFonts w:ascii="Arial" w:cs="Arial" w:eastAsia="Arial" w:hAnsi="Arial"/>
          <w:sz w:val="18"/>
          <w:szCs w:val="18"/>
          <w:color w:val="auto"/>
        </w:rPr>
        <w:t>. As the present value of the cash flows under the terms of the First Amendment to the 2019 Term Loan is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10% different from the remaining cash flows under the terms of the 2019 Term Loan, the First Amendment to the 2019 Term Loan was accounted for as a debt modification. Therefore, the unamortized balance of debt discount costs incurred in connection with 2019 Term Loan are being amortized through maturity in February 2023 utilizing the effective interest rate method.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Previous Term Loan</w:t>
      </w:r>
    </w:p>
    <w:p>
      <w:pPr>
        <w:spacing w:after="0" w:line="185" w:lineRule="exact"/>
        <w:rPr>
          <w:sz w:val="20"/>
          <w:szCs w:val="20"/>
          <w:color w:val="auto"/>
        </w:rPr>
      </w:pPr>
    </w:p>
    <w:p>
      <w:pPr>
        <w:ind w:left="40" w:right="79" w:firstLine="648"/>
        <w:spacing w:after="0" w:line="214" w:lineRule="auto"/>
        <w:rPr>
          <w:sz w:val="20"/>
          <w:szCs w:val="20"/>
          <w:color w:val="auto"/>
        </w:rPr>
      </w:pPr>
      <w:r>
        <w:rPr>
          <w:rFonts w:ascii="Arial" w:cs="Arial" w:eastAsia="Arial" w:hAnsi="Arial"/>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The 2016 Original Term Loan bore interest at an annual rate equal to 4.50% plus the prime rate, which is the greater of 3.50% or the Wall Street Journal prime rate, and was payable monthly. It was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interest-only payment period, the Company began making monthly payments of principal and interest and such payments would continue until the maturity date. Principal payments coming due within twelve months had been classified as current liabilities in the accompanying balance sheet. In addition to principal and interest payments under the 2016 Original Term Loan,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168" w:lineRule="exact"/>
        <w:rPr>
          <w:sz w:val="20"/>
          <w:szCs w:val="20"/>
          <w:color w:val="auto"/>
        </w:rPr>
      </w:pPr>
    </w:p>
    <w:p>
      <w:pPr>
        <w:ind w:left="40" w:right="199" w:firstLine="648"/>
        <w:spacing w:after="0" w:line="244" w:lineRule="auto"/>
        <w:rPr>
          <w:sz w:val="20"/>
          <w:szCs w:val="20"/>
          <w:color w:val="auto"/>
        </w:rPr>
      </w:pPr>
      <w:r>
        <w:rPr>
          <w:rFonts w:ascii="Arial" w:cs="Arial" w:eastAsia="Arial" w:hAnsi="Arial"/>
          <w:sz w:val="16"/>
          <w:szCs w:val="16"/>
          <w:color w:val="auto"/>
        </w:rPr>
        <w:t>The Company was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the Company’s assets except intellectual property. The Company’s intellectual property was subject to a negative pledge.</w:t>
      </w:r>
    </w:p>
    <w:p>
      <w:pPr>
        <w:spacing w:after="0" w:line="158" w:lineRule="exact"/>
        <w:rPr>
          <w:sz w:val="20"/>
          <w:szCs w:val="20"/>
          <w:color w:val="auto"/>
        </w:rPr>
      </w:pPr>
    </w:p>
    <w:p>
      <w:pPr>
        <w:ind w:left="40" w:right="99" w:firstLine="648"/>
        <w:spacing w:after="0" w:line="235" w:lineRule="auto"/>
        <w:rPr>
          <w:sz w:val="20"/>
          <w:szCs w:val="20"/>
          <w:color w:val="auto"/>
        </w:rPr>
      </w:pPr>
      <w:r>
        <w:rPr>
          <w:rFonts w:ascii="Arial" w:cs="Arial" w:eastAsia="Arial" w:hAnsi="Arial"/>
          <w:sz w:val="16"/>
          <w:szCs w:val="16"/>
          <w:color w:val="auto"/>
        </w:rPr>
        <w:t>In November 2018, the Company amended the 2016 Original Term Loan with SVB to provide an additional $4.0 million growth capital loan. The additional capital was available to be drawn on the amendment effective date which was November 26, 2018 through May 31, 2019, at the Company’s option, conditioned upon the achievement of a clinical milestone, which required the Company’s receipt of positive data of the Company’s Phase 2 clinical trial of AXS-12 for the treatment of narcolepsy, sufficient to submit a Phase 3 protocol to the FDA and to proceed to a Phase 3 trial (“2016 Amended Term Loan”). The financial terms for this additional growth capital were more favorable than those of the 2016 Original Term Loan. All other terms and conditions from the 2016 Original Term Loan agreement remained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165"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6"/>
          <w:szCs w:val="16"/>
          <w:color w:val="auto"/>
        </w:rPr>
        <w:t xml:space="preserve">The Company evaluated whether the 2019 Term Loan entered into in March 2019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 Interest Expense and Amortization</w:t>
      </w:r>
    </w:p>
    <w:p>
      <w:pPr>
        <w:spacing w:after="0" w:line="185" w:lineRule="exact"/>
        <w:rPr>
          <w:sz w:val="20"/>
          <w:szCs w:val="20"/>
          <w:color w:val="auto"/>
        </w:rPr>
      </w:pPr>
    </w:p>
    <w:p>
      <w:pPr>
        <w:ind w:left="40" w:right="259" w:firstLine="648"/>
        <w:spacing w:after="0" w:line="224" w:lineRule="auto"/>
        <w:rPr>
          <w:sz w:val="20"/>
          <w:szCs w:val="20"/>
          <w:color w:val="auto"/>
        </w:rPr>
      </w:pPr>
      <w:r>
        <w:rPr>
          <w:rFonts w:ascii="Arial" w:cs="Arial" w:eastAsia="Arial" w:hAnsi="Arial"/>
          <w:sz w:val="18"/>
          <w:szCs w:val="18"/>
          <w:color w:val="auto"/>
        </w:rPr>
        <w:t>The Company incurred interest expense of $379,167 and $216,667 for the three months ended March 31, 2020 and 2019, respectively. In addition, amortization of the final payment fee was $119,014 and $69,665 for the three months ended March 31, 2020 and 2019,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Outstanding Debt</w:t>
            </w:r>
          </w:p>
        </w:tc>
        <w:tc>
          <w:tcPr>
            <w:tcW w:w="15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20,000,000</w:t>
            </w:r>
          </w:p>
        </w:tc>
        <w:tc>
          <w:tcPr>
            <w:tcW w:w="3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ind w:left="100"/>
              <w:spacing w:after="0" w:line="176" w:lineRule="exact"/>
              <w:rPr>
                <w:sz w:val="20"/>
                <w:szCs w:val="20"/>
                <w:color w:val="auto"/>
              </w:rPr>
            </w:pPr>
            <w:r>
              <w:rPr>
                <w:rFonts w:ascii="Arial" w:cs="Arial" w:eastAsia="Arial" w:hAnsi="Arial"/>
                <w:sz w:val="18"/>
                <w:szCs w:val="18"/>
                <w:color w:val="auto"/>
              </w:rPr>
              <w:t>Add: accreted liability of final payment fee</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523,378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404,364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Less: unamortized debt discount, long-term</w:t>
            </w: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(312,573)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(405,071)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1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(4,666,667)</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15,544,138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17,332,626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1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4,666,667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portion of unamortized debt discount</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portion</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4,568,432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right="319" w:firstLine="648"/>
        <w:spacing w:after="0" w:line="235" w:lineRule="auto"/>
        <w:rPr>
          <w:sz w:val="20"/>
          <w:szCs w:val="20"/>
          <w:color w:val="auto"/>
        </w:rPr>
      </w:pPr>
      <w:r>
        <w:rPr>
          <w:rFonts w:ascii="Arial" w:cs="Arial" w:eastAsia="Arial" w:hAnsi="Arial"/>
          <w:sz w:val="18"/>
          <w:szCs w:val="18"/>
          <w:color w:val="auto"/>
        </w:rPr>
        <w:t>Further information on warrants issued related to the debt financings and amendments are disclosed in Note 6 - Stockholders’ Equity under the “Warrants” section.</w:t>
      </w:r>
    </w:p>
    <w:p>
      <w:pPr>
        <w:spacing w:after="0" w:line="135" w:lineRule="exact"/>
        <w:rPr>
          <w:sz w:val="20"/>
          <w:szCs w:val="20"/>
          <w:color w:val="auto"/>
        </w:rPr>
      </w:pPr>
    </w:p>
    <w:p>
      <w:pPr>
        <w:ind w:left="40" w:right="59" w:firstLine="648"/>
        <w:spacing w:after="0" w:line="246" w:lineRule="auto"/>
        <w:rPr>
          <w:sz w:val="20"/>
          <w:szCs w:val="20"/>
          <w:color w:val="auto"/>
        </w:rPr>
      </w:pPr>
      <w:r>
        <w:rPr>
          <w:rFonts w:ascii="Arial" w:cs="Arial" w:eastAsia="Arial" w:hAnsi="Arial"/>
          <w:sz w:val="18"/>
          <w:szCs w:val="18"/>
          <w:color w:val="auto"/>
        </w:rPr>
        <w:t>Amortization of the debt discount in relation to warrants issued as described above was $58,638 and $37,768 for three months ended March 31, 2020 and 2019, respectively.</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w w:val="96"/>
              </w:rPr>
              <w:t>Scheduled Principal Payments on Outstanding Debt, as of March 31, 2020, are as follows: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2,666,667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8,000,000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1,333,333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principal payments outstanding</w:t>
            </w: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20,000,000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439" w:firstLine="648"/>
        <w:spacing w:after="0" w:line="235" w:lineRule="auto"/>
        <w:rPr>
          <w:sz w:val="20"/>
          <w:szCs w:val="20"/>
          <w:color w:val="auto"/>
        </w:rPr>
      </w:pPr>
      <w:r>
        <w:rPr>
          <w:rFonts w:ascii="Arial" w:cs="Arial" w:eastAsia="Arial" w:hAnsi="Arial"/>
          <w:sz w:val="18"/>
          <w:szCs w:val="18"/>
          <w:color w:val="auto"/>
        </w:rPr>
        <w:t>The Company was in compliance with all covenants and requirements of its financing arrangements as of and during the three months ended March 31,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Net Loss per Common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(32,484,146)</w:t>
            </w:r>
          </w:p>
        </w:tc>
        <w:tc>
          <w:tcPr>
            <w:tcW w:w="30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(10,640,376)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outstanding—basic and diluted</w:t>
            </w:r>
          </w:p>
        </w:tc>
        <w:tc>
          <w:tcPr>
            <w:tcW w:w="8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37,061,356</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33,052,468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60" w:type="dxa"/>
            <w:vAlign w:val="bottom"/>
          </w:tcPr>
          <w:p>
            <w:pPr>
              <w:spacing w:after="0" w:line="169" w:lineRule="exact"/>
              <w:rPr>
                <w:sz w:val="20"/>
                <w:szCs w:val="20"/>
                <w:color w:val="auto"/>
              </w:rPr>
            </w:pPr>
            <w:r>
              <w:rPr>
                <w:rFonts w:ascii="Arial" w:cs="Arial" w:eastAsia="Arial" w:hAnsi="Arial"/>
                <w:sz w:val="18"/>
                <w:szCs w:val="18"/>
                <w:color w:val="auto"/>
              </w:rPr>
              <w:t>Net loss per common share—basic and diluted</w:t>
            </w:r>
          </w:p>
        </w:tc>
        <w:tc>
          <w:tcPr>
            <w:tcW w:w="8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(0.88)</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(0.32)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0"/>
        </w:trPr>
        <w:tc>
          <w:tcPr>
            <w:tcW w:w="5580" w:type="dxa"/>
            <w:vAlign w:val="bottom"/>
            <w:gridSpan w:val="2"/>
          </w:tcPr>
          <w:p>
            <w:pPr>
              <w:jc w:val="right"/>
              <w:ind w:right="930"/>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March 31, 2020 and 2019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180" w:type="dxa"/>
            <w:vAlign w:val="bottom"/>
            <w:gridSpan w:val="4"/>
          </w:tcPr>
          <w:p>
            <w:pPr>
              <w:ind w:lef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3,962,733</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3,100,209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149,389</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Warrants</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69,656</w:t>
            </w:r>
          </w:p>
        </w:tc>
        <w:tc>
          <w:tcPr>
            <w:tcW w:w="2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181,369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tcPr>
          <w:p>
            <w:pPr>
              <w:spacing w:after="0" w:line="169"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4,181,778</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3,281,578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Stockholders’ Equity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left="40" w:right="119" w:firstLine="648"/>
        <w:spacing w:after="0" w:line="212" w:lineRule="auto"/>
        <w:rPr>
          <w:sz w:val="20"/>
          <w:szCs w:val="20"/>
          <w:color w:val="auto"/>
        </w:rPr>
      </w:pPr>
      <w:r>
        <w:rPr>
          <w:rFonts w:ascii="Arial" w:cs="Arial" w:eastAsia="Arial" w:hAnsi="Arial"/>
          <w:sz w:val="18"/>
          <w:szCs w:val="18"/>
          <w:color w:val="auto"/>
        </w:rPr>
        <w:t>In May 2019, the Company entered into a Sales Agreement with SVB Leerink (the “May 2019 Sales Agreement”), pursuant to which the Company could sell up to $50 million in shares of its common stock from time to time through SVB Leerink, acting as the Company’s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165"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6"/>
          <w:szCs w:val="16"/>
          <w:color w:val="auto"/>
        </w:rPr>
        <w:t>In December 2019, the Company entered into a new Sales Agreement with SVB Leerink (the “December 2019 Sales Agreement”),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Company did not issue any shares of common stock pursuant to the December 2019 Sales Agreement during the three months ended March 31, 2020.</w:t>
      </w:r>
    </w:p>
    <w:p>
      <w:pPr>
        <w:spacing w:after="0" w:line="160" w:lineRule="exact"/>
        <w:rPr>
          <w:sz w:val="20"/>
          <w:szCs w:val="20"/>
          <w:color w:val="auto"/>
        </w:rPr>
      </w:pPr>
    </w:p>
    <w:p>
      <w:pPr>
        <w:ind w:left="40" w:right="139" w:firstLine="648"/>
        <w:spacing w:after="0" w:line="219" w:lineRule="auto"/>
        <w:rPr>
          <w:sz w:val="20"/>
          <w:szCs w:val="20"/>
          <w:color w:val="auto"/>
        </w:rPr>
      </w:pPr>
      <w:r>
        <w:rPr>
          <w:rFonts w:ascii="Arial" w:cs="Arial" w:eastAsia="Arial" w:hAnsi="Arial"/>
          <w:sz w:val="18"/>
          <w:szCs w:val="18"/>
          <w:color w:val="auto"/>
        </w:rPr>
        <w:t>In December 2019, the Company completed an underwritten public offering, whereby the Company sold 2,300,000 shares of common stock at a public offering price of $87.00 per share. The Company received gross proceeds of approximately $200.1 million and net proceeds of approximately $187.1 million, after deducting underwriting discounts and offering expenses.</w:t>
      </w:r>
    </w:p>
    <w:p>
      <w:pPr>
        <w:spacing w:after="0" w:line="163" w:lineRule="exact"/>
        <w:rPr>
          <w:sz w:val="20"/>
          <w:szCs w:val="20"/>
          <w:color w:val="auto"/>
        </w:rPr>
      </w:pPr>
    </w:p>
    <w:p>
      <w:pPr>
        <w:ind w:left="40" w:right="419"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Shelf Registration Statement</w:t>
      </w:r>
    </w:p>
    <w:p>
      <w:pPr>
        <w:spacing w:after="0" w:line="189"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6"/>
          <w:szCs w:val="16"/>
          <w:color w:val="auto"/>
        </w:rPr>
        <w:t>On December 5, 2019, the Company filed an automatic shelf registration statement (“2019 Shelf Registration Statement”) with the Securities and Exchange Commission (“SEC”) for the issuance of common stock, preferred stock, warrants, rights, debt securities and units. The 2019 Shelf Registration Statement was automatically effective upon filing with the SEC and is currently the Company’s only active shelf registration statement. The 2019 Shelf Registration Statement was filed in part to replace the Company’s previous non-automatic shelf registration statement, which became effective on December 16, 2016, and provided for the issuance of common stock, preferred stock, warrants, rights, debt securities and units up to an aggregate amount of $150.0 million (the “2016 Shelf Registration Statement”). The 2016 Shelf Registration Statement expired on December 16, 2019. Through the date of this report, the Company has issued common stock of approximately $207.4 million pursuant to the 2019 Shelf Registration Statement.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16" w:lineRule="auto"/>
        <w:rPr>
          <w:sz w:val="20"/>
          <w:szCs w:val="20"/>
          <w:color w:val="auto"/>
        </w:rPr>
      </w:pPr>
      <w:r>
        <w:rPr>
          <w:rFonts w:ascii="Arial" w:cs="Arial" w:eastAsia="Arial" w:hAnsi="Arial"/>
          <w:sz w:val="18"/>
          <w:szCs w:val="18"/>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left="40" w:right="819" w:firstLine="648"/>
        <w:spacing w:after="0" w:line="235" w:lineRule="auto"/>
        <w:rPr>
          <w:sz w:val="20"/>
          <w:szCs w:val="20"/>
          <w:color w:val="auto"/>
        </w:rPr>
      </w:pPr>
      <w:r>
        <w:rPr>
          <w:rFonts w:ascii="Arial" w:cs="Arial" w:eastAsia="Arial" w:hAnsi="Arial"/>
          <w:sz w:val="18"/>
          <w:szCs w:val="18"/>
          <w:color w:val="auto"/>
        </w:rPr>
        <w:t>There were 2,673,533 shares available for the issuance of stock options or stock-based awards under the Company’s 2015 Omnibus Incentive Compensation Plan at March 31, 2020.</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stock option activity for the three months ended March 31, 2020:</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9"/>
        </w:trPr>
        <w:tc>
          <w:tcPr>
            <w:tcW w:w="4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Outstanding at December 31, 2019</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3,458,447</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10.19</w:t>
            </w: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566,815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51.12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(60,186)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(2,343)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13.98</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line="169" w:lineRule="exact"/>
              <w:rPr>
                <w:sz w:val="20"/>
                <w:szCs w:val="20"/>
                <w:color w:val="auto"/>
              </w:rPr>
            </w:pPr>
            <w:r>
              <w:rPr>
                <w:rFonts w:ascii="Arial" w:cs="Arial" w:eastAsia="Arial" w:hAnsi="Arial"/>
                <w:sz w:val="18"/>
                <w:szCs w:val="18"/>
                <w:color w:val="auto"/>
              </w:rPr>
              <w:t>Outstanding at March 31, 2020</w:t>
            </w: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w w:val="99"/>
              </w:rPr>
              <w:t>3,962,733</w:t>
            </w:r>
          </w:p>
        </w:tc>
        <w:tc>
          <w:tcPr>
            <w:tcW w:w="26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8"/>
                <w:szCs w:val="18"/>
                <w:color w:val="auto"/>
              </w:rPr>
              <w:t>16.04</w:t>
            </w:r>
          </w:p>
        </w:tc>
        <w:tc>
          <w:tcPr>
            <w:tcW w:w="14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8.0</w:t>
            </w:r>
          </w:p>
        </w:tc>
        <w:tc>
          <w:tcPr>
            <w:tcW w:w="140" w:type="dxa"/>
            <w:vAlign w:val="bottom"/>
          </w:tcPr>
          <w:p>
            <w:pPr>
              <w:spacing w:after="0"/>
              <w:rPr>
                <w:sz w:val="15"/>
                <w:szCs w:val="15"/>
                <w:color w:val="auto"/>
              </w:rPr>
            </w:pPr>
          </w:p>
        </w:tc>
        <w:tc>
          <w:tcPr>
            <w:tcW w:w="140" w:type="dxa"/>
            <w:vAlign w:val="bottom"/>
            <w:gridSpan w:val="2"/>
          </w:tcPr>
          <w:p>
            <w:pPr>
              <w:jc w:val="right"/>
              <w:ind w:right="9"/>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w w:val="93"/>
              </w:rPr>
              <w:t>171,744,639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March 31, 2020</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3,954,064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171,248,106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line="163" w:lineRule="exact"/>
              <w:rPr>
                <w:sz w:val="20"/>
                <w:szCs w:val="20"/>
                <w:color w:val="auto"/>
              </w:rPr>
            </w:pPr>
            <w:r>
              <w:rPr>
                <w:rFonts w:ascii="Arial" w:cs="Arial" w:eastAsia="Arial" w:hAnsi="Arial"/>
                <w:sz w:val="18"/>
                <w:szCs w:val="18"/>
                <w:color w:val="auto"/>
              </w:rPr>
              <w:t>Exercisable at March 31, 2020</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9"/>
              </w:rPr>
              <w:t>1,958,757</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7.48</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3"/>
              </w:rPr>
              <w:t>100,572,453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right="99" w:firstLine="648"/>
        <w:spacing w:after="0" w:line="181"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weighted average grant date fair value of options granted was $31.27 per option for the three months ended</w:t>
      </w:r>
    </w:p>
    <w:p>
      <w:pPr>
        <w:ind w:left="40"/>
        <w:spacing w:after="0" w:line="224" w:lineRule="auto"/>
        <w:rPr>
          <w:sz w:val="20"/>
          <w:szCs w:val="20"/>
          <w:color w:val="auto"/>
        </w:rPr>
      </w:pPr>
      <w:r>
        <w:rPr>
          <w:rFonts w:ascii="Arial" w:cs="Arial" w:eastAsia="Arial" w:hAnsi="Arial"/>
          <w:sz w:val="17"/>
          <w:szCs w:val="17"/>
          <w:color w:val="auto"/>
        </w:rPr>
        <w:t>March 31, 2020. As of March 31, 2020, there was $30.5 million of total unrecognized compensation cost related to</w:t>
      </w:r>
    </w:p>
    <w:p>
      <w:pPr>
        <w:ind w:left="40"/>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vested stock options which is expected to be recognized over a weighted average period of 3.6 years. These amounts</w:t>
      </w:r>
    </w:p>
    <w:p>
      <w:pPr>
        <w:ind w:left="40"/>
        <w:spacing w:after="0" w:line="176" w:lineRule="exact"/>
        <w:rPr>
          <w:sz w:val="20"/>
          <w:szCs w:val="20"/>
          <w:color w:val="auto"/>
        </w:rPr>
      </w:pPr>
      <w:r>
        <w:rPr>
          <w:rFonts w:ascii="Arial" w:cs="Arial" w:eastAsia="Arial" w:hAnsi="Arial"/>
          <w:sz w:val="17"/>
          <w:szCs w:val="17"/>
          <w:color w:val="auto"/>
        </w:rPr>
        <w:t>do not include 14,530 options outstanding as of March 31, 2020,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w:t>
      </w:r>
    </w:p>
    <w:p>
      <w:pPr>
        <w:ind w:left="40"/>
        <w:spacing w:after="0" w:line="176" w:lineRule="exact"/>
        <w:rPr>
          <w:sz w:val="20"/>
          <w:szCs w:val="20"/>
          <w:color w:val="auto"/>
        </w:rPr>
      </w:pPr>
      <w:r>
        <w:rPr>
          <w:rFonts w:ascii="Arial" w:cs="Arial" w:eastAsia="Arial" w:hAnsi="Arial"/>
          <w:sz w:val="16"/>
          <w:szCs w:val="16"/>
          <w:color w:val="auto"/>
        </w:rPr>
        <w:t>achievement of certain corporate milestones.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will be measured and recorded if and when it is</w:t>
      </w:r>
    </w:p>
    <w:p>
      <w:pPr>
        <w:ind w:left="40"/>
        <w:spacing w:after="0"/>
        <w:rPr>
          <w:sz w:val="20"/>
          <w:szCs w:val="20"/>
          <w:color w:val="auto"/>
        </w:rPr>
      </w:pPr>
      <w:r>
        <w:rPr>
          <w:rFonts w:ascii="Arial" w:cs="Arial" w:eastAsia="Arial" w:hAnsi="Arial"/>
          <w:sz w:val="18"/>
          <w:szCs w:val="18"/>
          <w:color w:val="auto"/>
        </w:rPr>
        <w:t>probable that the milestone will occur.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ind w:left="40" w:right="139" w:firstLine="648"/>
        <w:spacing w:after="0" w:line="226" w:lineRule="auto"/>
        <w:rPr>
          <w:sz w:val="20"/>
          <w:szCs w:val="20"/>
          <w:color w:val="auto"/>
        </w:rPr>
      </w:pPr>
      <w:r>
        <w:rPr>
          <w:rFonts w:ascii="Arial" w:cs="Arial" w:eastAsia="Arial" w:hAnsi="Arial"/>
          <w:sz w:val="17"/>
          <w:szCs w:val="17"/>
          <w:color w:val="auto"/>
        </w:rPr>
        <w:t>In 2020, the Company began granting RSUs covering an equal number of its shares of common stock to employees. For the three months ended March 31, 2020 the weighted-average grant date fair value was $45.14. The fair value of RSUs is determined on the date of the grant based on the market price of its shares of common stock as of that date. The fair value of the RSUs is recognized as an expense ratably over the vesting period of four years. As of March 31, 2020, total compensation cost not yet recognized related to unvested RSUs was $6.7 million, which is expected to be recognized over a weighted-average period of 4.0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RSU activity for the three months ended March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514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intrinsic</w:t>
            </w:r>
          </w:p>
        </w:tc>
      </w:tr>
      <w:tr>
        <w:trPr>
          <w:trHeight w:val="171"/>
        </w:trPr>
        <w:tc>
          <w:tcPr>
            <w:tcW w:w="514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of shares</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value</w:t>
            </w:r>
          </w:p>
        </w:tc>
      </w:tr>
      <w:tr>
        <w:trPr>
          <w:trHeight w:val="169"/>
        </w:trPr>
        <w:tc>
          <w:tcPr>
            <w:tcW w:w="51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Outstanding at December 31, 2019</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right w:val="single" w:sz="8" w:color="CCEEFF"/>
            </w:tcBorders>
            <w:shd w:val="clear" w:color="auto" w:fill="CCEEFF"/>
          </w:tcPr>
          <w:p>
            <w:pPr>
              <w:spacing w:after="0"/>
              <w:rPr>
                <w:sz w:val="14"/>
                <w:szCs w:val="14"/>
                <w:color w:val="auto"/>
              </w:rPr>
            </w:pPr>
          </w:p>
        </w:tc>
      </w:tr>
      <w:tr>
        <w:trPr>
          <w:trHeight w:val="175"/>
        </w:trPr>
        <w:tc>
          <w:tcPr>
            <w:tcW w:w="514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149,389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45.14</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Released</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r>
      <w:tr>
        <w:trPr>
          <w:trHeight w:val="175"/>
        </w:trPr>
        <w:tc>
          <w:tcPr>
            <w:tcW w:w="51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Forfeited</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Outstanding at March 31, 2020</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149,389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14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
              <w:spacing w:after="0" w:line="169" w:lineRule="exact"/>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44"/>
              <w:spacing w:after="0" w:line="169" w:lineRule="exact"/>
              <w:rPr>
                <w:sz w:val="20"/>
                <w:szCs w:val="20"/>
                <w:color w:val="auto"/>
              </w:rPr>
            </w:pPr>
            <w:r>
              <w:rPr>
                <w:rFonts w:ascii="Arial" w:cs="Arial" w:eastAsia="Arial" w:hAnsi="Arial"/>
                <w:sz w:val="18"/>
                <w:szCs w:val="18"/>
                <w:color w:val="auto"/>
                <w:w w:val="97"/>
              </w:rPr>
              <w:t>8,788,555</w:t>
            </w:r>
          </w:p>
        </w:tc>
      </w:tr>
      <w:tr>
        <w:trPr>
          <w:trHeight w:val="27"/>
        </w:trPr>
        <w:tc>
          <w:tcPr>
            <w:tcW w:w="5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ind w:left="40" w:right="739"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months ended March 31, 2020 and 2019 was allocated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634,375</w:t>
            </w:r>
          </w:p>
        </w:tc>
        <w:tc>
          <w:tcPr>
            <w:tcW w:w="38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101,701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1,499,155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1,154,609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2,133,530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1,256,310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warrant activity for the three months ended March 31, 2020:</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69"/>
        </w:trPr>
        <w:tc>
          <w:tcPr>
            <w:tcW w:w="6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Outstanding at December 31, 2019</w:t>
            </w:r>
          </w:p>
        </w:tc>
        <w:tc>
          <w:tcPr>
            <w:tcW w:w="9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69,656</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112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5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500" w:type="dxa"/>
            <w:vAlign w:val="bottom"/>
          </w:tcPr>
          <w:p>
            <w:pPr>
              <w:spacing w:after="0" w:line="169" w:lineRule="exact"/>
              <w:rPr>
                <w:sz w:val="20"/>
                <w:szCs w:val="20"/>
                <w:color w:val="auto"/>
              </w:rPr>
            </w:pPr>
            <w:r>
              <w:rPr>
                <w:rFonts w:ascii="Arial" w:cs="Arial" w:eastAsia="Arial" w:hAnsi="Arial"/>
                <w:sz w:val="18"/>
                <w:szCs w:val="18"/>
                <w:color w:val="auto"/>
              </w:rPr>
              <w:t>Outstanding at March 31, 2020</w:t>
            </w: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69,656</w:t>
            </w:r>
          </w:p>
        </w:tc>
        <w:tc>
          <w:tcPr>
            <w:tcW w:w="18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29"/>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119" w:firstLine="648"/>
        <w:spacing w:after="0" w:line="239" w:lineRule="auto"/>
        <w:rPr>
          <w:sz w:val="20"/>
          <w:szCs w:val="20"/>
          <w:color w:val="auto"/>
        </w:rPr>
      </w:pPr>
      <w:r>
        <w:rPr>
          <w:rFonts w:ascii="Arial" w:cs="Arial" w:eastAsia="Arial" w:hAnsi="Arial"/>
          <w:sz w:val="16"/>
          <w:szCs w:val="16"/>
          <w:color w:val="auto"/>
        </w:rPr>
        <w:t>In connection with the 2016 Original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 In September 2019, SVB exercised in full the 32,614 warrants it received in connection with the 2016 Original Term Loan via a cashless exercise. The Company issued SVB 24,328 shares of its common stock in connection with the warrant exercise, and did not receive any cash proceeds. The 2016 warrants have a seven-year term and expire on November 8, 2023. As of March 31, 2020, Life Sciences portion of 32,614 warrants remain outstanding.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6"/>
          <w:szCs w:val="16"/>
          <w:color w:val="auto"/>
        </w:rPr>
        <w:t>Additionally, in connection with the 2016 Amended Term Loan, SVB and WestRiver Innovation Lending Fund VIII, L.P. received warrants to purchase an aggregate 15,750 shares of the Company’s common stock at an exercise price of $3.06 per share, which are exercisable for seven years from the date of issuance. Both of these warrants were classified as a component of stockholders’ equity. Prior to entering into the 2019 Term Loan, the fair value of these warrants and the closing costs were recorded as debt discounts and were being amortized using the effective interest rate method over the term of the loan. In August 2019, SVB exercised in full the 7,875 warrants it received in connection with the 2016 Amended Term Loan via a cashless exercise. The Company issued SVB 6,969 shares of its common stock in connection with the warrant exercise, and did not receive any cash proceeds. The 2018 warrants have a seven-year term and expire on November 25, 2025. As of March 31, 2020, WestRiver’s portion of 7,875 warrants remain outstanding.</w:t>
      </w:r>
    </w:p>
    <w:p>
      <w:pPr>
        <w:spacing w:after="0" w:line="127" w:lineRule="exact"/>
        <w:rPr>
          <w:sz w:val="20"/>
          <w:szCs w:val="20"/>
          <w:color w:val="auto"/>
        </w:rPr>
      </w:pPr>
    </w:p>
    <w:p>
      <w:pPr>
        <w:jc w:val="both"/>
        <w:ind w:left="40" w:right="399" w:firstLine="648"/>
        <w:spacing w:after="0" w:line="259" w:lineRule="auto"/>
        <w:rPr>
          <w:sz w:val="20"/>
          <w:szCs w:val="20"/>
          <w:color w:val="auto"/>
        </w:rPr>
      </w:pPr>
      <w:r>
        <w:rPr>
          <w:rFonts w:ascii="Arial" w:cs="Arial" w:eastAsia="Arial" w:hAnsi="Arial"/>
          <w:sz w:val="16"/>
          <w:szCs w:val="16"/>
          <w:color w:val="auto"/>
        </w:rPr>
        <w:t>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106" w:lineRule="exact"/>
        <w:rPr>
          <w:sz w:val="20"/>
          <w:szCs w:val="20"/>
          <w:color w:val="auto"/>
        </w:rPr>
      </w:pPr>
    </w:p>
    <w:p>
      <w:pPr>
        <w:ind w:left="40" w:right="159" w:firstLine="648"/>
        <w:spacing w:after="0" w:line="221" w:lineRule="auto"/>
        <w:rPr>
          <w:sz w:val="20"/>
          <w:szCs w:val="20"/>
          <w:color w:val="auto"/>
        </w:rPr>
      </w:pPr>
      <w:r>
        <w:rPr>
          <w:rFonts w:ascii="Arial" w:cs="Arial" w:eastAsia="Arial" w:hAnsi="Arial"/>
          <w:sz w:val="17"/>
          <w:szCs w:val="17"/>
          <w:color w:val="auto"/>
        </w:rPr>
        <w:t>In connection with the 2019 Term Loan, SVB and WestRiver received warrants to purchase an aggregate 70,000 shares of the Company’s common stock at a price per share equal to $8.10 (the “March 2019 Warrants”). The warrants would initially be earned based upon the usage of the facility and are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26" w:lineRule="exact"/>
        <w:rPr>
          <w:sz w:val="20"/>
          <w:szCs w:val="20"/>
          <w:color w:val="auto"/>
        </w:rPr>
      </w:pPr>
    </w:p>
    <w:p>
      <w:pPr>
        <w:ind w:left="40" w:right="99" w:firstLine="648"/>
        <w:spacing w:after="0" w:line="236"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Due to the Company not drawing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As of March 31, 2020, WestRiver’s portion of 29,167 warrants remain outstanding.</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License Agreements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Exclusive License Agreement with Pfizer</w:t>
      </w:r>
    </w:p>
    <w:p>
      <w:pPr>
        <w:spacing w:after="0" w:line="185" w:lineRule="exact"/>
        <w:rPr>
          <w:sz w:val="20"/>
          <w:szCs w:val="20"/>
          <w:color w:val="auto"/>
        </w:rPr>
      </w:pPr>
    </w:p>
    <w:p>
      <w:pPr>
        <w:ind w:left="40" w:right="99" w:firstLine="648"/>
        <w:spacing w:after="0" w:line="216" w:lineRule="auto"/>
        <w:rPr>
          <w:sz w:val="20"/>
          <w:szCs w:val="20"/>
          <w:color w:val="auto"/>
        </w:rPr>
      </w:pPr>
      <w:r>
        <w:rPr>
          <w:rFonts w:ascii="Arial" w:cs="Arial" w:eastAsia="Arial" w:hAnsi="Arial"/>
          <w:sz w:val="18"/>
          <w:szCs w:val="18"/>
          <w:color w:val="auto"/>
        </w:rPr>
        <w:t>In January 2020, the Company entered into an exclusive license agreement with Pfizer Inc.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6"/>
          <w:szCs w:val="16"/>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w:t>
      </w:r>
    </w:p>
    <w:p>
      <w:pPr>
        <w:jc w:val="both"/>
        <w:ind w:left="40" w:right="79"/>
        <w:spacing w:after="0" w:line="218" w:lineRule="auto"/>
        <w:rPr>
          <w:sz w:val="20"/>
          <w:szCs w:val="20"/>
          <w:color w:val="auto"/>
        </w:rPr>
      </w:pPr>
      <w:r>
        <w:rPr>
          <w:rFonts w:ascii="Arial" w:cs="Arial" w:eastAsia="Arial" w:hAnsi="Arial"/>
          <w:sz w:val="18"/>
          <w:szCs w:val="18"/>
          <w:color w:val="auto"/>
        </w:rPr>
        <w:t>was $87.24, based on the closing price of the Company's common stock on that date. As a result, the fair value of the stock issued was $7.2 million and therefore, the total research and development expense recognized was $10.2 million related to the Pfizer License Agreement during the three months ended March 31, 2020.</w:t>
      </w:r>
    </w:p>
    <w:p>
      <w:pPr>
        <w:spacing w:after="0" w:line="122" w:lineRule="exact"/>
        <w:rPr>
          <w:sz w:val="20"/>
          <w:szCs w:val="20"/>
          <w:color w:val="auto"/>
        </w:rPr>
      </w:pPr>
    </w:p>
    <w:p>
      <w:pPr>
        <w:jc w:val="both"/>
        <w:ind w:left="40" w:right="119" w:firstLine="648"/>
        <w:spacing w:after="0" w:line="219" w:lineRule="auto"/>
        <w:rPr>
          <w:sz w:val="20"/>
          <w:szCs w:val="20"/>
          <w:color w:val="auto"/>
        </w:rPr>
      </w:pPr>
      <w:r>
        <w:rPr>
          <w:rFonts w:ascii="Arial" w:cs="Arial" w:eastAsia="Arial" w:hAnsi="Arial"/>
          <w:sz w:val="18"/>
          <w:szCs w:val="18"/>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three months ended March 31, 2020, no milestone payments or royalties were paid to Pfizer by the Company.</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Exclusive License Agreements with Antecip</w:t>
      </w:r>
    </w:p>
    <w:p>
      <w:pPr>
        <w:spacing w:after="0" w:line="144" w:lineRule="exact"/>
        <w:rPr>
          <w:sz w:val="20"/>
          <w:szCs w:val="20"/>
          <w:color w:val="auto"/>
        </w:rPr>
      </w:pPr>
    </w:p>
    <w:p>
      <w:pPr>
        <w:ind w:left="40" w:right="59" w:firstLine="648"/>
        <w:spacing w:after="0" w:line="179" w:lineRule="exact"/>
        <w:rPr>
          <w:sz w:val="20"/>
          <w:szCs w:val="20"/>
          <w:color w:val="auto"/>
        </w:rPr>
      </w:pPr>
      <w:r>
        <w:rPr>
          <w:rFonts w:ascii="Arial" w:cs="Arial" w:eastAsia="Arial" w:hAnsi="Arial"/>
          <w:sz w:val="17"/>
          <w:szCs w:val="17"/>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AXS</w:t>
      </w:r>
      <w:r>
        <w:rPr>
          <w:rFonts w:ascii="MS PGothic" w:cs="MS PGothic" w:eastAsia="MS PGothic" w:hAnsi="MS PGothic"/>
          <w:sz w:val="17"/>
          <w:szCs w:val="17"/>
          <w:color w:val="auto"/>
        </w:rPr>
        <w:t>‑</w:t>
      </w:r>
      <w:r>
        <w:rPr>
          <w:rFonts w:ascii="Arial" w:cs="Arial" w:eastAsia="Arial" w:hAnsi="Arial"/>
          <w:sz w:val="17"/>
          <w:szCs w:val="17"/>
          <w:color w:val="auto"/>
        </w:rPr>
        <w:t>04, a product candidate that is currently in early stage development, anywhere in the world for human therapeutic, veterinary, and diagnostic use. Pursuant to the agreements, the Company is required to use 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AXS</w:t>
      </w:r>
      <w:r>
        <w:rPr>
          <w:rFonts w:ascii="MS PGothic" w:cs="MS PGothic" w:eastAsia="MS PGothic" w:hAnsi="MS PGothic"/>
          <w:sz w:val="17"/>
          <w:szCs w:val="17"/>
          <w:color w:val="auto"/>
        </w:rPr>
        <w:t>‑</w:t>
      </w:r>
      <w:r>
        <w:rPr>
          <w:rFonts w:ascii="Arial" w:cs="Arial" w:eastAsia="Arial" w:hAnsi="Arial"/>
          <w:sz w:val="17"/>
          <w:szCs w:val="17"/>
          <w:color w:val="auto"/>
        </w:rPr>
        <w:t>04. Under the terms of the agreements, the Company is required to pay to Antecip a royalty equal to 4.5% for AXS</w:t>
      </w:r>
      <w:r>
        <w:rPr>
          <w:rFonts w:ascii="MS PGothic" w:cs="MS PGothic" w:eastAsia="MS PGothic" w:hAnsi="MS PGothic"/>
          <w:sz w:val="17"/>
          <w:szCs w:val="17"/>
          <w:color w:val="auto"/>
        </w:rPr>
        <w:t>‑</w:t>
      </w:r>
      <w:r>
        <w:rPr>
          <w:rFonts w:ascii="Arial" w:cs="Arial" w:eastAsia="Arial" w:hAnsi="Arial"/>
          <w:sz w:val="17"/>
          <w:szCs w:val="17"/>
          <w:color w:val="auto"/>
        </w:rPr>
        <w:t>02, 3.0% for AXS</w:t>
      </w:r>
      <w:r>
        <w:rPr>
          <w:rFonts w:ascii="MS PGothic" w:cs="MS PGothic" w:eastAsia="MS PGothic" w:hAnsi="MS PGothic"/>
          <w:sz w:val="17"/>
          <w:szCs w:val="17"/>
          <w:color w:val="auto"/>
        </w:rPr>
        <w:t>‑</w:t>
      </w:r>
      <w:r>
        <w:rPr>
          <w:rFonts w:ascii="Arial" w:cs="Arial" w:eastAsia="Arial" w:hAnsi="Arial"/>
          <w:sz w:val="17"/>
          <w:szCs w:val="17"/>
          <w:color w:val="auto"/>
        </w:rPr>
        <w:t>05, and 1.5% for AXS</w:t>
      </w:r>
      <w:r>
        <w:rPr>
          <w:rFonts w:ascii="MS PGothic" w:cs="MS PGothic" w:eastAsia="MS PGothic" w:hAnsi="MS PGothic"/>
          <w:sz w:val="17"/>
          <w:szCs w:val="17"/>
          <w:color w:val="auto"/>
        </w:rPr>
        <w:t>‑</w:t>
      </w:r>
      <w:r>
        <w:rPr>
          <w:rFonts w:ascii="Arial" w:cs="Arial" w:eastAsia="Arial" w:hAnsi="Arial"/>
          <w:sz w:val="17"/>
          <w:szCs w:val="17"/>
          <w:color w:val="auto"/>
        </w:rPr>
        <w:t>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7"/>
          <w:szCs w:val="17"/>
          <w:color w:val="auto"/>
        </w:rPr>
        <w:t>‑</w:t>
      </w:r>
      <w:r>
        <w:rPr>
          <w:rFonts w:ascii="Arial" w:cs="Arial" w:eastAsia="Arial" w:hAnsi="Arial"/>
          <w:sz w:val="17"/>
          <w:szCs w:val="17"/>
          <w:color w:val="auto"/>
        </w:rPr>
        <w:t>up, royalty</w:t>
      </w:r>
      <w:r>
        <w:rPr>
          <w:rFonts w:ascii="MS PGothic" w:cs="MS PGothic" w:eastAsia="MS PGothic" w:hAnsi="MS PGothic"/>
          <w:sz w:val="17"/>
          <w:szCs w:val="17"/>
          <w:color w:val="auto"/>
        </w:rPr>
        <w:t>‑</w:t>
      </w:r>
      <w:r>
        <w:rPr>
          <w:rFonts w:ascii="Arial" w:cs="Arial" w:eastAsia="Arial" w:hAnsi="Arial"/>
          <w:sz w:val="17"/>
          <w:szCs w:val="17"/>
          <w:color w:val="auto"/>
        </w:rPr>
        <w:t>free, perpetual non</w:t>
      </w:r>
      <w:r>
        <w:rPr>
          <w:rFonts w:ascii="MS PGothic" w:cs="MS PGothic" w:eastAsia="MS PGothic" w:hAnsi="MS PGothic"/>
          <w:sz w:val="17"/>
          <w:szCs w:val="17"/>
          <w:color w:val="auto"/>
        </w:rPr>
        <w:t>‑</w:t>
      </w:r>
      <w:r>
        <w:rPr>
          <w:rFonts w:ascii="Arial" w:cs="Arial" w:eastAsia="Arial" w:hAnsi="Arial"/>
          <w:sz w:val="17"/>
          <w:szCs w:val="17"/>
          <w:color w:val="auto"/>
        </w:rPr>
        <w:t>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right="199"/>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left="40" w:right="179"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21" w:lineRule="exact"/>
        <w:rPr>
          <w:sz w:val="20"/>
          <w:szCs w:val="20"/>
          <w:color w:val="auto"/>
        </w:rPr>
      </w:pPr>
    </w:p>
    <w:p>
      <w:pPr>
        <w:ind w:left="40" w:right="119"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 which was filed with the Securities and Exchange Commission, or SEC, on March 12, 2020</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0" w:right="59" w:firstLine="648"/>
        <w:spacing w:after="0" w:line="235" w:lineRule="auto"/>
        <w:rPr>
          <w:sz w:val="20"/>
          <w:szCs w:val="20"/>
          <w:color w:val="auto"/>
        </w:rPr>
      </w:pPr>
      <w:r>
        <w:rPr>
          <w:rFonts w:ascii="Arial" w:cs="Arial" w:eastAsia="Arial" w:hAnsi="Arial"/>
          <w:sz w:val="16"/>
          <w:szCs w:val="16"/>
          <w:color w:val="auto"/>
        </w:rPr>
        <w:t>We are a biopharmaceutical company developing novel therapies for the management of central nervous system, or CNS, disorders for which there are limited treatment options. For the many people facing unsatisfactory treatments for CNS disorders, we accelerate the invention and adoption of life-changing medicines. Our core CNS portfolio includes five CNS product candidates, AXS-05, AXS-07, AXS-09, AXS-12, and AXS-14 which are being developed for multiple indications.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Additionally, we are currently evaluating other product candidates, such as AXS-09, which we intend to develop for CNS disorders. The Axsome Pain and Primary Care business unit, or Axsome PPC, houses our pain and primary care assets.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5" w:lineRule="exact"/>
        <w:rPr>
          <w:sz w:val="20"/>
          <w:szCs w:val="20"/>
          <w:color w:val="auto"/>
        </w:rPr>
      </w:pPr>
    </w:p>
    <w:p>
      <w:pPr>
        <w:ind w:left="40" w:right="79" w:firstLine="648"/>
        <w:spacing w:after="0" w:line="181" w:lineRule="exact"/>
        <w:rPr>
          <w:sz w:val="20"/>
          <w:szCs w:val="20"/>
          <w:color w:val="auto"/>
        </w:rPr>
      </w:pPr>
      <w:r>
        <w:rPr>
          <w:rFonts w:ascii="Arial" w:cs="Arial" w:eastAsia="Arial" w:hAnsi="Arial"/>
          <w:sz w:val="18"/>
          <w:szCs w:val="18"/>
          <w:color w:val="auto"/>
        </w:rPr>
        <w:t>AXS-05 is a novel, oral, investigational NMDA, or N-methyl-D-aspartate, receptor antagonist with multimodal activity under development for the treatment of CNS disorders. AXS-05 consists of a proprietary formulation and dose of bupropion and dextromethorphan, or DM, and utilizes our metabolic inhibition technology. The DM component of AXS-05 is a non-competitive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8"/>
          <w:szCs w:val="18"/>
          <w:color w:val="auto"/>
        </w:rPr>
        <w:t>‑</w:t>
      </w:r>
      <w:r>
        <w:rPr>
          <w:rFonts w:ascii="Arial" w:cs="Arial" w:eastAsia="Arial" w:hAnsi="Arial"/>
          <w:sz w:val="18"/>
          <w:szCs w:val="18"/>
          <w:color w:val="auto"/>
        </w:rPr>
        <w:t>05 utilizing the 505(b)(2) regulatory development pathway. AXS-05 has been granted FDA Breakthrough Therapy designation for the treatment of MDD, as well as Fast Track designations for the treatment of Alzheimer’s disease agitation and treatment resistant depression.</w:t>
      </w:r>
    </w:p>
    <w:p>
      <w:pPr>
        <w:spacing w:after="0" w:line="164" w:lineRule="exact"/>
        <w:rPr>
          <w:sz w:val="20"/>
          <w:szCs w:val="20"/>
          <w:color w:val="auto"/>
        </w:rPr>
      </w:pPr>
    </w:p>
    <w:p>
      <w:pPr>
        <w:ind w:left="40" w:right="139" w:firstLine="648"/>
        <w:spacing w:after="0" w:line="222" w:lineRule="auto"/>
        <w:rPr>
          <w:sz w:val="20"/>
          <w:szCs w:val="20"/>
          <w:color w:val="auto"/>
        </w:rPr>
      </w:pPr>
      <w:r>
        <w:rPr>
          <w:rFonts w:ascii="Arial" w:cs="Arial" w:eastAsia="Arial" w:hAnsi="Arial"/>
          <w:sz w:val="17"/>
          <w:szCs w:val="17"/>
          <w:color w:val="auto"/>
        </w:rPr>
        <w:t>We have completed two pivotal, one Phase 2 and one Phase 3, trials of AXS-05 in MDD, which we refer to as the ASCEND and GEMINI trials, respectively. AXS-05 achieved the primary endpoint in both the ASCEND and GEMINI trials. We plan to submit a New Drug Application, or NDA, for AXS-05 for the treatment of MDD supported by the positive results from the ASCEND and GEMINI trials. AXS-05 is currently in a Phase 3, open-label, long-term safety extension study in patients with MDD and TRD to further support the NDA filing. We have completed a Phase 3 trial of AXS-05 in TRD, which we refer to as the STRIDE-1 trial, which met key secondary endpoints but did not reach statistical significance on the primary endpoint. We have also complated a Phase 2/3 trial of AXS-05 in Alzheimer's disease, or AD, agitation, which we refer to as the ADVANCE-1 trial. AXS-05 achieved the primary endpoint in the ADVANCE-1 trial. AXS-05 is also being developed for smoking cessation treatment and a positive Phase 2 trial in the indication has been completed under a research collaboration between us and Duke University.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35" w:lineRule="auto"/>
        <w:rPr>
          <w:sz w:val="20"/>
          <w:szCs w:val="20"/>
          <w:color w:val="auto"/>
        </w:rPr>
      </w:pPr>
      <w:r>
        <w:rPr>
          <w:rFonts w:ascii="Arial" w:cs="Arial" w:eastAsia="Arial" w:hAnsi="Arial"/>
          <w:sz w:val="16"/>
          <w:szCs w:val="16"/>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5" w:lineRule="exact"/>
        <w:rPr>
          <w:sz w:val="20"/>
          <w:szCs w:val="20"/>
          <w:color w:val="auto"/>
        </w:rPr>
      </w:pPr>
    </w:p>
    <w:p>
      <w:pPr>
        <w:ind w:left="40" w:right="239" w:firstLine="648"/>
        <w:spacing w:after="0" w:line="228" w:lineRule="auto"/>
        <w:rPr>
          <w:sz w:val="20"/>
          <w:szCs w:val="20"/>
          <w:color w:val="auto"/>
        </w:rPr>
      </w:pPr>
      <w:r>
        <w:rPr>
          <w:rFonts w:ascii="Arial" w:cs="Arial" w:eastAsia="Arial" w:hAnsi="Arial"/>
          <w:sz w:val="17"/>
          <w:szCs w:val="17"/>
          <w:color w:val="auto"/>
        </w:rPr>
        <w:t>We have completed two Phase 3 trials of AXS-07 for the actue treatment of migraine, which we refer to as the MOMENTUM and INTERCEPT trials. AXS-07 achieved the co-primary endpoints in both the MOMENTUM and INTERCEPT trials. We plan to submit an NDA for AXS-07 for the acute treatment of migraine supported by the positive results from the MOMENTUM and INTERCEPT trials. AXS-07 is currently in a Phase 3 open-label, long-term safety extension study in patients with migraine to further support the NDA filing.</w:t>
      </w:r>
    </w:p>
    <w:p>
      <w:pPr>
        <w:spacing w:after="0" w:line="165" w:lineRule="exact"/>
        <w:rPr>
          <w:sz w:val="20"/>
          <w:szCs w:val="20"/>
          <w:color w:val="auto"/>
        </w:rPr>
      </w:pPr>
    </w:p>
    <w:p>
      <w:pPr>
        <w:ind w:left="40" w:right="59" w:firstLine="648"/>
        <w:spacing w:after="0" w:line="225" w:lineRule="auto"/>
        <w:rPr>
          <w:sz w:val="20"/>
          <w:szCs w:val="20"/>
          <w:color w:val="auto"/>
        </w:rPr>
      </w:pPr>
      <w:r>
        <w:rPr>
          <w:rFonts w:ascii="Arial" w:cs="Arial" w:eastAsia="Arial" w:hAnsi="Arial"/>
          <w:sz w:val="17"/>
          <w:szCs w:val="17"/>
          <w:color w:val="auto"/>
        </w:rPr>
        <w:t>AXS-09 is an oral, investigational NMDA receptor antagonist with multimodal activity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62" w:lineRule="exact"/>
        <w:rPr>
          <w:sz w:val="20"/>
          <w:szCs w:val="20"/>
          <w:color w:val="auto"/>
        </w:rPr>
      </w:pPr>
    </w:p>
    <w:p>
      <w:pPr>
        <w:ind w:left="40" w:right="219" w:firstLine="648"/>
        <w:spacing w:after="0" w:line="232" w:lineRule="auto"/>
        <w:rPr>
          <w:sz w:val="20"/>
          <w:szCs w:val="20"/>
          <w:color w:val="auto"/>
        </w:rPr>
      </w:pPr>
      <w:r>
        <w:rPr>
          <w:rFonts w:ascii="Arial" w:cs="Arial" w:eastAsia="Arial" w:hAnsi="Arial"/>
          <w:sz w:val="17"/>
          <w:szCs w:val="17"/>
          <w:color w:val="auto"/>
        </w:rPr>
        <w:t>AXS-12, reboxetine, is a novel, oral, investigational medicine in development for the treatment of narcolepsy. AXS-12 is a highly selective and potent norepinephrine reuptake inhibitor. AXS-12 has been granted Orphan Drug Designation by the FDA for the treatment of narcolepsy. We have completed a Phase 2 trial with AXS-12, which we refer to as the CONCERT trial. AXS-12 achieved the primary endpoint in the CONCERT trial.</w:t>
      </w:r>
    </w:p>
    <w:p>
      <w:pPr>
        <w:spacing w:after="0" w:line="162" w:lineRule="exact"/>
        <w:rPr>
          <w:sz w:val="20"/>
          <w:szCs w:val="20"/>
          <w:color w:val="auto"/>
        </w:rPr>
      </w:pPr>
    </w:p>
    <w:p>
      <w:pPr>
        <w:ind w:left="40" w:right="99" w:firstLine="648"/>
        <w:spacing w:after="0" w:line="216" w:lineRule="auto"/>
        <w:rPr>
          <w:sz w:val="20"/>
          <w:szCs w:val="20"/>
          <w:color w:val="auto"/>
        </w:rPr>
      </w:pPr>
      <w:r>
        <w:rPr>
          <w:rFonts w:ascii="Arial" w:cs="Arial" w:eastAsia="Arial" w:hAnsi="Arial"/>
          <w:sz w:val="18"/>
          <w:szCs w:val="18"/>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 We have in-licensed data from Pfizer which includes a completed Phase 2 trial and Phase 3 trial in fibromyalgia, both of which were positive.</w:t>
      </w:r>
    </w:p>
    <w:p>
      <w:pPr>
        <w:spacing w:after="0" w:line="122" w:lineRule="exact"/>
        <w:rPr>
          <w:sz w:val="20"/>
          <w:szCs w:val="20"/>
          <w:color w:val="auto"/>
        </w:rPr>
      </w:pPr>
    </w:p>
    <w:p>
      <w:pPr>
        <w:ind w:left="40" w:right="99" w:firstLine="648"/>
        <w:spacing w:after="0" w:line="226" w:lineRule="auto"/>
        <w:rPr>
          <w:sz w:val="20"/>
          <w:szCs w:val="20"/>
          <w:color w:val="auto"/>
        </w:rPr>
      </w:pPr>
      <w:r>
        <w:rPr>
          <w:rFonts w:ascii="Arial" w:cs="Arial" w:eastAsia="Arial" w:hAnsi="Arial"/>
          <w:sz w:val="17"/>
          <w:szCs w:val="17"/>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24" w:lineRule="exact"/>
        <w:rPr>
          <w:sz w:val="20"/>
          <w:szCs w:val="20"/>
          <w:color w:val="auto"/>
        </w:rPr>
      </w:pPr>
    </w:p>
    <w:p>
      <w:pPr>
        <w:ind w:left="40" w:right="179"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20" w:lineRule="auto"/>
        <w:rPr>
          <w:sz w:val="20"/>
          <w:szCs w:val="20"/>
          <w:color w:val="auto"/>
        </w:rPr>
      </w:pPr>
      <w:r>
        <w:rPr>
          <w:rFonts w:ascii="Arial" w:cs="Arial" w:eastAsia="Arial" w:hAnsi="Arial"/>
          <w:sz w:val="17"/>
          <w:szCs w:val="17"/>
          <w:color w:val="auto"/>
        </w:rPr>
        <w:t>We have incurred significant operating expenses and net losses since inception. We incurred net losses of $32.5 million and $10.6 million for the three months ended March 31, 2020 and 2019, respectively. Our accumulated deficit as of March 31, 2020 was $208.4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to Date and Recent Developments</w:t>
      </w:r>
    </w:p>
    <w:p>
      <w:pPr>
        <w:spacing w:after="0" w:line="189" w:lineRule="exact"/>
        <w:rPr>
          <w:sz w:val="20"/>
          <w:szCs w:val="20"/>
          <w:color w:val="auto"/>
        </w:rPr>
      </w:pPr>
    </w:p>
    <w:p>
      <w:pPr>
        <w:ind w:left="40" w:right="819" w:firstLine="648"/>
        <w:spacing w:after="0" w:line="224" w:lineRule="auto"/>
        <w:rPr>
          <w:sz w:val="20"/>
          <w:szCs w:val="20"/>
          <w:color w:val="auto"/>
        </w:rPr>
      </w:pPr>
      <w:r>
        <w:rPr>
          <w:rFonts w:ascii="Arial" w:cs="Arial" w:eastAsia="Arial" w:hAnsi="Arial"/>
          <w:sz w:val="18"/>
          <w:szCs w:val="18"/>
          <w:color w:val="auto"/>
        </w:rPr>
        <w:t>In January 2020, we entered into an exclusive license agreement with Pfizer Inc. for Pfizer's clinical and nonclinical data, and intellectual property for reboxetine, the active pharmaceutical ingredient in AXS-12, and esreboxetine, the active pharmaceutical ingredient in AXS-14.</w:t>
      </w:r>
    </w:p>
    <w:p>
      <w:pPr>
        <w:spacing w:after="0" w:line="163" w:lineRule="exact"/>
        <w:rPr>
          <w:sz w:val="20"/>
          <w:szCs w:val="20"/>
          <w:color w:val="auto"/>
        </w:rPr>
      </w:pPr>
    </w:p>
    <w:p>
      <w:pPr>
        <w:ind w:left="40" w:right="279" w:firstLine="648"/>
        <w:spacing w:after="0" w:line="235" w:lineRule="auto"/>
        <w:rPr>
          <w:sz w:val="20"/>
          <w:szCs w:val="20"/>
          <w:color w:val="auto"/>
        </w:rPr>
      </w:pPr>
      <w:r>
        <w:rPr>
          <w:rFonts w:ascii="Arial" w:cs="Arial" w:eastAsia="Arial" w:hAnsi="Arial"/>
          <w:sz w:val="18"/>
          <w:szCs w:val="18"/>
          <w:color w:val="auto"/>
        </w:rPr>
        <w:t>In February 2020, we promoted Mark Jacobson from his role of Senior Vice President, Operations to the role of Chief Operating Officer.</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March 2020, we announced topline results of the STRIDE-1 Phase 3 trial of AXS-05 in TRD.</w:t>
      </w:r>
    </w:p>
    <w:p>
      <w:pPr>
        <w:spacing w:after="0" w:line="185" w:lineRule="exact"/>
        <w:rPr>
          <w:sz w:val="20"/>
          <w:szCs w:val="20"/>
          <w:color w:val="auto"/>
        </w:rPr>
      </w:pPr>
    </w:p>
    <w:p>
      <w:pPr>
        <w:ind w:left="40" w:right="239" w:firstLine="648"/>
        <w:spacing w:after="0" w:line="203" w:lineRule="exact"/>
        <w:rPr>
          <w:sz w:val="20"/>
          <w:szCs w:val="20"/>
          <w:color w:val="auto"/>
        </w:rPr>
      </w:pPr>
      <w:r>
        <w:rPr>
          <w:rFonts w:ascii="Arial" w:cs="Arial" w:eastAsia="Arial" w:hAnsi="Arial"/>
          <w:sz w:val="18"/>
          <w:szCs w:val="18"/>
          <w:color w:val="auto"/>
        </w:rPr>
        <w:t>In April 2020, we announced that AXS-07 met the co</w:t>
      </w:r>
      <w:r>
        <w:rPr>
          <w:rFonts w:ascii="MS PGothic" w:cs="MS PGothic" w:eastAsia="MS PGothic" w:hAnsi="MS PGothic"/>
          <w:sz w:val="18"/>
          <w:szCs w:val="18"/>
          <w:color w:val="auto"/>
        </w:rPr>
        <w:t>‑</w:t>
      </w:r>
      <w:r>
        <w:rPr>
          <w:rFonts w:ascii="Arial" w:cs="Arial" w:eastAsia="Arial" w:hAnsi="Arial"/>
          <w:sz w:val="18"/>
          <w:szCs w:val="18"/>
          <w:color w:val="auto"/>
        </w:rPr>
        <w:t>primary endpoints in the INTERCEPT Phase 3 trial in the early treatment of migraine.</w:t>
      </w:r>
    </w:p>
    <w:p>
      <w:pPr>
        <w:spacing w:after="0" w:line="162" w:lineRule="exact"/>
        <w:rPr>
          <w:sz w:val="20"/>
          <w:szCs w:val="20"/>
          <w:color w:val="auto"/>
        </w:rPr>
      </w:pPr>
    </w:p>
    <w:p>
      <w:pPr>
        <w:ind w:left="40" w:right="559" w:firstLine="648"/>
        <w:spacing w:after="0" w:line="235" w:lineRule="auto"/>
        <w:rPr>
          <w:sz w:val="20"/>
          <w:szCs w:val="20"/>
          <w:color w:val="auto"/>
        </w:rPr>
      </w:pPr>
      <w:r>
        <w:rPr>
          <w:rFonts w:ascii="Arial" w:cs="Arial" w:eastAsia="Arial" w:hAnsi="Arial"/>
          <w:sz w:val="18"/>
          <w:szCs w:val="18"/>
          <w:color w:val="auto"/>
        </w:rPr>
        <w:t>In April 2020, we disclosed that Myrtle Potter will not stand for re-election as a director at our 2020 Annual Meeting of Stockholders because of her other professional responsibilities.</w:t>
      </w:r>
    </w:p>
    <w:p>
      <w:pPr>
        <w:spacing w:after="0" w:line="162" w:lineRule="exact"/>
        <w:rPr>
          <w:sz w:val="20"/>
          <w:szCs w:val="20"/>
          <w:color w:val="auto"/>
        </w:rPr>
      </w:pPr>
    </w:p>
    <w:p>
      <w:pPr>
        <w:ind w:left="40" w:right="339" w:firstLine="648"/>
        <w:spacing w:after="0" w:line="235" w:lineRule="auto"/>
        <w:rPr>
          <w:sz w:val="20"/>
          <w:szCs w:val="20"/>
          <w:color w:val="auto"/>
        </w:rPr>
      </w:pPr>
      <w:r>
        <w:rPr>
          <w:rFonts w:ascii="Arial" w:cs="Arial" w:eastAsia="Arial" w:hAnsi="Arial"/>
          <w:sz w:val="18"/>
          <w:szCs w:val="18"/>
          <w:color w:val="auto"/>
        </w:rPr>
        <w:t>In April 2020, we announced that AXS-05 met the primary endpoint in the ADVANCE-1 Phase 2/3 trial in AD agitation.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additional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left="40" w:right="79"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regulatory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Research and development activities are central to our business model. We will incur substantial costs beyond our present and planned clinical trials in order to file a New Drug Application, or an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169" w:lineRule="exact"/>
        <w:rPr>
          <w:sz w:val="20"/>
          <w:szCs w:val="20"/>
          <w:color w:val="auto"/>
        </w:rPr>
      </w:pPr>
    </w:p>
    <w:p>
      <w:pPr>
        <w:ind w:left="40" w:right="119" w:firstLine="648"/>
        <w:spacing w:after="0" w:line="223" w:lineRule="auto"/>
        <w:rPr>
          <w:sz w:val="20"/>
          <w:szCs w:val="20"/>
          <w:color w:val="auto"/>
        </w:rPr>
      </w:pPr>
      <w:r>
        <w:rPr>
          <w:rFonts w:ascii="Arial" w:cs="Arial" w:eastAsia="Arial" w:hAnsi="Arial"/>
          <w:sz w:val="17"/>
          <w:szCs w:val="17"/>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167" w:lineRule="exact"/>
        <w:rPr>
          <w:sz w:val="20"/>
          <w:szCs w:val="20"/>
          <w:color w:val="auto"/>
        </w:rPr>
      </w:pPr>
    </w:p>
    <w:p>
      <w:pPr>
        <w:ind w:left="40" w:right="299"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months ended March 31, 2020 and 2019:</w:t>
      </w:r>
    </w:p>
    <w:p>
      <w:pPr>
        <w:spacing w:after="0" w:line="157"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Three months ended</w:t>
      </w:r>
    </w:p>
    <w:p>
      <w:pPr>
        <w:ind w:left="74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35"/>
        </w:trPr>
        <w:tc>
          <w:tcPr>
            <w:tcW w:w="4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2"/>
              <w:spacing w:after="0" w:line="13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32"/>
              <w:spacing w:after="0" w:line="13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r>
      <w:tr>
        <w:trPr>
          <w:trHeight w:val="128"/>
        </w:trPr>
        <w:tc>
          <w:tcPr>
            <w:tcW w:w="47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4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AXS-05</w:t>
            </w:r>
          </w:p>
        </w:tc>
        <w:tc>
          <w:tcPr>
            <w:tcW w:w="1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9,317,822</w:t>
            </w:r>
          </w:p>
        </w:tc>
        <w:tc>
          <w:tcPr>
            <w:tcW w:w="360" w:type="dxa"/>
            <w:vAlign w:val="bottom"/>
            <w:gridSpan w:val="2"/>
            <w:shd w:val="clear" w:color="auto" w:fill="CCEEFF"/>
          </w:tcPr>
          <w:p>
            <w:pPr>
              <w:jc w:val="right"/>
              <w:ind w:right="67"/>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3,349,144</w:t>
            </w:r>
          </w:p>
        </w:tc>
        <w:tc>
          <w:tcPr>
            <w:tcW w:w="60" w:type="dxa"/>
            <w:vAlign w:val="bottom"/>
            <w:shd w:val="clear" w:color="auto" w:fill="CCEEFF"/>
          </w:tcPr>
          <w:p>
            <w:pPr>
              <w:spacing w:after="0"/>
              <w:rPr>
                <w:sz w:val="15"/>
                <w:szCs w:val="15"/>
                <w:color w:val="auto"/>
              </w:rPr>
            </w:pPr>
          </w:p>
        </w:tc>
      </w:tr>
      <w:tr>
        <w:trPr>
          <w:trHeight w:val="175"/>
        </w:trPr>
        <w:tc>
          <w:tcPr>
            <w:tcW w:w="476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6,010,278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2,532,618</w:t>
            </w:r>
          </w:p>
        </w:tc>
        <w:tc>
          <w:tcPr>
            <w:tcW w:w="60" w:type="dxa"/>
            <w:vAlign w:val="bottom"/>
          </w:tcPr>
          <w:p>
            <w:pPr>
              <w:spacing w:after="0"/>
              <w:rPr>
                <w:sz w:val="15"/>
                <w:szCs w:val="15"/>
                <w:color w:val="auto"/>
              </w:rPr>
            </w:pPr>
          </w:p>
        </w:tc>
      </w:tr>
      <w:tr>
        <w:trPr>
          <w:trHeight w:val="176"/>
        </w:trPr>
        <w:tc>
          <w:tcPr>
            <w:tcW w:w="4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AXS-12</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5,557,062</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447,027</w:t>
            </w:r>
          </w:p>
        </w:tc>
        <w:tc>
          <w:tcPr>
            <w:tcW w:w="60" w:type="dxa"/>
            <w:vAlign w:val="bottom"/>
            <w:shd w:val="clear" w:color="auto" w:fill="CCEEFF"/>
          </w:tcPr>
          <w:p>
            <w:pPr>
              <w:spacing w:after="0"/>
              <w:rPr>
                <w:sz w:val="15"/>
                <w:szCs w:val="15"/>
                <w:color w:val="auto"/>
              </w:rPr>
            </w:pPr>
          </w:p>
        </w:tc>
      </w:tr>
      <w:tr>
        <w:trPr>
          <w:trHeight w:val="175"/>
        </w:trPr>
        <w:tc>
          <w:tcPr>
            <w:tcW w:w="4760" w:type="dxa"/>
            <w:vAlign w:val="bottom"/>
          </w:tcPr>
          <w:p>
            <w:pPr>
              <w:ind w:left="220"/>
              <w:spacing w:after="0" w:line="176" w:lineRule="exact"/>
              <w:rPr>
                <w:sz w:val="20"/>
                <w:szCs w:val="20"/>
                <w:color w:val="auto"/>
              </w:rPr>
            </w:pPr>
            <w:r>
              <w:rPr>
                <w:rFonts w:ascii="Arial" w:cs="Arial" w:eastAsia="Arial" w:hAnsi="Arial"/>
                <w:sz w:val="18"/>
                <w:szCs w:val="18"/>
                <w:color w:val="auto"/>
              </w:rPr>
              <w:t>AXS-14</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5,077,669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5"/>
        </w:trPr>
        <w:tc>
          <w:tcPr>
            <w:tcW w:w="4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47,993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48,007</w:t>
            </w:r>
          </w:p>
        </w:tc>
        <w:tc>
          <w:tcPr>
            <w:tcW w:w="60" w:type="dxa"/>
            <w:vAlign w:val="bottom"/>
            <w:shd w:val="clear" w:color="auto" w:fill="CCEEFF"/>
          </w:tcPr>
          <w:p>
            <w:pPr>
              <w:spacing w:after="0"/>
              <w:rPr>
                <w:sz w:val="15"/>
                <w:szCs w:val="15"/>
                <w:color w:val="auto"/>
              </w:rPr>
            </w:pPr>
          </w:p>
        </w:tc>
      </w:tr>
      <w:tr>
        <w:trPr>
          <w:trHeight w:val="176"/>
        </w:trPr>
        <w:tc>
          <w:tcPr>
            <w:tcW w:w="4760" w:type="dxa"/>
            <w:vAlign w:val="bottom"/>
          </w:tcPr>
          <w:p>
            <w:pPr>
              <w:ind w:left="220"/>
              <w:spacing w:after="0" w:line="176" w:lineRule="exact"/>
              <w:rPr>
                <w:sz w:val="20"/>
                <w:szCs w:val="20"/>
                <w:color w:val="auto"/>
              </w:rPr>
            </w:pPr>
            <w:r>
              <w:rPr>
                <w:rFonts w:ascii="Arial" w:cs="Arial" w:eastAsia="Arial" w:hAnsi="Arial"/>
                <w:sz w:val="18"/>
                <w:szCs w:val="18"/>
                <w:color w:val="auto"/>
              </w:rPr>
              <w:t>AXS-06</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3,671</w:t>
            </w:r>
          </w:p>
        </w:tc>
        <w:tc>
          <w:tcPr>
            <w:tcW w:w="60" w:type="dxa"/>
            <w:vAlign w:val="bottom"/>
          </w:tcPr>
          <w:p>
            <w:pPr>
              <w:spacing w:after="0"/>
              <w:rPr>
                <w:sz w:val="15"/>
                <w:szCs w:val="15"/>
                <w:color w:val="auto"/>
              </w:rPr>
            </w:pPr>
          </w:p>
        </w:tc>
      </w:tr>
      <w:tr>
        <w:trPr>
          <w:trHeight w:val="175"/>
        </w:trPr>
        <w:tc>
          <w:tcPr>
            <w:tcW w:w="4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876,201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1,120,913</w:t>
            </w:r>
          </w:p>
        </w:tc>
        <w:tc>
          <w:tcPr>
            <w:tcW w:w="60" w:type="dxa"/>
            <w:vAlign w:val="bottom"/>
            <w:shd w:val="clear" w:color="auto" w:fill="CCEEFF"/>
          </w:tcPr>
          <w:p>
            <w:pPr>
              <w:spacing w:after="0"/>
              <w:rPr>
                <w:sz w:val="15"/>
                <w:szCs w:val="15"/>
                <w:color w:val="auto"/>
              </w:rPr>
            </w:pPr>
          </w:p>
        </w:tc>
      </w:tr>
      <w:tr>
        <w:trPr>
          <w:trHeight w:val="175"/>
        </w:trPr>
        <w:tc>
          <w:tcPr>
            <w:tcW w:w="47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634,375</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101,701</w:t>
            </w:r>
          </w:p>
        </w:tc>
        <w:tc>
          <w:tcPr>
            <w:tcW w:w="60" w:type="dxa"/>
            <w:vAlign w:val="bottom"/>
            <w:tcBorders>
              <w:bottom w:val="single" w:sz="8" w:color="CCEEFF"/>
            </w:tcBorders>
          </w:tcPr>
          <w:p>
            <w:pPr>
              <w:spacing w:after="0"/>
              <w:rPr>
                <w:sz w:val="15"/>
                <w:szCs w:val="15"/>
                <w:color w:val="auto"/>
              </w:rPr>
            </w:pPr>
          </w:p>
        </w:tc>
      </w:tr>
      <w:tr>
        <w:trPr>
          <w:trHeight w:val="176"/>
        </w:trPr>
        <w:tc>
          <w:tcPr>
            <w:tcW w:w="47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research and development expenses</w:t>
            </w:r>
          </w:p>
        </w:tc>
        <w:tc>
          <w:tcPr>
            <w:tcW w:w="1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27,521,400</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7,603,081</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left="40" w:right="579" w:firstLine="648"/>
        <w:spacing w:after="0" w:line="235" w:lineRule="auto"/>
        <w:rPr>
          <w:sz w:val="20"/>
          <w:szCs w:val="20"/>
          <w:color w:val="auto"/>
        </w:rPr>
      </w:pPr>
      <w:r>
        <w:rPr>
          <w:rFonts w:ascii="Arial" w:cs="Arial" w:eastAsia="Arial" w:hAnsi="Arial"/>
          <w:sz w:val="18"/>
          <w:szCs w:val="18"/>
          <w:color w:val="auto"/>
        </w:rPr>
        <w:t>Other research and development expenses primarily consist of employee salaries and benefits, facilities and overhead costs.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left="40" w:right="59"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commercial,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185" w:lineRule="exact"/>
        <w:rPr>
          <w:sz w:val="20"/>
          <w:szCs w:val="20"/>
          <w:color w:val="auto"/>
        </w:rPr>
      </w:pPr>
    </w:p>
    <w:p>
      <w:pPr>
        <w:ind w:left="40" w:right="99" w:firstLine="648"/>
        <w:spacing w:after="0" w:line="182" w:lineRule="exact"/>
        <w:rPr>
          <w:sz w:val="20"/>
          <w:szCs w:val="20"/>
          <w:color w:val="auto"/>
        </w:rPr>
      </w:pPr>
      <w:r>
        <w:rPr>
          <w:rFonts w:ascii="Arial" w:cs="Arial" w:eastAsia="Arial" w:hAnsi="Arial"/>
          <w:sz w:val="18"/>
          <w:szCs w:val="18"/>
          <w:color w:val="auto"/>
        </w:rPr>
        <w:t>Interest income (expense) primarily consists of cash interest and non</w:t>
      </w:r>
      <w:r>
        <w:rPr>
          <w:rFonts w:ascii="MS PGothic" w:cs="MS PGothic" w:eastAsia="MS PGothic" w:hAnsi="MS PGothic"/>
          <w:sz w:val="18"/>
          <w:szCs w:val="18"/>
          <w:color w:val="auto"/>
        </w:rPr>
        <w:t>‑</w:t>
      </w:r>
      <w:r>
        <w:rPr>
          <w:rFonts w:ascii="Arial" w:cs="Arial" w:eastAsia="Arial" w:hAnsi="Arial"/>
          <w:sz w:val="18"/>
          <w:szCs w:val="18"/>
          <w:color w:val="auto"/>
        </w:rPr>
        <w:t>cash costs related to our term loan with SVB (see “Liquidity and Capital Resources” below for a further discussion) and also the interest we receive from SVB on our cash sweep account. We record costs incurred in connection with the issuance of debt as a direct deduction from the debt liability. We amortize these costs over the term of our debt agreements in our consolidated statement of operations. For the three months ended March 31, 2020, the amortization of debt discount expense was related to the 2019 Term Loan, the First Amendment to the 2019 Term Loan, and the 2016 Original and Amended Term Loan, whereas for the three months ended March 31, 2019, the majority of amortization of debt discount expense was related to only the 2016 Original Term Loan.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left="40" w:right="119" w:firstLine="648"/>
        <w:spacing w:after="0" w:line="211"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24" w:lineRule="exact"/>
        <w:rPr>
          <w:sz w:val="20"/>
          <w:szCs w:val="20"/>
          <w:color w:val="auto"/>
        </w:rPr>
      </w:pPr>
    </w:p>
    <w:p>
      <w:pPr>
        <w:ind w:left="40" w:right="99" w:firstLine="648"/>
        <w:spacing w:after="0" w:line="249" w:lineRule="auto"/>
        <w:rPr>
          <w:sz w:val="20"/>
          <w:szCs w:val="20"/>
          <w:color w:val="auto"/>
        </w:rPr>
      </w:pPr>
      <w:r>
        <w:rPr>
          <w:rFonts w:ascii="Arial" w:cs="Arial" w:eastAsia="Arial" w:hAnsi="Arial"/>
          <w:sz w:val="16"/>
          <w:szCs w:val="16"/>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2019 and in the notes to the condensed consolidated financial statements appearing elsewhere in this Quarterly Report on Form 10-Q.</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80"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Three months ended</w:t>
      </w:r>
    </w:p>
    <w:p>
      <w:pPr>
        <w:ind w:left="738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3"/>
              <w:spacing w:after="0" w:line="13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93"/>
              <w:spacing w:after="0" w:line="13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2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27,521,400</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7,603,081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4,970,057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2,818,892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95"/>
              </w:rPr>
              <w:t>32,491,457</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95"/>
              </w:rPr>
              <w:t>10,421,973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(32,491,457)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2"/>
              </w:rPr>
              <w:t>(10,421,973)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Interest income (expense)</w:t>
            </w:r>
          </w:p>
        </w:tc>
        <w:tc>
          <w:tcPr>
            <w:tcW w:w="2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7,311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(218,903)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(32,484,146)</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2"/>
              </w:rPr>
              <w:t>(10,640,876)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85" w:lineRule="exact"/>
        <w:rPr>
          <w:sz w:val="20"/>
          <w:szCs w:val="20"/>
          <w:color w:val="auto"/>
        </w:rPr>
      </w:pPr>
    </w:p>
    <w:p>
      <w:pPr>
        <w:ind w:left="40" w:right="59" w:firstLine="648"/>
        <w:spacing w:after="0" w:line="212"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were $27.5 million, compared to $7.6 million for the three months ended March 31, 2019, an increase of $19.9 million. R&amp;D expense in the quarter included a one-time charge of $10.2 million for the Pfizer license agreement, of which $7.2 million was non-cash related. The remaining increase was due primarily to ongoing spend for our active clinical trials in the quarter which included the STRIDE-1, ADVANCE-1, and INTERCEPT trials, close-out costs for our previously completed GEMINI, MOMENTUM, and CONCERT trials, along with costs associated with the AXS-05 and AXS-07 open-label safety studies.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79"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2020 was $5.0 million, compared to $2.8 million for the three months ended March 31, 2019, an increase of $2.2 million. The change was primarily due to increased personnel costs, mainly from an increase in stock compensation expense, along with the build-out of the commercial function.</w:t>
      </w:r>
    </w:p>
    <w:p>
      <w:pPr>
        <w:spacing w:after="0" w:line="163" w:lineRule="exact"/>
        <w:rPr>
          <w:sz w:val="20"/>
          <w:szCs w:val="20"/>
          <w:color w:val="auto"/>
        </w:rPr>
      </w:pPr>
    </w:p>
    <w:p>
      <w:pPr>
        <w:ind w:left="40" w:right="99" w:firstLine="648"/>
        <w:spacing w:after="0" w:line="249" w:lineRule="auto"/>
        <w:rPr>
          <w:sz w:val="20"/>
          <w:szCs w:val="20"/>
          <w:color w:val="auto"/>
        </w:rPr>
      </w:pPr>
      <w:r>
        <w:rPr>
          <w:rFonts w:ascii="Arial" w:cs="Arial" w:eastAsia="Arial" w:hAnsi="Arial"/>
          <w:sz w:val="16"/>
          <w:szCs w:val="16"/>
          <w:i w:val="1"/>
          <w:iCs w:val="1"/>
          <w:color w:val="auto"/>
        </w:rPr>
        <w:t xml:space="preserve">Interest Income (Expense). </w:t>
      </w:r>
      <w:r>
        <w:rPr>
          <w:rFonts w:ascii="Arial" w:cs="Arial" w:eastAsia="Arial" w:hAnsi="Arial"/>
          <w:sz w:val="16"/>
          <w:szCs w:val="16"/>
          <w:color w:val="auto"/>
        </w:rPr>
        <w:t>Interest income (expense) for the three months ended March 31, 2020 was income of</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$0.1 million, compared to expense of $0.2 million for the three months ended March 31, 2019, a decrease of $0.2 million. The decrease of $0.2 million was driven by interest income of $0.6 million offset by interest expense and amortization of the debt discount associated with our March 2019 loan and security agreement with SVB for $20 million.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40" w:right="299" w:firstLine="648"/>
        <w:spacing w:after="0" w:line="235" w:lineRule="auto"/>
        <w:rPr>
          <w:sz w:val="20"/>
          <w:szCs w:val="20"/>
          <w:color w:val="auto"/>
        </w:rPr>
      </w:pPr>
      <w:r>
        <w:rPr>
          <w:rFonts w:ascii="Arial" w:cs="Arial" w:eastAsia="Arial" w:hAnsi="Arial"/>
          <w:sz w:val="18"/>
          <w:szCs w:val="18"/>
          <w:color w:val="auto"/>
        </w:rPr>
        <w:t>Since our inception through March 31, 2020, we have financed our operations primarily through proceeds from equity offerings and debt borrowings. See discussion below.</w:t>
      </w:r>
    </w:p>
    <w:p>
      <w:pPr>
        <w:spacing w:after="0" w:line="162" w:lineRule="exact"/>
        <w:rPr>
          <w:sz w:val="20"/>
          <w:szCs w:val="20"/>
          <w:color w:val="auto"/>
        </w:rPr>
      </w:pPr>
    </w:p>
    <w:p>
      <w:pPr>
        <w:ind w:left="40" w:right="379" w:firstLine="648"/>
        <w:spacing w:after="0" w:line="219" w:lineRule="auto"/>
        <w:rPr>
          <w:sz w:val="20"/>
          <w:szCs w:val="20"/>
          <w:color w:val="auto"/>
        </w:rPr>
      </w:pPr>
      <w:r>
        <w:rPr>
          <w:rFonts w:ascii="Arial" w:cs="Arial" w:eastAsia="Arial" w:hAnsi="Arial"/>
          <w:sz w:val="18"/>
          <w:szCs w:val="18"/>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63" w:lineRule="exact"/>
        <w:rPr>
          <w:sz w:val="20"/>
          <w:szCs w:val="20"/>
          <w:color w:val="auto"/>
        </w:rPr>
      </w:pPr>
    </w:p>
    <w:p>
      <w:pPr>
        <w:ind w:left="40" w:right="119" w:firstLine="648"/>
        <w:spacing w:after="0" w:line="222"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$4.0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163" w:lineRule="exact"/>
        <w:rPr>
          <w:sz w:val="20"/>
          <w:szCs w:val="20"/>
          <w:color w:val="auto"/>
        </w:rPr>
      </w:pPr>
    </w:p>
    <w:p>
      <w:pPr>
        <w:ind w:left="40" w:right="59" w:firstLine="648"/>
        <w:spacing w:after="0" w:line="223" w:lineRule="auto"/>
        <w:rPr>
          <w:sz w:val="20"/>
          <w:szCs w:val="20"/>
          <w:color w:val="auto"/>
        </w:rPr>
      </w:pPr>
      <w:r>
        <w:rPr>
          <w:rFonts w:ascii="Arial" w:cs="Arial" w:eastAsia="Arial" w:hAnsi="Arial"/>
          <w:sz w:val="17"/>
          <w:szCs w:val="17"/>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The 2016 Shelf Registration Statement expired on December 16, 2019.</w:t>
      </w:r>
    </w:p>
    <w:p>
      <w:pPr>
        <w:spacing w:after="0" w:line="167" w:lineRule="exact"/>
        <w:rPr>
          <w:sz w:val="20"/>
          <w:szCs w:val="20"/>
          <w:color w:val="auto"/>
        </w:rPr>
      </w:pPr>
    </w:p>
    <w:p>
      <w:pPr>
        <w:ind w:left="40" w:right="139" w:firstLine="648"/>
        <w:spacing w:after="0" w:line="237"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3" w:lineRule="exact"/>
        <w:rPr>
          <w:sz w:val="20"/>
          <w:szCs w:val="20"/>
          <w:color w:val="auto"/>
        </w:rPr>
      </w:pPr>
    </w:p>
    <w:p>
      <w:pPr>
        <w:ind w:left="40" w:right="119" w:firstLine="648"/>
        <w:spacing w:after="0" w:line="225" w:lineRule="auto"/>
        <w:rPr>
          <w:sz w:val="20"/>
          <w:szCs w:val="20"/>
          <w:color w:val="auto"/>
        </w:rPr>
      </w:pPr>
      <w:r>
        <w:rPr>
          <w:rFonts w:ascii="Arial" w:cs="Arial" w:eastAsia="Arial" w:hAnsi="Arial"/>
          <w:sz w:val="17"/>
          <w:szCs w:val="17"/>
          <w:color w:val="auto"/>
        </w:rPr>
        <w:t>In October 2017, we entered into an “at-the-market” sales agreement, or the 2017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2017 Sales Agreement. Upon completion of the final sale fully exhausting the $30 million of shares available for sale, the 2017 Sales Agreement was automatically terminated, SVB Leerink received a commission of 3.0% of the gross proceeds for all shares sold under the 2017 Sales Agreement.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In December 2017, we completed a registered direct offering priced at the market, which we refer to the as the 2017 Registered Direct Offering,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w:t>
      </w:r>
    </w:p>
    <w:p>
      <w:pPr>
        <w:ind w:left="40" w:right="59"/>
        <w:spacing w:after="0" w:line="237" w:lineRule="auto"/>
        <w:rPr>
          <w:sz w:val="20"/>
          <w:szCs w:val="20"/>
          <w:color w:val="auto"/>
        </w:rPr>
      </w:pPr>
      <w:r>
        <w:rPr>
          <w:rFonts w:ascii="Arial" w:cs="Arial" w:eastAsia="Arial" w:hAnsi="Arial"/>
          <w:sz w:val="16"/>
          <w:szCs w:val="16"/>
          <w:color w:val="auto"/>
        </w:rPr>
        <w:t>1,783,587 Units in the 2017 Registered Direct Offering for gross proceeds of approximately $9.5 million and net proceeds of approximately $8.8 million, after deducting placement agent fees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63" w:lineRule="exact"/>
        <w:rPr>
          <w:sz w:val="20"/>
          <w:szCs w:val="20"/>
          <w:color w:val="auto"/>
        </w:rPr>
      </w:pPr>
    </w:p>
    <w:p>
      <w:pPr>
        <w:ind w:left="40" w:right="219" w:firstLine="648"/>
        <w:spacing w:after="0" w:line="225" w:lineRule="auto"/>
        <w:rPr>
          <w:sz w:val="20"/>
          <w:szCs w:val="20"/>
          <w:color w:val="auto"/>
        </w:rPr>
      </w:pPr>
      <w:r>
        <w:rPr>
          <w:rFonts w:ascii="Arial" w:cs="Arial" w:eastAsia="Arial" w:hAnsi="Arial"/>
          <w:sz w:val="17"/>
          <w:szCs w:val="17"/>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62" w:lineRule="exact"/>
        <w:rPr>
          <w:sz w:val="20"/>
          <w:szCs w:val="20"/>
          <w:color w:val="auto"/>
        </w:rPr>
      </w:pPr>
    </w:p>
    <w:p>
      <w:pPr>
        <w:ind w:left="40" w:right="159" w:firstLine="648"/>
        <w:spacing w:after="0" w:line="181" w:lineRule="exact"/>
        <w:rPr>
          <w:sz w:val="20"/>
          <w:szCs w:val="20"/>
          <w:color w:val="auto"/>
        </w:rPr>
      </w:pPr>
      <w:r>
        <w:rPr>
          <w:rFonts w:ascii="Arial" w:cs="Arial" w:eastAsia="Arial" w:hAnsi="Arial"/>
          <w:sz w:val="17"/>
          <w:szCs w:val="17"/>
          <w:color w:val="auto"/>
        </w:rPr>
        <w:t>In March 2019, we entered into a loan and security agreement with SVB Leerink and WestRiver Innovation Lending Fund VIII, L.P., or WestRiver, for a term loan up to $24.0 million, which completely replaces the Original Term Loan and the First Amendment to the Original Term Loan. The initial tranche of $20.0 million was funded shortly after executing the loan agreement. The second tranche of $4.0 million is available to be drawn, at our option, subject to the achievement of positive data, on or prior to August 15, 2019, with respect to our ongoing Phase 2 clinical trial for AXS</w:t>
      </w:r>
      <w:r>
        <w:rPr>
          <w:rFonts w:ascii="MS PGothic" w:cs="MS PGothic" w:eastAsia="MS PGothic" w:hAnsi="MS PGothic"/>
          <w:sz w:val="17"/>
          <w:szCs w:val="17"/>
          <w:color w:val="auto"/>
        </w:rPr>
        <w:t>‑</w:t>
      </w:r>
      <w:r>
        <w:rPr>
          <w:rFonts w:ascii="Arial" w:cs="Arial" w:eastAsia="Arial" w:hAnsi="Arial"/>
          <w:sz w:val="17"/>
          <w:szCs w:val="17"/>
          <w:color w:val="auto"/>
        </w:rPr>
        <w:t>12 in narcolepsy, sufficient to submit a Phase 3 protocol to FDA, provided that we have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w:t>
      </w:r>
    </w:p>
    <w:p>
      <w:pPr>
        <w:spacing w:after="0" w:line="168"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6"/>
          <w:szCs w:val="16"/>
          <w:color w:val="auto"/>
        </w:rPr>
        <w:t>In May 2019, we entered into a Sales Agreement with SVB Leerink, or the May 2019 Sales Agreement, pursuant to which we could sell up to $50 million in shares of our common stock from time to time through SVB Leerink, acting as our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160" w:lineRule="exact"/>
        <w:rPr>
          <w:sz w:val="20"/>
          <w:szCs w:val="20"/>
          <w:color w:val="auto"/>
        </w:rPr>
      </w:pPr>
    </w:p>
    <w:p>
      <w:pPr>
        <w:ind w:left="40" w:right="119" w:firstLine="648"/>
        <w:spacing w:after="0" w:line="222" w:lineRule="auto"/>
        <w:rPr>
          <w:sz w:val="20"/>
          <w:szCs w:val="20"/>
          <w:color w:val="auto"/>
        </w:rPr>
      </w:pPr>
      <w:r>
        <w:rPr>
          <w:rFonts w:ascii="Arial" w:cs="Arial" w:eastAsia="Arial" w:hAnsi="Arial"/>
          <w:sz w:val="17"/>
          <w:szCs w:val="17"/>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68" w:lineRule="exact"/>
        <w:rPr>
          <w:sz w:val="20"/>
          <w:szCs w:val="20"/>
          <w:color w:val="auto"/>
        </w:rPr>
      </w:pPr>
    </w:p>
    <w:p>
      <w:pPr>
        <w:ind w:left="40" w:right="219" w:firstLine="648"/>
        <w:spacing w:after="0" w:line="237" w:lineRule="auto"/>
        <w:rPr>
          <w:sz w:val="20"/>
          <w:szCs w:val="20"/>
          <w:color w:val="auto"/>
        </w:rPr>
      </w:pPr>
      <w:r>
        <w:rPr>
          <w:rFonts w:ascii="Arial" w:cs="Arial" w:eastAsia="Arial" w:hAnsi="Arial"/>
          <w:sz w:val="17"/>
          <w:szCs w:val="17"/>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99" w:firstLine="648"/>
        <w:spacing w:after="0" w:line="214" w:lineRule="auto"/>
        <w:rPr>
          <w:sz w:val="20"/>
          <w:szCs w:val="20"/>
          <w:color w:val="auto"/>
        </w:rPr>
      </w:pPr>
      <w:r>
        <w:rPr>
          <w:rFonts w:ascii="Arial" w:cs="Arial" w:eastAsia="Arial" w:hAnsi="Arial"/>
          <w:sz w:val="18"/>
          <w:szCs w:val="18"/>
          <w:color w:val="auto"/>
        </w:rPr>
        <w:t>In December 2019, we entered into a new Sales Agreement with SVB Leerink, or the December 2019 Sales Agreement,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We did not issue any common stock under the 2019 Sales Agreement during the three months ended March 31, 2020.</w:t>
      </w:r>
    </w:p>
    <w:p>
      <w:pPr>
        <w:spacing w:after="0" w:line="162"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6"/>
          <w:szCs w:val="16"/>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after deducting underwriting discounts and offering expenses.</w:t>
      </w:r>
    </w:p>
    <w:p>
      <w:pPr>
        <w:spacing w:after="0" w:line="147" w:lineRule="exact"/>
        <w:rPr>
          <w:sz w:val="20"/>
          <w:szCs w:val="20"/>
          <w:color w:val="auto"/>
        </w:rPr>
      </w:pPr>
    </w:p>
    <w:p>
      <w:pPr>
        <w:ind w:left="40" w:right="259" w:firstLine="648"/>
        <w:spacing w:after="0" w:line="249" w:lineRule="auto"/>
        <w:rPr>
          <w:sz w:val="20"/>
          <w:szCs w:val="20"/>
          <w:color w:val="auto"/>
        </w:rPr>
      </w:pPr>
      <w:r>
        <w:rPr>
          <w:rFonts w:ascii="Arial" w:cs="Arial" w:eastAsia="Arial" w:hAnsi="Arial"/>
          <w:sz w:val="16"/>
          <w:szCs w:val="16"/>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54" w:lineRule="exact"/>
        <w:rPr>
          <w:sz w:val="20"/>
          <w:szCs w:val="20"/>
          <w:color w:val="auto"/>
        </w:rPr>
      </w:pPr>
    </w:p>
    <w:p>
      <w:pPr>
        <w:ind w:left="40" w:right="219" w:firstLine="648"/>
        <w:spacing w:after="0" w:line="249" w:lineRule="auto"/>
        <w:rPr>
          <w:sz w:val="20"/>
          <w:szCs w:val="20"/>
          <w:color w:val="auto"/>
        </w:rPr>
      </w:pPr>
      <w:r>
        <w:rPr>
          <w:rFonts w:ascii="Arial" w:cs="Arial" w:eastAsia="Arial" w:hAnsi="Arial"/>
          <w:sz w:val="16"/>
          <w:szCs w:val="16"/>
          <w:color w:val="auto"/>
        </w:rPr>
        <w:t>We believe our currently available cash will be sufficient to fund our anticipated operating cash requirements for at least two years from the date of this report.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right"/>
              <w:ind w:right="322"/>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3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(23,273,184)</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7"/>
              </w:rPr>
              <w:t>(9,499,210)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3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(9,331)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3200" w:type="dxa"/>
            <w:vAlign w:val="bottom"/>
            <w:gridSpan w:val="2"/>
          </w:tcPr>
          <w:p>
            <w:pPr>
              <w:jc w:val="right"/>
              <w:ind w:right="2"/>
              <w:spacing w:after="0" w:line="176" w:lineRule="exact"/>
              <w:rPr>
                <w:sz w:val="20"/>
                <w:szCs w:val="20"/>
                <w:color w:val="auto"/>
              </w:rPr>
            </w:pPr>
            <w:r>
              <w:rPr>
                <w:rFonts w:ascii="Arial" w:cs="Arial" w:eastAsia="Arial" w:hAnsi="Arial"/>
                <w:sz w:val="18"/>
                <w:szCs w:val="18"/>
                <w:color w:val="auto"/>
              </w:rPr>
              <w:t>629,756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3"/>
              </w:rPr>
              <w:t>38,154,955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8"/>
              </w:rPr>
              <w:t>$ (22,652,759)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3"/>
              </w:rPr>
              <w:t>28,655,745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79" w:firstLine="648"/>
        <w:spacing w:after="0" w:line="21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for the three months ended March 31, 2020 was $23.3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$9.5 million for the three months ended March 31, 2019. The increase of $13.8 million in net cash used included the upfront cash payment of $3.0 million to Pfizer. Additionally, there was a higher cash outlay as a result of the multiple product candidates that were in clinical trials.</w:t>
      </w:r>
    </w:p>
    <w:p>
      <w:pPr>
        <w:spacing w:after="0" w:line="163" w:lineRule="exact"/>
        <w:rPr>
          <w:sz w:val="20"/>
          <w:szCs w:val="20"/>
          <w:color w:val="auto"/>
        </w:rPr>
      </w:pPr>
    </w:p>
    <w:p>
      <w:pPr>
        <w:ind w:left="40" w:right="339"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three months ended March 31, 2020 and 2019.</w:t>
      </w:r>
    </w:p>
    <w:p>
      <w:pPr>
        <w:spacing w:after="0" w:line="162" w:lineRule="exact"/>
        <w:rPr>
          <w:sz w:val="20"/>
          <w:szCs w:val="20"/>
          <w:color w:val="auto"/>
        </w:rPr>
      </w:pPr>
    </w:p>
    <w:p>
      <w:pPr>
        <w:ind w:left="40" w:right="159" w:firstLine="648"/>
        <w:spacing w:after="0" w:line="24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$0.6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2020, which are proceeds from the issuance of common stock upon exercise of employee stock options. For the three months ended March 31, 2019, cash provided by financing activities was $38.2 million, which included net proceeds from the sale of common stock through our 2017 Sales Agreement with SVB Leerink of $25.0 million and proceeds from the 2019 Term Loan of $20.0 million, offset by the repayment on our 2016 Amended Term Loan of $7.2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Funding requirements</w:t>
      </w:r>
    </w:p>
    <w:p>
      <w:pPr>
        <w:spacing w:after="0" w:line="148" w:lineRule="exact"/>
        <w:rPr>
          <w:sz w:val="20"/>
          <w:szCs w:val="20"/>
          <w:color w:val="auto"/>
        </w:rPr>
      </w:pPr>
    </w:p>
    <w:p>
      <w:pPr>
        <w:ind w:left="40" w:right="99" w:firstLine="648"/>
        <w:spacing w:after="0" w:line="228" w:lineRule="auto"/>
        <w:rPr>
          <w:sz w:val="20"/>
          <w:szCs w:val="20"/>
          <w:color w:val="auto"/>
        </w:rPr>
      </w:pPr>
      <w:r>
        <w:rPr>
          <w:rFonts w:ascii="Arial" w:cs="Arial" w:eastAsia="Arial" w:hAnsi="Arial"/>
          <w:sz w:val="17"/>
          <w:szCs w:val="17"/>
          <w:color w:val="auto"/>
        </w:rPr>
        <w:t>We have not achieved profitability since our inception and we expect to continue to incur significant losses for the foreseeable future. We expect our cumulative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5" w:lineRule="exact"/>
        <w:rPr>
          <w:sz w:val="20"/>
          <w:szCs w:val="20"/>
          <w:color w:val="auto"/>
        </w:rPr>
      </w:pPr>
    </w:p>
    <w:p>
      <w:pPr>
        <w:ind w:left="40" w:right="99" w:firstLine="648"/>
        <w:spacing w:after="0" w:line="212" w:lineRule="auto"/>
        <w:rPr>
          <w:sz w:val="20"/>
          <w:szCs w:val="20"/>
          <w:color w:val="auto"/>
        </w:rPr>
      </w:pPr>
      <w:r>
        <w:rPr>
          <w:rFonts w:ascii="Arial" w:cs="Arial" w:eastAsia="Arial" w:hAnsi="Arial"/>
          <w:sz w:val="18"/>
          <w:szCs w:val="18"/>
          <w:color w:val="auto"/>
        </w:rPr>
        <w:t>We anticipate that we will likely need to raise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rFonts w:ascii="Arial" w:cs="Arial" w:eastAsia="Arial" w:hAnsi="Arial"/>
          <w:sz w:val="18"/>
          <w:szCs w:val="18"/>
          <w:color w:val="auto"/>
        </w:rPr>
      </w:pPr>
    </w:p>
    <w:p>
      <w:pPr>
        <w:ind w:left="1020" w:right="239" w:hanging="328"/>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94" w:lineRule="exact"/>
        <w:rPr>
          <w:rFonts w:ascii="Arial" w:cs="Arial" w:eastAsia="Arial" w:hAnsi="Arial"/>
          <w:sz w:val="18"/>
          <w:szCs w:val="18"/>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17" w:lineRule="exact"/>
        <w:rPr>
          <w:rFonts w:ascii="Arial" w:cs="Arial" w:eastAsia="Arial" w:hAnsi="Arial"/>
          <w:sz w:val="18"/>
          <w:szCs w:val="18"/>
          <w:color w:val="auto"/>
        </w:rPr>
      </w:pPr>
    </w:p>
    <w:p>
      <w:pPr>
        <w:ind w:left="1020" w:right="479" w:hanging="328"/>
        <w:spacing w:after="0" w:line="289"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56" w:lineRule="exact"/>
        <w:rPr>
          <w:rFonts w:ascii="Arial" w:cs="Arial" w:eastAsia="Arial" w:hAnsi="Arial"/>
          <w:sz w:val="16"/>
          <w:szCs w:val="16"/>
          <w:color w:val="auto"/>
        </w:rPr>
      </w:pPr>
    </w:p>
    <w:p>
      <w:pPr>
        <w:ind w:left="1020" w:right="659" w:hanging="328"/>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arising from or related to COVID-19;</w:t>
      </w:r>
    </w:p>
    <w:p>
      <w:pPr>
        <w:spacing w:after="0" w:line="94" w:lineRule="exact"/>
        <w:rPr>
          <w:rFonts w:ascii="Arial" w:cs="Arial" w:eastAsia="Arial" w:hAnsi="Arial"/>
          <w:sz w:val="18"/>
          <w:szCs w:val="18"/>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17" w:lineRule="exact"/>
        <w:rPr>
          <w:rFonts w:ascii="Arial" w:cs="Arial" w:eastAsia="Arial" w:hAnsi="Arial"/>
          <w:sz w:val="18"/>
          <w:szCs w:val="18"/>
          <w:color w:val="auto"/>
        </w:rPr>
      </w:pPr>
    </w:p>
    <w:p>
      <w:pPr>
        <w:ind w:left="1020" w:right="79" w:hanging="328"/>
        <w:spacing w:after="0" w:line="23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rFonts w:ascii="Arial" w:cs="Arial" w:eastAsia="Arial" w:hAnsi="Arial"/>
          <w:sz w:val="18"/>
          <w:szCs w:val="18"/>
          <w:color w:val="auto"/>
        </w:rPr>
      </w:pPr>
    </w:p>
    <w:p>
      <w:pPr>
        <w:ind w:left="1020" w:right="399" w:hanging="328"/>
        <w:spacing w:after="0" w:line="203" w:lineRule="exact"/>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 with Pfizer</w:t>
      </w:r>
    </w:p>
    <w:p>
      <w:pPr>
        <w:spacing w:after="0" w:line="185" w:lineRule="exact"/>
        <w:rPr>
          <w:sz w:val="20"/>
          <w:szCs w:val="20"/>
          <w:color w:val="auto"/>
        </w:rPr>
      </w:pPr>
    </w:p>
    <w:p>
      <w:pPr>
        <w:jc w:val="both"/>
        <w:ind w:left="40" w:right="59" w:firstLine="648"/>
        <w:spacing w:after="0" w:line="226" w:lineRule="auto"/>
        <w:rPr>
          <w:sz w:val="20"/>
          <w:szCs w:val="20"/>
          <w:color w:val="auto"/>
        </w:rPr>
      </w:pPr>
      <w:r>
        <w:rPr>
          <w:rFonts w:ascii="Arial" w:cs="Arial" w:eastAsia="Arial" w:hAnsi="Arial"/>
          <w:sz w:val="17"/>
          <w:szCs w:val="17"/>
          <w:color w:val="auto"/>
        </w:rPr>
        <w:t>In January 2020, we entered into a license agreement with Pfizer. Under the terms of our exclusive license agreement with Pfizer, Pfizer received 82,019 shares of our common stock having a stated value of $8.0 million, based on the average closing price of the Company’s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the our common stock on that date. As a result, the fair value of the stock issued was $7.2 million.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79" w:firstLine="693"/>
        <w:spacing w:after="0" w:line="224" w:lineRule="auto"/>
        <w:rPr>
          <w:sz w:val="20"/>
          <w:szCs w:val="20"/>
          <w:color w:val="auto"/>
        </w:rPr>
      </w:pPr>
      <w:r>
        <w:rPr>
          <w:rFonts w:ascii="Arial" w:cs="Arial" w:eastAsia="Arial" w:hAnsi="Arial"/>
          <w:sz w:val="18"/>
          <w:szCs w:val="18"/>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agreements with Antecip Bioventures</w:t>
      </w:r>
    </w:p>
    <w:p>
      <w:pPr>
        <w:spacing w:after="0" w:line="185" w:lineRule="exact"/>
        <w:rPr>
          <w:sz w:val="20"/>
          <w:szCs w:val="20"/>
          <w:color w:val="auto"/>
        </w:rPr>
      </w:pPr>
    </w:p>
    <w:p>
      <w:pPr>
        <w:ind w:left="40" w:right="99"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185" w:lineRule="exact"/>
        <w:rPr>
          <w:sz w:val="20"/>
          <w:szCs w:val="20"/>
          <w:color w:val="auto"/>
        </w:rPr>
      </w:pPr>
    </w:p>
    <w:p>
      <w:pPr>
        <w:ind w:left="40" w:right="59" w:firstLine="648"/>
        <w:spacing w:after="0" w:line="225" w:lineRule="auto"/>
        <w:rPr>
          <w:sz w:val="20"/>
          <w:szCs w:val="20"/>
          <w:color w:val="auto"/>
        </w:rPr>
      </w:pPr>
      <w:r>
        <w:rPr>
          <w:rFonts w:ascii="Arial" w:cs="Arial" w:eastAsia="Arial" w:hAnsi="Arial"/>
          <w:sz w:val="17"/>
          <w:szCs w:val="17"/>
          <w:color w:val="auto"/>
        </w:rPr>
        <w:t>In November 2016, we entered into the 2016 Original Term Loan with SVB Leerink,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2" w:lineRule="exact"/>
        <w:rPr>
          <w:sz w:val="20"/>
          <w:szCs w:val="20"/>
          <w:color w:val="auto"/>
        </w:rPr>
      </w:pPr>
    </w:p>
    <w:p>
      <w:pPr>
        <w:ind w:left="40" w:right="119" w:firstLine="648"/>
        <w:spacing w:after="0" w:line="232" w:lineRule="auto"/>
        <w:rPr>
          <w:sz w:val="20"/>
          <w:szCs w:val="20"/>
          <w:color w:val="auto"/>
        </w:rPr>
      </w:pPr>
      <w:r>
        <w:rPr>
          <w:rFonts w:ascii="Arial" w:cs="Arial" w:eastAsia="Arial" w:hAnsi="Arial"/>
          <w:sz w:val="17"/>
          <w:szCs w:val="17"/>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62" w:lineRule="exact"/>
        <w:rPr>
          <w:sz w:val="20"/>
          <w:szCs w:val="20"/>
          <w:color w:val="auto"/>
        </w:rPr>
      </w:pPr>
    </w:p>
    <w:p>
      <w:pPr>
        <w:ind w:left="40" w:right="199" w:firstLine="648"/>
        <w:spacing w:after="0" w:line="216"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62" w:lineRule="exact"/>
        <w:rPr>
          <w:sz w:val="20"/>
          <w:szCs w:val="20"/>
          <w:color w:val="auto"/>
        </w:rPr>
      </w:pPr>
    </w:p>
    <w:p>
      <w:pPr>
        <w:jc w:val="both"/>
        <w:ind w:left="40" w:right="59" w:firstLine="648"/>
        <w:spacing w:after="0" w:line="224" w:lineRule="auto"/>
        <w:rPr>
          <w:sz w:val="20"/>
          <w:szCs w:val="20"/>
          <w:color w:val="auto"/>
        </w:rPr>
      </w:pPr>
      <w:r>
        <w:rPr>
          <w:rFonts w:ascii="Arial" w:cs="Arial" w:eastAsia="Arial" w:hAnsi="Arial"/>
          <w:sz w:val="18"/>
          <w:szCs w:val="18"/>
          <w:color w:val="auto"/>
        </w:rPr>
        <w:t>In connection with the loan, SVB Leerink and Life Science Loans, LLC, received warrants to purchase an aggregate 65,228 shares of our common stock at an exercise price of $7.41 per share, which are exercisable for seven years from the date of issuance.</w:t>
      </w:r>
    </w:p>
    <w:p>
      <w:pPr>
        <w:spacing w:after="0" w:line="163" w:lineRule="exact"/>
        <w:rPr>
          <w:sz w:val="20"/>
          <w:szCs w:val="20"/>
          <w:color w:val="auto"/>
        </w:rPr>
      </w:pPr>
    </w:p>
    <w:p>
      <w:pPr>
        <w:ind w:left="40" w:right="119"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54" w:lineRule="exact"/>
        <w:rPr>
          <w:sz w:val="20"/>
          <w:szCs w:val="20"/>
          <w:color w:val="auto"/>
        </w:rPr>
      </w:pPr>
    </w:p>
    <w:p>
      <w:pPr>
        <w:ind w:left="40" w:right="139" w:firstLine="648"/>
        <w:spacing w:after="0" w:line="228" w:lineRule="auto"/>
        <w:rPr>
          <w:sz w:val="20"/>
          <w:szCs w:val="20"/>
          <w:color w:val="auto"/>
        </w:rPr>
      </w:pPr>
      <w:r>
        <w:rPr>
          <w:rFonts w:ascii="Arial" w:cs="Arial" w:eastAsia="Arial" w:hAnsi="Arial"/>
          <w:sz w:val="17"/>
          <w:szCs w:val="17"/>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65" w:lineRule="exact"/>
        <w:rPr>
          <w:sz w:val="20"/>
          <w:szCs w:val="20"/>
          <w:color w:val="auto"/>
        </w:rPr>
      </w:pPr>
    </w:p>
    <w:p>
      <w:pPr>
        <w:ind w:left="40" w:right="219" w:firstLine="648"/>
        <w:spacing w:after="0" w:line="224" w:lineRule="auto"/>
        <w:rPr>
          <w:sz w:val="20"/>
          <w:szCs w:val="20"/>
          <w:color w:val="auto"/>
        </w:rPr>
      </w:pPr>
      <w:r>
        <w:rPr>
          <w:rFonts w:ascii="Arial" w:cs="Arial" w:eastAsia="Arial" w:hAnsi="Arial"/>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185" w:lineRule="exact"/>
        <w:rPr>
          <w:sz w:val="20"/>
          <w:szCs w:val="20"/>
          <w:color w:val="auto"/>
        </w:rPr>
      </w:pPr>
    </w:p>
    <w:p>
      <w:pPr>
        <w:ind w:left="40" w:right="99" w:firstLine="648"/>
        <w:spacing w:after="0" w:line="212" w:lineRule="auto"/>
        <w:rPr>
          <w:sz w:val="20"/>
          <w:szCs w:val="20"/>
          <w:color w:val="auto"/>
        </w:rPr>
      </w:pPr>
      <w:r>
        <w:rPr>
          <w:rFonts w:ascii="Arial" w:cs="Arial" w:eastAsia="Arial" w:hAnsi="Arial"/>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65" w:lineRule="exact"/>
        <w:rPr>
          <w:sz w:val="20"/>
          <w:szCs w:val="20"/>
          <w:color w:val="auto"/>
        </w:rPr>
      </w:pPr>
    </w:p>
    <w:p>
      <w:pPr>
        <w:ind w:left="40" w:right="239" w:firstLine="648"/>
        <w:spacing w:after="0" w:line="237" w:lineRule="auto"/>
        <w:rPr>
          <w:sz w:val="20"/>
          <w:szCs w:val="20"/>
          <w:color w:val="auto"/>
        </w:rPr>
      </w:pPr>
      <w:r>
        <w:rPr>
          <w:rFonts w:ascii="Arial" w:cs="Arial" w:eastAsia="Arial" w:hAnsi="Arial"/>
          <w:sz w:val="16"/>
          <w:szCs w:val="16"/>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will begin making monthly payments of principal and interest and these payments will continue until the maturity date of February 1, 2023.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7" w:lineRule="exact"/>
        <w:rPr>
          <w:sz w:val="20"/>
          <w:szCs w:val="20"/>
          <w:color w:val="auto"/>
        </w:rPr>
      </w:pPr>
    </w:p>
    <w:p>
      <w:pPr>
        <w:ind w:left="40" w:right="139" w:firstLine="648"/>
        <w:spacing w:after="0" w:line="214" w:lineRule="auto"/>
        <w:rPr>
          <w:sz w:val="20"/>
          <w:szCs w:val="20"/>
          <w:color w:val="auto"/>
        </w:rPr>
      </w:pPr>
      <w:r>
        <w:rPr>
          <w:rFonts w:ascii="Arial" w:cs="Arial" w:eastAsia="Arial" w:hAnsi="Arial"/>
          <w:sz w:val="18"/>
          <w:szCs w:val="18"/>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62" w:lineRule="exact"/>
        <w:rPr>
          <w:sz w:val="20"/>
          <w:szCs w:val="20"/>
          <w:color w:val="auto"/>
        </w:rPr>
      </w:pPr>
    </w:p>
    <w:p>
      <w:pPr>
        <w:ind w:left="40" w:right="59" w:firstLine="648"/>
        <w:spacing w:after="0" w:line="239" w:lineRule="auto"/>
        <w:rPr>
          <w:sz w:val="20"/>
          <w:szCs w:val="20"/>
          <w:color w:val="auto"/>
        </w:rPr>
      </w:pPr>
      <w:r>
        <w:rPr>
          <w:rFonts w:ascii="Arial" w:cs="Arial" w:eastAsia="Arial" w:hAnsi="Arial"/>
          <w:sz w:val="16"/>
          <w:szCs w:val="16"/>
          <w:color w:val="auto"/>
        </w:rPr>
        <w:t>In connection with the 2019 Term Loan, SVB and WestRiver received warrants, or the March 2019 Warrants, to purchase an aggregate 70,000 shares of our common stock at an exercise price of $8.10 per share, which are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162" w:lineRule="exact"/>
        <w:rPr>
          <w:sz w:val="20"/>
          <w:szCs w:val="20"/>
          <w:color w:val="auto"/>
        </w:rPr>
      </w:pPr>
    </w:p>
    <w:p>
      <w:pPr>
        <w:ind w:left="40" w:right="119" w:firstLine="648"/>
        <w:spacing w:after="0" w:line="249"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185"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67" w:lineRule="exact"/>
        <w:rPr>
          <w:sz w:val="20"/>
          <w:szCs w:val="20"/>
          <w:color w:val="auto"/>
        </w:rPr>
      </w:pPr>
    </w:p>
    <w:p>
      <w:pPr>
        <w:ind w:left="40" w:right="99"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ind w:left="40" w:right="219" w:firstLine="648"/>
        <w:spacing w:after="0" w:line="212" w:lineRule="auto"/>
        <w:rPr>
          <w:sz w:val="20"/>
          <w:szCs w:val="20"/>
          <w:color w:val="auto"/>
        </w:rPr>
      </w:pPr>
      <w:r>
        <w:rPr>
          <w:rFonts w:ascii="Arial" w:cs="Arial" w:eastAsia="Arial" w:hAnsi="Arial"/>
          <w:sz w:val="18"/>
          <w:szCs w:val="18"/>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 the portion of the March 2019 Warrants that could originally be earned by SVB and WestRiver upon funding of the Term B Loan Advance. Since we did not draw down the Term B Loan Advance, SVB did not earn the July 2019 Warrants.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the CARES Act</w:t>
      </w:r>
    </w:p>
    <w:p>
      <w:pPr>
        <w:spacing w:after="0" w:line="148" w:lineRule="exact"/>
        <w:rPr>
          <w:sz w:val="20"/>
          <w:szCs w:val="20"/>
          <w:color w:val="auto"/>
        </w:rPr>
      </w:pPr>
    </w:p>
    <w:p>
      <w:pPr>
        <w:ind w:left="40" w:right="139" w:firstLine="492"/>
        <w:spacing w:after="0" w:line="222"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5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left="40" w:right="199"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ind w:left="40" w:right="59" w:firstLine="648"/>
        <w:spacing w:after="0" w:line="24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Furthermore, we anticipate that we will no longer be an emerging growth company as of December 31, 2020.</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left="40" w:right="239" w:firstLine="647"/>
        <w:spacing w:after="0" w:line="224" w:lineRule="auto"/>
        <w:rPr>
          <w:sz w:val="20"/>
          <w:szCs w:val="20"/>
          <w:color w:val="auto"/>
        </w:rPr>
      </w:pPr>
      <w:r>
        <w:rPr>
          <w:rFonts w:ascii="Arial" w:cs="Arial" w:eastAsia="Arial" w:hAnsi="Arial"/>
          <w:sz w:val="18"/>
          <w:szCs w:val="18"/>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59" w:lineRule="exact"/>
        <w:rPr>
          <w:sz w:val="20"/>
          <w:szCs w:val="20"/>
          <w:color w:val="auto"/>
        </w:rPr>
      </w:pPr>
    </w:p>
    <w:p>
      <w:pPr>
        <w:ind w:left="40" w:right="1919"/>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ind w:left="40" w:right="139" w:firstLine="648"/>
        <w:spacing w:after="0" w:line="182" w:lineRule="exact"/>
        <w:rPr>
          <w:sz w:val="20"/>
          <w:szCs w:val="20"/>
          <w:color w:val="auto"/>
        </w:rPr>
      </w:pPr>
      <w:r>
        <w:rPr>
          <w:rFonts w:ascii="Arial" w:cs="Arial" w:eastAsia="Arial" w:hAnsi="Arial"/>
          <w:sz w:val="18"/>
          <w:szCs w:val="18"/>
          <w:color w:val="auto"/>
        </w:rPr>
        <w:t>We are exposed to market risks in the ordinary course of our business and from changes in the interest rate on our debt borrowings. These market risks are principally limited to interest rate fluctuations. We had cash of $197.3 million and $220.0 million as of March 31, 2020 and December 31, 2019,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left="40" w:right="79"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left="40" w:right="279" w:firstLine="648"/>
        <w:spacing w:after="0" w:line="235" w:lineRule="auto"/>
        <w:rPr>
          <w:sz w:val="20"/>
          <w:szCs w:val="20"/>
          <w:color w:val="auto"/>
        </w:rPr>
      </w:pPr>
      <w:r>
        <w:rPr>
          <w:rFonts w:ascii="Arial" w:cs="Arial" w:eastAsia="Arial" w:hAnsi="Arial"/>
          <w:sz w:val="18"/>
          <w:szCs w:val="18"/>
          <w:color w:val="auto"/>
        </w:rPr>
        <w:t>We do not believe a 10% change in these currencies on March 31, 2020 would have had a material effect on our results of operations or financial condition.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left="40" w:right="459"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2020.</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40" w:right="99"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2" w:lineRule="exact"/>
        <w:rPr>
          <w:sz w:val="20"/>
          <w:szCs w:val="20"/>
          <w:color w:val="auto"/>
        </w:rPr>
      </w:pPr>
    </w:p>
    <w:p>
      <w:pPr>
        <w:ind w:left="40" w:right="79"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left="40" w:right="139" w:firstLine="648"/>
        <w:spacing w:after="0" w:line="224" w:lineRule="auto"/>
        <w:rPr>
          <w:sz w:val="20"/>
          <w:szCs w:val="20"/>
          <w:color w:val="auto"/>
        </w:rPr>
      </w:pPr>
      <w:r>
        <w:rPr>
          <w:rFonts w:ascii="Arial" w:cs="Arial" w:eastAsia="Arial" w:hAnsi="Arial"/>
          <w:sz w:val="18"/>
          <w:szCs w:val="18"/>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40" w:right="119" w:firstLine="648"/>
        <w:spacing w:after="0" w:line="212"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left="40" w:right="859"/>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62"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We are a biopharmaceutical company with a limited operating history. For the last several years, we have focused our efforts primarily on developing CNS product candidates, AXS-05, AXS-07, AXS-09, AXS-12, and AXS -14, as well as our Axsome PPC product candidates, AXS-02 and AXS-06, which we refer to herein as our product candidates, with the goal of achieving regulatory approval and commercialization. Since inception, we have incurred significant operating losses. Our net losses were $32.5 million and $68.3 million for three months ended March 31, 2020 and the year ended December 31, 2019, respectively. As of March 31, 2020, we had an accumulated deficit of $208.4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8" w:lineRule="exact"/>
        <w:rPr>
          <w:sz w:val="20"/>
          <w:szCs w:val="20"/>
          <w:color w:val="auto"/>
        </w:rPr>
      </w:pPr>
    </w:p>
    <w:p>
      <w:pPr>
        <w:ind w:left="700" w:hanging="332"/>
        <w:spacing w:after="0" w:line="207" w:lineRule="exact"/>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medical, quality control, and scientific personnel;</w:t>
      </w:r>
    </w:p>
    <w:p>
      <w:pPr>
        <w:spacing w:after="0" w:line="184" w:lineRule="exact"/>
        <w:rPr>
          <w:rFonts w:ascii="Arial" w:cs="Arial" w:eastAsia="Arial" w:hAnsi="Arial"/>
          <w:sz w:val="18"/>
          <w:szCs w:val="18"/>
          <w:color w:val="auto"/>
        </w:rPr>
      </w:pPr>
    </w:p>
    <w:p>
      <w:pPr>
        <w:ind w:left="700" w:right="339" w:hanging="332"/>
        <w:spacing w:after="0" w:line="258"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6" w:lineRule="exact"/>
        <w:rPr>
          <w:rFonts w:ascii="Arial" w:cs="Arial" w:eastAsia="Arial" w:hAnsi="Arial"/>
          <w:sz w:val="17"/>
          <w:szCs w:val="17"/>
          <w:color w:val="auto"/>
        </w:rPr>
      </w:pPr>
    </w:p>
    <w:p>
      <w:pPr>
        <w:ind w:left="700" w:right="99" w:hanging="332"/>
        <w:spacing w:after="0" w:line="22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expand external manufacturing capabilities and production to commercialize any products for which we may obtain regulatory approval and that we choose not to license to a third party;</w:t>
      </w:r>
    </w:p>
    <w:p>
      <w:pPr>
        <w:spacing w:after="0" w:line="162" w:lineRule="exact"/>
        <w:rPr>
          <w:rFonts w:ascii="Arial" w:cs="Arial" w:eastAsia="Arial" w:hAnsi="Arial"/>
          <w:sz w:val="18"/>
          <w:szCs w:val="18"/>
          <w:color w:val="auto"/>
        </w:rPr>
      </w:pPr>
    </w:p>
    <w:p>
      <w:pPr>
        <w:ind w:left="700" w:right="59" w:hanging="332"/>
        <w:spacing w:after="0" w:line="23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undertake additional manufacturing activities of our product candidates to satisfy FDA requirements for marketing application submissions;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conduct our open-label, long-term safety extension trial for AXS-05;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conduct our open-label, long-term safety extension trial for AXS-07;</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AXS-05 in TRD;</w:t>
      </w:r>
    </w:p>
    <w:p>
      <w:pPr>
        <w:spacing w:after="0" w:line="184"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05 in AD agitation;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two planned Phase 3 clinical trials with AXS-12 in narcolepsy;</w:t>
      </w:r>
    </w:p>
    <w:p>
      <w:pPr>
        <w:spacing w:after="0" w:line="184" w:lineRule="exact"/>
        <w:rPr>
          <w:rFonts w:ascii="Arial" w:cs="Arial" w:eastAsia="Arial" w:hAnsi="Arial"/>
          <w:sz w:val="18"/>
          <w:szCs w:val="18"/>
          <w:color w:val="auto"/>
        </w:rPr>
      </w:pPr>
    </w:p>
    <w:p>
      <w:pPr>
        <w:ind w:left="700" w:right="219" w:hanging="332"/>
        <w:spacing w:after="0" w:line="235"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plan for, and potentially conduct clinical trials for AXS-14 for fibromyalgia;</w:t>
      </w:r>
    </w:p>
    <w:p>
      <w:pPr>
        <w:spacing w:after="0" w:line="184"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700" w:hanging="332"/>
        <w:spacing w:after="0" w:line="184" w:lineRule="exact"/>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700" w:hanging="332"/>
        <w:spacing w:after="0" w:line="207" w:lineRule="exact"/>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larger quantities of product;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5" w:lineRule="exact"/>
        <w:rPr>
          <w:sz w:val="20"/>
          <w:szCs w:val="20"/>
          <w:color w:val="auto"/>
        </w:rPr>
      </w:pPr>
    </w:p>
    <w:p>
      <w:pPr>
        <w:ind w:left="40" w:right="5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3" w:lineRule="exact"/>
        <w:rPr>
          <w:sz w:val="20"/>
          <w:szCs w:val="20"/>
          <w:color w:val="auto"/>
        </w:rPr>
      </w:pPr>
    </w:p>
    <w:p>
      <w:pPr>
        <w:ind w:left="40" w:right="9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left="40" w:right="11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499"/>
        <w:spacing w:after="0" w:line="259" w:lineRule="auto"/>
        <w:rPr>
          <w:sz w:val="20"/>
          <w:szCs w:val="20"/>
          <w:color w:val="auto"/>
        </w:rPr>
      </w:pPr>
      <w:r>
        <w:rPr>
          <w:rFonts w:ascii="Arial" w:cs="Arial" w:eastAsia="Arial" w:hAnsi="Arial"/>
          <w:sz w:val="16"/>
          <w:szCs w:val="16"/>
          <w:b w:val="1"/>
          <w:bCs w:val="1"/>
          <w:i w:val="1"/>
          <w:iCs w:val="1"/>
          <w:color w:val="auto"/>
        </w:rPr>
        <w:t>We will likely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7" w:lineRule="exact"/>
        <w:rPr>
          <w:sz w:val="20"/>
          <w:szCs w:val="20"/>
          <w:color w:val="auto"/>
        </w:rPr>
      </w:pPr>
    </w:p>
    <w:p>
      <w:pPr>
        <w:jc w:val="both"/>
        <w:ind w:left="40" w:right="59"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3" w:lineRule="exact"/>
        <w:rPr>
          <w:sz w:val="20"/>
          <w:szCs w:val="20"/>
          <w:color w:val="auto"/>
        </w:rPr>
      </w:pPr>
    </w:p>
    <w:p>
      <w:pPr>
        <w:ind w:left="700" w:right="139" w:hanging="332"/>
        <w:spacing w:after="0" w:line="235"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700" w:right="199" w:hanging="332"/>
        <w:spacing w:after="0" w:line="22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2" w:lineRule="exact"/>
        <w:rPr>
          <w:rFonts w:ascii="Arial" w:cs="Arial" w:eastAsia="Arial" w:hAnsi="Arial"/>
          <w:sz w:val="18"/>
          <w:szCs w:val="18"/>
          <w:color w:val="auto"/>
        </w:rPr>
      </w:pPr>
    </w:p>
    <w:p>
      <w:pPr>
        <w:ind w:left="700" w:right="439" w:hanging="332"/>
        <w:spacing w:after="0" w:line="203" w:lineRule="exact"/>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left="40" w:right="79" w:firstLine="648"/>
        <w:spacing w:after="0" w:line="226"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for at least two years.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5" w:lineRule="exact"/>
        <w:rPr>
          <w:sz w:val="20"/>
          <w:szCs w:val="20"/>
          <w:color w:val="auto"/>
        </w:rPr>
      </w:pPr>
    </w:p>
    <w:p>
      <w:pPr>
        <w:ind w:left="700" w:hanging="33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700" w:right="679" w:hanging="332"/>
        <w:spacing w:after="0" w:line="23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our product candidates;</w:t>
      </w:r>
    </w:p>
    <w:p>
      <w:pPr>
        <w:spacing w:after="0" w:line="196" w:lineRule="exact"/>
        <w:rPr>
          <w:rFonts w:ascii="Arial" w:cs="Arial" w:eastAsia="Arial" w:hAnsi="Arial"/>
          <w:sz w:val="17"/>
          <w:szCs w:val="17"/>
          <w:color w:val="auto"/>
        </w:rPr>
      </w:pPr>
    </w:p>
    <w:p>
      <w:pPr>
        <w:ind w:left="700" w:right="239" w:hanging="332"/>
        <w:spacing w:after="0" w:line="194" w:lineRule="exact"/>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7"/>
          <w:szCs w:val="17"/>
          <w:color w:val="auto"/>
        </w:rPr>
      </w:pPr>
    </w:p>
    <w:p>
      <w:pPr>
        <w:ind w:left="700" w:right="279" w:hanging="332"/>
        <w:spacing w:after="0" w:line="23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700" w:right="1119" w:hanging="332"/>
        <w:spacing w:after="0" w:line="23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700" w:right="439" w:hanging="332"/>
        <w:spacing w:after="0" w:line="23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239" w:hanging="332"/>
        <w:spacing w:after="0" w:line="203" w:lineRule="exact"/>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left="40" w:right="179" w:firstLine="648"/>
        <w:spacing w:after="0" w:line="212" w:lineRule="auto"/>
        <w:rPr>
          <w:sz w:val="20"/>
          <w:szCs w:val="20"/>
          <w:color w:val="auto"/>
        </w:rPr>
      </w:pPr>
      <w:r>
        <w:rPr>
          <w:rFonts w:ascii="Arial" w:cs="Arial" w:eastAsia="Arial" w:hAnsi="Arial"/>
          <w:sz w:val="18"/>
          <w:szCs w:val="18"/>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5" w:lineRule="exact"/>
        <w:rPr>
          <w:sz w:val="20"/>
          <w:szCs w:val="20"/>
          <w:color w:val="auto"/>
        </w:rPr>
      </w:pPr>
    </w:p>
    <w:p>
      <w:pPr>
        <w:ind w:left="40" w:right="159"/>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left="40" w:right="79" w:firstLine="648"/>
        <w:spacing w:after="0" w:line="221"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the 2019 Term Loan, consisting of an initial $20.0 million tranche, or the Term A Loan Advance, which was funded shortly upon closing, with the remaining $4.0 million, or the Term B Loan Advance, initially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which we refer to as the Milestone Event. A portion of the first tranche was used to satisfy our existing obligations under our original term loan facility with SVB, as amended, and such obligations are considered to be fully repaid and completed. The new term loan facility matures in February 2023 and initially had an interest-only monthly payment period for twelve months, extendable to eighteen months upon funding of the Term B Loan Advance. We refer to the Term A Loan Advance and the Term B Loan Advance together as the Loan Advances.</w:t>
      </w:r>
    </w:p>
    <w:p>
      <w:pPr>
        <w:spacing w:after="0" w:line="167" w:lineRule="exact"/>
        <w:rPr>
          <w:sz w:val="20"/>
          <w:szCs w:val="20"/>
          <w:color w:val="auto"/>
        </w:rPr>
      </w:pPr>
    </w:p>
    <w:p>
      <w:pPr>
        <w:ind w:left="40" w:right="99" w:firstLine="648"/>
        <w:spacing w:after="0" w:line="239" w:lineRule="auto"/>
        <w:rPr>
          <w:sz w:val="20"/>
          <w:szCs w:val="20"/>
          <w:color w:val="auto"/>
        </w:rPr>
      </w:pPr>
      <w:r>
        <w:rPr>
          <w:rFonts w:ascii="Arial" w:cs="Arial" w:eastAsia="Arial" w:hAnsi="Arial"/>
          <w:sz w:val="16"/>
          <w:szCs w:val="16"/>
          <w:color w:val="auto"/>
        </w:rPr>
        <w:t>In July 2019, we entered into a first amendment to the loan and security agreement,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We did not draw down on the Term B Loan Advance, and therefore, the interest-only monthly payment period was not extended. The Loan Advances mature on February 1, 2023, which we refer to as the Maturity Date.</w:t>
      </w:r>
    </w:p>
    <w:p>
      <w:pPr>
        <w:spacing w:after="0" w:line="162" w:lineRule="exact"/>
        <w:rPr>
          <w:sz w:val="20"/>
          <w:szCs w:val="20"/>
          <w:color w:val="auto"/>
        </w:rPr>
      </w:pPr>
    </w:p>
    <w:p>
      <w:pPr>
        <w:ind w:left="40" w:right="139" w:firstLine="648"/>
        <w:spacing w:after="0" w:line="212" w:lineRule="auto"/>
        <w:rPr>
          <w:sz w:val="20"/>
          <w:szCs w:val="20"/>
          <w:color w:val="auto"/>
        </w:rPr>
      </w:pPr>
      <w:r>
        <w:rPr>
          <w:rFonts w:ascii="Arial" w:cs="Arial" w:eastAsia="Arial" w:hAnsi="Arial"/>
          <w:sz w:val="18"/>
          <w:szCs w:val="18"/>
          <w:color w:val="auto"/>
        </w:rPr>
        <w:t>Pursuant to the 2019 Term Loan, as amended by the First Amendment to the 2019 Term Loan, following the interest-only payment period, we will begin making monthly payments of principal in equal monthly installments for 30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65" w:lineRule="exact"/>
        <w:rPr>
          <w:sz w:val="20"/>
          <w:szCs w:val="20"/>
          <w:color w:val="auto"/>
        </w:rPr>
      </w:pPr>
    </w:p>
    <w:p>
      <w:pPr>
        <w:ind w:left="40" w:right="99"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39" w:firstLine="648"/>
        <w:spacing w:after="0" w:line="225" w:lineRule="auto"/>
        <w:rPr>
          <w:sz w:val="20"/>
          <w:szCs w:val="20"/>
          <w:color w:val="auto"/>
        </w:rPr>
      </w:pPr>
      <w:r>
        <w:rPr>
          <w:rFonts w:ascii="Arial" w:cs="Arial" w:eastAsia="Arial" w:hAnsi="Arial"/>
          <w:sz w:val="17"/>
          <w:szCs w:val="17"/>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2" w:lineRule="exact"/>
        <w:rPr>
          <w:sz w:val="20"/>
          <w:szCs w:val="20"/>
          <w:color w:val="auto"/>
        </w:rPr>
      </w:pPr>
    </w:p>
    <w:p>
      <w:pPr>
        <w:ind w:left="40" w:right="79" w:firstLine="648"/>
        <w:spacing w:after="0" w:line="233" w:lineRule="auto"/>
        <w:rPr>
          <w:sz w:val="20"/>
          <w:szCs w:val="20"/>
          <w:color w:val="auto"/>
        </w:rPr>
      </w:pPr>
      <w:r>
        <w:rPr>
          <w:rFonts w:ascii="Arial" w:cs="Arial" w:eastAsia="Arial" w:hAnsi="Arial"/>
          <w:sz w:val="16"/>
          <w:szCs w:val="16"/>
          <w:color w:val="auto"/>
        </w:rPr>
        <w:t>Additionally, we may be required to repay the outstanding indebtedness under the 2019 Term Loan if an event of default occurs under the 2019 Term Loan. Under the 2019 Term Loan, an event of default will occur if, among other things, we fail to make payments under the 2019 Term Loan; we breach any of our covenants under the 2019 Term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While our current cash reserves are sufficient to repay such indebtedness if an event of default were to occur in the near term, we may in the future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2019 Term Loan, subject to the covenants and limitations described in the 2019 Term Loan.</w:t>
      </w:r>
    </w:p>
    <w:p>
      <w:pPr>
        <w:spacing w:after="0" w:line="166"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left="40" w:right="99" w:firstLine="648"/>
        <w:spacing w:after="0" w:line="210" w:lineRule="auto"/>
        <w:rPr>
          <w:sz w:val="20"/>
          <w:szCs w:val="20"/>
          <w:color w:val="auto"/>
        </w:rPr>
      </w:pPr>
      <w:r>
        <w:rPr>
          <w:rFonts w:ascii="Arial" w:cs="Arial" w:eastAsia="Arial" w:hAnsi="Arial"/>
          <w:sz w:val="18"/>
          <w:szCs w:val="18"/>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left="40" w:right="179"/>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63"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9" w:lineRule="exact"/>
        <w:rPr>
          <w:sz w:val="20"/>
          <w:szCs w:val="20"/>
          <w:color w:val="auto"/>
        </w:rPr>
      </w:pPr>
    </w:p>
    <w:p>
      <w:pPr>
        <w:ind w:left="40" w:right="119" w:firstLine="648"/>
        <w:spacing w:after="0" w:line="212"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began enrolling patients in two open-label safety studies for (i) AXS-05 in the treatment of depression and (ii) AXS-07 in the acute treatment of migraine in July 2019. Additional Phase 3 trials with AXS-05 in TRD, AXS-05 in AD agitation, and AXS-12 in narcolepsy are planned. As a result of one or more risks discussed in this section, we cannot assure you that we will meet projected timelines related to these trials.</w:t>
      </w:r>
    </w:p>
    <w:p>
      <w:pPr>
        <w:spacing w:after="0" w:line="165" w:lineRule="exact"/>
        <w:rPr>
          <w:sz w:val="20"/>
          <w:szCs w:val="20"/>
          <w:color w:val="auto"/>
        </w:rPr>
      </w:pPr>
    </w:p>
    <w:p>
      <w:pPr>
        <w:ind w:left="40" w:right="59" w:firstLine="648"/>
        <w:spacing w:after="0" w:line="235"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39" w:firstLine="648"/>
        <w:spacing w:after="0" w:line="212" w:lineRule="auto"/>
        <w:rPr>
          <w:sz w:val="20"/>
          <w:szCs w:val="20"/>
          <w:color w:val="auto"/>
        </w:rPr>
      </w:pPr>
      <w:r>
        <w:rPr>
          <w:rFonts w:ascii="Arial" w:cs="Arial" w:eastAsia="Arial" w:hAnsi="Arial"/>
          <w:sz w:val="18"/>
          <w:szCs w:val="18"/>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For AXS-05, we completed three Phase 1 pharmacokinetic studies, one Phase 2 and one Phase 3 trial in MDD, and one Phase 3 trial in TRD. For AXS-07, we have conducted one Phase 1 clinical trial, and two Phase 3 clinical trials. For AXS-12, we completed a Phase 2 trial. Moreover, we have only completed limited early stage studies with our AXS-09 product candidate to date. Additional manufacturing work is required for our candidates.</w:t>
      </w:r>
    </w:p>
    <w:p>
      <w:pPr>
        <w:spacing w:after="0" w:line="165" w:lineRule="exact"/>
        <w:rPr>
          <w:sz w:val="20"/>
          <w:szCs w:val="20"/>
          <w:color w:val="auto"/>
        </w:rPr>
      </w:pPr>
    </w:p>
    <w:p>
      <w:pPr>
        <w:ind w:left="40" w:right="79" w:firstLine="648"/>
        <w:spacing w:after="0" w:line="220" w:lineRule="auto"/>
        <w:rPr>
          <w:sz w:val="20"/>
          <w:szCs w:val="20"/>
          <w:color w:val="auto"/>
        </w:rPr>
      </w:pPr>
      <w:r>
        <w:rPr>
          <w:rFonts w:ascii="Arial" w:cs="Arial" w:eastAsia="Arial" w:hAnsi="Arial"/>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Phase 3 trial of AXS-02 for the treatment of the pain of knee OA associated with BMLs, which we refer to as the COAST-1 trial. The independent data monitoring committee recommended continuation of our COAST-1 trial and discontinuation of our CREATE-1 trial for futility. We had paused screening in the COAST-1 trial prior to the conduct of the interim analysis for that trial and have subsequently closed out the trial.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68" w:lineRule="exact"/>
        <w:rPr>
          <w:sz w:val="20"/>
          <w:szCs w:val="20"/>
          <w:color w:val="auto"/>
        </w:rPr>
      </w:pPr>
    </w:p>
    <w:p>
      <w:pPr>
        <w:ind w:left="40" w:right="239"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700" w:right="319" w:hanging="332"/>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700" w:right="339" w:hanging="332"/>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700" w:right="799" w:hanging="332"/>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700" w:right="359" w:hanging="332"/>
        <w:spacing w:after="0" w:line="23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700" w:right="359" w:hanging="332"/>
        <w:spacing w:after="0" w:line="203"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185" w:lineRule="exact"/>
        <w:rPr>
          <w:sz w:val="20"/>
          <w:szCs w:val="20"/>
          <w:color w:val="auto"/>
        </w:rPr>
      </w:pPr>
    </w:p>
    <w:p>
      <w:pPr>
        <w:ind w:left="40" w:right="79"/>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left="40" w:right="99"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3" w:lineRule="exact"/>
        <w:rPr>
          <w:sz w:val="20"/>
          <w:szCs w:val="20"/>
          <w:color w:val="auto"/>
        </w:rPr>
      </w:pPr>
    </w:p>
    <w:p>
      <w:pPr>
        <w:ind w:left="40" w:right="379"/>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1" w:lineRule="exact"/>
        <w:rPr>
          <w:sz w:val="20"/>
          <w:szCs w:val="20"/>
          <w:color w:val="auto"/>
        </w:rPr>
      </w:pPr>
    </w:p>
    <w:p>
      <w:pPr>
        <w:ind w:left="40" w:right="99" w:firstLine="648"/>
        <w:spacing w:after="0" w:line="219" w:lineRule="auto"/>
        <w:rPr>
          <w:sz w:val="20"/>
          <w:szCs w:val="20"/>
          <w:color w:val="auto"/>
        </w:rPr>
      </w:pPr>
      <w:r>
        <w:rPr>
          <w:rFonts w:ascii="Arial" w:cs="Arial" w:eastAsia="Arial" w:hAnsi="Arial"/>
          <w:sz w:val="17"/>
          <w:szCs w:val="17"/>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AXS-02 and AXS-05, as well as AXS-04, a product candidate that is currently in early 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99"/>
        <w:spacing w:after="0" w:line="224"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63" w:lineRule="exact"/>
        <w:rPr>
          <w:sz w:val="20"/>
          <w:szCs w:val="20"/>
          <w:color w:val="auto"/>
        </w:rPr>
      </w:pPr>
    </w:p>
    <w:p>
      <w:pPr>
        <w:ind w:left="40" w:right="179" w:firstLine="648"/>
        <w:spacing w:after="0" w:line="237"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3" w:lineRule="exact"/>
        <w:rPr>
          <w:sz w:val="20"/>
          <w:szCs w:val="20"/>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left="40" w:right="19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4" w:lineRule="exact"/>
        <w:rPr>
          <w:sz w:val="20"/>
          <w:szCs w:val="20"/>
          <w:color w:val="auto"/>
        </w:rPr>
      </w:pPr>
    </w:p>
    <w:p>
      <w:pPr>
        <w:ind w:left="40" w:right="45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40" w:right="239" w:firstLine="648"/>
        <w:spacing w:after="0" w:line="226" w:lineRule="auto"/>
        <w:rPr>
          <w:sz w:val="20"/>
          <w:szCs w:val="20"/>
          <w:color w:val="auto"/>
        </w:rPr>
      </w:pPr>
      <w:r>
        <w:rPr>
          <w:rFonts w:ascii="Arial" w:cs="Arial" w:eastAsia="Arial" w:hAnsi="Arial"/>
          <w:sz w:val="17"/>
          <w:szCs w:val="17"/>
          <w:color w:val="auto"/>
        </w:rPr>
        <w:t>In the United States, we currently plan to, at least initially, seek approval of our product candidates using the 505(b)(2) 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5" w:lineRule="exact"/>
        <w:rPr>
          <w:sz w:val="20"/>
          <w:szCs w:val="20"/>
          <w:color w:val="auto"/>
        </w:rPr>
      </w:pPr>
    </w:p>
    <w:p>
      <w:pPr>
        <w:ind w:left="40"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w:t>
      </w:r>
    </w:p>
    <w:p>
      <w:pPr>
        <w:spacing w:after="0" w:line="1" w:lineRule="exact"/>
        <w:rPr>
          <w:sz w:val="20"/>
          <w:szCs w:val="20"/>
          <w:color w:val="auto"/>
        </w:rPr>
      </w:pPr>
    </w:p>
    <w:p>
      <w:pPr>
        <w:ind w:left="40" w:right="259"/>
        <w:spacing w:after="0" w:line="183" w:lineRule="exact"/>
        <w:rPr>
          <w:sz w:val="20"/>
          <w:szCs w:val="20"/>
          <w:color w:val="auto"/>
        </w:rPr>
      </w:pPr>
      <w:r>
        <w:rPr>
          <w:rFonts w:ascii="Arial" w:cs="Arial" w:eastAsia="Arial" w:hAnsi="Arial"/>
          <w:sz w:val="18"/>
          <w:szCs w:val="18"/>
          <w:color w:val="auto"/>
        </w:rPr>
        <w:t>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19" w:firstLine="648"/>
        <w:spacing w:after="0" w:line="180"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7"/>
          <w:szCs w:val="17"/>
          <w:color w:val="auto"/>
        </w:rPr>
        <w:t>‑</w:t>
      </w:r>
      <w:r>
        <w:rPr>
          <w:rFonts w:ascii="Arial" w:cs="Arial" w:eastAsia="Arial" w:hAnsi="Arial"/>
          <w:sz w:val="17"/>
          <w:szCs w:val="17"/>
          <w:color w:val="auto"/>
        </w:rPr>
        <w:t>glutamyltransferase, flatulence, or other adverse events or potential adverse events reported or discussed in the product labels for bupropion</w:t>
      </w:r>
      <w:r>
        <w:rPr>
          <w:rFonts w:ascii="MS PGothic" w:cs="MS PGothic" w:eastAsia="MS PGothic" w:hAnsi="MS PGothic"/>
          <w:sz w:val="17"/>
          <w:szCs w:val="17"/>
          <w:color w:val="auto"/>
        </w:rPr>
        <w:t>‑</w:t>
      </w:r>
      <w:r>
        <w:rPr>
          <w:rFonts w:ascii="Arial" w:cs="Arial" w:eastAsia="Arial" w:hAnsi="Arial"/>
          <w:sz w:val="17"/>
          <w:szCs w:val="17"/>
          <w:color w:val="auto"/>
        </w:rPr>
        <w:t>containing products or dextromethorphan</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Wellbutrin, Wellbutrin SR, Wellbutrin XL, Aplenzin, Forfivo, Zyban, Contrave, and Nuedexta.</w:t>
      </w:r>
    </w:p>
    <w:p>
      <w:pPr>
        <w:spacing w:after="0" w:line="167" w:lineRule="exact"/>
        <w:rPr>
          <w:sz w:val="20"/>
          <w:szCs w:val="20"/>
          <w:color w:val="auto"/>
        </w:rPr>
      </w:pPr>
    </w:p>
    <w:p>
      <w:pPr>
        <w:ind w:left="40" w:right="139" w:firstLine="648"/>
        <w:spacing w:after="0" w:line="182"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167" w:lineRule="exact"/>
        <w:rPr>
          <w:sz w:val="20"/>
          <w:szCs w:val="20"/>
          <w:color w:val="auto"/>
        </w:rPr>
      </w:pPr>
    </w:p>
    <w:p>
      <w:pPr>
        <w:ind w:left="40" w:right="259" w:firstLine="648"/>
        <w:spacing w:after="0" w:line="225" w:lineRule="auto"/>
        <w:rPr>
          <w:sz w:val="20"/>
          <w:szCs w:val="20"/>
          <w:color w:val="auto"/>
        </w:rPr>
      </w:pPr>
      <w:r>
        <w:rPr>
          <w:rFonts w:ascii="Arial" w:cs="Arial" w:eastAsia="Arial" w:hAnsi="Arial"/>
          <w:sz w:val="17"/>
          <w:szCs w:val="17"/>
          <w:color w:val="auto"/>
        </w:rPr>
        <w:t>Based on the side effects disclosed in EMA product label for marketed drugs that contain the same active molecule as our product candidate, AXS-12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2"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6"/>
          <w:szCs w:val="16"/>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6"/>
          <w:szCs w:val="16"/>
          <w:color w:val="auto"/>
        </w:rPr>
        <w:t>‑</w:t>
      </w:r>
      <w:r>
        <w:rPr>
          <w:rFonts w:ascii="Arial" w:cs="Arial" w:eastAsia="Arial" w:hAnsi="Arial"/>
          <w:sz w:val="16"/>
          <w:szCs w:val="16"/>
          <w:color w:val="auto"/>
        </w:rPr>
        <w:t>initiated Phase 2 clinical trials and other third</w:t>
      </w:r>
      <w:r>
        <w:rPr>
          <w:rFonts w:ascii="MS PGothic" w:cs="MS PGothic" w:eastAsia="MS PGothic" w:hAnsi="MS PGothic"/>
          <w:sz w:val="16"/>
          <w:szCs w:val="16"/>
          <w:color w:val="auto"/>
        </w:rPr>
        <w:t>‑</w:t>
      </w:r>
      <w:r>
        <w:rPr>
          <w:rFonts w:ascii="Arial" w:cs="Arial" w:eastAsia="Arial" w:hAnsi="Arial"/>
          <w:sz w:val="16"/>
          <w:szCs w:val="16"/>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6"/>
          <w:szCs w:val="16"/>
          <w:color w:val="auto"/>
        </w:rPr>
        <w:t>‑</w:t>
      </w:r>
      <w:r>
        <w:rPr>
          <w:rFonts w:ascii="Arial" w:cs="Arial" w:eastAsia="Arial" w:hAnsi="Arial"/>
          <w:sz w:val="16"/>
          <w:szCs w:val="16"/>
          <w:color w:val="auto"/>
        </w:rPr>
        <w:t>05 and AXS-07.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6"/>
          <w:szCs w:val="16"/>
          <w:color w:val="auto"/>
        </w:rPr>
        <w:t>‑</w:t>
      </w:r>
      <w:r>
        <w:rPr>
          <w:rFonts w:ascii="Arial" w:cs="Arial" w:eastAsia="Arial" w:hAnsi="Arial"/>
          <w:sz w:val="16"/>
          <w:szCs w:val="16"/>
          <w:color w:val="auto"/>
        </w:rPr>
        <w:t xml:space="preserve">consuming 505(b)(1) approval process, which consists of full reports of investigations of safety and effectiveness conducted by or for the applicant. In addition, because we plan to submit NDAs for AXS </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07 pursuant to the 505(b)(2) process, we have not conducted certain additional clinical trials for these product candidates and, as such, we will have less experience with actual testing of the product candidate.</w:t>
      </w:r>
    </w:p>
    <w:p>
      <w:pPr>
        <w:spacing w:after="0" w:line="169" w:lineRule="exact"/>
        <w:rPr>
          <w:sz w:val="20"/>
          <w:szCs w:val="20"/>
          <w:color w:val="auto"/>
        </w:rPr>
      </w:pPr>
    </w:p>
    <w:p>
      <w:pPr>
        <w:ind w:left="40" w:right="139" w:firstLine="648"/>
        <w:spacing w:after="0" w:line="226"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19"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left="40" w:right="59"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7" w:lineRule="exact"/>
        <w:rPr>
          <w:sz w:val="20"/>
          <w:szCs w:val="20"/>
          <w:color w:val="auto"/>
        </w:rPr>
      </w:pPr>
    </w:p>
    <w:p>
      <w:pPr>
        <w:ind w:left="40" w:right="559"/>
        <w:spacing w:after="0" w:line="324" w:lineRule="auto"/>
        <w:rPr>
          <w:sz w:val="20"/>
          <w:szCs w:val="20"/>
          <w:color w:val="auto"/>
        </w:rPr>
      </w:pPr>
      <w:r>
        <w:rPr>
          <w:rFonts w:ascii="Arial" w:cs="Arial" w:eastAsia="Arial" w:hAnsi="Arial"/>
          <w:sz w:val="15"/>
          <w:szCs w:val="15"/>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01"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6"/>
          <w:szCs w:val="16"/>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 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69" w:lineRule="exact"/>
        <w:rPr>
          <w:sz w:val="20"/>
          <w:szCs w:val="20"/>
          <w:color w:val="auto"/>
        </w:rPr>
      </w:pPr>
    </w:p>
    <w:p>
      <w:pPr>
        <w:ind w:left="40" w:right="79" w:firstLine="648"/>
        <w:spacing w:after="0" w:line="220" w:lineRule="auto"/>
        <w:rPr>
          <w:sz w:val="20"/>
          <w:szCs w:val="20"/>
          <w:color w:val="auto"/>
        </w:rPr>
      </w:pPr>
      <w:r>
        <w:rPr>
          <w:rFonts w:ascii="Arial" w:cs="Arial" w:eastAsia="Arial" w:hAnsi="Arial"/>
          <w:sz w:val="17"/>
          <w:szCs w:val="17"/>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39"/>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left="40" w:right="99" w:firstLine="648"/>
        <w:spacing w:after="0" w:line="235"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5" w:lineRule="exact"/>
        <w:rPr>
          <w:sz w:val="20"/>
          <w:szCs w:val="20"/>
          <w:color w:val="auto"/>
        </w:rPr>
      </w:pPr>
    </w:p>
    <w:p>
      <w:pPr>
        <w:ind w:left="40" w:right="139"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ind w:left="40" w:right="79" w:firstLine="648"/>
        <w:spacing w:after="0" w:line="181" w:lineRule="exact"/>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3" w:lineRule="exact"/>
        <w:rPr>
          <w:sz w:val="20"/>
          <w:szCs w:val="20"/>
          <w:color w:val="auto"/>
        </w:rPr>
      </w:pPr>
    </w:p>
    <w:p>
      <w:pPr>
        <w:ind w:left="40" w:right="279" w:firstLine="648"/>
        <w:spacing w:after="0" w:line="224" w:lineRule="auto"/>
        <w:rPr>
          <w:sz w:val="20"/>
          <w:szCs w:val="20"/>
          <w:color w:val="auto"/>
        </w:rPr>
      </w:pPr>
      <w:r>
        <w:rPr>
          <w:rFonts w:ascii="Arial" w:cs="Arial" w:eastAsia="Arial" w:hAnsi="Arial"/>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3" w:lineRule="exact"/>
        <w:rPr>
          <w:sz w:val="20"/>
          <w:szCs w:val="20"/>
          <w:color w:val="auto"/>
        </w:rPr>
      </w:pPr>
    </w:p>
    <w:p>
      <w:pPr>
        <w:ind w:left="700" w:right="119" w:hanging="332"/>
        <w:spacing w:after="0" w:line="235"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700" w:right="199" w:hanging="332"/>
        <w:spacing w:after="0" w:line="235"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700" w:right="99" w:hanging="332"/>
        <w:spacing w:after="0" w:line="237"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700" w:right="219" w:hanging="332"/>
        <w:spacing w:after="0" w:line="2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2" w:lineRule="exact"/>
        <w:rPr>
          <w:rFonts w:ascii="Arial" w:cs="Arial" w:eastAsia="Arial" w:hAnsi="Arial"/>
          <w:sz w:val="18"/>
          <w:szCs w:val="18"/>
          <w:color w:val="auto"/>
        </w:rPr>
      </w:pPr>
    </w:p>
    <w:p>
      <w:pPr>
        <w:ind w:left="700" w:right="199" w:hanging="332"/>
        <w:spacing w:after="0" w:line="22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2" w:lineRule="exact"/>
        <w:rPr>
          <w:rFonts w:ascii="Arial" w:cs="Arial" w:eastAsia="Arial" w:hAnsi="Arial"/>
          <w:sz w:val="18"/>
          <w:szCs w:val="18"/>
          <w:color w:val="auto"/>
        </w:rPr>
      </w:pPr>
    </w:p>
    <w:p>
      <w:pPr>
        <w:ind w:left="700" w:right="239" w:hanging="332"/>
        <w:spacing w:after="0" w:line="194" w:lineRule="exact"/>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2" w:lineRule="exact"/>
        <w:rPr>
          <w:rFonts w:ascii="Arial" w:cs="Arial" w:eastAsia="Arial" w:hAnsi="Arial"/>
          <w:sz w:val="18"/>
          <w:szCs w:val="18"/>
          <w:color w:val="auto"/>
        </w:rPr>
      </w:pPr>
    </w:p>
    <w:p>
      <w:pPr>
        <w:ind w:left="700" w:right="99" w:hanging="332"/>
        <w:spacing w:after="0" w:line="244"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700" w:right="339" w:hanging="332"/>
        <w:spacing w:after="0" w:line="23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700" w:right="199" w:hanging="332"/>
        <w:spacing w:after="0" w:line="289"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3" w:lineRule="exact"/>
        <w:rPr>
          <w:rFonts w:ascii="Arial" w:cs="Arial" w:eastAsia="Arial" w:hAnsi="Arial"/>
          <w:sz w:val="16"/>
          <w:szCs w:val="16"/>
          <w:color w:val="auto"/>
        </w:rPr>
      </w:pPr>
    </w:p>
    <w:p>
      <w:pPr>
        <w:ind w:left="700" w:right="639" w:hanging="332"/>
        <w:spacing w:after="0" w:line="23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700" w:right="59" w:hanging="332"/>
        <w:spacing w:after="0" w:line="180" w:lineRule="exact"/>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preclinical/nonclinical studies than we currently plan, or we may abandon product development programs. For instance, with respect to AXS</w:t>
      </w:r>
      <w:r>
        <w:rPr>
          <w:rFonts w:ascii="MS PGothic" w:cs="MS PGothic" w:eastAsia="MS PGothic" w:hAnsi="MS PGothic"/>
          <w:sz w:val="17"/>
          <w:szCs w:val="17"/>
          <w:color w:val="auto"/>
        </w:rPr>
        <w:t>‑</w:t>
      </w:r>
      <w:r>
        <w:rPr>
          <w:rFonts w:ascii="Arial" w:cs="Arial" w:eastAsia="Arial" w:hAnsi="Arial"/>
          <w:sz w:val="17"/>
          <w:szCs w:val="17"/>
          <w:color w:val="auto"/>
        </w:rPr>
        <w:t>05, we may need to conduct additional clinical and preclinical studies in addition to our Phase 3 and Phase 2/3 trials in order to file an NDA for this product candidate. Additionally, although we believe that we may be able to rely on the completed Phase 2 ASCEND trial and Phase 3 placebo-controlled GEMINI trial in MDD to support an NDA for AXS-05 for the treatment of MDD and on the MOMENTUM trial, which is being conducted pursuant to a Special Protocol Assessment, or SPA, to support an NDA for AXS-07 for the acute treatment of migraine, the FDA may ultimately require us to conduct additional one or more clinical studies to support the filing of an NDA for either of these product candidates. Finally, for AXS-12, we will need to conduct additional clinical studies in order to file an NDA for this product candidate. The outcome of our studies may further necessitate additional clinical or preclinical work;</w:t>
      </w:r>
    </w:p>
    <w:p>
      <w:pPr>
        <w:spacing w:after="0" w:line="166" w:lineRule="exact"/>
        <w:rPr>
          <w:rFonts w:ascii="Arial" w:cs="Arial" w:eastAsia="Arial" w:hAnsi="Arial"/>
          <w:sz w:val="17"/>
          <w:szCs w:val="17"/>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700" w:right="519" w:hanging="332"/>
        <w:spacing w:after="0" w:line="235"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700" w:right="179" w:hanging="332"/>
        <w:spacing w:after="0" w:line="237"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299" w:hanging="332"/>
        <w:spacing w:after="0" w:line="235"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700" w:right="159" w:hanging="332"/>
        <w:spacing w:after="0" w:line="184" w:lineRule="exact"/>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1" w:lineRule="exact"/>
        <w:rPr>
          <w:rFonts w:ascii="Arial" w:cs="Arial" w:eastAsia="Arial" w:hAnsi="Arial"/>
          <w:sz w:val="17"/>
          <w:szCs w:val="17"/>
          <w:color w:val="auto"/>
        </w:rPr>
      </w:pPr>
    </w:p>
    <w:p>
      <w:pPr>
        <w:ind w:left="700" w:right="119" w:hanging="332"/>
        <w:spacing w:after="0" w:line="223"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6" w:lineRule="exact"/>
        <w:rPr>
          <w:rFonts w:ascii="Arial" w:cs="Arial" w:eastAsia="Arial" w:hAnsi="Arial"/>
          <w:sz w:val="17"/>
          <w:szCs w:val="17"/>
          <w:color w:val="auto"/>
        </w:rPr>
      </w:pPr>
    </w:p>
    <w:p>
      <w:pPr>
        <w:ind w:left="700" w:right="219" w:hanging="332"/>
        <w:spacing w:after="0" w:line="235"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700" w:right="499" w:hanging="332"/>
        <w:spacing w:after="0" w:line="258"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700" w:right="99" w:hanging="332"/>
        <w:spacing w:after="0" w:line="22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chemistry, manufacturing, and controls (CMC) data necessary for our NDA filings, we will need to conduct stability studies and provide stability data to establish appropriate retest or expiration dating period;</w:t>
      </w:r>
    </w:p>
    <w:p>
      <w:pPr>
        <w:spacing w:after="0" w:line="162" w:lineRule="exact"/>
        <w:rPr>
          <w:rFonts w:ascii="Arial" w:cs="Arial" w:eastAsia="Arial" w:hAnsi="Arial"/>
          <w:sz w:val="18"/>
          <w:szCs w:val="18"/>
          <w:color w:val="auto"/>
        </w:rPr>
      </w:pPr>
    </w:p>
    <w:p>
      <w:pPr>
        <w:ind w:left="700" w:right="79" w:hanging="332"/>
        <w:spacing w:after="0" w:line="21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62" w:lineRule="exact"/>
        <w:rPr>
          <w:rFonts w:ascii="Arial" w:cs="Arial" w:eastAsia="Arial" w:hAnsi="Arial"/>
          <w:sz w:val="18"/>
          <w:szCs w:val="18"/>
          <w:color w:val="auto"/>
        </w:rPr>
      </w:pPr>
    </w:p>
    <w:p>
      <w:pPr>
        <w:ind w:left="700" w:right="299" w:hanging="332"/>
        <w:spacing w:after="0" w:line="235"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700" w:right="219" w:hanging="332"/>
        <w:spacing w:after="0" w:line="235"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left="40" w:right="99"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639" w:hanging="332"/>
        <w:spacing w:after="0" w:line="235"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700" w:right="139" w:hanging="332"/>
        <w:spacing w:after="0" w:line="237"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3" w:lineRule="exact"/>
        <w:rPr>
          <w:rFonts w:ascii="Arial" w:cs="Arial" w:eastAsia="Arial" w:hAnsi="Arial"/>
          <w:sz w:val="17"/>
          <w:szCs w:val="17"/>
          <w:color w:val="auto"/>
        </w:rPr>
      </w:pPr>
    </w:p>
    <w:p>
      <w:pPr>
        <w:ind w:left="700" w:hanging="332"/>
        <w:spacing w:after="0" w:line="207" w:lineRule="exact"/>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left="40" w:right="59"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left="40" w:right="79" w:firstLine="648"/>
        <w:spacing w:after="0" w:line="210"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agitation associated with AD. As a result, we may experience delays in regulatory approval due to uncertainties in the approval process.</w:t>
      </w:r>
    </w:p>
    <w:p>
      <w:pPr>
        <w:spacing w:after="0" w:line="125" w:lineRule="exact"/>
        <w:rPr>
          <w:sz w:val="20"/>
          <w:szCs w:val="20"/>
          <w:color w:val="auto"/>
        </w:rPr>
      </w:pPr>
    </w:p>
    <w:p>
      <w:pPr>
        <w:ind w:left="40" w:right="139"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ind w:left="40" w:right="159"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439"/>
        <w:spacing w:after="0" w:line="235" w:lineRule="auto"/>
        <w:rPr>
          <w:sz w:val="20"/>
          <w:szCs w:val="20"/>
          <w:color w:val="auto"/>
        </w:rPr>
      </w:pPr>
      <w:r>
        <w:rPr>
          <w:rFonts w:ascii="Arial" w:cs="Arial" w:eastAsia="Arial" w:hAnsi="Arial"/>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62" w:lineRule="exact"/>
        <w:rPr>
          <w:sz w:val="20"/>
          <w:szCs w:val="20"/>
          <w:color w:val="auto"/>
        </w:rPr>
      </w:pPr>
    </w:p>
    <w:p>
      <w:pPr>
        <w:ind w:left="40" w:right="99" w:firstLine="648"/>
        <w:spacing w:after="0" w:line="223" w:lineRule="auto"/>
        <w:rPr>
          <w:sz w:val="20"/>
          <w:szCs w:val="20"/>
          <w:color w:val="auto"/>
        </w:rPr>
      </w:pPr>
      <w:r>
        <w:rPr>
          <w:rFonts w:ascii="Arial" w:cs="Arial" w:eastAsia="Arial" w:hAnsi="Arial"/>
          <w:sz w:val="17"/>
          <w:szCs w:val="17"/>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67" w:lineRule="exact"/>
        <w:rPr>
          <w:sz w:val="20"/>
          <w:szCs w:val="20"/>
          <w:color w:val="auto"/>
        </w:rPr>
      </w:pPr>
    </w:p>
    <w:p>
      <w:pPr>
        <w:ind w:left="700" w:right="139" w:hanging="332"/>
        <w:spacing w:after="0" w:line="23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preclinical or nonclinical testing may product inconclusive or negative safety results, which may require us to conduct additional nonclinical testing or to abandon product candidates;</w:t>
      </w:r>
    </w:p>
    <w:p>
      <w:pPr>
        <w:spacing w:after="0" w:line="161" w:lineRule="exact"/>
        <w:rPr>
          <w:rFonts w:ascii="Arial" w:cs="Arial" w:eastAsia="Arial" w:hAnsi="Arial"/>
          <w:sz w:val="18"/>
          <w:szCs w:val="18"/>
          <w:color w:val="auto"/>
        </w:rPr>
      </w:pPr>
    </w:p>
    <w:p>
      <w:pPr>
        <w:ind w:left="700" w:right="259" w:hanging="332"/>
        <w:spacing w:after="0" w:line="235"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unfavorable pharmacology or toxicity characteristics or suggest possible drug-drug interaction;</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regulatory authorities may determine that additional safety testing is required.</w:t>
      </w:r>
    </w:p>
    <w:p>
      <w:pPr>
        <w:spacing w:after="0" w:line="185" w:lineRule="exact"/>
        <w:rPr>
          <w:sz w:val="20"/>
          <w:szCs w:val="20"/>
          <w:color w:val="auto"/>
        </w:rPr>
      </w:pPr>
    </w:p>
    <w:p>
      <w:pPr>
        <w:ind w:left="40" w:right="399" w:firstLine="648"/>
        <w:spacing w:after="0" w:line="258" w:lineRule="auto"/>
        <w:rPr>
          <w:sz w:val="20"/>
          <w:szCs w:val="20"/>
          <w:color w:val="auto"/>
        </w:rPr>
      </w:pPr>
      <w:r>
        <w:rPr>
          <w:rFonts w:ascii="Arial" w:cs="Arial" w:eastAsia="Arial" w:hAnsi="Arial"/>
          <w:sz w:val="17"/>
          <w:szCs w:val="17"/>
          <w:color w:val="auto"/>
        </w:rPr>
        <w:t>Any such events would increase our costs and could delay or prevent our ability to commercialize our product candidates, which could adversely impact our business, financial condition and results of operation.</w:t>
      </w:r>
    </w:p>
    <w:p>
      <w:pPr>
        <w:spacing w:after="0" w:line="147"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left="40" w:right="159" w:firstLine="648"/>
        <w:spacing w:after="0" w:line="241"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0" w:lineRule="exact"/>
        <w:rPr>
          <w:sz w:val="20"/>
          <w:szCs w:val="20"/>
          <w:color w:val="auto"/>
        </w:rPr>
      </w:pPr>
    </w:p>
    <w:p>
      <w:pPr>
        <w:ind w:left="40" w:right="119"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7" w:lineRule="exact"/>
        <w:rPr>
          <w:sz w:val="20"/>
          <w:szCs w:val="20"/>
          <w:color w:val="auto"/>
        </w:rPr>
      </w:pPr>
    </w:p>
    <w:p>
      <w:pPr>
        <w:ind w:left="40" w:right="79" w:firstLine="648"/>
        <w:spacing w:after="0" w:line="214" w:lineRule="auto"/>
        <w:rPr>
          <w:sz w:val="20"/>
          <w:szCs w:val="20"/>
          <w:color w:val="auto"/>
        </w:rPr>
      </w:pPr>
      <w:r>
        <w:rPr>
          <w:rFonts w:ascii="Arial" w:cs="Arial" w:eastAsia="Arial" w:hAnsi="Arial"/>
          <w:sz w:val="18"/>
          <w:szCs w:val="18"/>
          <w:color w:val="auto"/>
        </w:rPr>
        <w:t>To date, the most commonly reported adverse events observed in the completed clinical trials of AXS-05 include nausea, dizziness, dry mouth, decreased appetite, somnolence, and anxiety. Some reported adverse events resulted in discontinuations from our trials of AXS-05. The most frequent adverse events resulting in discontinuation included anxiety, dizziness, disturbance in attention, initial insomnia, and nausea. AXS-05 consists of DM and bupropion, and this combination may exacerbate any known adverse events for each individual component, or may result in new toxicities as compared to those of the individual components.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40" w:right="179" w:firstLine="648"/>
        <w:spacing w:after="0" w:line="219" w:lineRule="auto"/>
        <w:rPr>
          <w:sz w:val="20"/>
          <w:szCs w:val="20"/>
          <w:color w:val="auto"/>
        </w:rPr>
      </w:pPr>
      <w:r>
        <w:rPr>
          <w:rFonts w:ascii="Arial" w:cs="Arial" w:eastAsia="Arial" w:hAnsi="Arial"/>
          <w:sz w:val="18"/>
          <w:szCs w:val="18"/>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63" w:lineRule="exact"/>
        <w:rPr>
          <w:sz w:val="20"/>
          <w:szCs w:val="20"/>
          <w:color w:val="auto"/>
        </w:rPr>
      </w:pPr>
    </w:p>
    <w:p>
      <w:pPr>
        <w:ind w:left="40" w:right="279" w:firstLine="648"/>
        <w:spacing w:after="0" w:line="235" w:lineRule="auto"/>
        <w:rPr>
          <w:sz w:val="20"/>
          <w:szCs w:val="20"/>
          <w:color w:val="auto"/>
        </w:rPr>
      </w:pPr>
      <w:r>
        <w:rPr>
          <w:rFonts w:ascii="Arial" w:cs="Arial" w:eastAsia="Arial" w:hAnsi="Arial"/>
          <w:sz w:val="18"/>
          <w:szCs w:val="18"/>
          <w:color w:val="auto"/>
        </w:rPr>
        <w:t>To date, the most commonly reported adverse events observed in the completed clinical trial of AXS-12 include anxiety, constipation, and insomnia.</w:t>
      </w:r>
    </w:p>
    <w:p>
      <w:pPr>
        <w:spacing w:after="0" w:line="162" w:lineRule="exact"/>
        <w:rPr>
          <w:sz w:val="20"/>
          <w:szCs w:val="20"/>
          <w:color w:val="auto"/>
        </w:rPr>
      </w:pPr>
    </w:p>
    <w:p>
      <w:pPr>
        <w:ind w:left="40" w:right="59" w:firstLine="648"/>
        <w:spacing w:after="0" w:line="184" w:lineRule="exact"/>
        <w:rPr>
          <w:sz w:val="20"/>
          <w:szCs w:val="20"/>
          <w:color w:val="auto"/>
        </w:rPr>
      </w:pPr>
      <w:r>
        <w:rPr>
          <w:rFonts w:ascii="Arial" w:cs="Arial" w:eastAsia="Arial" w:hAnsi="Arial"/>
          <w:sz w:val="16"/>
          <w:szCs w:val="16"/>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left="40" w:right="59"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700" w:right="619" w:hanging="332"/>
        <w:spacing w:after="0" w:line="23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700" w:right="639" w:hanging="332"/>
        <w:spacing w:after="0" w:line="289"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3" w:lineRule="exact"/>
        <w:rPr>
          <w:rFonts w:ascii="Arial" w:cs="Arial" w:eastAsia="Arial" w:hAnsi="Arial"/>
          <w:sz w:val="16"/>
          <w:szCs w:val="16"/>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700" w:right="319" w:hanging="332"/>
        <w:spacing w:after="0" w:line="235"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7" w:lineRule="exact"/>
        <w:rPr>
          <w:sz w:val="20"/>
          <w:szCs w:val="20"/>
          <w:color w:val="auto"/>
        </w:rPr>
      </w:pPr>
    </w:p>
    <w:p>
      <w:pPr>
        <w:ind w:left="40" w:right="159" w:firstLine="648"/>
        <w:spacing w:after="0" w:line="219" w:lineRule="auto"/>
        <w:rPr>
          <w:sz w:val="20"/>
          <w:szCs w:val="20"/>
          <w:color w:val="auto"/>
        </w:rPr>
      </w:pPr>
      <w:r>
        <w:rPr>
          <w:rFonts w:ascii="Arial" w:cs="Arial" w:eastAsia="Arial" w:hAnsi="Arial"/>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3" w:lineRule="exact"/>
        <w:rPr>
          <w:sz w:val="20"/>
          <w:szCs w:val="20"/>
          <w:color w:val="auto"/>
        </w:rPr>
      </w:pPr>
    </w:p>
    <w:p>
      <w:pPr>
        <w:ind w:left="40" w:right="419"/>
        <w:spacing w:after="0" w:line="324" w:lineRule="auto"/>
        <w:rPr>
          <w:sz w:val="20"/>
          <w:szCs w:val="20"/>
          <w:color w:val="auto"/>
        </w:rPr>
      </w:pPr>
      <w:r>
        <w:rPr>
          <w:rFonts w:ascii="Arial" w:cs="Arial" w:eastAsia="Arial" w:hAnsi="Arial"/>
          <w:sz w:val="15"/>
          <w:szCs w:val="15"/>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01" w:lineRule="exact"/>
        <w:rPr>
          <w:sz w:val="20"/>
          <w:szCs w:val="20"/>
          <w:color w:val="auto"/>
        </w:rPr>
      </w:pPr>
    </w:p>
    <w:p>
      <w:pPr>
        <w:ind w:left="40" w:right="59" w:firstLine="648"/>
        <w:spacing w:after="0" w:line="231"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9" w:lineRule="exact"/>
        <w:rPr>
          <w:sz w:val="20"/>
          <w:szCs w:val="20"/>
          <w:color w:val="auto"/>
        </w:rPr>
      </w:pPr>
    </w:p>
    <w:p>
      <w:pPr>
        <w:ind w:left="40" w:right="119"/>
        <w:spacing w:after="0" w:line="258"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73" w:lineRule="exact"/>
        <w:rPr>
          <w:sz w:val="20"/>
          <w:szCs w:val="20"/>
          <w:color w:val="auto"/>
        </w:rPr>
      </w:pPr>
    </w:p>
    <w:p>
      <w:pPr>
        <w:ind w:left="40" w:right="99" w:firstLine="648"/>
        <w:spacing w:after="0" w:line="237"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left="40" w:right="59"/>
        <w:spacing w:after="0" w:line="239" w:lineRule="auto"/>
        <w:rPr>
          <w:sz w:val="20"/>
          <w:szCs w:val="20"/>
          <w:color w:val="auto"/>
        </w:rPr>
      </w:pPr>
      <w:r>
        <w:rPr>
          <w:rFonts w:ascii="Arial" w:cs="Arial" w:eastAsia="Arial" w:hAnsi="Arial"/>
          <w:sz w:val="16"/>
          <w:szCs w:val="16"/>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479"/>
        <w:spacing w:after="0" w:line="224" w:lineRule="auto"/>
        <w:rPr>
          <w:sz w:val="20"/>
          <w:szCs w:val="20"/>
          <w:color w:val="auto"/>
        </w:rPr>
      </w:pPr>
      <w:r>
        <w:rPr>
          <w:rFonts w:ascii="Arial" w:cs="Arial" w:eastAsia="Arial" w:hAnsi="Arial"/>
          <w:sz w:val="18"/>
          <w:szCs w:val="18"/>
          <w:color w:val="auto"/>
        </w:rPr>
        <w:t>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left="40" w:right="339"/>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left="40" w:right="119" w:firstLine="648"/>
        <w:spacing w:after="0" w:line="180" w:lineRule="exact"/>
        <w:rPr>
          <w:sz w:val="20"/>
          <w:szCs w:val="20"/>
          <w:color w:val="auto"/>
        </w:rPr>
      </w:pPr>
      <w:r>
        <w:rPr>
          <w:rFonts w:ascii="Arial" w:cs="Arial" w:eastAsia="Arial" w:hAnsi="Arial"/>
          <w:sz w:val="16"/>
          <w:szCs w:val="16"/>
          <w:color w:val="auto"/>
        </w:rPr>
        <w:t>In order to market and sell our products in the European Union, or EU, and many other jurisdictions, we or our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29" w:lineRule="exact"/>
        <w:rPr>
          <w:sz w:val="20"/>
          <w:szCs w:val="20"/>
          <w:color w:val="auto"/>
        </w:rPr>
      </w:pPr>
    </w:p>
    <w:p>
      <w:pPr>
        <w:ind w:left="40" w:right="59"/>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left="40" w:right="139"/>
        <w:spacing w:after="0" w:line="219" w:lineRule="auto"/>
        <w:rPr>
          <w:sz w:val="20"/>
          <w:szCs w:val="20"/>
          <w:color w:val="auto"/>
        </w:rPr>
      </w:pPr>
      <w:r>
        <w:rPr>
          <w:rFonts w:ascii="Arial" w:cs="Arial" w:eastAsia="Arial" w:hAnsi="Arial"/>
          <w:sz w:val="18"/>
          <w:szCs w:val="18"/>
          <w:b w:val="1"/>
          <w:bCs w:val="1"/>
          <w:i w:val="1"/>
          <w:iCs w:val="1"/>
          <w:color w:val="auto"/>
        </w:rPr>
        <w:t>Although the breakthrough therapy process is designed to expedite the review and development of drugs, Breakthrough Therapy designation by the FDA for AXS-05 for the treatment of MDD may not ultimately lead to a faster development or regulatory review or approval process, and it will not increase the likelihood that the product candidate will receive marketing approval.</w:t>
      </w:r>
    </w:p>
    <w:p>
      <w:pPr>
        <w:spacing w:after="0" w:line="163" w:lineRule="exact"/>
        <w:rPr>
          <w:sz w:val="20"/>
          <w:szCs w:val="20"/>
          <w:color w:val="auto"/>
        </w:rPr>
      </w:pPr>
    </w:p>
    <w:p>
      <w:pPr>
        <w:ind w:left="40" w:right="99" w:firstLine="648"/>
        <w:spacing w:after="0" w:line="222" w:lineRule="auto"/>
        <w:rPr>
          <w:sz w:val="20"/>
          <w:szCs w:val="20"/>
          <w:color w:val="auto"/>
        </w:rPr>
      </w:pPr>
      <w:r>
        <w:rPr>
          <w:rFonts w:ascii="Arial" w:cs="Arial" w:eastAsia="Arial" w:hAnsi="Arial"/>
          <w:sz w:val="17"/>
          <w:szCs w:val="17"/>
          <w:color w:val="auto"/>
        </w:rPr>
        <w:t>We received Breakthrough Therapy designation for AXS-05 for the treatment of MDD.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68" w:lineRule="exact"/>
        <w:rPr>
          <w:sz w:val="20"/>
          <w:szCs w:val="20"/>
          <w:color w:val="auto"/>
        </w:rPr>
      </w:pPr>
    </w:p>
    <w:p>
      <w:pPr>
        <w:ind w:left="40" w:right="99" w:firstLine="648"/>
        <w:spacing w:after="0" w:line="216" w:lineRule="auto"/>
        <w:rPr>
          <w:sz w:val="20"/>
          <w:szCs w:val="20"/>
          <w:color w:val="auto"/>
        </w:rPr>
      </w:pPr>
      <w:r>
        <w:rPr>
          <w:rFonts w:ascii="Arial" w:cs="Arial" w:eastAsia="Arial" w:hAnsi="Arial"/>
          <w:sz w:val="18"/>
          <w:szCs w:val="18"/>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if our product candidate no longer meets the conditions for qualification of this program.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2" w:lineRule="exact"/>
        <w:rPr>
          <w:sz w:val="20"/>
          <w:szCs w:val="20"/>
          <w:color w:val="auto"/>
        </w:rPr>
      </w:pPr>
    </w:p>
    <w:p>
      <w:pPr>
        <w:ind w:left="40" w:right="59"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3" w:lineRule="exact"/>
        <w:rPr>
          <w:sz w:val="20"/>
          <w:szCs w:val="20"/>
          <w:color w:val="auto"/>
        </w:rPr>
      </w:pPr>
    </w:p>
    <w:p>
      <w:pPr>
        <w:ind w:left="40" w:right="99"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4" w:lineRule="exact"/>
        <w:rPr>
          <w:sz w:val="20"/>
          <w:szCs w:val="20"/>
          <w:color w:val="auto"/>
        </w:rPr>
      </w:pPr>
    </w:p>
    <w:p>
      <w:pPr>
        <w:ind w:left="40" w:right="99"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184"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5" w:lineRule="exact"/>
        <w:rPr>
          <w:sz w:val="20"/>
          <w:szCs w:val="20"/>
          <w:color w:val="auto"/>
        </w:rPr>
      </w:pPr>
    </w:p>
    <w:p>
      <w:pPr>
        <w:ind w:left="40" w:right="179" w:firstLine="648"/>
        <w:spacing w:after="0" w:line="239"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39"/>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6"/>
          <w:szCs w:val="16"/>
          <w:color w:val="auto"/>
        </w:rPr>
        <w:t>‑</w:t>
      </w:r>
      <w:r>
        <w:rPr>
          <w:rFonts w:ascii="Arial" w:cs="Arial" w:eastAsia="Arial" w:hAnsi="Arial"/>
          <w:sz w:val="16"/>
          <w:szCs w:val="16"/>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6"/>
          <w:szCs w:val="16"/>
          <w:color w:val="auto"/>
        </w:rPr>
        <w:t>‑</w:t>
      </w:r>
      <w:r>
        <w:rPr>
          <w:rFonts w:ascii="Arial" w:cs="Arial" w:eastAsia="Arial" w:hAnsi="Arial"/>
          <w:sz w:val="16"/>
          <w:szCs w:val="16"/>
          <w:color w:val="auto"/>
        </w:rPr>
        <w:t>market requirements or restrictions. Any such restrictions could limit sales of the product.</w:t>
      </w:r>
    </w:p>
    <w:p>
      <w:pPr>
        <w:spacing w:after="0" w:line="162" w:lineRule="exact"/>
        <w:rPr>
          <w:sz w:val="20"/>
          <w:szCs w:val="20"/>
          <w:color w:val="auto"/>
        </w:rPr>
      </w:pPr>
    </w:p>
    <w:p>
      <w:pPr>
        <w:jc w:val="both"/>
        <w:ind w:left="40" w:right="179"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left="40" w:right="119"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700" w:right="79" w:hanging="332"/>
        <w:spacing w:after="0" w:line="235"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700" w:hanging="332"/>
        <w:spacing w:after="0" w:line="196" w:lineRule="exact"/>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clinical holds or termination of clinical trials;</w:t>
      </w:r>
    </w:p>
    <w:p>
      <w:pPr>
        <w:spacing w:after="0" w:line="196" w:lineRule="exact"/>
        <w:rPr>
          <w:rFonts w:ascii="Arial" w:cs="Arial" w:eastAsia="Arial" w:hAnsi="Arial"/>
          <w:sz w:val="17"/>
          <w:szCs w:val="17"/>
          <w:color w:val="auto"/>
        </w:rPr>
      </w:pPr>
    </w:p>
    <w:p>
      <w:pPr>
        <w:ind w:left="700" w:right="159" w:hanging="332"/>
        <w:spacing w:after="0" w:line="232"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700" w:right="999" w:hanging="332"/>
        <w:spacing w:after="0" w:line="258"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700" w:right="459" w:hanging="332"/>
        <w:spacing w:after="0" w:line="289"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3" w:lineRule="exact"/>
        <w:rPr>
          <w:rFonts w:ascii="Arial" w:cs="Arial" w:eastAsia="Arial" w:hAnsi="Arial"/>
          <w:sz w:val="16"/>
          <w:szCs w:val="16"/>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left="40" w:right="259" w:firstLine="648"/>
        <w:spacing w:after="0" w:line="244"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58" w:lineRule="exact"/>
        <w:rPr>
          <w:sz w:val="20"/>
          <w:szCs w:val="20"/>
          <w:color w:val="auto"/>
        </w:rPr>
      </w:pPr>
    </w:p>
    <w:p>
      <w:pPr>
        <w:ind w:left="40" w:right="99" w:firstLine="648"/>
        <w:spacing w:after="0" w:line="228"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5" w:lineRule="exact"/>
        <w:rPr>
          <w:sz w:val="20"/>
          <w:szCs w:val="20"/>
          <w:color w:val="auto"/>
        </w:rPr>
      </w:pPr>
    </w:p>
    <w:p>
      <w:pPr>
        <w:ind w:left="40" w:right="359"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left="40" w:right="199"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700" w:hanging="33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ind w:left="700" w:right="259" w:hanging="332"/>
        <w:spacing w:after="0" w:line="194" w:lineRule="exact"/>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700" w:right="279" w:hanging="332"/>
        <w:spacing w:after="0" w:line="22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2" w:lineRule="exact"/>
        <w:rPr>
          <w:rFonts w:ascii="Arial" w:cs="Arial" w:eastAsia="Arial" w:hAnsi="Arial"/>
          <w:sz w:val="18"/>
          <w:szCs w:val="18"/>
          <w:color w:val="auto"/>
        </w:rPr>
      </w:pPr>
    </w:p>
    <w:p>
      <w:pPr>
        <w:ind w:left="700" w:right="219" w:hanging="332"/>
        <w:spacing w:after="0" w:line="258"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700" w:right="11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700" w:hanging="33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700" w:right="11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700" w:right="7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700" w:right="9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700" w:right="63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700" w:right="699" w:hanging="332"/>
        <w:spacing w:after="0" w:line="23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left="40" w:right="319"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left="40" w:right="639"/>
        <w:spacing w:after="0" w:line="224" w:lineRule="auto"/>
        <w:rPr>
          <w:sz w:val="20"/>
          <w:szCs w:val="20"/>
          <w:color w:val="auto"/>
        </w:rPr>
      </w:pPr>
      <w:r>
        <w:rPr>
          <w:rFonts w:ascii="Arial" w:cs="Arial" w:eastAsia="Arial" w:hAnsi="Arial"/>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63" w:lineRule="exact"/>
        <w:rPr>
          <w:sz w:val="20"/>
          <w:szCs w:val="20"/>
          <w:color w:val="auto"/>
        </w:rPr>
      </w:pPr>
    </w:p>
    <w:p>
      <w:pPr>
        <w:ind w:left="40" w:right="59"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left="40" w:right="259" w:firstLine="648"/>
        <w:spacing w:after="0" w:line="226" w:lineRule="auto"/>
        <w:rPr>
          <w:sz w:val="20"/>
          <w:szCs w:val="20"/>
          <w:color w:val="auto"/>
        </w:rPr>
      </w:pPr>
      <w:r>
        <w:rPr>
          <w:rFonts w:ascii="Arial" w:cs="Arial" w:eastAsia="Arial" w:hAnsi="Arial"/>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Allergan plc; Amgen Inc.; Avadel Pharmaceuticals plc; Biohaven Pharmaceutical Holding Company Ltd.; Eli Lilly and Company; H. Lundbeck A/S; Intra-Cellular Therapies, Inc.; Janssen Research &amp; Development, LLC; Jazz Pharmaceuticals plc; Otsuka Pharmaceutical Co. Ltd.; OPKO Health, Inc., and Sage Therapeutics, Inc.</w:t>
      </w:r>
    </w:p>
    <w:p>
      <w:pPr>
        <w:spacing w:after="0" w:line="165" w:lineRule="exact"/>
        <w:rPr>
          <w:sz w:val="20"/>
          <w:szCs w:val="20"/>
          <w:color w:val="auto"/>
        </w:rPr>
      </w:pPr>
    </w:p>
    <w:p>
      <w:pPr>
        <w:ind w:left="40" w:right="59"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Generic forms of the active ingredients of our product candidates, including zoledronic acid, DM, bupropion,</w:t>
      </w:r>
    </w:p>
    <w:p>
      <w:pPr>
        <w:ind w:left="40"/>
        <w:spacing w:after="0" w:line="228" w:lineRule="auto"/>
        <w:rPr>
          <w:sz w:val="20"/>
          <w:szCs w:val="20"/>
          <w:color w:val="auto"/>
        </w:rPr>
      </w:pPr>
      <w:r>
        <w:rPr>
          <w:rFonts w:ascii="Arial" w:cs="Arial" w:eastAsia="Arial" w:hAnsi="Arial"/>
          <w:sz w:val="16"/>
          <w:szCs w:val="16"/>
          <w:color w:val="auto"/>
        </w:rPr>
        <w:t>meloxicam, rizatripan, reboxetine, and esomeprazole, are available in the United States and abroad and could be used</w:t>
      </w:r>
    </w:p>
    <w:p>
      <w:pPr>
        <w:ind w:left="40"/>
        <w:spacing w:after="0" w:line="176" w:lineRule="exact"/>
        <w:rPr>
          <w:sz w:val="20"/>
          <w:szCs w:val="20"/>
          <w:color w:val="auto"/>
        </w:rPr>
      </w:pPr>
      <w:r>
        <w:rPr>
          <w:rFonts w:ascii="Arial" w:cs="Arial" w:eastAsia="Arial" w:hAnsi="Arial"/>
          <w:sz w:val="16"/>
          <w:szCs w:val="16"/>
          <w:color w:val="auto"/>
        </w:rPr>
        <w:t>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w:t>
      </w:r>
    </w:p>
    <w:p>
      <w:pPr>
        <w:ind w:left="40"/>
        <w:spacing w:after="0" w:line="229" w:lineRule="auto"/>
        <w:rPr>
          <w:sz w:val="20"/>
          <w:szCs w:val="20"/>
          <w:color w:val="auto"/>
        </w:rPr>
      </w:pPr>
      <w:r>
        <w:rPr>
          <w:rFonts w:ascii="Arial" w:cs="Arial" w:eastAsia="Arial" w:hAnsi="Arial"/>
          <w:sz w:val="16"/>
          <w:szCs w:val="16"/>
          <w:color w:val="auto"/>
        </w:rPr>
        <w:t>and financial condition. For example, even though zoledronic acid is not currently approved for the treatment of pain, we</w:t>
      </w:r>
    </w:p>
    <w:p>
      <w:pPr>
        <w:ind w:left="40"/>
        <w:spacing w:after="0" w:line="216" w:lineRule="auto"/>
        <w:rPr>
          <w:sz w:val="20"/>
          <w:szCs w:val="20"/>
          <w:color w:val="auto"/>
        </w:rPr>
      </w:pPr>
      <w:r>
        <w:rPr>
          <w:rFonts w:ascii="Arial" w:cs="Arial" w:eastAsia="Arial" w:hAnsi="Arial"/>
          <w:sz w:val="17"/>
          <w:szCs w:val="17"/>
          <w:color w:val="auto"/>
        </w:rPr>
        <w:t>would not be able to prevent a physician from prescribing zoledronic acid in intravenous form for such treatment. Nor</w:t>
      </w:r>
    </w:p>
    <w:p>
      <w:pPr>
        <w:ind w:left="40"/>
        <w:spacing w:after="0" w:line="229" w:lineRule="auto"/>
        <w:rPr>
          <w:sz w:val="20"/>
          <w:szCs w:val="20"/>
          <w:color w:val="auto"/>
        </w:rPr>
      </w:pPr>
      <w:r>
        <w:rPr>
          <w:rFonts w:ascii="Arial" w:cs="Arial" w:eastAsia="Arial" w:hAnsi="Arial"/>
          <w:sz w:val="16"/>
          <w:szCs w:val="16"/>
          <w:color w:val="auto"/>
        </w:rPr>
        <w:t>could we prevent a payor from offering favorable coverage for such product and disadvantaging our product candidates,</w:t>
      </w:r>
    </w:p>
    <w:p>
      <w:pPr>
        <w:ind w:left="40"/>
        <w:spacing w:after="0"/>
        <w:rPr>
          <w:sz w:val="20"/>
          <w:szCs w:val="20"/>
          <w:color w:val="auto"/>
        </w:rPr>
      </w:pPr>
      <w:r>
        <w:rPr>
          <w:rFonts w:ascii="Arial" w:cs="Arial" w:eastAsia="Arial" w:hAnsi="Arial"/>
          <w:sz w:val="18"/>
          <w:szCs w:val="18"/>
          <w:color w:val="auto"/>
        </w:rPr>
        <w:t>even if the generics would be used off-label.</w:t>
      </w:r>
    </w:p>
    <w:p>
      <w:pPr>
        <w:spacing w:after="0" w:line="169" w:lineRule="exact"/>
        <w:rPr>
          <w:sz w:val="20"/>
          <w:szCs w:val="20"/>
          <w:color w:val="auto"/>
        </w:rPr>
      </w:pPr>
    </w:p>
    <w:p>
      <w:pPr>
        <w:ind w:left="40" w:right="79" w:firstLine="648"/>
        <w:spacing w:after="0" w:line="210"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40" w:right="99"/>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left="40" w:right="59"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left="40" w:right="119"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4" w:lineRule="exact"/>
        <w:rPr>
          <w:sz w:val="20"/>
          <w:szCs w:val="20"/>
          <w:color w:val="auto"/>
        </w:rPr>
      </w:pPr>
    </w:p>
    <w:p>
      <w:pPr>
        <w:ind w:left="40" w:right="119" w:firstLine="648"/>
        <w:spacing w:after="0" w:line="184" w:lineRule="exact"/>
        <w:rPr>
          <w:sz w:val="20"/>
          <w:szCs w:val="20"/>
          <w:color w:val="auto"/>
        </w:rPr>
      </w:pPr>
      <w:r>
        <w:rPr>
          <w:rFonts w:ascii="Arial" w:cs="Arial" w:eastAsia="Arial" w:hAnsi="Arial"/>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Arial" w:cs="Arial" w:eastAsia="Arial" w:hAnsi="Arial"/>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left="40" w:right="119" w:firstLine="648"/>
        <w:spacing w:after="0" w:line="223" w:lineRule="auto"/>
        <w:rPr>
          <w:sz w:val="20"/>
          <w:szCs w:val="20"/>
          <w:color w:val="auto"/>
        </w:rPr>
      </w:pPr>
      <w:r>
        <w:rPr>
          <w:rFonts w:ascii="Arial" w:cs="Arial" w:eastAsia="Arial" w:hAnsi="Arial"/>
          <w:sz w:val="17"/>
          <w:szCs w:val="17"/>
          <w:color w:val="auto"/>
        </w:rPr>
        <w:t>We currently anticipate that we may be eligible for three years of non 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 patent protection may not prevent FDA making an approval effective.</w:t>
      </w:r>
    </w:p>
    <w:p>
      <w:pPr>
        <w:spacing w:after="0" w:line="167" w:lineRule="exact"/>
        <w:rPr>
          <w:sz w:val="20"/>
          <w:szCs w:val="20"/>
          <w:color w:val="auto"/>
        </w:rPr>
      </w:pPr>
    </w:p>
    <w:p>
      <w:pPr>
        <w:ind w:left="40" w:right="79"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left="40" w:right="279"/>
        <w:spacing w:after="0" w:line="284" w:lineRule="auto"/>
        <w:rPr>
          <w:sz w:val="20"/>
          <w:szCs w:val="20"/>
          <w:color w:val="auto"/>
        </w:rPr>
      </w:pPr>
      <w:r>
        <w:rPr>
          <w:rFonts w:ascii="Arial" w:cs="Arial" w:eastAsia="Arial" w:hAnsi="Arial"/>
          <w:sz w:val="15"/>
          <w:szCs w:val="15"/>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30" w:lineRule="exact"/>
        <w:rPr>
          <w:sz w:val="20"/>
          <w:szCs w:val="20"/>
          <w:color w:val="auto"/>
        </w:rPr>
      </w:pPr>
    </w:p>
    <w:p>
      <w:pPr>
        <w:ind w:left="40" w:right="139" w:firstLine="648"/>
        <w:spacing w:after="0" w:line="235" w:lineRule="auto"/>
        <w:rPr>
          <w:sz w:val="20"/>
          <w:szCs w:val="20"/>
          <w:color w:val="auto"/>
        </w:rPr>
      </w:pPr>
      <w:r>
        <w:rPr>
          <w:rFonts w:ascii="Arial" w:cs="Arial" w:eastAsia="Arial" w:hAnsi="Arial"/>
          <w:sz w:val="18"/>
          <w:szCs w:val="18"/>
          <w:color w:val="auto"/>
        </w:rPr>
        <w:t>AXS-12 received Orphan Drug Designation from FDA for the treatment of narcolepsy. We may also seek Orphan Drug Designation for our other product candidates, as appropriate.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22"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8" w:lineRule="exact"/>
        <w:rPr>
          <w:sz w:val="20"/>
          <w:szCs w:val="20"/>
          <w:color w:val="auto"/>
        </w:rPr>
      </w:pPr>
    </w:p>
    <w:p>
      <w:pPr>
        <w:ind w:left="40" w:right="159" w:firstLine="648"/>
        <w:spacing w:after="0" w:line="178"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w:t>
      </w:r>
    </w:p>
    <w:p>
      <w:pPr>
        <w:spacing w:after="0" w:line="5" w:lineRule="exact"/>
        <w:rPr>
          <w:sz w:val="20"/>
          <w:szCs w:val="20"/>
          <w:color w:val="auto"/>
        </w:rPr>
      </w:pPr>
    </w:p>
    <w:p>
      <w:pPr>
        <w:ind w:left="40" w:right="119"/>
        <w:spacing w:after="0" w:line="189" w:lineRule="exact"/>
        <w:rPr>
          <w:sz w:val="20"/>
          <w:szCs w:val="20"/>
          <w:color w:val="auto"/>
        </w:rPr>
      </w:pPr>
      <w:r>
        <w:rPr>
          <w:rFonts w:ascii="Arial" w:cs="Arial" w:eastAsia="Arial" w:hAnsi="Arial"/>
          <w:sz w:val="17"/>
          <w:szCs w:val="17"/>
          <w:color w:val="auto"/>
        </w:rPr>
        <w:t>7 years. If another sponsor had received EMA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had obtained EMA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have been prevented from launching our product in the EU for this indication for a period of at least 10 to 12 years.</w:t>
      </w:r>
    </w:p>
    <w:p>
      <w:pPr>
        <w:spacing w:after="0" w:line="162" w:lineRule="exact"/>
        <w:rPr>
          <w:sz w:val="20"/>
          <w:szCs w:val="20"/>
          <w:color w:val="auto"/>
        </w:rPr>
      </w:pPr>
    </w:p>
    <w:p>
      <w:pPr>
        <w:ind w:left="40" w:right="79" w:firstLine="648"/>
        <w:spacing w:after="0" w:line="244"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8" w:lineRule="exact"/>
        <w:rPr>
          <w:sz w:val="20"/>
          <w:szCs w:val="20"/>
          <w:color w:val="auto"/>
        </w:rPr>
      </w:pPr>
    </w:p>
    <w:p>
      <w:pPr>
        <w:ind w:left="40" w:right="43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1" w:lineRule="exact"/>
        <w:rPr>
          <w:sz w:val="20"/>
          <w:szCs w:val="20"/>
          <w:color w:val="auto"/>
        </w:rPr>
      </w:pPr>
    </w:p>
    <w:p>
      <w:pPr>
        <w:ind w:left="40" w:right="79" w:firstLine="648"/>
        <w:spacing w:after="0" w:line="181"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8" w:lineRule="exact"/>
        <w:rPr>
          <w:sz w:val="20"/>
          <w:szCs w:val="20"/>
          <w:color w:val="auto"/>
        </w:rPr>
      </w:pPr>
    </w:p>
    <w:p>
      <w:pPr>
        <w:ind w:left="40" w:right="99" w:firstLine="648"/>
        <w:spacing w:after="0" w:line="222"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8"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07" w:lineRule="exact"/>
        <w:rPr>
          <w:rFonts w:ascii="Arial" w:cs="Arial" w:eastAsia="Arial" w:hAnsi="Arial"/>
          <w:sz w:val="16"/>
          <w:szCs w:val="16"/>
          <w:color w:val="auto"/>
        </w:rPr>
      </w:pPr>
    </w:p>
    <w:p>
      <w:pPr>
        <w:ind w:left="700" w:right="539" w:hanging="332"/>
        <w:spacing w:after="0" w:line="235"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700" w:right="259" w:hanging="332"/>
        <w:spacing w:after="0" w:line="23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700" w:right="279" w:hanging="332"/>
        <w:spacing w:after="0" w:line="23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700" w:right="1099" w:hanging="332"/>
        <w:spacing w:after="0" w:line="23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161" w:lineRule="exact"/>
        <w:rPr>
          <w:rFonts w:ascii="Arial" w:cs="Arial" w:eastAsia="Arial" w:hAnsi="Arial"/>
          <w:sz w:val="18"/>
          <w:szCs w:val="18"/>
          <w:color w:val="auto"/>
        </w:rPr>
      </w:pPr>
    </w:p>
    <w:p>
      <w:pPr>
        <w:ind w:left="700" w:right="859" w:hanging="332"/>
        <w:spacing w:after="0" w:line="23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700" w:right="619" w:hanging="332"/>
        <w:spacing w:after="0" w:line="23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left="40" w:right="279"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0" w:lineRule="exact"/>
        <w:rPr>
          <w:sz w:val="20"/>
          <w:szCs w:val="20"/>
          <w:color w:val="auto"/>
        </w:rPr>
      </w:pPr>
    </w:p>
    <w:p>
      <w:pPr>
        <w:ind w:left="40" w:right="79" w:firstLine="648"/>
        <w:spacing w:after="0" w:line="184"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and may be subject to additional regulatory restrictions associated with the operation of a contracted sales force. In addition, we would have less control over the sales efforts of any other third parties involved in our commercialization efforts, and could be held liable if they failed to comply with applicable legal or regulatory requirements.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65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165" w:lineRule="exact"/>
        <w:rPr>
          <w:sz w:val="20"/>
          <w:szCs w:val="20"/>
          <w:color w:val="auto"/>
        </w:rPr>
      </w:pPr>
    </w:p>
    <w:p>
      <w:pPr>
        <w:ind w:left="40" w:right="17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4" w:lineRule="exact"/>
        <w:rPr>
          <w:sz w:val="20"/>
          <w:szCs w:val="20"/>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700" w:right="539" w:hanging="332"/>
        <w:spacing w:after="0" w:line="235"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700" w:right="539" w:hanging="332"/>
        <w:spacing w:after="0" w:line="203" w:lineRule="exact"/>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700" w:right="399" w:hanging="332"/>
        <w:spacing w:after="0" w:line="235"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700" w:right="339" w:hanging="332"/>
        <w:spacing w:after="0" w:line="258"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700" w:right="439" w:hanging="332"/>
        <w:spacing w:after="0" w:line="235"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700" w:right="159" w:hanging="332"/>
        <w:spacing w:after="0" w:line="235"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700" w:right="159" w:hanging="332"/>
        <w:spacing w:after="0" w:line="258"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700" w:right="99" w:hanging="332"/>
        <w:spacing w:after="0" w:line="235"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7"/>
          <w:szCs w:val="17"/>
          <w:color w:val="auto"/>
        </w:rPr>
        <w:t>Our efforts to educate the medical community and third</w:t>
      </w:r>
      <w:r>
        <w:rPr>
          <w:rFonts w:ascii="MS PGothic" w:cs="MS PGothic" w:eastAsia="MS PGothic" w:hAnsi="MS PGothic"/>
          <w:sz w:val="17"/>
          <w:szCs w:val="17"/>
          <w:color w:val="auto"/>
        </w:rPr>
        <w:t>‑</w:t>
      </w:r>
      <w:r>
        <w:rPr>
          <w:rFonts w:ascii="Arial" w:cs="Arial" w:eastAsia="Arial" w:hAnsi="Arial"/>
          <w:sz w:val="17"/>
          <w:szCs w:val="17"/>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we may not generate meaningful revenues from our product candidates, and we may not become profitable.</w:t>
      </w:r>
    </w:p>
    <w:p>
      <w:pPr>
        <w:spacing w:after="0" w:line="167" w:lineRule="exact"/>
        <w:rPr>
          <w:sz w:val="20"/>
          <w:szCs w:val="20"/>
          <w:color w:val="auto"/>
        </w:rPr>
      </w:pPr>
    </w:p>
    <w:p>
      <w:pPr>
        <w:ind w:left="40" w:right="79"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left="40" w:right="179"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39"/>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1" w:lineRule="exact"/>
        <w:rPr>
          <w:sz w:val="20"/>
          <w:szCs w:val="20"/>
          <w:color w:val="auto"/>
        </w:rPr>
      </w:pPr>
    </w:p>
    <w:p>
      <w:pPr>
        <w:ind w:left="40" w:right="59"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2" w:lineRule="exact"/>
        <w:rPr>
          <w:sz w:val="20"/>
          <w:szCs w:val="20"/>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5" w:lineRule="exact"/>
        <w:rPr>
          <w:sz w:val="20"/>
          <w:szCs w:val="20"/>
          <w:color w:val="auto"/>
        </w:rPr>
      </w:pPr>
    </w:p>
    <w:p>
      <w:pPr>
        <w:ind w:left="40" w:right="79" w:firstLine="648"/>
        <w:spacing w:after="0" w:line="235" w:lineRule="auto"/>
        <w:rPr>
          <w:sz w:val="20"/>
          <w:szCs w:val="20"/>
          <w:color w:val="auto"/>
        </w:rPr>
      </w:pPr>
      <w:r>
        <w:rPr>
          <w:rFonts w:ascii="Arial" w:cs="Arial" w:eastAsia="Arial" w:hAnsi="Arial"/>
          <w:sz w:val="16"/>
          <w:szCs w:val="16"/>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left="40" w:right="319"/>
        <w:spacing w:after="0" w:line="237"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3" w:lineRule="exact"/>
        <w:rPr>
          <w:sz w:val="20"/>
          <w:szCs w:val="20"/>
          <w:color w:val="auto"/>
        </w:rPr>
      </w:pPr>
    </w:p>
    <w:p>
      <w:pPr>
        <w:ind w:left="40" w:right="59" w:firstLine="648"/>
        <w:spacing w:after="0" w:line="181" w:lineRule="exact"/>
        <w:rPr>
          <w:sz w:val="20"/>
          <w:szCs w:val="20"/>
          <w:color w:val="auto"/>
        </w:rPr>
      </w:pPr>
      <w:r>
        <w:rPr>
          <w:rFonts w:ascii="Arial" w:cs="Arial" w:eastAsia="Arial" w:hAnsi="Arial"/>
          <w:sz w:val="16"/>
          <w:szCs w:val="16"/>
          <w:color w:val="auto"/>
        </w:rPr>
        <w:t>We rely on third</w:t>
      </w:r>
      <w:r>
        <w:rPr>
          <w:rFonts w:ascii="MS PGothic" w:cs="MS PGothic" w:eastAsia="MS PGothic" w:hAnsi="MS PGothic"/>
          <w:sz w:val="16"/>
          <w:szCs w:val="16"/>
          <w:color w:val="auto"/>
        </w:rPr>
        <w:t>‑</w:t>
      </w:r>
      <w:r>
        <w:rPr>
          <w:rFonts w:ascii="Arial" w:cs="Arial" w:eastAsia="Arial" w:hAnsi="Arial"/>
          <w:sz w:val="16"/>
          <w:szCs w:val="16"/>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2"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4" w:lineRule="exact"/>
        <w:rPr>
          <w:sz w:val="20"/>
          <w:szCs w:val="20"/>
          <w:color w:val="auto"/>
        </w:rPr>
      </w:pPr>
    </w:p>
    <w:p>
      <w:pPr>
        <w:ind w:left="40" w:right="439" w:firstLine="648"/>
        <w:spacing w:after="0" w:line="184" w:lineRule="exact"/>
        <w:rPr>
          <w:sz w:val="20"/>
          <w:szCs w:val="20"/>
          <w:color w:val="auto"/>
        </w:rPr>
      </w:pPr>
      <w:r>
        <w:rPr>
          <w:rFonts w:ascii="Arial" w:cs="Arial" w:eastAsia="Arial" w:hAnsi="Arial"/>
          <w:sz w:val="17"/>
          <w:szCs w:val="17"/>
          <w:color w:val="auto"/>
        </w:rPr>
        <w:t>In addition, once we have an approved product, we will be required to report certain financial interests of our third</w:t>
      </w:r>
      <w:r>
        <w:rPr>
          <w:rFonts w:ascii="MS PGothic" w:cs="MS PGothic" w:eastAsia="MS PGothic" w:hAnsi="MS PGothic"/>
          <w:sz w:val="17"/>
          <w:szCs w:val="17"/>
          <w:color w:val="auto"/>
        </w:rPr>
        <w:t>‑</w:t>
      </w:r>
      <w:r>
        <w:rPr>
          <w:rFonts w:ascii="Arial" w:cs="Arial" w:eastAsia="Arial" w:hAnsi="Arial"/>
          <w:sz w:val="17"/>
          <w:szCs w:val="17"/>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2" w:lineRule="exact"/>
        <w:rPr>
          <w:sz w:val="20"/>
          <w:szCs w:val="20"/>
          <w:color w:val="auto"/>
        </w:rPr>
      </w:pPr>
    </w:p>
    <w:p>
      <w:pPr>
        <w:ind w:left="40" w:right="299" w:firstLine="648"/>
        <w:spacing w:after="0" w:line="184" w:lineRule="exact"/>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2" w:lineRule="exact"/>
        <w:rPr>
          <w:sz w:val="20"/>
          <w:szCs w:val="20"/>
          <w:color w:val="auto"/>
        </w:rPr>
      </w:pPr>
    </w:p>
    <w:p>
      <w:pPr>
        <w:ind w:left="40" w:right="219" w:firstLine="648"/>
        <w:spacing w:after="0" w:line="184" w:lineRule="exact"/>
        <w:rPr>
          <w:sz w:val="20"/>
          <w:szCs w:val="20"/>
          <w:color w:val="auto"/>
        </w:rPr>
      </w:pPr>
      <w:r>
        <w:rPr>
          <w:rFonts w:ascii="Arial" w:cs="Arial" w:eastAsia="Arial" w:hAnsi="Arial"/>
          <w:sz w:val="16"/>
          <w:szCs w:val="16"/>
          <w:color w:val="auto"/>
        </w:rPr>
        <w:t>If any of our relationships with these third</w:t>
      </w:r>
      <w:r>
        <w:rPr>
          <w:rFonts w:ascii="MS PGothic" w:cs="MS PGothic" w:eastAsia="MS PGothic" w:hAnsi="MS PGothic"/>
          <w:sz w:val="16"/>
          <w:szCs w:val="16"/>
          <w:color w:val="auto"/>
        </w:rPr>
        <w:t>‑</w:t>
      </w:r>
      <w:r>
        <w:rPr>
          <w:rFonts w:ascii="Arial" w:cs="Arial" w:eastAsia="Arial" w:hAnsi="Arial"/>
          <w:sz w:val="16"/>
          <w:szCs w:val="16"/>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left="40" w:right="39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left="40" w:right="9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4" w:lineRule="exact"/>
        <w:rPr>
          <w:sz w:val="20"/>
          <w:szCs w:val="20"/>
          <w:color w:val="auto"/>
        </w:rPr>
      </w:pPr>
    </w:p>
    <w:p>
      <w:pPr>
        <w:ind w:left="40" w:right="139" w:firstLine="648"/>
        <w:spacing w:after="0" w:line="181" w:lineRule="exact"/>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breach, terminate, or not renew these agreements.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39" w:firstLine="648"/>
        <w:spacing w:after="0" w:line="181" w:lineRule="exact"/>
        <w:rPr>
          <w:sz w:val="20"/>
          <w:szCs w:val="20"/>
          <w:color w:val="auto"/>
        </w:rPr>
      </w:pPr>
      <w:r>
        <w:rPr>
          <w:rFonts w:ascii="Arial" w:cs="Arial" w:eastAsia="Arial" w:hAnsi="Arial"/>
          <w:sz w:val="16"/>
          <w:szCs w:val="16"/>
          <w:color w:val="auto"/>
        </w:rPr>
        <w:t>Any problems or delays we experience in preparing for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5" w:lineRule="exact"/>
        <w:rPr>
          <w:sz w:val="20"/>
          <w:szCs w:val="20"/>
          <w:color w:val="auto"/>
        </w:rPr>
      </w:pPr>
    </w:p>
    <w:p>
      <w:pPr>
        <w:ind w:left="40" w:right="179"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3" w:lineRule="exact"/>
        <w:rPr>
          <w:sz w:val="20"/>
          <w:szCs w:val="20"/>
          <w:color w:val="auto"/>
        </w:rPr>
      </w:pPr>
    </w:p>
    <w:p>
      <w:pPr>
        <w:ind w:left="40" w:right="59" w:firstLine="648"/>
        <w:spacing w:after="0" w:line="218" w:lineRule="auto"/>
        <w:rPr>
          <w:sz w:val="20"/>
          <w:szCs w:val="20"/>
          <w:color w:val="auto"/>
        </w:rPr>
      </w:pPr>
      <w:r>
        <w:rPr>
          <w:rFonts w:ascii="Arial" w:cs="Arial" w:eastAsia="Arial" w:hAnsi="Arial"/>
          <w:sz w:val="17"/>
          <w:szCs w:val="17"/>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67" w:lineRule="exact"/>
        <w:rPr>
          <w:sz w:val="20"/>
          <w:szCs w:val="20"/>
          <w:color w:val="auto"/>
        </w:rPr>
      </w:pPr>
    </w:p>
    <w:p>
      <w:pPr>
        <w:ind w:left="40" w:right="99"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59"/>
        <w:spacing w:after="0" w:line="324" w:lineRule="auto"/>
        <w:rPr>
          <w:sz w:val="20"/>
          <w:szCs w:val="20"/>
          <w:color w:val="auto"/>
        </w:rPr>
      </w:pPr>
      <w:r>
        <w:rPr>
          <w:rFonts w:ascii="Arial" w:cs="Arial" w:eastAsia="Arial" w:hAnsi="Arial"/>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01" w:lineRule="exact"/>
        <w:rPr>
          <w:sz w:val="20"/>
          <w:szCs w:val="20"/>
          <w:color w:val="auto"/>
        </w:rPr>
      </w:pPr>
    </w:p>
    <w:p>
      <w:pPr>
        <w:jc w:val="both"/>
        <w:ind w:left="40" w:right="119" w:firstLine="648"/>
        <w:spacing w:after="0" w:line="224" w:lineRule="auto"/>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63"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64" w:lineRule="exact"/>
        <w:rPr>
          <w:sz w:val="20"/>
          <w:szCs w:val="20"/>
          <w:color w:val="auto"/>
        </w:rPr>
      </w:pPr>
    </w:p>
    <w:p>
      <w:pPr>
        <w:ind w:left="40" w:right="199" w:firstLine="648"/>
        <w:spacing w:after="0" w:line="222" w:lineRule="auto"/>
        <w:rPr>
          <w:sz w:val="20"/>
          <w:szCs w:val="20"/>
          <w:color w:val="auto"/>
        </w:rPr>
      </w:pPr>
      <w:r>
        <w:rPr>
          <w:rFonts w:ascii="Arial" w:cs="Arial" w:eastAsia="Arial" w:hAnsi="Arial"/>
          <w:sz w:val="17"/>
          <w:szCs w:val="17"/>
          <w:color w:val="auto"/>
        </w:rPr>
        <w:t>We may utilize contract manufacturers to manufacture our investigational products and plan to utilize contract manufacturers if and when we obtain FDA approval. The FDA has announced that domestic and foreign facility inspections are temporarily delayed, while inspections deemed “mission critical” (e.g., pre-approval and for-cause inspections) will be carried out on a case-by-case basis.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68" w:lineRule="exact"/>
        <w:rPr>
          <w:sz w:val="20"/>
          <w:szCs w:val="20"/>
          <w:color w:val="auto"/>
        </w:rPr>
      </w:pPr>
    </w:p>
    <w:p>
      <w:pPr>
        <w:ind w:left="40" w:right="219" w:firstLine="648"/>
        <w:spacing w:after="0" w:line="221" w:lineRule="auto"/>
        <w:rPr>
          <w:sz w:val="20"/>
          <w:szCs w:val="20"/>
          <w:color w:val="auto"/>
        </w:rPr>
      </w:pPr>
      <w:r>
        <w:rPr>
          <w:rFonts w:ascii="Arial" w:cs="Arial" w:eastAsia="Arial" w:hAnsi="Arial"/>
          <w:sz w:val="17"/>
          <w:szCs w:val="17"/>
          <w:color w:val="auto"/>
        </w:rPr>
        <w:t>Further, on March 25, 2020, the FDA issued Guidance on Conduct of Clinical Trials of Medical Products during the COVID-19 Pandemic for Industry, Investigators, and Institutional Review Boards to assist sponsors in assuring the safety of trial participants, maintaining compliance with good clinical practices,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67" w:lineRule="exact"/>
        <w:rPr>
          <w:sz w:val="20"/>
          <w:szCs w:val="20"/>
          <w:color w:val="auto"/>
        </w:rPr>
      </w:pPr>
    </w:p>
    <w:p>
      <w:pPr>
        <w:ind w:left="40" w:right="59" w:firstLine="648"/>
        <w:spacing w:after="0" w:line="214" w:lineRule="auto"/>
        <w:rPr>
          <w:sz w:val="20"/>
          <w:szCs w:val="20"/>
          <w:color w:val="auto"/>
        </w:rPr>
      </w:pPr>
      <w:r>
        <w:rPr>
          <w:rFonts w:ascii="Arial" w:cs="Arial" w:eastAsia="Arial" w:hAnsi="Arial"/>
          <w:sz w:val="18"/>
          <w:szCs w:val="18"/>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8" w:lineRule="exact"/>
        <w:rPr>
          <w:sz w:val="20"/>
          <w:szCs w:val="20"/>
          <w:color w:val="auto"/>
        </w:rPr>
      </w:pPr>
    </w:p>
    <w:p>
      <w:pPr>
        <w:ind w:left="40" w:right="119"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3" w:lineRule="exact"/>
        <w:rPr>
          <w:sz w:val="20"/>
          <w:szCs w:val="20"/>
          <w:color w:val="auto"/>
        </w:rPr>
      </w:pPr>
    </w:p>
    <w:p>
      <w:pPr>
        <w:ind w:left="40" w:right="219"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left="40" w:right="259" w:firstLine="648"/>
        <w:spacing w:after="0" w:line="219"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63" w:lineRule="exact"/>
        <w:rPr>
          <w:sz w:val="20"/>
          <w:szCs w:val="20"/>
          <w:color w:val="auto"/>
        </w:rPr>
      </w:pPr>
    </w:p>
    <w:p>
      <w:pPr>
        <w:ind w:left="40" w:right="459"/>
        <w:spacing w:after="0" w:line="289"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24"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ind w:left="40" w:right="339"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648"/>
        <w:spacing w:after="0" w:line="237"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3" w:lineRule="exact"/>
        <w:rPr>
          <w:sz w:val="20"/>
          <w:szCs w:val="20"/>
          <w:color w:val="auto"/>
        </w:rPr>
      </w:pPr>
    </w:p>
    <w:p>
      <w:pPr>
        <w:ind w:left="700" w:hanging="33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700" w:right="179" w:hanging="332"/>
        <w:spacing w:after="0" w:line="232"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7"/>
          <w:szCs w:val="17"/>
          <w:color w:val="auto"/>
        </w:rPr>
      </w:pPr>
    </w:p>
    <w:p>
      <w:pPr>
        <w:ind w:left="700" w:right="139" w:hanging="332"/>
        <w:spacing w:after="0" w:line="2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2" w:lineRule="exact"/>
        <w:rPr>
          <w:rFonts w:ascii="Arial" w:cs="Arial" w:eastAsia="Arial" w:hAnsi="Arial"/>
          <w:sz w:val="18"/>
          <w:szCs w:val="18"/>
          <w:color w:val="auto"/>
        </w:rPr>
      </w:pPr>
    </w:p>
    <w:p>
      <w:pPr>
        <w:ind w:left="700" w:hanging="33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700" w:right="539" w:hanging="332"/>
        <w:spacing w:after="0" w:line="23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700" w:right="199" w:hanging="332"/>
        <w:spacing w:after="0" w:line="21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8"/>
          <w:szCs w:val="18"/>
          <w:color w:val="auto"/>
        </w:rPr>
      </w:pPr>
    </w:p>
    <w:p>
      <w:pPr>
        <w:ind w:left="700" w:right="319" w:hanging="332"/>
        <w:spacing w:after="0" w:line="2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2" w:lineRule="exact"/>
        <w:rPr>
          <w:rFonts w:ascii="Arial" w:cs="Arial" w:eastAsia="Arial" w:hAnsi="Arial"/>
          <w:sz w:val="18"/>
          <w:szCs w:val="18"/>
          <w:color w:val="auto"/>
        </w:rPr>
      </w:pPr>
    </w:p>
    <w:p>
      <w:pPr>
        <w:jc w:val="both"/>
        <w:ind w:left="700" w:right="679" w:hanging="332"/>
        <w:spacing w:after="0" w:line="2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2" w:lineRule="exact"/>
        <w:rPr>
          <w:rFonts w:ascii="Arial" w:cs="Arial" w:eastAsia="Arial" w:hAnsi="Arial"/>
          <w:sz w:val="18"/>
          <w:szCs w:val="18"/>
          <w:color w:val="auto"/>
        </w:rPr>
      </w:pPr>
    </w:p>
    <w:p>
      <w:pPr>
        <w:ind w:left="700" w:right="259" w:hanging="332"/>
        <w:spacing w:after="0" w:line="249"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700" w:right="439" w:hanging="332"/>
        <w:spacing w:after="0" w:line="22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2" w:lineRule="exact"/>
        <w:rPr>
          <w:rFonts w:ascii="Arial" w:cs="Arial" w:eastAsia="Arial" w:hAnsi="Arial"/>
          <w:sz w:val="18"/>
          <w:szCs w:val="18"/>
          <w:color w:val="auto"/>
        </w:rPr>
      </w:pPr>
    </w:p>
    <w:p>
      <w:pPr>
        <w:ind w:left="700" w:right="279" w:hanging="332"/>
        <w:spacing w:after="0" w:line="23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left="40" w:right="319" w:firstLine="648"/>
        <w:spacing w:after="0" w:line="228"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19"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2"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left="40" w:right="59" w:firstLine="648"/>
        <w:spacing w:after="0" w:line="232" w:lineRule="auto"/>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left="40" w:right="139"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left="40" w:right="99"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63" w:lineRule="exact"/>
        <w:rPr>
          <w:sz w:val="20"/>
          <w:szCs w:val="20"/>
          <w:color w:val="auto"/>
        </w:rPr>
      </w:pPr>
    </w:p>
    <w:p>
      <w:pPr>
        <w:ind w:left="700" w:right="419" w:hanging="332"/>
        <w:spacing w:after="0" w:line="235"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700" w:right="79" w:hanging="332"/>
        <w:spacing w:after="0" w:line="235"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700" w:right="279" w:hanging="332"/>
        <w:spacing w:after="0" w:line="235"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700" w:right="139" w:hanging="332"/>
        <w:spacing w:after="0" w:line="237"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159" w:hanging="332"/>
        <w:spacing w:after="0" w:line="237"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3" w:lineRule="exact"/>
        <w:rPr>
          <w:rFonts w:ascii="Arial" w:cs="Arial" w:eastAsia="Arial" w:hAnsi="Arial"/>
          <w:sz w:val="17"/>
          <w:szCs w:val="17"/>
          <w:color w:val="auto"/>
        </w:rPr>
      </w:pPr>
    </w:p>
    <w:p>
      <w:pPr>
        <w:ind w:left="700" w:right="99" w:hanging="332"/>
        <w:spacing w:after="0" w:line="22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7"/>
          <w:szCs w:val="17"/>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7"/>
          <w:szCs w:val="17"/>
          <w:color w:val="auto"/>
        </w:rPr>
        <w:t>‑</w:t>
      </w:r>
      <w:r>
        <w:rPr>
          <w:rFonts w:ascii="Arial" w:cs="Arial" w:eastAsia="Arial" w:hAnsi="Arial"/>
          <w:sz w:val="17"/>
          <w:szCs w:val="17"/>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64"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left="40" w:right="99" w:firstLine="648"/>
        <w:spacing w:after="0" w:line="222"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18" w:lineRule="auto"/>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5" w:lineRule="exact"/>
        <w:rPr>
          <w:sz w:val="20"/>
          <w:szCs w:val="20"/>
          <w:color w:val="auto"/>
        </w:rPr>
      </w:pPr>
    </w:p>
    <w:p>
      <w:pPr>
        <w:ind w:left="40" w:right="79" w:firstLine="648"/>
        <w:spacing w:after="0" w:line="210" w:lineRule="auto"/>
        <w:rPr>
          <w:sz w:val="20"/>
          <w:szCs w:val="20"/>
          <w:color w:val="auto"/>
        </w:rPr>
      </w:pPr>
      <w:r>
        <w:rPr>
          <w:rFonts w:ascii="Arial" w:cs="Arial" w:eastAsia="Arial" w:hAnsi="Arial"/>
          <w:sz w:val="18"/>
          <w:szCs w:val="18"/>
          <w:color w:val="auto"/>
        </w:rPr>
        <w:t>In addition, the patentability of claims in pending patent applications covering any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petitions for post-grant review of 9 U.S. Patents covering the Axsome PPC programs oral zoledronic acid, the active moiety in our AXS-02 product candidate, and neridronic acid, the active moiety in a product candidate under development by a competitor of Axsome, were filed at the USPTO by Grunenthal GmbH, or Grunenthal, requesting that the Patent Trial and Appeal Board, or PTAB, institute proceedings to review the validity of the patents. Post-grant reviews were instituted for each.</w:t>
      </w:r>
    </w:p>
    <w:p>
      <w:pPr>
        <w:spacing w:after="0" w:line="166" w:lineRule="exact"/>
        <w:rPr>
          <w:sz w:val="20"/>
          <w:szCs w:val="20"/>
          <w:color w:val="auto"/>
        </w:rPr>
      </w:pPr>
    </w:p>
    <w:p>
      <w:pPr>
        <w:ind w:left="40" w:right="59" w:firstLine="648"/>
        <w:spacing w:after="0" w:line="234" w:lineRule="auto"/>
        <w:rPr>
          <w:sz w:val="20"/>
          <w:szCs w:val="20"/>
          <w:color w:val="auto"/>
        </w:rPr>
      </w:pPr>
      <w:r>
        <w:rPr>
          <w:rFonts w:ascii="Arial" w:cs="Arial" w:eastAsia="Arial" w:hAnsi="Arial"/>
          <w:sz w:val="16"/>
          <w:szCs w:val="16"/>
          <w:color w:val="auto"/>
        </w:rPr>
        <w:t>In May 2020, the PTAB entered a final written decision for U.S. Patent No. 9,867,839, containing claims directed to the use of oral zoledronic acid, and of neridronic acid, for the treatment of joint pain, holding that the sixteen claims covering oral zoledronic acid were valid and that the fourteen claims covering neridronic acid were invalid for obviousness. In February 2020, the PTAB entered a final written decision for U.S. Patent No. 9,820,999, containg claims directed to the use of neridronic acid for the treatment of complex regional pain syndrome, or CRPS, holding that thirteen of the claims were valid, and seventeen of the claims were invalid for lacking novelty. The PTAB previously entered final written decisions for U.S. Patents No. 9,283,239; 9,408,862; and 9,539,268, each containing claims directed to certain dosage forms containing zoledronic acid or the use of certain dosage forms containing zoledronic acid, holding that the claims were invalid for lack of written description, novelty, and/or obviousness. The PTAB also previously entered a final written decision for U.S. Patent No. 9,707,245, containing claims directed to the use of neridronic acid for the treatment of CRPS, holding that the claims were invalid for lacking novelty and for obviousness. The PTAB has also rendered decisions to institute post-grant reviews and oral arguments have been held for U.S. Patents No. 9,931,352; 10,039,774; and 10,052,338, each containing claims directed to the use of neridronic acid for the treatment of CRPS.</w:t>
      </w:r>
    </w:p>
    <w:p>
      <w:pPr>
        <w:spacing w:after="0" w:line="165" w:lineRule="exact"/>
        <w:rPr>
          <w:sz w:val="20"/>
          <w:szCs w:val="20"/>
          <w:color w:val="auto"/>
        </w:rPr>
      </w:pPr>
    </w:p>
    <w:p>
      <w:pPr>
        <w:ind w:left="40" w:right="339" w:firstLine="648"/>
        <w:spacing w:after="0" w:line="244" w:lineRule="auto"/>
        <w:rPr>
          <w:sz w:val="20"/>
          <w:szCs w:val="20"/>
          <w:color w:val="auto"/>
        </w:rPr>
      </w:pPr>
      <w:r>
        <w:rPr>
          <w:rFonts w:ascii="Arial" w:cs="Arial" w:eastAsia="Arial" w:hAnsi="Arial"/>
          <w:sz w:val="16"/>
          <w:szCs w:val="16"/>
          <w:color w:val="auto"/>
        </w:rPr>
        <w:t>Any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0" w:lineRule="exact"/>
        <w:rPr>
          <w:sz w:val="20"/>
          <w:szCs w:val="20"/>
          <w:color w:val="auto"/>
        </w:rPr>
      </w:pPr>
    </w:p>
    <w:p>
      <w:pPr>
        <w:ind w:left="40" w:right="119"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left="40" w:right="119"/>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left="40" w:right="79" w:firstLine="648"/>
        <w:spacing w:after="0" w:line="180" w:lineRule="exact"/>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Arial" w:cs="Arial" w:eastAsia="Arial" w:hAnsi="Arial"/>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319"/>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left="40" w:right="59"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69" w:lineRule="exact"/>
        <w:rPr>
          <w:sz w:val="20"/>
          <w:szCs w:val="20"/>
          <w:color w:val="auto"/>
        </w:rPr>
      </w:pPr>
    </w:p>
    <w:p>
      <w:pPr>
        <w:ind w:left="40" w:right="759" w:firstLine="648"/>
        <w:spacing w:after="0" w:line="235" w:lineRule="auto"/>
        <w:rPr>
          <w:sz w:val="20"/>
          <w:szCs w:val="20"/>
          <w:color w:val="auto"/>
        </w:rPr>
      </w:pPr>
      <w:r>
        <w:rPr>
          <w:rFonts w:ascii="Arial" w:cs="Arial" w:eastAsia="Arial" w:hAnsi="Arial"/>
          <w:sz w:val="18"/>
          <w:szCs w:val="18"/>
          <w:color w:val="auto"/>
        </w:rPr>
        <w:t>If a third party claims that we infringe on their products or technology, we could face a number of issues, including:</w:t>
      </w:r>
    </w:p>
    <w:p>
      <w:pPr>
        <w:spacing w:after="0" w:line="162" w:lineRule="exact"/>
        <w:rPr>
          <w:sz w:val="20"/>
          <w:szCs w:val="20"/>
          <w:color w:val="auto"/>
        </w:rPr>
      </w:pPr>
    </w:p>
    <w:p>
      <w:pPr>
        <w:ind w:left="700" w:right="179" w:hanging="332"/>
        <w:spacing w:after="0" w:line="258" w:lineRule="auto"/>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700" w:right="199" w:hanging="332"/>
        <w:spacing w:after="0" w:line="23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700" w:right="539" w:hanging="332"/>
        <w:spacing w:after="0" w:line="23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700" w:right="79" w:hanging="332"/>
        <w:spacing w:after="0" w:line="23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700" w:right="439" w:hanging="332"/>
        <w:spacing w:after="0" w:line="23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40" w:right="79" w:firstLine="648"/>
        <w:spacing w:after="0" w:line="181" w:lineRule="exact"/>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79"/>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left="40" w:right="159" w:firstLine="648"/>
        <w:spacing w:after="0" w:line="221" w:lineRule="auto"/>
        <w:rPr>
          <w:sz w:val="20"/>
          <w:szCs w:val="20"/>
          <w:color w:val="auto"/>
        </w:rPr>
      </w:pPr>
      <w:r>
        <w:rPr>
          <w:rFonts w:ascii="Arial" w:cs="Arial" w:eastAsia="Arial" w:hAnsi="Arial"/>
          <w:sz w:val="17"/>
          <w:szCs w:val="17"/>
          <w:color w:val="auto"/>
        </w:rPr>
        <w:t>Competitors may infringe our issued patents, our in licensed patents, or other intellectual property that we own or in 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left="40" w:right="359" w:firstLine="648"/>
        <w:spacing w:after="0" w:line="228" w:lineRule="auto"/>
        <w:rPr>
          <w:sz w:val="20"/>
          <w:szCs w:val="20"/>
          <w:color w:val="auto"/>
        </w:rPr>
      </w:pPr>
      <w:r>
        <w:rPr>
          <w:rFonts w:ascii="Arial" w:cs="Arial" w:eastAsia="Arial" w:hAnsi="Arial"/>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 license needed technology, or enter into development partnerships that would help us bring our product candidates to market.</w:t>
      </w:r>
    </w:p>
    <w:p>
      <w:pPr>
        <w:spacing w:after="0" w:line="165" w:lineRule="exact"/>
        <w:rPr>
          <w:sz w:val="20"/>
          <w:szCs w:val="20"/>
          <w:color w:val="auto"/>
        </w:rPr>
      </w:pPr>
    </w:p>
    <w:p>
      <w:pPr>
        <w:ind w:left="40" w:right="259"/>
        <w:spacing w:after="0" w:line="224" w:lineRule="auto"/>
        <w:rPr>
          <w:sz w:val="20"/>
          <w:szCs w:val="20"/>
          <w:color w:val="auto"/>
        </w:rPr>
      </w:pPr>
      <w:r>
        <w:rPr>
          <w:rFonts w:ascii="Arial" w:cs="Arial" w:eastAsia="Arial" w:hAnsi="Arial"/>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63"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67" w:lineRule="exact"/>
        <w:rPr>
          <w:sz w:val="20"/>
          <w:szCs w:val="20"/>
          <w:color w:val="auto"/>
        </w:rPr>
      </w:pPr>
    </w:p>
    <w:p>
      <w:pPr>
        <w:ind w:left="40" w:right="59" w:firstLine="648"/>
        <w:spacing w:after="0" w:line="219" w:lineRule="auto"/>
        <w:rPr>
          <w:sz w:val="20"/>
          <w:szCs w:val="20"/>
          <w:color w:val="auto"/>
        </w:rPr>
      </w:pPr>
      <w:r>
        <w:rPr>
          <w:rFonts w:ascii="Arial" w:cs="Arial" w:eastAsia="Arial" w:hAnsi="Arial"/>
          <w:sz w:val="17"/>
          <w:szCs w:val="17"/>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40" w:right="99"/>
        <w:spacing w:after="0" w:line="235" w:lineRule="auto"/>
        <w:rPr>
          <w:sz w:val="20"/>
          <w:szCs w:val="20"/>
          <w:color w:val="auto"/>
        </w:rPr>
      </w:pPr>
      <w:r>
        <w:rPr>
          <w:rFonts w:ascii="Arial" w:cs="Arial" w:eastAsia="Arial" w:hAnsi="Arial"/>
          <w:sz w:val="16"/>
          <w:szCs w:val="16"/>
          <w:color w:val="auto"/>
        </w:rPr>
        <w:t>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w:t>
      </w:r>
    </w:p>
    <w:p>
      <w:pPr>
        <w:spacing w:after="0" w:line="2" w:lineRule="exact"/>
        <w:rPr>
          <w:sz w:val="20"/>
          <w:szCs w:val="20"/>
          <w:color w:val="auto"/>
        </w:rPr>
      </w:pPr>
    </w:p>
    <w:p>
      <w:pPr>
        <w:ind w:left="40" w:right="179"/>
        <w:spacing w:after="0" w:line="214" w:lineRule="auto"/>
        <w:rPr>
          <w:sz w:val="20"/>
          <w:szCs w:val="20"/>
          <w:color w:val="auto"/>
        </w:rPr>
      </w:pPr>
      <w:r>
        <w:rPr>
          <w:rFonts w:ascii="Arial" w:cs="Arial" w:eastAsia="Arial" w:hAnsi="Arial"/>
          <w:sz w:val="18"/>
          <w:szCs w:val="18"/>
          <w:color w:val="auto"/>
        </w:rPr>
        <w:t>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64" w:lineRule="exact"/>
        <w:rPr>
          <w:sz w:val="20"/>
          <w:szCs w:val="20"/>
          <w:color w:val="auto"/>
        </w:rPr>
      </w:pPr>
    </w:p>
    <w:p>
      <w:pPr>
        <w:ind w:left="40" w:right="59" w:firstLine="648"/>
        <w:spacing w:after="0" w:line="184" w:lineRule="exact"/>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30" w:lineRule="exact"/>
        <w:rPr>
          <w:sz w:val="20"/>
          <w:szCs w:val="20"/>
          <w:color w:val="auto"/>
        </w:rPr>
      </w:pPr>
    </w:p>
    <w:p>
      <w:pPr>
        <w:ind w:left="40" w:right="599"/>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left="40" w:right="359" w:firstLine="648"/>
        <w:spacing w:after="0" w:line="226" w:lineRule="auto"/>
        <w:rPr>
          <w:sz w:val="20"/>
          <w:szCs w:val="20"/>
          <w:color w:val="auto"/>
        </w:rPr>
      </w:pPr>
      <w:r>
        <w:rPr>
          <w:rFonts w:ascii="Arial" w:cs="Arial" w:eastAsia="Arial" w:hAnsi="Arial"/>
          <w:sz w:val="17"/>
          <w:szCs w:val="17"/>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left="40" w:right="99"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left="40" w:right="59"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3" w:lineRule="exact"/>
        <w:rPr>
          <w:sz w:val="20"/>
          <w:szCs w:val="20"/>
          <w:color w:val="auto"/>
        </w:rPr>
      </w:pPr>
    </w:p>
    <w:p>
      <w:pPr>
        <w:ind w:left="40" w:right="99"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left="40" w:right="179"/>
        <w:spacing w:after="0" w:line="259" w:lineRule="auto"/>
        <w:rPr>
          <w:sz w:val="20"/>
          <w:szCs w:val="20"/>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47" w:lineRule="exact"/>
        <w:rPr>
          <w:sz w:val="20"/>
          <w:szCs w:val="20"/>
          <w:color w:val="auto"/>
        </w:rPr>
      </w:pPr>
    </w:p>
    <w:p>
      <w:pPr>
        <w:ind w:left="40" w:right="59" w:firstLine="648"/>
        <w:spacing w:after="0" w:line="181"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 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 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167" w:lineRule="exact"/>
        <w:rPr>
          <w:sz w:val="20"/>
          <w:szCs w:val="20"/>
          <w:color w:val="auto"/>
        </w:rPr>
      </w:pPr>
    </w:p>
    <w:p>
      <w:pPr>
        <w:ind w:left="40" w:right="119" w:firstLine="648"/>
        <w:spacing w:after="0" w:line="22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8" w:lineRule="exact"/>
        <w:rPr>
          <w:sz w:val="20"/>
          <w:szCs w:val="20"/>
          <w:color w:val="auto"/>
        </w:rPr>
      </w:pPr>
    </w:p>
    <w:p>
      <w:pPr>
        <w:ind w:left="40" w:right="159"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left="40" w:right="279"/>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left="40" w:right="99" w:firstLine="648"/>
        <w:spacing w:after="0" w:line="234" w:lineRule="auto"/>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 party payors. Such third 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regardless of the results of the 2020 presidential election.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Several third 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79" w:lineRule="exact"/>
        <w:rPr>
          <w:sz w:val="20"/>
          <w:szCs w:val="20"/>
          <w:color w:val="auto"/>
        </w:rPr>
      </w:pPr>
    </w:p>
    <w:p>
      <w:pPr>
        <w:ind w:left="40" w:right="179" w:firstLine="648"/>
        <w:spacing w:after="0" w:line="223" w:lineRule="auto"/>
        <w:rPr>
          <w:sz w:val="20"/>
          <w:szCs w:val="20"/>
          <w:color w:val="auto"/>
        </w:rPr>
      </w:pPr>
      <w:r>
        <w:rPr>
          <w:rFonts w:ascii="Arial" w:cs="Arial" w:eastAsia="Arial" w:hAnsi="Arial"/>
          <w:sz w:val="17"/>
          <w:szCs w:val="17"/>
          <w:color w:val="auto"/>
        </w:rPr>
        <w:t>Third party payors, whether foreign or domestic, or governmental or commercial, are developing increasingly sophisticated methods of controlling healthcare costs. In addition, in the United States, no uniform policy of coverage and reimbursement for drug products exists among third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7" w:lineRule="exact"/>
        <w:rPr>
          <w:sz w:val="20"/>
          <w:szCs w:val="20"/>
          <w:color w:val="auto"/>
        </w:rPr>
      </w:pPr>
    </w:p>
    <w:p>
      <w:pPr>
        <w:ind w:left="40" w:right="359" w:firstLine="648"/>
        <w:spacing w:after="0" w:line="222"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 party payors. Such studies might require us to commit a significant amount of management time and financial and other resources. Our future products might not ultimately be considered cost effective. Adequate third party coverage and reimbursement might not be available to enable us to maintain price levels sufficient to realize an appropriate return on investment in product development.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21" w:lineRule="auto"/>
        <w:rPr>
          <w:sz w:val="20"/>
          <w:szCs w:val="20"/>
          <w:color w:val="auto"/>
        </w:rPr>
      </w:pPr>
      <w:r>
        <w:rPr>
          <w:rFonts w:ascii="Arial" w:cs="Arial" w:eastAsia="Arial" w:hAnsi="Arial"/>
          <w:sz w:val="17"/>
          <w:szCs w:val="17"/>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 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 party payors do not provide adequate coverage or reimbursement, our prospects for revenue and profitability will suffer.</w:t>
      </w:r>
    </w:p>
    <w:p>
      <w:pPr>
        <w:spacing w:after="0" w:line="162" w:lineRule="exact"/>
        <w:rPr>
          <w:sz w:val="20"/>
          <w:szCs w:val="20"/>
          <w:color w:val="auto"/>
        </w:rPr>
      </w:pPr>
    </w:p>
    <w:p>
      <w:pPr>
        <w:ind w:left="40" w:right="99"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4" w:lineRule="exact"/>
        <w:rPr>
          <w:sz w:val="20"/>
          <w:szCs w:val="20"/>
          <w:color w:val="auto"/>
        </w:rPr>
      </w:pPr>
    </w:p>
    <w:p>
      <w:pPr>
        <w:ind w:left="40" w:right="119"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left="40" w:right="59" w:firstLine="648"/>
        <w:spacing w:after="0" w:line="210"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5" w:lineRule="exact"/>
        <w:rPr>
          <w:sz w:val="20"/>
          <w:szCs w:val="20"/>
          <w:color w:val="auto"/>
        </w:rPr>
      </w:pPr>
    </w:p>
    <w:p>
      <w:pPr>
        <w:ind w:left="40" w:right="239"/>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1" w:lineRule="exact"/>
        <w:rPr>
          <w:sz w:val="20"/>
          <w:szCs w:val="20"/>
          <w:color w:val="auto"/>
        </w:rPr>
      </w:pPr>
    </w:p>
    <w:p>
      <w:pPr>
        <w:ind w:left="40" w:right="199" w:firstLine="648"/>
        <w:spacing w:after="0" w:line="184" w:lineRule="exact"/>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For example, there have been numerous attempts by Congress and the Trump Administration, through legislation and executive orders, to repeal or materially modify various aspects of ACA. In addition, there have been multiple law suits challenging the constitutionality of the ACA as well as various components of the ACA, and it is unclear what impact these various efforts have and will have on our business operations and resulting financial condition. Next term, the Supreme Court will hear arguments on the constitutionality of the ACA, in particular with respect to Texas v. Azar’s holding that the TCJA rendered the individual mandate unconstitutional and by extension, the entirety of the ACA.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w:t>
      </w:r>
    </w:p>
    <w:p>
      <w:pPr>
        <w:spacing w:after="0" w:line="164" w:lineRule="exact"/>
        <w:rPr>
          <w:sz w:val="20"/>
          <w:szCs w:val="20"/>
          <w:color w:val="auto"/>
        </w:rPr>
      </w:pPr>
    </w:p>
    <w:p>
      <w:pPr>
        <w:ind w:left="40" w:right="99" w:firstLine="648"/>
        <w:spacing w:after="0" w:line="221" w:lineRule="auto"/>
        <w:rPr>
          <w:sz w:val="20"/>
          <w:szCs w:val="20"/>
          <w:color w:val="auto"/>
        </w:rPr>
      </w:pPr>
      <w:r>
        <w:rPr>
          <w:rFonts w:ascii="Arial" w:cs="Arial" w:eastAsia="Arial" w:hAnsi="Arial"/>
          <w:sz w:val="17"/>
          <w:szCs w:val="17"/>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both the U.S. Congress and the Trump Administration have indicated that they will continue to seek new legislative and administrative measures to control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left="40" w:right="199"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left="40" w:right="159" w:firstLine="648"/>
        <w:spacing w:after="0" w:line="233"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22"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left="40" w:right="7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3" w:lineRule="exact"/>
        <w:rPr>
          <w:sz w:val="20"/>
          <w:szCs w:val="20"/>
          <w:color w:val="auto"/>
        </w:rPr>
      </w:pPr>
    </w:p>
    <w:p>
      <w:pPr>
        <w:ind w:left="40" w:right="579"/>
        <w:spacing w:after="0" w:line="237"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2" w:lineRule="exact"/>
        <w:rPr>
          <w:sz w:val="20"/>
          <w:szCs w:val="20"/>
          <w:color w:val="auto"/>
        </w:rPr>
      </w:pPr>
    </w:p>
    <w:p>
      <w:pPr>
        <w:jc w:val="both"/>
        <w:ind w:left="40" w:right="11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left="40" w:right="59" w:firstLine="648"/>
        <w:spacing w:after="0" w:line="181" w:lineRule="exact"/>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79" w:firstLine="648"/>
        <w:spacing w:after="0" w:line="249"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4" w:lineRule="exact"/>
        <w:rPr>
          <w:sz w:val="20"/>
          <w:szCs w:val="20"/>
          <w:color w:val="auto"/>
        </w:rPr>
      </w:pPr>
    </w:p>
    <w:p>
      <w:pPr>
        <w:ind w:left="40" w:right="219"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left="40" w:right="519"/>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left="40" w:right="119" w:firstLine="324"/>
        <w:spacing w:after="0" w:line="181" w:lineRule="exact"/>
        <w:rPr>
          <w:sz w:val="20"/>
          <w:szCs w:val="20"/>
          <w:color w:val="auto"/>
        </w:rPr>
      </w:pPr>
      <w:r>
        <w:rPr>
          <w:rFonts w:ascii="Arial" w:cs="Arial" w:eastAsia="Arial" w:hAnsi="Arial"/>
          <w:sz w:val="17"/>
          <w:szCs w:val="17"/>
          <w:color w:val="auto"/>
        </w:rPr>
        <w:t>As of May 1, 2020, we had only 45 full</w:t>
      </w:r>
      <w:r>
        <w:rPr>
          <w:rFonts w:ascii="MS PGothic" w:cs="MS PGothic" w:eastAsia="MS PGothic" w:hAnsi="MS PGothic"/>
          <w:sz w:val="17"/>
          <w:szCs w:val="17"/>
          <w:color w:val="auto"/>
        </w:rPr>
        <w:t>‑</w:t>
      </w:r>
      <w:r>
        <w:rPr>
          <w:rFonts w:ascii="Arial" w:cs="Arial" w:eastAsia="Arial" w:hAnsi="Arial"/>
          <w:sz w:val="17"/>
          <w:szCs w:val="17"/>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63" w:lineRule="exact"/>
        <w:rPr>
          <w:sz w:val="20"/>
          <w:szCs w:val="20"/>
          <w:color w:val="auto"/>
        </w:rPr>
      </w:pPr>
    </w:p>
    <w:p>
      <w:pPr>
        <w:ind w:left="700" w:right="479" w:hanging="332"/>
        <w:spacing w:after="0" w:line="22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2" w:lineRule="exact"/>
        <w:rPr>
          <w:rFonts w:ascii="Arial" w:cs="Arial" w:eastAsia="Arial" w:hAnsi="Arial"/>
          <w:sz w:val="18"/>
          <w:szCs w:val="18"/>
          <w:color w:val="auto"/>
        </w:rPr>
      </w:pPr>
    </w:p>
    <w:p>
      <w:pPr>
        <w:ind w:left="700" w:right="79" w:hanging="332"/>
        <w:spacing w:after="0" w:line="23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left="40" w:right="259"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left="40" w:right="539"/>
        <w:spacing w:after="0" w:line="224"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63" w:lineRule="exact"/>
        <w:rPr>
          <w:sz w:val="20"/>
          <w:szCs w:val="20"/>
          <w:color w:val="auto"/>
        </w:rPr>
      </w:pPr>
    </w:p>
    <w:p>
      <w:pPr>
        <w:ind w:left="40" w:right="99" w:firstLine="648"/>
        <w:spacing w:after="0" w:line="237" w:lineRule="auto"/>
        <w:rPr>
          <w:sz w:val="20"/>
          <w:szCs w:val="20"/>
          <w:color w:val="auto"/>
        </w:rPr>
      </w:pPr>
      <w:r>
        <w:rPr>
          <w:rFonts w:ascii="Arial" w:cs="Arial" w:eastAsia="Arial" w:hAnsi="Arial"/>
          <w:sz w:val="16"/>
          <w:szCs w:val="16"/>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left="40" w:right="99"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ind w:left="40" w:right="139"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2"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2"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62" w:lineRule="exact"/>
        <w:rPr>
          <w:sz w:val="20"/>
          <w:szCs w:val="20"/>
          <w:color w:val="auto"/>
        </w:rPr>
      </w:pPr>
    </w:p>
    <w:p>
      <w:pPr>
        <w:ind w:left="40" w:right="199" w:firstLine="648"/>
        <w:spacing w:after="0" w:line="225" w:lineRule="auto"/>
        <w:rPr>
          <w:sz w:val="20"/>
          <w:szCs w:val="20"/>
          <w:color w:val="auto"/>
        </w:rPr>
      </w:pPr>
      <w:r>
        <w:rPr>
          <w:rFonts w:ascii="Arial" w:cs="Arial" w:eastAsia="Arial" w:hAnsi="Arial"/>
          <w:sz w:val="17"/>
          <w:szCs w:val="17"/>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firstLine="648"/>
        <w:spacing w:after="0" w:line="233"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As of December 31, 2020, we will no longer be an “emerging growth company”. As such, we will incur significant additional expenses that we did not previously incur in complying with the Sarbanes-Oxley Act and rules implemented by the SEC. The cost of compliance with Section 404 requires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as material weaknesses, we may be required to make prospective or retroactive changes to our financial statements, consider other areas for further attention or improvement, or be unable to obtain the required attestation in a timely manner, if at all. In addition, the market price of our stock could decline and we could be subject to sanctions or investigations by the SEC or other regulatory authorities, which would require additional financial and management resources.</w:t>
      </w:r>
    </w:p>
    <w:p>
      <w:pPr>
        <w:spacing w:after="0" w:line="166" w:lineRule="exact"/>
        <w:rPr>
          <w:sz w:val="20"/>
          <w:szCs w:val="20"/>
          <w:color w:val="auto"/>
        </w:rPr>
      </w:pPr>
    </w:p>
    <w:p>
      <w:pPr>
        <w:ind w:left="40" w:right="239"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67" w:lineRule="exact"/>
        <w:rPr>
          <w:sz w:val="20"/>
          <w:szCs w:val="20"/>
          <w:color w:val="auto"/>
        </w:rPr>
      </w:pPr>
    </w:p>
    <w:p>
      <w:pPr>
        <w:ind w:left="40" w:right="99"/>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left="40" w:right="159" w:firstLine="648"/>
        <w:spacing w:after="0" w:line="234"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left="40" w:right="179"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60"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In addition, the Sarbanes-Oxley Act requires, among other things, that we maintain effective disclosure controls and procedures and internal control over financial reporting. In particular, Section 404 of the Sarbanes-Oxley Act will require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as of December 31, 2020, once we are no longer an “emerging growth company,” we will be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At such time,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29" w:lineRule="exact"/>
        <w:rPr>
          <w:sz w:val="20"/>
          <w:szCs w:val="20"/>
          <w:color w:val="auto"/>
        </w:rPr>
      </w:pPr>
    </w:p>
    <w:p>
      <w:pPr>
        <w:ind w:left="40" w:right="59"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left="40" w:right="59" w:firstLine="648"/>
        <w:spacing w:after="0" w:line="220"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62" w:lineRule="exact"/>
        <w:rPr>
          <w:sz w:val="20"/>
          <w:szCs w:val="20"/>
          <w:color w:val="auto"/>
        </w:rPr>
      </w:pPr>
    </w:p>
    <w:p>
      <w:pPr>
        <w:ind w:left="40" w:right="59" w:firstLine="648"/>
        <w:spacing w:after="0" w:line="232" w:lineRule="auto"/>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4"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24"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right="3739"/>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ind w:left="40" w:right="119"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left="40" w:right="99" w:firstLine="648"/>
        <w:spacing w:after="0" w:line="228" w:lineRule="auto"/>
        <w:rPr>
          <w:sz w:val="20"/>
          <w:szCs w:val="20"/>
          <w:color w:val="auto"/>
        </w:rPr>
      </w:pPr>
      <w:r>
        <w:rPr>
          <w:rFonts w:ascii="Arial" w:cs="Arial" w:eastAsia="Arial" w:hAnsi="Arial"/>
          <w:sz w:val="17"/>
          <w:szCs w:val="17"/>
          <w:color w:val="auto"/>
        </w:rPr>
        <w:t>The trading price of our common stock is likely to be highly volatile. For example, in 2019, we experienced an extraordinary level of appreciation in our stock price. Such levels of gain are unlikely to continue in the future, and already during the first half of 2020,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65" w:lineRule="exact"/>
        <w:rPr>
          <w:sz w:val="20"/>
          <w:szCs w:val="20"/>
          <w:color w:val="auto"/>
        </w:rPr>
      </w:pPr>
    </w:p>
    <w:p>
      <w:pPr>
        <w:ind w:left="700" w:right="279" w:hanging="332"/>
        <w:spacing w:after="0" w:line="23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700" w:right="639" w:hanging="332"/>
        <w:spacing w:after="0" w:line="23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news relating to our industry as a whole and news relating to trends in our markets;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700" w:right="919" w:hanging="332"/>
        <w:spacing w:after="0" w:line="23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700" w:right="799" w:hanging="332"/>
        <w:spacing w:after="0" w:line="235"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left="40" w:right="99"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2" w:lineRule="exact"/>
        <w:rPr>
          <w:sz w:val="20"/>
          <w:szCs w:val="20"/>
          <w:color w:val="auto"/>
        </w:rPr>
      </w:pPr>
    </w:p>
    <w:p>
      <w:pPr>
        <w:ind w:left="40" w:right="359"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left="40" w:right="139"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left="40" w:right="79"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00" w:right="219" w:hanging="332"/>
        <w:spacing w:after="0" w:line="289"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119" w:hanging="332"/>
        <w:spacing w:after="0" w:line="21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700" w:right="159" w:hanging="332"/>
        <w:spacing w:after="0" w:line="203" w:lineRule="exact"/>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700" w:right="159" w:hanging="332"/>
        <w:spacing w:after="0" w:line="23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700" w:hanging="332"/>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700" w:hanging="332"/>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700" w:right="459" w:hanging="332"/>
        <w:spacing w:after="0" w:line="23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700" w:right="199" w:hanging="332"/>
        <w:spacing w:after="0" w:line="23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left="40" w:right="139"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4" w:lineRule="exact"/>
        <w:rPr>
          <w:sz w:val="20"/>
          <w:szCs w:val="20"/>
          <w:color w:val="auto"/>
        </w:rPr>
      </w:pPr>
    </w:p>
    <w:p>
      <w:pPr>
        <w:ind w:left="40" w:right="379"/>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1" w:lineRule="exact"/>
        <w:rPr>
          <w:sz w:val="20"/>
          <w:szCs w:val="20"/>
          <w:color w:val="auto"/>
        </w:rPr>
      </w:pPr>
    </w:p>
    <w:p>
      <w:pPr>
        <w:ind w:left="40" w:right="59" w:firstLine="648"/>
        <w:spacing w:after="0" w:line="225"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left="40" w:right="119" w:firstLine="648"/>
        <w:spacing w:after="0" w:line="222"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39"/>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left="40" w:right="99" w:firstLine="648"/>
        <w:spacing w:after="0" w:line="241" w:lineRule="auto"/>
        <w:rPr>
          <w:sz w:val="20"/>
          <w:szCs w:val="20"/>
          <w:color w:val="auto"/>
        </w:rPr>
      </w:pPr>
      <w:r>
        <w:rPr>
          <w:rFonts w:ascii="Arial" w:cs="Arial" w:eastAsia="Arial" w:hAnsi="Arial"/>
          <w:sz w:val="16"/>
          <w:szCs w:val="16"/>
          <w:color w:val="auto"/>
        </w:rPr>
        <w:t>As of May 1, 2020, our executive officers, directors, and 5% stockholders and their affiliates beneficially owned an aggregate of approximately 37%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0" w:lineRule="exact"/>
        <w:rPr>
          <w:sz w:val="20"/>
          <w:szCs w:val="20"/>
          <w:color w:val="auto"/>
        </w:rPr>
      </w:pPr>
    </w:p>
    <w:p>
      <w:pPr>
        <w:ind w:left="40" w:right="199" w:firstLine="648"/>
        <w:spacing w:after="0" w:line="210" w:lineRule="auto"/>
        <w:rPr>
          <w:sz w:val="20"/>
          <w:szCs w:val="20"/>
          <w:color w:val="auto"/>
        </w:rPr>
      </w:pPr>
      <w:r>
        <w:rPr>
          <w:rFonts w:ascii="Arial" w:cs="Arial" w:eastAsia="Arial" w:hAnsi="Arial"/>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ind w:left="40" w:right="339"/>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left="40" w:right="79"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left="40" w:right="79" w:firstLine="648"/>
        <w:spacing w:after="0" w:line="226" w:lineRule="auto"/>
        <w:rPr>
          <w:sz w:val="20"/>
          <w:szCs w:val="20"/>
          <w:color w:val="auto"/>
        </w:rPr>
      </w:pPr>
      <w:r>
        <w:rPr>
          <w:rFonts w:ascii="Arial" w:cs="Arial" w:eastAsia="Arial" w:hAnsi="Arial"/>
          <w:sz w:val="17"/>
          <w:szCs w:val="17"/>
          <w:color w:val="auto"/>
        </w:rPr>
        <w:t>As of May 1, 2020, we have outstanding 37,075,944 shares of common stock and 4,181,778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28,839,047 are freely tradable. The remainder of the outstanding shares of common stock are held by our affiliates and may be considered “control securities” for purposes of Rule 144 under the Securities Act.</w:t>
      </w:r>
    </w:p>
    <w:p>
      <w:pPr>
        <w:spacing w:after="0" w:line="165" w:lineRule="exact"/>
        <w:rPr>
          <w:sz w:val="20"/>
          <w:szCs w:val="20"/>
          <w:color w:val="auto"/>
        </w:rPr>
      </w:pPr>
    </w:p>
    <w:p>
      <w:pPr>
        <w:ind w:left="40" w:right="59" w:firstLine="648"/>
        <w:spacing w:after="0" w:line="187"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359"/>
        <w:spacing w:after="0" w:line="224"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63"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5" w:lineRule="exact"/>
        <w:rPr>
          <w:sz w:val="20"/>
          <w:szCs w:val="20"/>
          <w:color w:val="auto"/>
        </w:rPr>
      </w:pPr>
    </w:p>
    <w:p>
      <w:pPr>
        <w:ind w:left="40" w:right="739"/>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01" w:lineRule="exact"/>
        <w:rPr>
          <w:sz w:val="20"/>
          <w:szCs w:val="20"/>
          <w:color w:val="auto"/>
        </w:rPr>
      </w:pPr>
    </w:p>
    <w:p>
      <w:pPr>
        <w:ind w:left="40" w:right="219" w:firstLine="648"/>
        <w:spacing w:after="0" w:line="22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left="40" w:right="219" w:firstLine="648"/>
        <w:spacing w:after="0" w:line="181" w:lineRule="exact"/>
        <w:rPr>
          <w:sz w:val="20"/>
          <w:szCs w:val="20"/>
          <w:color w:val="auto"/>
        </w:rPr>
      </w:pPr>
      <w:r>
        <w:rPr>
          <w:rFonts w:ascii="Arial" w:cs="Arial" w:eastAsia="Arial" w:hAnsi="Arial"/>
          <w:sz w:val="16"/>
          <w:szCs w:val="16"/>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6"/>
          <w:szCs w:val="16"/>
          <w:color w:val="auto"/>
        </w:rPr>
        <w:t>‑</w:t>
      </w:r>
      <w:r>
        <w:rPr>
          <w:rFonts w:ascii="Arial" w:cs="Arial" w:eastAsia="Arial" w:hAnsi="Arial"/>
          <w:sz w:val="16"/>
          <w:szCs w:val="16"/>
          <w:color w:val="auto"/>
        </w:rPr>
        <w:t>affiliates exceeds</w:t>
      </w:r>
    </w:p>
    <w:p>
      <w:pPr>
        <w:spacing w:after="0" w:line="2" w:lineRule="exact"/>
        <w:rPr>
          <w:sz w:val="20"/>
          <w:szCs w:val="20"/>
          <w:color w:val="auto"/>
        </w:rPr>
      </w:pPr>
    </w:p>
    <w:p>
      <w:pPr>
        <w:ind w:left="40" w:right="79"/>
        <w:spacing w:after="0" w:line="183" w:lineRule="exact"/>
        <w:rPr>
          <w:sz w:val="20"/>
          <w:szCs w:val="20"/>
          <w:color w:val="auto"/>
        </w:rPr>
      </w:pPr>
      <w:r>
        <w:rPr>
          <w:rFonts w:ascii="Arial" w:cs="Arial" w:eastAsia="Arial" w:hAnsi="Arial"/>
          <w:sz w:val="18"/>
          <w:szCs w:val="18"/>
          <w:color w:val="auto"/>
        </w:rPr>
        <w:t>$700 million as of the prior June 30</w:t>
      </w:r>
      <w:r>
        <w:rPr>
          <w:rFonts w:ascii="Arial" w:cs="Arial" w:eastAsia="Arial" w:hAnsi="Arial"/>
          <w:sz w:val="8"/>
          <w:szCs w:val="8"/>
          <w:color w:val="auto"/>
        </w:rPr>
        <w:t>th</w:t>
      </w:r>
      <w:r>
        <w:rPr>
          <w:rFonts w:ascii="Arial" w:cs="Arial" w:eastAsia="Arial" w:hAnsi="Arial"/>
          <w:sz w:val="18"/>
          <w:szCs w:val="18"/>
          <w:color w:val="auto"/>
        </w:rPr>
        <w:t>, and (3) the date on which we have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during the prior three</w:t>
      </w:r>
      <w:r>
        <w:rPr>
          <w:rFonts w:ascii="MS PGothic" w:cs="MS PGothic" w:eastAsia="MS PGothic" w:hAnsi="MS PGothic"/>
          <w:sz w:val="18"/>
          <w:szCs w:val="18"/>
          <w:color w:val="auto"/>
        </w:rPr>
        <w:t>‑</w:t>
      </w:r>
      <w:r>
        <w:rPr>
          <w:rFonts w:ascii="Arial" w:cs="Arial" w:eastAsia="Arial" w:hAnsi="Arial"/>
          <w:sz w:val="18"/>
          <w:szCs w:val="18"/>
          <w:color w:val="auto"/>
        </w:rPr>
        <w:t>year period. As such, we anticipate that we will no longer be an emerging growth company as of December 31, 2020.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left="40" w:right="59" w:firstLine="648"/>
        <w:spacing w:after="0"/>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2019, we had U.S. federal net operating loss, NOL, carryforwards of approximately $154 million. Net operating loss carry forwards amounting to $60 million generated before the 2018 tax year will start expiring beginning 2033, if we have not used them prior to that time, and the net operating losses of approximately $94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December 2019 public offering, private placements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22" w:lineRule="exact"/>
        <w:rPr>
          <w:sz w:val="20"/>
          <w:szCs w:val="20"/>
          <w:color w:val="auto"/>
        </w:rPr>
      </w:pPr>
    </w:p>
    <w:p>
      <w:pPr>
        <w:ind w:left="40" w:right="59" w:firstLine="648"/>
        <w:spacing w:after="0" w:line="222" w:lineRule="auto"/>
        <w:rPr>
          <w:sz w:val="20"/>
          <w:szCs w:val="20"/>
          <w:color w:val="auto"/>
        </w:rPr>
      </w:pPr>
      <w:r>
        <w:rPr>
          <w:rFonts w:ascii="Arial" w:cs="Arial" w:eastAsia="Arial" w:hAnsi="Arial"/>
          <w:sz w:val="17"/>
          <w:szCs w:val="17"/>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3" w:lineRule="exact"/>
        <w:rPr>
          <w:sz w:val="20"/>
          <w:szCs w:val="20"/>
          <w:color w:val="auto"/>
        </w:rPr>
      </w:pPr>
    </w:p>
    <w:p>
      <w:pPr>
        <w:ind w:left="40" w:right="439"/>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returns for our stockholders will be limited to any increase in the value of our stock.</w:t>
      </w:r>
    </w:p>
    <w:p>
      <w:pPr>
        <w:spacing w:after="0" w:line="162" w:lineRule="exact"/>
        <w:rPr>
          <w:sz w:val="20"/>
          <w:szCs w:val="20"/>
          <w:color w:val="auto"/>
        </w:rPr>
      </w:pPr>
    </w:p>
    <w:p>
      <w:pPr>
        <w:ind w:left="40" w:right="79" w:firstLine="648"/>
        <w:spacing w:after="0" w:line="226" w:lineRule="auto"/>
        <w:rPr>
          <w:sz w:val="20"/>
          <w:szCs w:val="20"/>
          <w:color w:val="auto"/>
        </w:rPr>
      </w:pPr>
      <w:r>
        <w:rPr>
          <w:rFonts w:ascii="Arial" w:cs="Arial" w:eastAsia="Arial" w:hAnsi="Arial"/>
          <w:sz w:val="17"/>
          <w:szCs w:val="17"/>
          <w:color w:val="auto"/>
        </w:rPr>
        <w:t>We have never declared or paid any cash dividends on our capital stock. In addition, the terms of our existing credit facility with SVB and WestRiver preclude us from paying cash dividends without SVB’s and WestRiver’s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6"/>
          <w:szCs w:val="16"/>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7" w:lineRule="exact"/>
        <w:rPr>
          <w:sz w:val="20"/>
          <w:szCs w:val="20"/>
          <w:color w:val="auto"/>
        </w:rPr>
      </w:pPr>
    </w:p>
    <w:p>
      <w:pPr>
        <w:ind w:left="40" w:right="159" w:firstLine="648"/>
        <w:spacing w:after="0" w:line="183" w:lineRule="exact"/>
        <w:rPr>
          <w:sz w:val="20"/>
          <w:szCs w:val="20"/>
          <w:color w:val="auto"/>
        </w:rPr>
      </w:pPr>
      <w:r>
        <w:rPr>
          <w:rFonts w:ascii="Arial" w:cs="Arial" w:eastAsia="Arial" w:hAnsi="Arial"/>
          <w:sz w:val="18"/>
          <w:szCs w:val="18"/>
          <w:color w:val="auto"/>
        </w:rPr>
        <w:t>In addition, we are subject to the anti</w:t>
      </w:r>
      <w:r>
        <w:rPr>
          <w:rFonts w:ascii="MS PGothic" w:cs="MS PGothic" w:eastAsia="MS PGothic" w:hAnsi="MS PGothic"/>
          <w:sz w:val="18"/>
          <w:szCs w:val="18"/>
          <w:color w:val="auto"/>
        </w:rPr>
        <w:t>‑</w:t>
      </w:r>
      <w:r>
        <w:rPr>
          <w:rFonts w:ascii="Arial" w:cs="Arial" w:eastAsia="Arial" w:hAnsi="Arial"/>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left="40" w:right="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left="40" w:right="199" w:firstLine="648"/>
        <w:spacing w:after="0" w:line="212"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65" w:lineRule="exact"/>
        <w:rPr>
          <w:sz w:val="20"/>
          <w:szCs w:val="20"/>
          <w:color w:val="auto"/>
        </w:rPr>
      </w:pPr>
    </w:p>
    <w:p>
      <w:pPr>
        <w:ind w:left="40" w:right="79" w:firstLine="648"/>
        <w:spacing w:after="0" w:line="23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648"/>
        <w:spacing w:after="0" w:line="228" w:lineRule="auto"/>
        <w:rPr>
          <w:sz w:val="20"/>
          <w:szCs w:val="20"/>
          <w:color w:val="auto"/>
        </w:rPr>
      </w:pPr>
      <w:r>
        <w:rPr>
          <w:rFonts w:ascii="Arial" w:cs="Arial" w:eastAsia="Arial" w:hAnsi="Arial"/>
          <w:sz w:val="17"/>
          <w:szCs w:val="17"/>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0" w:type="dxa"/>
            <w:vAlign w:val="bottom"/>
            <w:gridSpan w:val="11"/>
          </w:tcPr>
          <w:p>
            <w:pPr>
              <w:ind w:left="220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486"/>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0" w:type="dxa"/>
            <w:vAlign w:val="bottom"/>
            <w:gridSpan w:val="10"/>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rPr>
            </w:pPr>
            <w:hyperlink r:id="rId110">
              <w:r>
                <w:rPr>
                  <w:rFonts w:ascii="Arial" w:cs="Arial" w:eastAsia="Arial" w:hAnsi="Arial"/>
                  <w:sz w:val="18"/>
                  <w:szCs w:val="18"/>
                  <w:color w:val="0000EE"/>
                </w:rPr>
                <w:t>License Agreement, dated as of January 10, 2020, by and between the Company and Pfizer Inc.</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80" w:type="dxa"/>
            <w:vAlign w:val="bottom"/>
            <w:tcBorders>
              <w:top w:val="single" w:sz="8" w:color="0000EE"/>
            </w:tcBorders>
            <w:gridSpan w:val="5"/>
          </w:tcPr>
          <w:p>
            <w:pPr>
              <w:spacing w:after="0" w:line="15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(Incorporated by reference, Exhibit 10.15 to the Company’s Annual Report on Form 10-K, filed</w:t>
              </w:r>
            </w:hyperlink>
          </w:p>
        </w:tc>
        <w:tc>
          <w:tcPr>
            <w:tcW w:w="980" w:type="dxa"/>
            <w:vAlign w:val="bottom"/>
            <w:gridSpan w:val="7"/>
          </w:tcPr>
          <w:p>
            <w:pPr>
              <w:ind w:left="60"/>
              <w:spacing w:after="0" w:line="156" w:lineRule="exact"/>
              <w:rPr>
                <w:rFonts w:ascii="Arial" w:cs="Arial" w:eastAsia="Arial" w:hAnsi="Arial"/>
                <w:sz w:val="18"/>
                <w:szCs w:val="18"/>
                <w:color w:val="0000EE"/>
              </w:rPr>
            </w:pPr>
            <w:hyperlink r:id="rId110">
              <w:r>
                <w:rPr>
                  <w:rFonts w:ascii="Arial" w:cs="Arial" w:eastAsia="Arial" w:hAnsi="Arial"/>
                  <w:sz w:val="18"/>
                  <w:szCs w:val="18"/>
                  <w:color w:val="0000EE"/>
                </w:rPr>
                <w:t>March 12,</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6"/>
              </w:rPr>
            </w:pPr>
            <w:hyperlink r:id="rId110">
              <w:r>
                <w:rPr>
                  <w:rFonts w:ascii="Arial" w:cs="Arial" w:eastAsia="Arial" w:hAnsi="Arial"/>
                  <w:sz w:val="18"/>
                  <w:szCs w:val="18"/>
                  <w:color w:val="0000EE"/>
                  <w:w w:val="86"/>
                </w:rPr>
                <w:t>2020).</w:t>
              </w:r>
            </w:hyperlink>
          </w:p>
        </w:tc>
        <w:tc>
          <w:tcPr>
            <w:tcW w:w="300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460" w:type="dxa"/>
            <w:vAlign w:val="bottom"/>
            <w:tcBorders>
              <w:top w:val="single" w:sz="8" w:color="0000EE"/>
            </w:tcBorders>
          </w:tcPr>
          <w:p>
            <w:pPr>
              <w:spacing w:after="0"/>
              <w:rPr>
                <w:sz w:val="13"/>
                <w:szCs w:val="13"/>
                <w:color w:val="auto"/>
              </w:rPr>
            </w:pPr>
          </w:p>
        </w:tc>
        <w:tc>
          <w:tcPr>
            <w:tcW w:w="134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Share Transfer Agreement by and between the Company and Pfizer Inc. (Incorporated by reference, Exhibit</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76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January 13,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Certification of Principal Executive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302 of the Sarbanes-Oxley Act of 2002.</w:t>
              </w:r>
            </w:hyperlink>
          </w:p>
        </w:tc>
        <w:tc>
          <w:tcPr>
            <w:tcW w:w="4100" w:type="dxa"/>
            <w:vAlign w:val="bottom"/>
            <w:tcBorders>
              <w:top w:val="single" w:sz="8" w:color="0000EE"/>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Financial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Section 302 of the Sarbanes-Oxley Act of 2002.</w:t>
              </w:r>
            </w:hyperlink>
          </w:p>
        </w:tc>
        <w:tc>
          <w:tcPr>
            <w:tcW w:w="4060" w:type="dxa"/>
            <w:vAlign w:val="bottom"/>
            <w:tcBorders>
              <w:top w:val="single" w:sz="8" w:color="0000EE"/>
            </w:tcBorders>
            <w:gridSpan w:val="4"/>
          </w:tcPr>
          <w:p>
            <w:pPr>
              <w:spacing w:after="0"/>
              <w:rPr>
                <w:sz w:val="13"/>
                <w:szCs w:val="13"/>
                <w:color w:val="auto"/>
              </w:rPr>
            </w:pPr>
          </w:p>
        </w:tc>
        <w:tc>
          <w:tcPr>
            <w:tcW w:w="2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of Principal Executive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of the Sarbanes-Oxley Act of 2002 (furnished herewith).</w:t>
              </w:r>
            </w:hyperlink>
          </w:p>
        </w:tc>
        <w:tc>
          <w:tcPr>
            <w:tcW w:w="3740" w:type="dxa"/>
            <w:vAlign w:val="bottom"/>
            <w:tcBorders>
              <w:top w:val="single" w:sz="8" w:color="0000EE"/>
            </w:tcBorders>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Certification of Principal Financial Officer pursuant to 18 U.S.C. §1350, as adopted pursuant to Section 906</w:t>
              </w:r>
            </w:hyperlink>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of the Sarbanes-Oxley Act of 2002 (furnished herewith).</w:t>
              </w:r>
            </w:hyperlink>
          </w:p>
        </w:tc>
        <w:tc>
          <w:tcPr>
            <w:tcW w:w="3700" w:type="dxa"/>
            <w:vAlign w:val="bottom"/>
            <w:tcBorders>
              <w:top w:val="single" w:sz="8" w:color="0000EE"/>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40" w:right="419" w:hanging="666"/>
        <w:spacing w:after="0" w:line="224"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40" w:right="19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AXSOME THERAPEUTICS, INC.</w:t>
      </w:r>
    </w:p>
    <w:p>
      <w:pPr>
        <w:spacing w:after="0" w:line="142"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wp:posOffset>
            </wp:positionV>
            <wp:extent cx="25114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5000"/>
        <w:spacing w:after="0" w:line="203" w:lineRule="auto"/>
        <w:rPr>
          <w:sz w:val="20"/>
          <w:szCs w:val="20"/>
          <w:color w:val="auto"/>
        </w:rPr>
      </w:pPr>
      <w:r>
        <w:rPr>
          <w:rFonts w:ascii="Arial" w:cs="Arial" w:eastAsia="Arial" w:hAnsi="Arial"/>
          <w:sz w:val="18"/>
          <w:szCs w:val="18"/>
          <w:color w:val="auto"/>
        </w:rPr>
        <w:t>Herriot Tabuteau, M.D.</w:t>
      </w:r>
    </w:p>
    <w:p>
      <w:pPr>
        <w:ind w:left="500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304" w:lineRule="exact"/>
        <w:rPr>
          <w:sz w:val="20"/>
          <w:szCs w:val="20"/>
          <w:color w:val="auto"/>
        </w:rPr>
      </w:pPr>
    </w:p>
    <w:p>
      <w:pPr>
        <w:ind w:left="4560" w:right="2979" w:hanging="4953"/>
        <w:spacing w:after="0" w:line="220" w:lineRule="auto"/>
        <w:tabs>
          <w:tab w:leader="none" w:pos="45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 /s/ Nick Pizzie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-111125</wp:posOffset>
            </wp:positionV>
            <wp:extent cx="25114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left="5000"/>
        <w:spacing w:after="0" w:line="20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60" w:hanging="316"/>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60" w:right="119" w:hanging="316"/>
        <w:spacing w:after="0" w:line="224" w:lineRule="auto"/>
        <w:tabs>
          <w:tab w:leader="none" w:pos="3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60" w:right="99" w:hanging="316"/>
        <w:spacing w:after="0" w:line="224" w:lineRule="auto"/>
        <w:tabs>
          <w:tab w:leader="none" w:pos="3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60" w:right="239" w:hanging="316"/>
        <w:spacing w:after="0" w:line="237" w:lineRule="auto"/>
        <w:tabs>
          <w:tab w:leader="none" w:pos="3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700" w:right="359" w:hanging="332"/>
        <w:spacing w:after="0" w:line="219" w:lineRule="auto"/>
        <w:tabs>
          <w:tab w:leader="none" w:pos="6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00" w:right="79" w:hanging="332"/>
        <w:spacing w:after="0" w:line="219" w:lineRule="auto"/>
        <w:tabs>
          <w:tab w:leader="none" w:pos="7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00" w:right="199" w:hanging="332"/>
        <w:spacing w:after="0" w:line="224" w:lineRule="auto"/>
        <w:tabs>
          <w:tab w:leader="none" w:pos="6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00" w:right="99" w:hanging="332"/>
        <w:spacing w:after="0" w:line="219" w:lineRule="auto"/>
        <w:tabs>
          <w:tab w:leader="none" w:pos="7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60" w:right="319" w:hanging="316"/>
        <w:spacing w:after="0" w:line="224" w:lineRule="auto"/>
        <w:tabs>
          <w:tab w:leader="none" w:pos="3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00" w:right="159" w:hanging="332"/>
        <w:spacing w:after="0" w:line="224" w:lineRule="auto"/>
        <w:tabs>
          <w:tab w:leader="none" w:pos="68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00" w:right="239" w:hanging="332"/>
        <w:spacing w:after="0" w:line="235" w:lineRule="auto"/>
        <w:tabs>
          <w:tab w:leader="none" w:pos="6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Herriot Tabuteau, M.D.</w:t>
      </w:r>
    </w:p>
    <w:p>
      <w:pPr>
        <w:ind w:left="45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ind w:right="19"/>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60" w:hanging="316"/>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60" w:right="119" w:hanging="316"/>
        <w:spacing w:after="0" w:line="224" w:lineRule="auto"/>
        <w:tabs>
          <w:tab w:leader="none" w:pos="3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60" w:right="99" w:hanging="316"/>
        <w:spacing w:after="0" w:line="224" w:lineRule="auto"/>
        <w:tabs>
          <w:tab w:leader="none" w:pos="3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60" w:right="239" w:hanging="316"/>
        <w:spacing w:after="0" w:line="237" w:lineRule="auto"/>
        <w:tabs>
          <w:tab w:leader="none" w:pos="34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700" w:right="359" w:hanging="332"/>
        <w:spacing w:after="0" w:line="219" w:lineRule="auto"/>
        <w:tabs>
          <w:tab w:leader="none" w:pos="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00" w:right="79" w:hanging="332"/>
        <w:spacing w:after="0" w:line="219" w:lineRule="auto"/>
        <w:tabs>
          <w:tab w:leader="none" w:pos="70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00" w:right="199" w:hanging="332"/>
        <w:spacing w:after="0" w:line="224" w:lineRule="auto"/>
        <w:tabs>
          <w:tab w:leader="none" w:pos="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00" w:right="99" w:hanging="332"/>
        <w:spacing w:after="0" w:line="219" w:lineRule="auto"/>
        <w:tabs>
          <w:tab w:leader="none" w:pos="70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60" w:right="319" w:hanging="316"/>
        <w:spacing w:after="0" w:line="224" w:lineRule="auto"/>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00" w:right="159" w:hanging="332"/>
        <w:spacing w:after="0" w:line="224" w:lineRule="auto"/>
        <w:tabs>
          <w:tab w:leader="none" w:pos="68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00" w:right="239" w:hanging="332"/>
        <w:spacing w:after="0" w:line="235" w:lineRule="auto"/>
        <w:tabs>
          <w:tab w:leader="none" w:pos="6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500" w:right="3479" w:hanging="4454"/>
        <w:spacing w:after="0" w:line="248" w:lineRule="auto"/>
        <w:tabs>
          <w:tab w:leader="none" w:pos="44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Nick Pizzie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-111760</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2" w:name="page103"/>
    <w:bookmarkEnd w:id="10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STATEMENT OF PRINCIPAL EXECUTIVE OFFICER OF</w:t>
      </w:r>
    </w:p>
    <w:p>
      <w:pPr>
        <w:ind w:left="314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00"/>
        <w:spacing w:after="0" w:line="203" w:lineRule="auto"/>
        <w:rPr>
          <w:sz w:val="20"/>
          <w:szCs w:val="20"/>
          <w:color w:val="auto"/>
        </w:rPr>
      </w:pPr>
      <w:r>
        <w:rPr>
          <w:rFonts w:ascii="Arial" w:cs="Arial" w:eastAsia="Arial" w:hAnsi="Arial"/>
          <w:sz w:val="18"/>
          <w:szCs w:val="18"/>
          <w:b w:val="1"/>
          <w:bCs w:val="1"/>
          <w:color w:val="auto"/>
        </w:rPr>
        <w:t>PURSUANT TO 18 U.S.C. SECTION 1350,</w:t>
      </w:r>
    </w:p>
    <w:p>
      <w:pPr>
        <w:ind w:left="3240"/>
        <w:spacing w:after="0" w:line="204" w:lineRule="auto"/>
        <w:rPr>
          <w:sz w:val="20"/>
          <w:szCs w:val="20"/>
          <w:color w:val="auto"/>
        </w:rPr>
      </w:pPr>
      <w:r>
        <w:rPr>
          <w:rFonts w:ascii="Arial" w:cs="Arial" w:eastAsia="Arial" w:hAnsi="Arial"/>
          <w:sz w:val="18"/>
          <w:szCs w:val="18"/>
          <w:b w:val="1"/>
          <w:bCs w:val="1"/>
          <w:color w:val="auto"/>
        </w:rPr>
        <w:t>AS ADOPTED PURSUANT TO</w:t>
      </w:r>
    </w:p>
    <w:p>
      <w:pPr>
        <w:ind w:left="21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left="40" w:right="139"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2020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60" w:right="119" w:firstLine="8"/>
        <w:spacing w:after="0" w:line="235" w:lineRule="auto"/>
        <w:tabs>
          <w:tab w:leader="none" w:pos="6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60" w:right="159" w:firstLine="8"/>
        <w:spacing w:after="0" w:line="235" w:lineRule="auto"/>
        <w:tabs>
          <w:tab w:leader="none" w:pos="6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Herriot Tabuteau, M.D.</w:t>
      </w:r>
    </w:p>
    <w:p>
      <w:pPr>
        <w:ind w:left="45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40" w:right="59"/>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1" w:lineRule="exact"/>
        <w:rPr>
          <w:sz w:val="20"/>
          <w:szCs w:val="20"/>
          <w:color w:val="auto"/>
        </w:rPr>
      </w:pPr>
    </w:p>
    <w:p>
      <w:pPr>
        <w:ind w:left="40" w:right="99"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2020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60" w:right="119" w:firstLine="8"/>
        <w:spacing w:after="0" w:line="235" w:lineRule="auto"/>
        <w:tabs>
          <w:tab w:leader="none" w:pos="6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60" w:right="159" w:firstLine="8"/>
        <w:spacing w:after="0" w:line="235" w:lineRule="auto"/>
        <w:tabs>
          <w:tab w:leader="none" w:pos="6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00" w:right="3479" w:hanging="4454"/>
        <w:spacing w:after="0" w:line="248" w:lineRule="auto"/>
        <w:tabs>
          <w:tab w:leader="none" w:pos="448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Nick Pizzie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-111760</wp:posOffset>
            </wp:positionV>
            <wp:extent cx="2828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Roman"/>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0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10" Type="http://schemas.openxmlformats.org/officeDocument/2006/relationships/hyperlink" Target="http://www.sec.gov/Archives/edgar/data/1579428/000155837020002573/axsm-20191231ex1015f938b.htm" TargetMode="External"/><Relationship Id="rId111" Type="http://schemas.openxmlformats.org/officeDocument/2006/relationships/hyperlink" Target="http://www.sec.gov/Archives/edgar/data/1579428/000110465920003255/tm20319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2020-05-11T16:11:25Z</dcterms:created>
  <dcterms:modified xsi:type="dcterms:W3CDTF">2020-05-11T16:11:25Z</dcterms:modified>
</cp:coreProperties>
</file>