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333-268664</w:t>
      </w:r>
    </w:p>
    <w:p>
      <w:pPr>
        <w:spacing w:after="0" w:line="207"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b w:val="1"/>
          <w:bCs w:val="1"/>
          <w:color w:val="FF000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0"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FF0000"/>
        </w:rPr>
        <w:t>SUBJECT TO COMPLETION, DATED JUNE 27,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2, 2022)</w:t>
      </w:r>
    </w:p>
    <w:p>
      <w:pPr>
        <w:spacing w:after="0" w:line="265" w:lineRule="exact"/>
        <w:rPr>
          <w:sz w:val="24"/>
          <w:szCs w:val="24"/>
          <w:color w:val="auto"/>
        </w:rPr>
      </w:pPr>
    </w:p>
    <w:p>
      <w:pPr>
        <w:ind w:left="672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34515" cy="1045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Axsome Therapeutics,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540"/>
        <w:spacing w:after="0" w:line="293" w:lineRule="auto"/>
        <w:rPr>
          <w:sz w:val="20"/>
          <w:szCs w:val="20"/>
          <w:color w:val="auto"/>
        </w:rPr>
      </w:pPr>
      <w:r>
        <w:rPr>
          <w:rFonts w:ascii="Arial" w:cs="Arial" w:eastAsia="Arial" w:hAnsi="Arial"/>
          <w:sz w:val="16"/>
          <w:szCs w:val="16"/>
          <w:color w:val="auto"/>
        </w:rPr>
        <w:t>We are offering shares of our common stock. Our common stock is listed on the Nasdaq Global Market under the symbol “AXSM.” On June 26, 2023, the last reported sale price of our common stock was $85.32 per share.</w:t>
      </w:r>
    </w:p>
    <w:p>
      <w:pPr>
        <w:spacing w:after="0" w:line="60" w:lineRule="exact"/>
        <w:rPr>
          <w:sz w:val="24"/>
          <w:szCs w:val="24"/>
          <w:color w:val="auto"/>
        </w:rPr>
      </w:pPr>
    </w:p>
    <w:p>
      <w:pPr>
        <w:ind w:right="180"/>
        <w:spacing w:after="0" w:line="298" w:lineRule="auto"/>
        <w:rPr>
          <w:sz w:val="20"/>
          <w:szCs w:val="20"/>
          <w:color w:val="auto"/>
        </w:rPr>
      </w:pPr>
      <w:r>
        <w:rPr>
          <w:rFonts w:ascii="Arial" w:cs="Arial" w:eastAsia="Arial" w:hAnsi="Arial"/>
          <w:sz w:val="16"/>
          <w:szCs w:val="16"/>
          <w:b w:val="1"/>
          <w:bCs w:val="1"/>
          <w:color w:val="auto"/>
        </w:rPr>
        <w:t>Investing in our common stock involves a high degree of risk. See “</w:t>
      </w:r>
      <w:r>
        <w:rPr>
          <w:rFonts w:ascii="Arial" w:cs="Arial" w:eastAsia="Arial" w:hAnsi="Arial"/>
          <w:sz w:val="16"/>
          <w:szCs w:val="16"/>
          <w:b w:val="1"/>
          <w:bCs w:val="1"/>
          <w:u w:val="single" w:color="auto"/>
          <w:color w:val="0000FF"/>
        </w:rPr>
        <w:t>Risk Factors</w:t>
      </w:r>
      <w:r>
        <w:rPr>
          <w:rFonts w:ascii="Arial" w:cs="Arial" w:eastAsia="Arial" w:hAnsi="Arial"/>
          <w:sz w:val="16"/>
          <w:szCs w:val="16"/>
          <w:b w:val="1"/>
          <w:bCs w:val="1"/>
          <w:color w:val="auto"/>
        </w:rPr>
        <w:t>” beginning on page S-4 of this prospectus supplement and the risk factors in the documents incorporated by reference in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2936240</wp:posOffset>
            </wp:positionH>
            <wp:positionV relativeFrom="paragraph">
              <wp:posOffset>-177800</wp:posOffset>
            </wp:positionV>
            <wp:extent cx="557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36" w:lineRule="exact"/>
        <w:rPr>
          <w:sz w:val="24"/>
          <w:szCs w:val="24"/>
          <w:color w:val="auto"/>
        </w:rPr>
      </w:pPr>
    </w:p>
    <w:p>
      <w:pPr>
        <w:ind w:right="58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Per</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3"/>
        </w:trPr>
        <w:tc>
          <w:tcPr>
            <w:tcW w:w="5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480" w:type="dxa"/>
            <w:vAlign w:val="bottom"/>
          </w:tcPr>
          <w:p>
            <w:pPr>
              <w:spacing w:after="0"/>
              <w:rPr>
                <w:sz w:val="19"/>
                <w:szCs w:val="19"/>
                <w:color w:val="auto"/>
              </w:rPr>
            </w:pPr>
          </w:p>
        </w:tc>
        <w:tc>
          <w:tcPr>
            <w:tcW w:w="282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r>
      <w:tr>
        <w:trPr>
          <w:trHeight w:val="206"/>
        </w:trPr>
        <w:tc>
          <w:tcPr>
            <w:tcW w:w="5200" w:type="dxa"/>
            <w:vAlign w:val="bottom"/>
          </w:tcPr>
          <w:p>
            <w:pPr>
              <w:ind w:left="1980"/>
              <w:spacing w:after="0"/>
              <w:rPr>
                <w:sz w:val="20"/>
                <w:szCs w:val="20"/>
                <w:color w:val="auto"/>
              </w:rPr>
            </w:pPr>
            <w:r>
              <w:rPr>
                <w:rFonts w:ascii="Arial" w:cs="Arial" w:eastAsia="Arial" w:hAnsi="Arial"/>
                <w:sz w:val="16"/>
                <w:szCs w:val="16"/>
                <w:color w:val="auto"/>
              </w:rPr>
              <w:t>Public offering price</w:t>
            </w:r>
          </w:p>
        </w:tc>
        <w:tc>
          <w:tcPr>
            <w:tcW w:w="1740" w:type="dxa"/>
            <w:vAlign w:val="bottom"/>
          </w:tcPr>
          <w:p>
            <w:pPr>
              <w:spacing w:after="0"/>
              <w:rPr>
                <w:sz w:val="17"/>
                <w:szCs w:val="17"/>
                <w:color w:val="auto"/>
              </w:rPr>
            </w:pPr>
          </w:p>
        </w:tc>
        <w:tc>
          <w:tcPr>
            <w:tcW w:w="1000" w:type="dxa"/>
            <w:vAlign w:val="bottom"/>
            <w:tcBorders>
              <w:top w:val="single" w:sz="8" w:color="auto"/>
            </w:tcBorders>
          </w:tcPr>
          <w:p>
            <w:pPr>
              <w:jc w:val="right"/>
              <w:ind w:right="75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2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7"/>
                <w:szCs w:val="17"/>
                <w:color w:val="auto"/>
              </w:rPr>
            </w:pPr>
          </w:p>
        </w:tc>
      </w:tr>
      <w:tr>
        <w:trPr>
          <w:trHeight w:val="203"/>
        </w:trPr>
        <w:tc>
          <w:tcPr>
            <w:tcW w:w="5200" w:type="dxa"/>
            <w:vAlign w:val="bottom"/>
          </w:tcPr>
          <w:p>
            <w:pPr>
              <w:ind w:left="1980"/>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8"/>
                <w:szCs w:val="8"/>
                <w:color w:val="auto"/>
              </w:rPr>
              <w:t>(1)</w:t>
            </w:r>
          </w:p>
        </w:tc>
        <w:tc>
          <w:tcPr>
            <w:tcW w:w="1740" w:type="dxa"/>
            <w:vAlign w:val="bottom"/>
          </w:tcPr>
          <w:p>
            <w:pPr>
              <w:spacing w:after="0"/>
              <w:rPr>
                <w:sz w:val="17"/>
                <w:szCs w:val="17"/>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7"/>
                <w:szCs w:val="17"/>
                <w:color w:val="auto"/>
              </w:rPr>
            </w:pPr>
          </w:p>
        </w:tc>
      </w:tr>
      <w:tr>
        <w:trPr>
          <w:trHeight w:val="206"/>
        </w:trPr>
        <w:tc>
          <w:tcPr>
            <w:tcW w:w="5200" w:type="dxa"/>
            <w:vAlign w:val="bottom"/>
          </w:tcPr>
          <w:p>
            <w:pPr>
              <w:ind w:left="1980"/>
              <w:spacing w:after="0"/>
              <w:rPr>
                <w:sz w:val="20"/>
                <w:szCs w:val="20"/>
                <w:color w:val="auto"/>
              </w:rPr>
            </w:pPr>
            <w:r>
              <w:rPr>
                <w:rFonts w:ascii="Arial" w:cs="Arial" w:eastAsia="Arial" w:hAnsi="Arial"/>
                <w:sz w:val="16"/>
                <w:szCs w:val="16"/>
                <w:color w:val="auto"/>
              </w:rPr>
              <w:t>Proceeds, before expenses, to us</w:t>
            </w:r>
          </w:p>
        </w:tc>
        <w:tc>
          <w:tcPr>
            <w:tcW w:w="1740" w:type="dxa"/>
            <w:vAlign w:val="bottom"/>
          </w:tcPr>
          <w:p>
            <w:pPr>
              <w:spacing w:after="0"/>
              <w:rPr>
                <w:sz w:val="17"/>
                <w:szCs w:val="17"/>
                <w:color w:val="auto"/>
              </w:rPr>
            </w:pPr>
          </w:p>
        </w:tc>
        <w:tc>
          <w:tcPr>
            <w:tcW w:w="1000" w:type="dxa"/>
            <w:vAlign w:val="bottom"/>
          </w:tcPr>
          <w:p>
            <w:pPr>
              <w:jc w:val="right"/>
              <w:ind w:right="758"/>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17"/>
                <w:szCs w:val="17"/>
                <w:color w:val="auto"/>
              </w:rPr>
            </w:pPr>
          </w:p>
        </w:tc>
      </w:tr>
      <w:tr>
        <w:trPr>
          <w:trHeight w:val="324"/>
        </w:trPr>
        <w:tc>
          <w:tcPr>
            <w:tcW w:w="69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We have agreed to reimburse the underwriters for certain expenses. See “Underwriting.”</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07"/>
        </w:trPr>
        <w:tc>
          <w:tcPr>
            <w:tcW w:w="7940" w:type="dxa"/>
            <w:vAlign w:val="bottom"/>
            <w:gridSpan w:val="3"/>
          </w:tcPr>
          <w:p>
            <w:pPr>
              <w:spacing w:after="0"/>
              <w:rPr>
                <w:sz w:val="20"/>
                <w:szCs w:val="20"/>
                <w:color w:val="auto"/>
              </w:rPr>
            </w:pPr>
            <w:r>
              <w:rPr>
                <w:rFonts w:ascii="Arial" w:cs="Arial" w:eastAsia="Arial" w:hAnsi="Arial"/>
                <w:sz w:val="16"/>
                <w:szCs w:val="16"/>
                <w:color w:val="auto"/>
                <w:w w:val="94"/>
              </w:rPr>
              <w:t>We have granted the underwriters an option for 30 days from the date of this prospectus supplement to purchase up to</w:t>
            </w:r>
          </w:p>
        </w:tc>
        <w:tc>
          <w:tcPr>
            <w:tcW w:w="3300" w:type="dxa"/>
            <w:vAlign w:val="bottom"/>
            <w:gridSpan w:val="3"/>
          </w:tcPr>
          <w:p>
            <w:pPr>
              <w:ind w:left="140"/>
              <w:spacing w:after="0"/>
              <w:rPr>
                <w:sz w:val="20"/>
                <w:szCs w:val="20"/>
                <w:color w:val="auto"/>
              </w:rPr>
            </w:pPr>
            <w:r>
              <w:rPr>
                <w:rFonts w:ascii="Arial" w:cs="Arial" w:eastAsia="Arial" w:hAnsi="Arial"/>
                <w:sz w:val="16"/>
                <w:szCs w:val="16"/>
                <w:color w:val="auto"/>
              </w:rPr>
              <w:t>additional shares of our common stock. See</w:t>
            </w:r>
          </w:p>
        </w:tc>
      </w:tr>
      <w:tr>
        <w:trPr>
          <w:trHeight w:val="206"/>
        </w:trPr>
        <w:tc>
          <w:tcPr>
            <w:tcW w:w="5200" w:type="dxa"/>
            <w:vAlign w:val="bottom"/>
          </w:tcPr>
          <w:p>
            <w:pPr>
              <w:spacing w:after="0"/>
              <w:rPr>
                <w:sz w:val="20"/>
                <w:szCs w:val="20"/>
                <w:color w:val="auto"/>
              </w:rPr>
            </w:pPr>
            <w:r>
              <w:rPr>
                <w:rFonts w:ascii="Arial" w:cs="Arial" w:eastAsia="Arial" w:hAnsi="Arial"/>
                <w:sz w:val="16"/>
                <w:szCs w:val="16"/>
                <w:color w:val="auto"/>
              </w:rPr>
              <w:t>“Underwriting” for more information.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324"/>
        </w:trPr>
        <w:tc>
          <w:tcPr>
            <w:tcW w:w="5200" w:type="dxa"/>
            <w:vAlign w:val="bottom"/>
          </w:tcPr>
          <w:p>
            <w:pPr>
              <w:spacing w:after="0"/>
              <w:rPr>
                <w:sz w:val="20"/>
                <w:szCs w:val="20"/>
                <w:color w:val="auto"/>
              </w:rPr>
            </w:pPr>
            <w:r>
              <w:rPr>
                <w:rFonts w:ascii="Arial" w:cs="Arial" w:eastAsia="Arial" w:hAnsi="Arial"/>
                <w:sz w:val="16"/>
                <w:szCs w:val="16"/>
                <w:color w:val="auto"/>
                <w:w w:val="92"/>
              </w:rPr>
              <w:t>The underwriters expect to deliver the shares to the investors on or about June</w:t>
            </w:r>
          </w:p>
        </w:tc>
        <w:tc>
          <w:tcPr>
            <w:tcW w:w="1740" w:type="dxa"/>
            <w:vAlign w:val="bottom"/>
          </w:tcPr>
          <w:p>
            <w:pPr>
              <w:jc w:val="right"/>
              <w:ind w:right="1079"/>
              <w:spacing w:after="0"/>
              <w:rPr>
                <w:sz w:val="20"/>
                <w:szCs w:val="20"/>
                <w:color w:val="auto"/>
              </w:rPr>
            </w:pPr>
            <w:r>
              <w:rPr>
                <w:rFonts w:ascii="Arial" w:cs="Arial" w:eastAsia="Arial" w:hAnsi="Arial"/>
                <w:sz w:val="16"/>
                <w:szCs w:val="16"/>
                <w:color w:val="auto"/>
              </w:rPr>
              <w:t>, 2023.</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30"/>
        </w:trPr>
        <w:tc>
          <w:tcPr>
            <w:tcW w:w="6940" w:type="dxa"/>
            <w:vAlign w:val="bottom"/>
            <w:gridSpan w:val="2"/>
          </w:tcPr>
          <w:p>
            <w:pPr>
              <w:ind w:left="4560"/>
              <w:spacing w:after="0"/>
              <w:rPr>
                <w:sz w:val="20"/>
                <w:szCs w:val="20"/>
                <w:color w:val="auto"/>
              </w:rPr>
            </w:pPr>
            <w:r>
              <w:rPr>
                <w:rFonts w:ascii="Arial" w:cs="Arial" w:eastAsia="Arial" w:hAnsi="Arial"/>
                <w:sz w:val="18"/>
                <w:szCs w:val="18"/>
                <w:b w:val="1"/>
                <w:bCs w:val="1"/>
                <w:i w:val="1"/>
                <w:iCs w:val="1"/>
                <w:color w:val="auto"/>
              </w:rPr>
              <w:t>Sole Bookrunning Manager</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18"/>
        </w:trPr>
        <w:tc>
          <w:tcPr>
            <w:tcW w:w="6940" w:type="dxa"/>
            <w:vAlign w:val="bottom"/>
            <w:gridSpan w:val="2"/>
          </w:tcPr>
          <w:p>
            <w:pPr>
              <w:ind w:left="4700"/>
              <w:spacing w:after="0"/>
              <w:rPr>
                <w:sz w:val="20"/>
                <w:szCs w:val="20"/>
                <w:color w:val="auto"/>
              </w:rPr>
            </w:pPr>
            <w:r>
              <w:rPr>
                <w:rFonts w:ascii="Arial" w:cs="Arial" w:eastAsia="Arial" w:hAnsi="Arial"/>
                <w:sz w:val="29"/>
                <w:szCs w:val="29"/>
                <w:b w:val="1"/>
                <w:bCs w:val="1"/>
                <w:color w:val="auto"/>
              </w:rPr>
              <w:t>SVB Securities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87"/>
        </w:trPr>
        <w:tc>
          <w:tcPr>
            <w:tcW w:w="6940" w:type="dxa"/>
            <w:vAlign w:val="bottom"/>
            <w:gridSpan w:val="2"/>
          </w:tcPr>
          <w:p>
            <w:pPr>
              <w:ind w:left="3580"/>
              <w:spacing w:after="0"/>
              <w:rPr>
                <w:sz w:val="20"/>
                <w:szCs w:val="20"/>
                <w:color w:val="auto"/>
              </w:rPr>
            </w:pPr>
            <w:r>
              <w:rPr>
                <w:rFonts w:ascii="Arial" w:cs="Arial" w:eastAsia="Arial" w:hAnsi="Arial"/>
                <w:sz w:val="18"/>
                <w:szCs w:val="18"/>
                <w:color w:val="auto"/>
                <w:w w:val="88"/>
              </w:rPr>
              <w:t>The date of this prospectus supplement is June</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 2023</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31"/>
        </w:trPr>
        <w:tc>
          <w:tcPr>
            <w:tcW w:w="5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80" w:type="dxa"/>
            <w:vAlign w:val="bottom"/>
            <w:gridSpan w:val="2"/>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70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Page</w:t>
            </w:r>
          </w:p>
        </w:tc>
      </w:tr>
      <w:tr>
        <w:trPr>
          <w:trHeight w:val="438"/>
        </w:trPr>
        <w:tc>
          <w:tcPr>
            <w:tcW w:w="10180" w:type="dxa"/>
            <w:vAlign w:val="bottom"/>
            <w:gridSpan w:val="22"/>
          </w:tcPr>
          <w:p>
            <w:pPr>
              <w:spacing w:after="0"/>
              <w:rPr>
                <w:sz w:val="20"/>
                <w:szCs w:val="20"/>
                <w:color w:val="auto"/>
              </w:rPr>
            </w:pPr>
            <w:r>
              <w:rPr>
                <w:rFonts w:ascii="Arial" w:cs="Arial" w:eastAsia="Arial" w:hAnsi="Arial"/>
                <w:sz w:val="18"/>
                <w:szCs w:val="18"/>
                <w:b w:val="1"/>
                <w:bCs w:val="1"/>
                <w:color w:val="auto"/>
              </w:rPr>
              <w:t>Prospectus Supplement</w:t>
            </w:r>
          </w:p>
        </w:tc>
        <w:tc>
          <w:tcPr>
            <w:tcW w:w="1040" w:type="dxa"/>
            <w:vAlign w:val="bottom"/>
          </w:tcPr>
          <w:p>
            <w:pPr>
              <w:spacing w:after="0"/>
              <w:rPr>
                <w:sz w:val="24"/>
                <w:szCs w:val="24"/>
                <w:color w:val="auto"/>
              </w:rPr>
            </w:pPr>
          </w:p>
        </w:tc>
      </w:tr>
      <w:tr>
        <w:trPr>
          <w:trHeight w:val="190"/>
        </w:trPr>
        <w:tc>
          <w:tcPr>
            <w:tcW w:w="3420" w:type="dxa"/>
            <w:vAlign w:val="bottom"/>
            <w:tcBorders>
              <w:bottom w:val="single" w:sz="8" w:color="0000FF"/>
            </w:tcBorders>
            <w:gridSpan w:val="17"/>
          </w:tcPr>
          <w:p>
            <w:pPr>
              <w:spacing w:after="0" w:line="190" w:lineRule="exact"/>
              <w:rPr>
                <w:sz w:val="20"/>
                <w:szCs w:val="20"/>
                <w:color w:val="auto"/>
              </w:rPr>
            </w:pPr>
            <w:r>
              <w:rPr>
                <w:rFonts w:ascii="Arial" w:cs="Arial" w:eastAsia="Arial" w:hAnsi="Arial"/>
                <w:sz w:val="18"/>
                <w:szCs w:val="18"/>
                <w:color w:val="0000FF"/>
                <w:w w:val="93"/>
              </w:rPr>
              <w:t>ABOUT THIS PROSPECTUS SUPPLEMENT</w:t>
            </w:r>
          </w:p>
        </w:tc>
        <w:tc>
          <w:tcPr>
            <w:tcW w:w="20" w:type="dxa"/>
            <w:vAlign w:val="bottom"/>
            <w:tcBorders>
              <w:bottom w:val="single" w:sz="8" w:color="0000EE"/>
            </w:tcBorders>
          </w:tcPr>
          <w:p>
            <w:pPr>
              <w:spacing w:after="0"/>
              <w:rPr>
                <w:sz w:val="16"/>
                <w:szCs w:val="16"/>
                <w:color w:val="auto"/>
              </w:rPr>
            </w:pPr>
          </w:p>
        </w:tc>
        <w:tc>
          <w:tcPr>
            <w:tcW w:w="6740" w:type="dxa"/>
            <w:vAlign w:val="bottom"/>
            <w:gridSpan w:val="4"/>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r>
      <w:tr>
        <w:trPr>
          <w:trHeight w:val="209"/>
        </w:trPr>
        <w:tc>
          <w:tcPr>
            <w:tcW w:w="10180" w:type="dxa"/>
            <w:vAlign w:val="bottom"/>
            <w:gridSpan w:val="22"/>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196"/>
        </w:trPr>
        <w:tc>
          <w:tcPr>
            <w:tcW w:w="3280" w:type="dxa"/>
            <w:vAlign w:val="bottom"/>
            <w:tcBorders>
              <w:top w:val="single" w:sz="8" w:color="0000FF"/>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3"/>
              </w:rPr>
              <w:t>PROSPECTUS SUPPLEMENT SUMMARY</w:t>
            </w:r>
          </w:p>
        </w:tc>
        <w:tc>
          <w:tcPr>
            <w:tcW w:w="2480" w:type="dxa"/>
            <w:vAlign w:val="bottom"/>
            <w:tcBorders>
              <w:top w:val="single" w:sz="8" w:color="0000FF"/>
            </w:tcBorders>
            <w:gridSpan w:val="5"/>
          </w:tcPr>
          <w:p>
            <w:pPr>
              <w:spacing w:after="0"/>
              <w:rPr>
                <w:sz w:val="17"/>
                <w:szCs w:val="17"/>
                <w:color w:val="auto"/>
              </w:rPr>
            </w:pPr>
          </w:p>
        </w:tc>
        <w:tc>
          <w:tcPr>
            <w:tcW w:w="44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209"/>
        </w:trPr>
        <w:tc>
          <w:tcPr>
            <w:tcW w:w="12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RISK FACTORS</w:t>
            </w:r>
          </w:p>
        </w:tc>
        <w:tc>
          <w:tcPr>
            <w:tcW w:w="8940" w:type="dxa"/>
            <w:vAlign w:val="bottom"/>
            <w:gridSpan w:val="19"/>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196"/>
        </w:trPr>
        <w:tc>
          <w:tcPr>
            <w:tcW w:w="15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0"/>
              </w:rPr>
              <w:t>USE OF PROCEEDS</w:t>
            </w:r>
          </w:p>
        </w:tc>
        <w:tc>
          <w:tcPr>
            <w:tcW w:w="8600" w:type="dxa"/>
            <w:vAlign w:val="bottom"/>
            <w:gridSpan w:val="16"/>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10"/>
        </w:trPr>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DILUTION</w:t>
            </w:r>
          </w:p>
        </w:tc>
        <w:tc>
          <w:tcPr>
            <w:tcW w:w="9320" w:type="dxa"/>
            <w:vAlign w:val="bottom"/>
            <w:gridSpan w:val="20"/>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09"/>
        </w:trPr>
        <w:tc>
          <w:tcPr>
            <w:tcW w:w="10180" w:type="dxa"/>
            <w:vAlign w:val="bottom"/>
            <w:gridSpan w:val="22"/>
          </w:tcPr>
          <w:p>
            <w:pPr>
              <w:spacing w:after="0"/>
              <w:rPr>
                <w:sz w:val="20"/>
                <w:szCs w:val="20"/>
                <w:color w:val="auto"/>
              </w:rPr>
            </w:pPr>
            <w:r>
              <w:rPr>
                <w:rFonts w:ascii="Arial" w:cs="Arial" w:eastAsia="Arial" w:hAnsi="Arial"/>
                <w:sz w:val="18"/>
                <w:szCs w:val="18"/>
                <w:color w:val="0000FF"/>
              </w:rPr>
              <w:t>UNDERWRITING</w:t>
            </w:r>
          </w:p>
        </w:tc>
        <w:tc>
          <w:tcPr>
            <w:tcW w:w="104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0"/>
        </w:trPr>
        <w:tc>
          <w:tcPr>
            <w:tcW w:w="7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5"/>
              </w:rPr>
              <w:t>LEGAL MATTERS</w:t>
            </w:r>
          </w:p>
        </w:tc>
        <w:tc>
          <w:tcPr>
            <w:tcW w:w="8740" w:type="dxa"/>
            <w:vAlign w:val="bottom"/>
            <w:gridSpan w:val="1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210"/>
        </w:trPr>
        <w:tc>
          <w:tcPr>
            <w:tcW w:w="10180" w:type="dxa"/>
            <w:vAlign w:val="bottom"/>
            <w:gridSpan w:val="22"/>
          </w:tcPr>
          <w:p>
            <w:pPr>
              <w:spacing w:after="0"/>
              <w:rPr>
                <w:sz w:val="20"/>
                <w:szCs w:val="20"/>
                <w:color w:val="auto"/>
              </w:rPr>
            </w:pPr>
            <w:r>
              <w:rPr>
                <w:rFonts w:ascii="Arial" w:cs="Arial" w:eastAsia="Arial" w:hAnsi="Arial"/>
                <w:sz w:val="18"/>
                <w:szCs w:val="18"/>
                <w:color w:val="0000FF"/>
              </w:rPr>
              <w:t>EXPERTS</w:t>
            </w:r>
          </w:p>
        </w:tc>
        <w:tc>
          <w:tcPr>
            <w:tcW w:w="104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0"/>
        </w:trPr>
        <w:tc>
          <w:tcPr>
            <w:tcW w:w="760" w:type="dxa"/>
            <w:vAlign w:val="bottom"/>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800" w:type="dxa"/>
            <w:vAlign w:val="bottom"/>
            <w:tcBorders>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6"/>
              </w:rPr>
              <w:t>WHERE YOU CAN FIND MORE INFORMATION</w:t>
            </w:r>
          </w:p>
        </w:tc>
        <w:tc>
          <w:tcPr>
            <w:tcW w:w="6380" w:type="dxa"/>
            <w:vAlign w:val="bottom"/>
            <w:gridSpan w:val="3"/>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209"/>
        </w:trPr>
        <w:tc>
          <w:tcPr>
            <w:tcW w:w="10180" w:type="dxa"/>
            <w:vAlign w:val="bottom"/>
            <w:gridSpan w:val="22"/>
          </w:tcPr>
          <w:p>
            <w:pPr>
              <w:spacing w:after="0"/>
              <w:rPr>
                <w:sz w:val="20"/>
                <w:szCs w:val="20"/>
                <w:color w:val="auto"/>
              </w:rPr>
            </w:pPr>
            <w:r>
              <w:rPr>
                <w:rFonts w:ascii="Arial" w:cs="Arial" w:eastAsia="Arial" w:hAnsi="Arial"/>
                <w:sz w:val="18"/>
                <w:szCs w:val="18"/>
                <w:color w:val="0000FF"/>
              </w:rPr>
              <w:t>INFORMATION INCORPORATED BY REFERENCE</w:t>
            </w:r>
          </w:p>
        </w:tc>
        <w:tc>
          <w:tcPr>
            <w:tcW w:w="104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465"/>
        </w:trPr>
        <w:tc>
          <w:tcPr>
            <w:tcW w:w="4000" w:type="dxa"/>
            <w:vAlign w:val="bottom"/>
            <w:tcBorders>
              <w:top w:val="single" w:sz="8" w:color="0000FF"/>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618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2220" w:type="dxa"/>
            <w:vAlign w:val="bottom"/>
            <w:tcBorders>
              <w:bottom w:val="single" w:sz="8" w:color="0000FF"/>
            </w:tcBorders>
            <w:gridSpan w:val="10"/>
          </w:tcPr>
          <w:p>
            <w:pPr>
              <w:spacing w:after="0" w:line="190" w:lineRule="exact"/>
              <w:rPr>
                <w:sz w:val="20"/>
                <w:szCs w:val="20"/>
                <w:color w:val="auto"/>
              </w:rPr>
            </w:pPr>
            <w:r>
              <w:rPr>
                <w:rFonts w:ascii="Arial" w:cs="Arial" w:eastAsia="Arial" w:hAnsi="Arial"/>
                <w:sz w:val="18"/>
                <w:szCs w:val="18"/>
                <w:color w:val="0000FF"/>
                <w:w w:val="92"/>
              </w:rPr>
              <w:t>ABOUT THIS PROSPECTUS</w:t>
            </w:r>
          </w:p>
        </w:tc>
        <w:tc>
          <w:tcPr>
            <w:tcW w:w="7960" w:type="dxa"/>
            <w:vAlign w:val="bottom"/>
            <w:gridSpan w:val="12"/>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0180" w:type="dxa"/>
            <w:vAlign w:val="bottom"/>
            <w:gridSpan w:val="22"/>
          </w:tcPr>
          <w:p>
            <w:pPr>
              <w:spacing w:after="0" w:line="196" w:lineRule="exact"/>
              <w:rPr>
                <w:sz w:val="20"/>
                <w:szCs w:val="20"/>
                <w:color w:val="auto"/>
              </w:rPr>
            </w:pPr>
            <w:r>
              <w:rPr>
                <w:rFonts w:ascii="Arial" w:cs="Arial" w:eastAsia="Arial" w:hAnsi="Arial"/>
                <w:sz w:val="18"/>
                <w:szCs w:val="18"/>
                <w:color w:val="0000FF"/>
              </w:rPr>
              <w:t>AXSOME THERAPEUTICS, INC</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10"/>
        </w:trPr>
        <w:tc>
          <w:tcPr>
            <w:tcW w:w="12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RISK FACTORS</w:t>
            </w:r>
          </w:p>
        </w:tc>
        <w:tc>
          <w:tcPr>
            <w:tcW w:w="1280" w:type="dxa"/>
            <w:vAlign w:val="bottom"/>
            <w:tcBorders>
              <w:top w:val="single" w:sz="8" w:color="0000FF"/>
            </w:tcBorders>
            <w:gridSpan w:val="9"/>
          </w:tcPr>
          <w:p>
            <w:pPr>
              <w:spacing w:after="0"/>
              <w:rPr>
                <w:sz w:val="18"/>
                <w:szCs w:val="18"/>
                <w:color w:val="auto"/>
              </w:rPr>
            </w:pPr>
          </w:p>
        </w:tc>
        <w:tc>
          <w:tcPr>
            <w:tcW w:w="7660" w:type="dxa"/>
            <w:vAlign w:val="bottom"/>
            <w:gridSpan w:val="10"/>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180" w:type="dxa"/>
            <w:vAlign w:val="bottom"/>
            <w:gridSpan w:val="22"/>
          </w:tcPr>
          <w:p>
            <w:pPr>
              <w:spacing w:after="0" w:line="196" w:lineRule="exact"/>
              <w:rPr>
                <w:sz w:val="20"/>
                <w:szCs w:val="20"/>
                <w:color w:val="auto"/>
              </w:rPr>
            </w:pPr>
            <w:r>
              <w:rPr>
                <w:rFonts w:ascii="Arial" w:cs="Arial" w:eastAsia="Arial" w:hAnsi="Arial"/>
                <w:sz w:val="18"/>
                <w:szCs w:val="18"/>
                <w:color w:val="0000FF"/>
              </w:rPr>
              <w:t>FORWARD-LOOKING STATEMENTS</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9"/>
        </w:trPr>
        <w:tc>
          <w:tcPr>
            <w:tcW w:w="15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0"/>
              </w:rPr>
              <w:t>USE OF PROCEEDS</w:t>
            </w:r>
          </w:p>
        </w:tc>
        <w:tc>
          <w:tcPr>
            <w:tcW w:w="1340" w:type="dxa"/>
            <w:vAlign w:val="bottom"/>
            <w:tcBorders>
              <w:top w:val="single" w:sz="8" w:color="0000FF"/>
            </w:tcBorders>
            <w:gridSpan w:val="8"/>
          </w:tcPr>
          <w:p>
            <w:pPr>
              <w:spacing w:after="0"/>
              <w:rPr>
                <w:sz w:val="18"/>
                <w:szCs w:val="18"/>
                <w:color w:val="auto"/>
              </w:rPr>
            </w:pPr>
          </w:p>
        </w:tc>
        <w:tc>
          <w:tcPr>
            <w:tcW w:w="7260" w:type="dxa"/>
            <w:vAlign w:val="bottom"/>
            <w:gridSpan w:val="8"/>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4"/>
              </w:rPr>
              <w:t>DESCRIPTION OF CAPITAL STOCK</w:t>
            </w:r>
          </w:p>
        </w:tc>
        <w:tc>
          <w:tcPr>
            <w:tcW w:w="7320" w:type="dxa"/>
            <w:vAlign w:val="bottom"/>
            <w:gridSpan w:val="9"/>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9"/>
        </w:trPr>
        <w:tc>
          <w:tcPr>
            <w:tcW w:w="10180" w:type="dxa"/>
            <w:vAlign w:val="bottom"/>
            <w:gridSpan w:val="22"/>
          </w:tcPr>
          <w:p>
            <w:pPr>
              <w:spacing w:after="0"/>
              <w:rPr>
                <w:sz w:val="20"/>
                <w:szCs w:val="20"/>
                <w:color w:val="auto"/>
              </w:rPr>
            </w:pPr>
            <w:r>
              <w:rPr>
                <w:rFonts w:ascii="Arial" w:cs="Arial" w:eastAsia="Arial" w:hAnsi="Arial"/>
                <w:sz w:val="18"/>
                <w:szCs w:val="18"/>
                <w:color w:val="0000FF"/>
              </w:rPr>
              <w:t>DESCRIPTION OF 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302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4"/>
              </w:rPr>
              <w:t>DESCRIPTION OF DEBT SECURITIES</w:t>
            </w:r>
          </w:p>
        </w:tc>
        <w:tc>
          <w:tcPr>
            <w:tcW w:w="7160" w:type="dxa"/>
            <w:vAlign w:val="bottom"/>
            <w:gridSpan w:val="7"/>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10"/>
        </w:trPr>
        <w:tc>
          <w:tcPr>
            <w:tcW w:w="21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DESCRIPTION OF RIGHTS</w:t>
            </w:r>
          </w:p>
        </w:tc>
        <w:tc>
          <w:tcPr>
            <w:tcW w:w="8040" w:type="dxa"/>
            <w:vAlign w:val="bottom"/>
            <w:gridSpan w:val="1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DESCRIPTION OF UNITS</w:t>
            </w:r>
          </w:p>
        </w:tc>
        <w:tc>
          <w:tcPr>
            <w:tcW w:w="8160" w:type="dxa"/>
            <w:vAlign w:val="bottom"/>
            <w:gridSpan w:val="15"/>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0180" w:type="dxa"/>
            <w:vAlign w:val="bottom"/>
            <w:gridSpan w:val="22"/>
          </w:tcPr>
          <w:p>
            <w:pPr>
              <w:spacing w:after="0" w:line="196" w:lineRule="exact"/>
              <w:rPr>
                <w:sz w:val="20"/>
                <w:szCs w:val="20"/>
                <w:color w:val="auto"/>
              </w:rPr>
            </w:pPr>
            <w:r>
              <w:rPr>
                <w:rFonts w:ascii="Arial" w:cs="Arial" w:eastAsia="Arial" w:hAnsi="Arial"/>
                <w:sz w:val="18"/>
                <w:szCs w:val="18"/>
                <w:color w:val="0000FF"/>
              </w:rPr>
              <w:t>PLAN OF DISTRIBUTION</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10"/>
        </w:trPr>
        <w:tc>
          <w:tcPr>
            <w:tcW w:w="1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5"/>
              </w:rPr>
              <w:t>LEGAL MATTERS</w:t>
            </w:r>
          </w:p>
        </w:tc>
        <w:tc>
          <w:tcPr>
            <w:tcW w:w="600" w:type="dxa"/>
            <w:vAlign w:val="bottom"/>
            <w:tcBorders>
              <w:top w:val="single" w:sz="8" w:color="0000FF"/>
            </w:tcBorders>
            <w:gridSpan w:val="3"/>
          </w:tcPr>
          <w:p>
            <w:pPr>
              <w:spacing w:after="0"/>
              <w:rPr>
                <w:sz w:val="18"/>
                <w:szCs w:val="18"/>
                <w:color w:val="auto"/>
              </w:rPr>
            </w:pPr>
          </w:p>
        </w:tc>
        <w:tc>
          <w:tcPr>
            <w:tcW w:w="8140" w:type="dxa"/>
            <w:vAlign w:val="bottom"/>
            <w:gridSpan w:val="14"/>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180" w:type="dxa"/>
            <w:vAlign w:val="bottom"/>
            <w:gridSpan w:val="22"/>
          </w:tcPr>
          <w:p>
            <w:pPr>
              <w:spacing w:after="0" w:line="196" w:lineRule="exact"/>
              <w:rPr>
                <w:sz w:val="20"/>
                <w:szCs w:val="20"/>
                <w:color w:val="auto"/>
              </w:rPr>
            </w:pPr>
            <w:r>
              <w:rPr>
                <w:rFonts w:ascii="Arial" w:cs="Arial" w:eastAsia="Arial" w:hAnsi="Arial"/>
                <w:sz w:val="18"/>
                <w:szCs w:val="18"/>
                <w:color w:val="0000FF"/>
              </w:rPr>
              <w:t>EXPERTS</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shd w:val="clear" w:color="auto" w:fill="0000FF"/>
          </w:tcPr>
          <w:p>
            <w:pPr>
              <w:spacing w:after="0" w:line="20" w:lineRule="exact"/>
              <w:rPr>
                <w:sz w:val="1"/>
                <w:szCs w:val="1"/>
                <w:color w:val="auto"/>
              </w:rPr>
            </w:pPr>
          </w:p>
        </w:tc>
        <w:tc>
          <w:tcPr>
            <w:tcW w:w="9420" w:type="dxa"/>
            <w:vAlign w:val="bottom"/>
            <w:gridSpan w:val="2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38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6"/>
              </w:rPr>
              <w:t>WHERE YOU CAN FIND MORE INFORMATION</w:t>
            </w:r>
          </w:p>
        </w:tc>
        <w:tc>
          <w:tcPr>
            <w:tcW w:w="638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180" w:type="dxa"/>
            <w:vAlign w:val="bottom"/>
            <w:gridSpan w:val="22"/>
          </w:tcPr>
          <w:p>
            <w:pPr>
              <w:spacing w:after="0" w:line="196" w:lineRule="exact"/>
              <w:rPr>
                <w:sz w:val="20"/>
                <w:szCs w:val="20"/>
                <w:color w:val="auto"/>
              </w:rPr>
            </w:pPr>
            <w:r>
              <w:rPr>
                <w:rFonts w:ascii="Arial" w:cs="Arial" w:eastAsia="Arial" w:hAnsi="Arial"/>
                <w:sz w:val="18"/>
                <w:szCs w:val="18"/>
                <w:color w:val="0000FF"/>
              </w:rPr>
              <w:t>INFORMATION INCORPORATED BY REFERENCE</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color w:val="auto"/>
        </w:rPr>
        <w:t>Neither we nor any of the underwriters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the underwriters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supplement entitled “Where You Can Find More Information” and “Information Incorporated by Reference.”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supplement and the accompanying prospectus form part of an automatic “shelf” registration statement on Form S-3 (File No. 333-268664) that we filed with the Securities and Exchange Commission, or SEC, as a “well-known seasoned issuer” as defined in Rule 405 under the Securities Act of 1933, as amended, or the Securities Act.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Neither we nor the underwriters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particular, our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our ability to fund additional clinical trials to continue the advancement of our product candidates; the timing of and our ability to obtain and maintain regulatory approval from the U.S. Food and Drug Administration, or FDA, or other regulatory authority approval of, or other action with respect to, our product candidates; our ability to defend our intellectual property successfully or obtain the necessary licenses at a cost acceptable to us, if at all; the successful implementation of our research and development programs and collaborations; the success of our license agreements; the acceptance by the market of our products and product candidates, if approved; our anticipated capital requirements, including the amount of capital required for the continued commercialization of Sunosi and Auvelity and for our commercial launch of our other product candidates, and the potential impact on our anticipated cash runway;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8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4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334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8334375"/>
                    </a:xfrm>
                    <a:prstGeom prst="rect">
                      <a:avLst/>
                    </a:prstGeom>
                    <a:noFill/>
                  </pic:spPr>
                </pic:pic>
              </a:graphicData>
            </a:graphic>
          </wp:anchor>
        </w:drawing>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in our most recent Annual Report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supplement and the accompanying prospectus to “Axsome,” “we,” “us” and “our” refer to Axsome Therapeutics, Inc. and our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113" w:lineRule="exact"/>
        <w:rPr>
          <w:sz w:val="20"/>
          <w:szCs w:val="20"/>
          <w:color w:val="auto"/>
        </w:rPr>
      </w:pPr>
    </w:p>
    <w:p>
      <w:pPr>
        <w:jc w:val="both"/>
        <w:ind w:left="940" w:right="120" w:hanging="506"/>
        <w:spacing w:after="0" w:line="266" w:lineRule="auto"/>
        <w:tabs>
          <w:tab w:leader="none" w:pos="9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Auvelity®</w:t>
      </w:r>
      <w:r>
        <w:rPr>
          <w:rFonts w:ascii="Arial" w:cs="Arial" w:eastAsia="Arial" w:hAnsi="Arial"/>
          <w:sz w:val="18"/>
          <w:szCs w:val="18"/>
          <w:color w:val="auto"/>
        </w:rPr>
        <w:t>. Auvelity (dextromethorphan-bupropion) is a novel, oral, N-methyl-D-aspartate (NMDA) receptor antagonist with multimodal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indicated for the treatment of major depressive disorder, also known as MDD. Auvelity was developed by us and approved by the FDA for the treatment of MDD in August 2022.</w:t>
      </w:r>
    </w:p>
    <w:p>
      <w:pPr>
        <w:spacing w:after="0" w:line="283" w:lineRule="exact"/>
        <w:rPr>
          <w:rFonts w:ascii="Arial" w:cs="Arial" w:eastAsia="Arial" w:hAnsi="Arial"/>
          <w:sz w:val="18"/>
          <w:szCs w:val="18"/>
          <w:b w:val="1"/>
          <w:bCs w:val="1"/>
          <w:color w:val="auto"/>
        </w:rPr>
      </w:pPr>
    </w:p>
    <w:p>
      <w:pPr>
        <w:ind w:left="940" w:right="60" w:hanging="506"/>
        <w:spacing w:after="0" w:line="273" w:lineRule="auto"/>
        <w:tabs>
          <w:tab w:leader="none" w:pos="9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Sunosi®</w:t>
      </w:r>
      <w:r>
        <w:rPr>
          <w:rFonts w:ascii="Arial" w:cs="Arial" w:eastAsia="Arial" w:hAnsi="Arial"/>
          <w:sz w:val="17"/>
          <w:szCs w:val="17"/>
          <w:color w:val="auto"/>
        </w:rPr>
        <w:t>. Sunosi (solriamfetol) is a novel, oral medication indicated to the treatment of excessive daytime sleepiness, also known as EDS,</w:t>
      </w:r>
      <w:r>
        <w:rPr>
          <w:rFonts w:ascii="Arial" w:cs="Arial" w:eastAsia="Arial" w:hAnsi="Arial"/>
          <w:sz w:val="17"/>
          <w:szCs w:val="17"/>
          <w:b w:val="1"/>
          <w:bCs w:val="1"/>
          <w:color w:val="auto"/>
        </w:rPr>
        <w:t xml:space="preserve"> </w:t>
      </w:r>
      <w:r>
        <w:rPr>
          <w:rFonts w:ascii="Arial" w:cs="Arial" w:eastAsia="Arial" w:hAnsi="Arial"/>
          <w:sz w:val="17"/>
          <w:szCs w:val="17"/>
          <w:color w:val="auto"/>
        </w:rPr>
        <w:t>in patients with narcolepsy or obstructive sleep apnea. Sunosi was approved for the treatment of EDS in the United States in 2019 and by the European Commission in 2020. We acquired the U.S. rights to Sunosi from Jazz Pharmaceuticals plc, or Jazz, in May 2022 and worldwide ex-U.S. rights (excluding certain Asian markets) from Jazz in November 2022. We have been commercializing Sunosi since we completed these acquisitions. SK Biopharmaceuticals Co. Ltd., is the originator of Sunosi and retains rights in 12 Asian markets, including China, Korea, and Japan. In February 2023, we announced a licensing transaction with Pharmanovia to market Sunosi in Europe and certain countries in the Middle East and North Africa.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Programs</w:t>
      </w:r>
    </w:p>
    <w:p>
      <w:pPr>
        <w:spacing w:after="0" w:line="22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When used in product candidates under clinical or preclinical development, we refer to the proprietary dextromethorphan-bupropion combination contained in Auvelity as “AXS-05.” AXS-05 is a novel, oral, investigational NMDA receptor antagonist with multimodal activity under development for the treatment of Alzheimer’s disease agitation, or AD agitation, and smoking cessation. AXS-05 utilizes a proprietary combination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an NDA for AXS-07 in 2021, which was accepted, and received a complete response letter, or CRL, from the FDA in April 2022. The principal reasons given in the CRL relate to chemistry, manufacturing, and controls, or CMC considerations.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293370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76"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48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482715"/>
                    </a:xfrm>
                    <a:prstGeom prst="rect">
                      <a:avLst/>
                    </a:prstGeom>
                    <a:noFill/>
                  </pic:spPr>
                </pic:pic>
              </a:graphicData>
            </a:graphic>
          </wp:anchor>
        </w:drawing>
        <w:t>Table of Contents</w:t>
      </w:r>
    </w:p>
    <w:p>
      <w:pPr>
        <w:spacing w:after="0" w:line="200" w:lineRule="exact"/>
        <w:rPr>
          <w:sz w:val="20"/>
          <w:szCs w:val="20"/>
          <w:color w:val="auto"/>
        </w:rPr>
      </w:pPr>
    </w:p>
    <w:p>
      <w:pPr>
        <w:spacing w:after="0" w:line="24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AXS-12, reboxetine, is a novel, oral, investigational medicine in development for the treatment of cataplexy in narcolepsy. AXS-12 is a highly selective and potent norepinephrine reuptake inhibitor. AXS-12 has been granted FDA Orphan Drug Designation for the treatment of narcolepsy. We have completed a Phase 2 trial with AXS-12, which we refer to as the CONCERT study. We are currently conducting a randomized, placebo-controlled Phase 3 trial with AXS-12 in narcolepsy, which we refer to as the SYMPHONY study, and one open-label long-term safety extension study.</w:t>
      </w:r>
    </w:p>
    <w:p>
      <w:pPr>
        <w:spacing w:after="0" w:line="15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that includes a completed Phase 2 trial and Phase 3 trial in fibromyalgia, both of which were positive.</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Solriamfetol is the active ingredient in Sunosi. It is an oral, dual-acting dopamine and norepinephrine reuptake inhibitor. We recently announced our intent to conduct a Phase 3 trial of solriamfetol in adults with attention-deficit/hyperactivity disorder.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Under our Loan and Security Agreement, or Loan Agreement, with Hercules Capital, Inc., dated as of September 25, 2020 and as subsequently amended on October 14, 2021, March 27, 2022 and January 9, 2023, we had $150.0 million in outstanding principal as of March 31, 2023 (out of $350.0 million in aggregate principal amount that was, or may be in the future, be available). On June 15, 2023, we drew down an additional $30.0 million in term loan advances under the Loan Agreement.</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June 22, 2023, the Audit Committee of the Board of Directors, or the Audit Committee, determined that it would be in the best interest of Axsome and our stockholders to engage a new independent registered public accounting firm for the fiscal year ending December 31, 2023. Accordingly, the Audit Committee approved the engagement of Deloitte &amp; Touche LLP and the dismissal of Ernst &amp; Young LLP as our independent registered public accounting firm for the fiscal year ending December 31, 2023, each to be effective as of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340"/>
        <w:spacing w:after="0" w:line="223" w:lineRule="exact"/>
        <w:rPr>
          <w:sz w:val="20"/>
          <w:szCs w:val="20"/>
          <w:color w:val="auto"/>
        </w:rPr>
      </w:pPr>
      <w:r>
        <w:rPr>
          <w:rFonts w:ascii="Arial" w:cs="Arial" w:eastAsia="Arial" w:hAnsi="Arial"/>
          <w:sz w:val="18"/>
          <w:szCs w:val="18"/>
          <w:color w:val="auto"/>
        </w:rPr>
        <w:t>Our principal executive offices are located at One World Trade Center, 22nd Floor, New York, New York 10007, and our telephone number is (212) 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2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at </w:t>
      </w:r>
      <w:r>
        <w:rPr>
          <w:rFonts w:ascii="Arial" w:cs="Arial" w:eastAsia="Arial" w:hAnsi="Arial"/>
          <w:sz w:val="17"/>
          <w:szCs w:val="17"/>
          <w:i w:val="1"/>
          <w:iCs w:val="1"/>
          <w:color w:val="auto"/>
        </w:rPr>
        <w:t>www.axsome.com</w:t>
      </w:r>
      <w:r>
        <w:rPr>
          <w:rFonts w:ascii="Arial" w:cs="Arial" w:eastAsia="Arial" w:hAnsi="Arial"/>
          <w:sz w:val="17"/>
          <w:szCs w:val="17"/>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293370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476" w:right="479" w:bottom="1440" w:gutter="0" w:footer="0" w:header="0"/>
        </w:sectPr>
      </w:pPr>
    </w:p>
    <w:bookmarkStart w:id="6" w:name="page7"/>
    <w:bookmarkEnd w:id="6"/>
    <w:tbl>
      <w:tblPr>
        <w:tblLayout w:type="fixed"/>
        <w:tblInd w:w="14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69"/>
        </w:trPr>
        <w:tc>
          <w:tcPr>
            <w:tcW w:w="128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2620" w:type="dxa"/>
            <w:vAlign w:val="bottom"/>
          </w:tcPr>
          <w:p>
            <w:pPr>
              <w:ind w:left="560"/>
              <w:spacing w:after="0"/>
              <w:rPr>
                <w:sz w:val="20"/>
                <w:szCs w:val="20"/>
                <w:color w:val="auto"/>
              </w:rPr>
            </w:pPr>
            <w:r>
              <w:rPr>
                <w:rFonts w:ascii="Arial" w:cs="Arial" w:eastAsia="Arial" w:hAnsi="Arial"/>
                <w:sz w:val="18"/>
                <w:szCs w:val="18"/>
                <w:b w:val="1"/>
                <w:bCs w:val="1"/>
                <w:color w:val="auto"/>
              </w:rPr>
              <w:t>THE OFFERING</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73"/>
        </w:trPr>
        <w:tc>
          <w:tcPr>
            <w:tcW w:w="4240" w:type="dxa"/>
            <w:vAlign w:val="bottom"/>
            <w:gridSpan w:val="2"/>
          </w:tcPr>
          <w:p>
            <w:pPr>
              <w:spacing w:after="0"/>
              <w:rPr>
                <w:sz w:val="20"/>
                <w:szCs w:val="20"/>
                <w:color w:val="auto"/>
              </w:rPr>
            </w:pPr>
            <w:r>
              <w:rPr>
                <w:rFonts w:ascii="Arial" w:cs="Arial" w:eastAsia="Arial" w:hAnsi="Arial"/>
                <w:sz w:val="18"/>
                <w:szCs w:val="18"/>
                <w:color w:val="auto"/>
              </w:rPr>
              <w:t>Common stock offered by us</w:t>
            </w:r>
          </w:p>
        </w:tc>
        <w:tc>
          <w:tcPr>
            <w:tcW w:w="2620" w:type="dxa"/>
            <w:vAlign w:val="bottom"/>
          </w:tcPr>
          <w:p>
            <w:pPr>
              <w:ind w:left="1660"/>
              <w:spacing w:after="0"/>
              <w:rPr>
                <w:sz w:val="20"/>
                <w:szCs w:val="20"/>
                <w:color w:val="auto"/>
              </w:rPr>
            </w:pPr>
            <w:r>
              <w:rPr>
                <w:rFonts w:ascii="Arial" w:cs="Arial" w:eastAsia="Arial" w:hAnsi="Arial"/>
                <w:sz w:val="18"/>
                <w:szCs w:val="18"/>
                <w:color w:val="auto"/>
              </w:rPr>
              <w:t>shares.</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863"/>
        </w:trPr>
        <w:tc>
          <w:tcPr>
            <w:tcW w:w="4240" w:type="dxa"/>
            <w:vAlign w:val="bottom"/>
            <w:gridSpan w:val="2"/>
          </w:tcPr>
          <w:p>
            <w:pPr>
              <w:spacing w:after="0"/>
              <w:rPr>
                <w:sz w:val="20"/>
                <w:szCs w:val="20"/>
                <w:color w:val="auto"/>
              </w:rPr>
            </w:pPr>
            <w:r>
              <w:rPr>
                <w:rFonts w:ascii="Arial" w:cs="Arial" w:eastAsia="Arial" w:hAnsi="Arial"/>
                <w:sz w:val="18"/>
                <w:szCs w:val="18"/>
                <w:color w:val="auto"/>
              </w:rPr>
              <w:t>Option to purchase additional shares</w:t>
            </w: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2"/>
              </w:rPr>
              <w:t>We have granted the underwriters an option for a period of 30 days from the date</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80" w:type="dxa"/>
            <w:vAlign w:val="bottom"/>
            <w:gridSpan w:val="2"/>
          </w:tcPr>
          <w:p>
            <w:pPr>
              <w:ind w:left="760"/>
              <w:spacing w:after="0"/>
              <w:rPr>
                <w:sz w:val="20"/>
                <w:szCs w:val="20"/>
                <w:color w:val="auto"/>
              </w:rPr>
            </w:pPr>
            <w:r>
              <w:rPr>
                <w:rFonts w:ascii="Arial" w:cs="Arial" w:eastAsia="Arial" w:hAnsi="Arial"/>
                <w:sz w:val="18"/>
                <w:szCs w:val="18"/>
                <w:color w:val="auto"/>
                <w:w w:val="99"/>
              </w:rPr>
              <w:t>of this prospectus supplement to purchase up to</w:t>
            </w:r>
          </w:p>
        </w:tc>
        <w:tc>
          <w:tcPr>
            <w:tcW w:w="2140" w:type="dxa"/>
            <w:vAlign w:val="bottom"/>
          </w:tcPr>
          <w:p>
            <w:pPr>
              <w:ind w:left="100"/>
              <w:spacing w:after="0"/>
              <w:rPr>
                <w:sz w:val="20"/>
                <w:szCs w:val="20"/>
                <w:color w:val="auto"/>
              </w:rPr>
            </w:pPr>
            <w:r>
              <w:rPr>
                <w:rFonts w:ascii="Arial" w:cs="Arial" w:eastAsia="Arial" w:hAnsi="Arial"/>
                <w:sz w:val="18"/>
                <w:szCs w:val="18"/>
                <w:color w:val="auto"/>
              </w:rPr>
              <w:t>additional shares of our</w:t>
            </w:r>
          </w:p>
        </w:tc>
      </w:tr>
      <w:tr>
        <w:trPr>
          <w:trHeight w:val="230"/>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20" w:type="dxa"/>
            <w:vAlign w:val="bottom"/>
          </w:tcPr>
          <w:p>
            <w:pPr>
              <w:ind w:left="760"/>
              <w:spacing w:after="0"/>
              <w:rPr>
                <w:sz w:val="20"/>
                <w:szCs w:val="20"/>
                <w:color w:val="auto"/>
              </w:rPr>
            </w:pPr>
            <w:r>
              <w:rPr>
                <w:rFonts w:ascii="Arial" w:cs="Arial" w:eastAsia="Arial" w:hAnsi="Arial"/>
                <w:sz w:val="18"/>
                <w:szCs w:val="18"/>
                <w:color w:val="auto"/>
              </w:rPr>
              <w:t>common stock.</w:t>
            </w:r>
          </w:p>
        </w:tc>
        <w:tc>
          <w:tcPr>
            <w:tcW w:w="19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63"/>
        </w:trPr>
        <w:tc>
          <w:tcPr>
            <w:tcW w:w="4240" w:type="dxa"/>
            <w:vAlign w:val="bottom"/>
            <w:gridSpan w:val="2"/>
          </w:tcPr>
          <w:p>
            <w:pPr>
              <w:spacing w:after="0"/>
              <w:rPr>
                <w:sz w:val="20"/>
                <w:szCs w:val="20"/>
                <w:color w:val="auto"/>
              </w:rPr>
            </w:pPr>
            <w:r>
              <w:rPr>
                <w:rFonts w:ascii="Arial" w:cs="Arial" w:eastAsia="Arial" w:hAnsi="Arial"/>
                <w:sz w:val="18"/>
                <w:szCs w:val="18"/>
                <w:color w:val="auto"/>
              </w:rPr>
              <w:t>Common stock to be outstanding after this offering</w:t>
            </w:r>
          </w:p>
        </w:tc>
        <w:tc>
          <w:tcPr>
            <w:tcW w:w="2620" w:type="dxa"/>
            <w:vAlign w:val="bottom"/>
          </w:tcPr>
          <w:p>
            <w:pPr>
              <w:ind w:left="1620"/>
              <w:spacing w:after="0"/>
              <w:rPr>
                <w:sz w:val="20"/>
                <w:szCs w:val="20"/>
                <w:color w:val="auto"/>
              </w:rPr>
            </w:pPr>
            <w:r>
              <w:rPr>
                <w:rFonts w:ascii="Arial" w:cs="Arial" w:eastAsia="Arial" w:hAnsi="Arial"/>
                <w:sz w:val="18"/>
                <w:szCs w:val="18"/>
                <w:color w:val="auto"/>
              </w:rPr>
              <w:t>shares (or</w:t>
            </w:r>
          </w:p>
        </w:tc>
        <w:tc>
          <w:tcPr>
            <w:tcW w:w="4100" w:type="dxa"/>
            <w:vAlign w:val="bottom"/>
            <w:gridSpan w:val="2"/>
          </w:tcPr>
          <w:p>
            <w:pPr>
              <w:ind w:left="280"/>
              <w:spacing w:after="0"/>
              <w:rPr>
                <w:sz w:val="20"/>
                <w:szCs w:val="20"/>
                <w:color w:val="auto"/>
              </w:rPr>
            </w:pPr>
            <w:r>
              <w:rPr>
                <w:rFonts w:ascii="Arial" w:cs="Arial" w:eastAsia="Arial" w:hAnsi="Arial"/>
                <w:sz w:val="18"/>
                <w:szCs w:val="18"/>
                <w:color w:val="auto"/>
              </w:rPr>
              <w:t>shares, if the underwriters exercise in full their</w:t>
            </w:r>
          </w:p>
        </w:tc>
      </w:tr>
      <w:tr>
        <w:trPr>
          <w:trHeight w:val="230"/>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80" w:type="dxa"/>
            <w:vAlign w:val="bottom"/>
            <w:gridSpan w:val="2"/>
          </w:tcPr>
          <w:p>
            <w:pPr>
              <w:ind w:left="760"/>
              <w:spacing w:after="0"/>
              <w:rPr>
                <w:sz w:val="20"/>
                <w:szCs w:val="20"/>
                <w:color w:val="auto"/>
              </w:rPr>
            </w:pPr>
            <w:r>
              <w:rPr>
                <w:rFonts w:ascii="Arial" w:cs="Arial" w:eastAsia="Arial" w:hAnsi="Arial"/>
                <w:sz w:val="18"/>
                <w:szCs w:val="18"/>
                <w:color w:val="auto"/>
              </w:rPr>
              <w:t>option to purchase additional shares).</w:t>
            </w:r>
          </w:p>
        </w:tc>
        <w:tc>
          <w:tcPr>
            <w:tcW w:w="2140" w:type="dxa"/>
            <w:vAlign w:val="bottom"/>
          </w:tcPr>
          <w:p>
            <w:pPr>
              <w:spacing w:after="0"/>
              <w:rPr>
                <w:sz w:val="20"/>
                <w:szCs w:val="20"/>
                <w:color w:val="auto"/>
              </w:rPr>
            </w:pPr>
          </w:p>
        </w:tc>
      </w:tr>
      <w:tr>
        <w:trPr>
          <w:trHeight w:val="877"/>
        </w:trPr>
        <w:tc>
          <w:tcPr>
            <w:tcW w:w="42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rPr>
              <w:t>We intend to use the proceeds from this offering to advance our late-stage</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2"/>
              </w:rPr>
              <w:t>pipeline, including funding existing and potential new clinical programs, products,</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5"/>
              </w:rPr>
              <w:t>and product candidates, to expand our commercialization efforts, and for other</w:t>
            </w:r>
          </w:p>
        </w:tc>
      </w:tr>
      <w:tr>
        <w:trPr>
          <w:trHeight w:val="230"/>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80" w:type="dxa"/>
            <w:vAlign w:val="bottom"/>
            <w:gridSpan w:val="2"/>
          </w:tcPr>
          <w:p>
            <w:pPr>
              <w:ind w:left="760"/>
              <w:spacing w:after="0"/>
              <w:rPr>
                <w:sz w:val="20"/>
                <w:szCs w:val="20"/>
                <w:color w:val="auto"/>
              </w:rPr>
            </w:pPr>
            <w:r>
              <w:rPr>
                <w:rFonts w:ascii="Arial" w:cs="Arial" w:eastAsia="Arial" w:hAnsi="Arial"/>
                <w:sz w:val="18"/>
                <w:szCs w:val="18"/>
                <w:color w:val="auto"/>
                <w:w w:val="91"/>
              </w:rPr>
              <w:t>general corporate purposes. See “Use of Proceeds.”</w:t>
            </w:r>
          </w:p>
        </w:tc>
        <w:tc>
          <w:tcPr>
            <w:tcW w:w="2140" w:type="dxa"/>
            <w:vAlign w:val="bottom"/>
          </w:tcPr>
          <w:p>
            <w:pPr>
              <w:spacing w:after="0"/>
              <w:rPr>
                <w:sz w:val="20"/>
                <w:szCs w:val="20"/>
                <w:color w:val="auto"/>
              </w:rPr>
            </w:pPr>
          </w:p>
        </w:tc>
      </w:tr>
      <w:tr>
        <w:trPr>
          <w:trHeight w:val="647"/>
        </w:trPr>
        <w:tc>
          <w:tcPr>
            <w:tcW w:w="42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1"/>
              </w:rPr>
              <w:t>Investing in our common stock involves a high degree of risk. You should read the</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4"/>
              </w:rPr>
              <w:t>“Risk Factors” section of this prospectus supplement beginning on page S-4 as</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6"/>
              </w:rPr>
              <w:t>well as those risk factors that are incorporated by reference in this prospectus</w:t>
            </w:r>
          </w:p>
        </w:tc>
      </w:tr>
      <w:tr>
        <w:trPr>
          <w:trHeight w:val="216"/>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8"/>
              </w:rPr>
              <w:t>supplement and the accompanying prospectus for a discussion of factors to</w:t>
            </w:r>
          </w:p>
        </w:tc>
      </w:tr>
      <w:tr>
        <w:trPr>
          <w:trHeight w:val="230"/>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720" w:type="dxa"/>
            <w:vAlign w:val="bottom"/>
            <w:gridSpan w:val="3"/>
          </w:tcPr>
          <w:p>
            <w:pPr>
              <w:ind w:left="760"/>
              <w:spacing w:after="0"/>
              <w:rPr>
                <w:sz w:val="20"/>
                <w:szCs w:val="20"/>
                <w:color w:val="auto"/>
              </w:rPr>
            </w:pPr>
            <w:r>
              <w:rPr>
                <w:rFonts w:ascii="Arial" w:cs="Arial" w:eastAsia="Arial" w:hAnsi="Arial"/>
                <w:sz w:val="18"/>
                <w:szCs w:val="18"/>
                <w:color w:val="auto"/>
                <w:w w:val="99"/>
              </w:rPr>
              <w:t>consider carefully before deciding to invest in shares of our common stock.</w:t>
            </w:r>
          </w:p>
        </w:tc>
      </w:tr>
      <w:tr>
        <w:trPr>
          <w:trHeight w:val="661"/>
        </w:trPr>
        <w:tc>
          <w:tcPr>
            <w:tcW w:w="4240" w:type="dxa"/>
            <w:vAlign w:val="bottom"/>
            <w:gridSpan w:val="2"/>
          </w:tcPr>
          <w:p>
            <w:pPr>
              <w:spacing w:after="0"/>
              <w:rPr>
                <w:sz w:val="20"/>
                <w:szCs w:val="20"/>
                <w:color w:val="auto"/>
              </w:rPr>
            </w:pPr>
            <w:r>
              <w:rPr>
                <w:rFonts w:ascii="Arial" w:cs="Arial" w:eastAsia="Arial" w:hAnsi="Arial"/>
                <w:sz w:val="18"/>
                <w:szCs w:val="18"/>
                <w:color w:val="auto"/>
              </w:rPr>
              <w:t>Nasdaq Global Market ticker symbol</w:t>
            </w:r>
          </w:p>
        </w:tc>
        <w:tc>
          <w:tcPr>
            <w:tcW w:w="2620" w:type="dxa"/>
            <w:vAlign w:val="bottom"/>
          </w:tcPr>
          <w:p>
            <w:pPr>
              <w:ind w:left="760"/>
              <w:spacing w:after="0"/>
              <w:rPr>
                <w:sz w:val="20"/>
                <w:szCs w:val="20"/>
                <w:color w:val="auto"/>
              </w:rPr>
            </w:pPr>
            <w:r>
              <w:rPr>
                <w:rFonts w:ascii="Arial" w:cs="Arial" w:eastAsia="Arial" w:hAnsi="Arial"/>
                <w:sz w:val="18"/>
                <w:szCs w:val="18"/>
                <w:color w:val="auto"/>
              </w:rPr>
              <w:t>“AXSM”</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863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863205"/>
                    </a:xfrm>
                    <a:prstGeom prst="rect">
                      <a:avLst/>
                    </a:prstGeom>
                    <a:noFill/>
                  </pic:spPr>
                </pic:pic>
              </a:graphicData>
            </a:graphic>
          </wp:anchor>
        </w:drawing>
      </w:r>
    </w:p>
    <w:p>
      <w:pPr>
        <w:ind w:left="140" w:right="400"/>
        <w:spacing w:after="0" w:line="277"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as shown above is based on 43,548,466 shares of our common stock outstanding as of March 31, 2023, and excludes:</w:t>
      </w:r>
    </w:p>
    <w:p>
      <w:pPr>
        <w:spacing w:after="0" w:line="62" w:lineRule="exact"/>
        <w:rPr>
          <w:sz w:val="20"/>
          <w:szCs w:val="20"/>
          <w:color w:val="auto"/>
        </w:rPr>
      </w:pPr>
    </w:p>
    <w:p>
      <w:pPr>
        <w:ind w:left="1160" w:hanging="378"/>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787,134 shares of common stock issuable upon vesting of restricted stock units outstanding as of March 31, 2023;</w:t>
      </w:r>
    </w:p>
    <w:p>
      <w:pPr>
        <w:spacing w:after="0" w:line="117" w:lineRule="exact"/>
        <w:rPr>
          <w:rFonts w:ascii="Arial" w:cs="Arial" w:eastAsia="Arial" w:hAnsi="Arial"/>
          <w:sz w:val="18"/>
          <w:szCs w:val="18"/>
          <w:color w:val="auto"/>
        </w:rPr>
      </w:pPr>
    </w:p>
    <w:p>
      <w:pPr>
        <w:ind w:left="1160" w:right="620" w:hanging="378"/>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8,038,119 shares of common stock issuable upon exercise of stock options outstanding as of March 31, 2023, at a weighted average exercise price of $38.06 per share;</w:t>
      </w:r>
    </w:p>
    <w:p>
      <w:pPr>
        <w:spacing w:after="0" w:line="62" w:lineRule="exact"/>
        <w:rPr>
          <w:rFonts w:ascii="Arial" w:cs="Arial" w:eastAsia="Arial" w:hAnsi="Arial"/>
          <w:sz w:val="18"/>
          <w:szCs w:val="18"/>
          <w:color w:val="auto"/>
        </w:rPr>
      </w:pPr>
    </w:p>
    <w:p>
      <w:pPr>
        <w:ind w:left="1160" w:right="260" w:hanging="378"/>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69,520 shares of common stock issuable upon the exercise of outstanding warrants as of March 31, 2023, at a weighted average exercise price of $48.97 per share;</w:t>
      </w:r>
    </w:p>
    <w:p>
      <w:pPr>
        <w:spacing w:after="0" w:line="62" w:lineRule="exact"/>
        <w:rPr>
          <w:rFonts w:ascii="Arial" w:cs="Arial" w:eastAsia="Arial" w:hAnsi="Arial"/>
          <w:sz w:val="18"/>
          <w:szCs w:val="18"/>
          <w:color w:val="auto"/>
        </w:rPr>
      </w:pPr>
    </w:p>
    <w:p>
      <w:pPr>
        <w:ind w:left="1160" w:right="560" w:hanging="378"/>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1,241,793 shares of common stock available for future grant under our 2015 Omnibus Incentive Compensation Plan as of March 31, 2023; and</w:t>
      </w:r>
    </w:p>
    <w:p>
      <w:pPr>
        <w:spacing w:after="0" w:line="62" w:lineRule="exact"/>
        <w:rPr>
          <w:rFonts w:ascii="Arial" w:cs="Arial" w:eastAsia="Arial" w:hAnsi="Arial"/>
          <w:sz w:val="18"/>
          <w:szCs w:val="18"/>
          <w:color w:val="auto"/>
        </w:rPr>
      </w:pPr>
    </w:p>
    <w:p>
      <w:pPr>
        <w:ind w:left="1160" w:right="820" w:hanging="378"/>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1,100,000 shares of common stock available for future grant under our 2023 Employee Stock Purchase Plan as of the date of this prospectus supplement.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Except as otherwise indicated herein, all information in this prospectus supplement, including the number of shares that will be outstanding after this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w w:val="93"/>
              </w:rPr>
              <w:t>offering, does not assume or give effect to the exercise of the underwriters’ option to purchase</w:t>
            </w:r>
          </w:p>
        </w:tc>
        <w:tc>
          <w:tcPr>
            <w:tcW w:w="4100" w:type="dxa"/>
            <w:vAlign w:val="bottom"/>
          </w:tcPr>
          <w:p>
            <w:pPr>
              <w:ind w:left="260"/>
              <w:spacing w:after="0"/>
              <w:rPr>
                <w:sz w:val="20"/>
                <w:szCs w:val="20"/>
                <w:color w:val="auto"/>
              </w:rPr>
            </w:pPr>
            <w:r>
              <w:rPr>
                <w:rFonts w:ascii="Arial" w:cs="Arial" w:eastAsia="Arial" w:hAnsi="Arial"/>
                <w:sz w:val="18"/>
                <w:szCs w:val="18"/>
                <w:color w:val="auto"/>
              </w:rPr>
              <w:t>additional shares in this offering.</w:t>
            </w:r>
          </w:p>
        </w:tc>
      </w:tr>
      <w:tr>
        <w:trPr>
          <w:trHeight w:val="418"/>
        </w:trPr>
        <w:tc>
          <w:tcPr>
            <w:tcW w:w="7140" w:type="dxa"/>
            <w:vAlign w:val="bottom"/>
          </w:tcPr>
          <w:p>
            <w:pPr>
              <w:ind w:left="5500"/>
              <w:spacing w:after="0"/>
              <w:rPr>
                <w:sz w:val="20"/>
                <w:szCs w:val="20"/>
                <w:color w:val="auto"/>
              </w:rPr>
            </w:pPr>
            <w:r>
              <w:rPr>
                <w:rFonts w:ascii="Arial" w:cs="Arial" w:eastAsia="Arial" w:hAnsi="Arial"/>
                <w:sz w:val="18"/>
                <w:szCs w:val="18"/>
                <w:color w:val="auto"/>
              </w:rPr>
              <w:t>S-3</w:t>
            </w:r>
          </w:p>
        </w:tc>
        <w:tc>
          <w:tcPr>
            <w:tcW w:w="4100" w:type="dxa"/>
            <w:vAlign w:val="bottom"/>
          </w:tcPr>
          <w:p>
            <w:pPr>
              <w:spacing w:after="0"/>
              <w:rPr>
                <w:sz w:val="24"/>
                <w:szCs w:val="24"/>
                <w:color w:val="auto"/>
              </w:rPr>
            </w:pPr>
          </w:p>
        </w:tc>
      </w:tr>
      <w:tr>
        <w:trPr>
          <w:trHeight w:val="466"/>
        </w:trPr>
        <w:tc>
          <w:tcPr>
            <w:tcW w:w="7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most recent Annual Report on Form 10-K and any subsequent Quarterly Reports on Form 10-Q, which are incorporated by reference in this prospectus supplement and the accompanying prospectus, together with other information in this prospectus supplement and the accompanying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a biopharmaceutical company with a limited operating history. For the last several years, we have focused our efforts primarily on developing CNS product candidates, AXS-05, AXS-07, AXS-12, and AXS-14, with the goal of achieving regulatory approval and commercialization. Since inception, we have incurred significant operating losses. Our net loss was $11.2 million for the three months ended March 31, 2023. As of March 31, 2023, we had an accumulated deficit of $607.6 million. In 2022, we commenced the commercial sale of Auvelity in the United States and Sunosi in the United States and select global markets. Apart from Sunosi and Auvelity, we have no other products which have received regulatory approval.</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8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additional commercial, clinical, medical, quality, regulatory, and scientific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establish a sales, marketing, and distribution infrastructure;</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external manufacturing capabilities and production to commercialize any products for which we may obtain regulatory approval and that we choose not to license to a third-party;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140" w:lineRule="exact"/>
        <w:rPr>
          <w:rFonts w:ascii="Arial" w:cs="Arial" w:eastAsia="Arial" w:hAnsi="Arial"/>
          <w:sz w:val="16"/>
          <w:szCs w:val="16"/>
          <w:color w:val="auto"/>
        </w:rPr>
      </w:pPr>
    </w:p>
    <w:p>
      <w:pPr>
        <w:ind w:left="1020" w:hanging="503"/>
        <w:spacing w:after="0" w:line="207"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in AD agitation;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clinical trials with AXS-12 in narcolepsy;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AXS-05 as an aid to smoking cessation treatment and other CNS disorders;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solriamfetol in attention-deficit/hyperactivity disorder (“ADHD”);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evaluate, plan for, and potentially submit an NDA for AXS-14 in fibromyalgia;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expand commercial sales of Sunosi and Auvelity;</w:t>
      </w:r>
    </w:p>
    <w:p>
      <w:pPr>
        <w:spacing w:after="0" w:line="117" w:lineRule="exact"/>
        <w:rPr>
          <w:rFonts w:ascii="Arial" w:cs="Arial" w:eastAsia="Arial" w:hAnsi="Arial"/>
          <w:sz w:val="18"/>
          <w:szCs w:val="18"/>
          <w:color w:val="auto"/>
        </w:rPr>
      </w:pPr>
    </w:p>
    <w:p>
      <w:pPr>
        <w:ind w:left="1020" w:hanging="503"/>
        <w:spacing w:after="0" w:line="207"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17" w:lineRule="exact"/>
        <w:rPr>
          <w:rFonts w:ascii="Arial" w:cs="Arial" w:eastAsia="Arial" w:hAnsi="Arial"/>
          <w:sz w:val="18"/>
          <w:szCs w:val="18"/>
          <w:color w:val="auto"/>
        </w:rPr>
      </w:pPr>
    </w:p>
    <w:p>
      <w:pPr>
        <w:ind w:left="1020" w:hanging="503"/>
        <w:spacing w:after="0" w:line="207"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17" w:lineRule="exact"/>
        <w:rPr>
          <w:rFonts w:ascii="Arial" w:cs="Arial" w:eastAsia="Arial" w:hAnsi="Arial"/>
          <w:sz w:val="18"/>
          <w:szCs w:val="18"/>
          <w:color w:val="auto"/>
        </w:rPr>
      </w:pPr>
    </w:p>
    <w:p>
      <w:pPr>
        <w:ind w:left="1020" w:hanging="503"/>
        <w:spacing w:after="0" w:line="207"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may be forced to delay, reduce, or eliminate our product development programs or commercialization efforts.</w:t>
      </w:r>
    </w:p>
    <w:p>
      <w:pPr>
        <w:spacing w:after="0" w:line="184" w:lineRule="exact"/>
        <w:rPr>
          <w:sz w:val="20"/>
          <w:szCs w:val="20"/>
          <w:color w:val="auto"/>
        </w:rPr>
      </w:pPr>
    </w:p>
    <w:p>
      <w:pPr>
        <w:ind w:right="340"/>
        <w:spacing w:after="0" w:line="220"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may need to raise additional capital to:</w:t>
      </w:r>
    </w:p>
    <w:p>
      <w:pPr>
        <w:spacing w:after="0" w:line="204" w:lineRule="exact"/>
        <w:rPr>
          <w:sz w:val="20"/>
          <w:szCs w:val="20"/>
          <w:color w:val="auto"/>
        </w:rPr>
      </w:pPr>
    </w:p>
    <w:p>
      <w:pPr>
        <w:ind w:left="1140" w:right="42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our operations and continue to commercialize our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qualify and outsource the commercial-scale manufacturing of our products under current good manufacturing practices, or cGMP;</w:t>
      </w:r>
    </w:p>
    <w:p>
      <w:pPr>
        <w:spacing w:after="0" w:line="128" w:lineRule="exact"/>
        <w:rPr>
          <w:rFonts w:ascii="Arial" w:cs="Arial" w:eastAsia="Arial" w:hAnsi="Arial"/>
          <w:sz w:val="17"/>
          <w:szCs w:val="17"/>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in-license other product candidates.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our current cash, along with the remaining committed capital from our $350.0 million term loan facility, is sufficient to fund anticipated operations into cash flow positivity, based on our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295" w:lineRule="exact"/>
        <w:rPr>
          <w:sz w:val="20"/>
          <w:szCs w:val="20"/>
          <w:color w:val="auto"/>
        </w:rPr>
      </w:pPr>
    </w:p>
    <w:p>
      <w:pPr>
        <w:ind w:left="1020" w:right="3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 including the costs of preparing filings for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conducting additional clinical and non-clinical studies with any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for delays in our efforts to seek regulatory approval for our product candidates, and any costs associated with such delays;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selling, marketing, and distributing our approved products;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manufacturing, or having third parties manufacture, sufficient supplies of our product candidates in preparation for commercialization;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commercial sales of our approved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co-promotion or other arrangements that we may establish;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Future capital requirements will also depend on the extent to which we acquire or invest in additional businesses, products, and technologies.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will have broad discretion as to the use of any proceeds from this offering, and we may not use the proceeds effectively.</w:t>
      </w:r>
    </w:p>
    <w:p>
      <w:pPr>
        <w:spacing w:after="0" w:line="23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Since the price per share of our common stock being offered is substantially higher than the net tangible book value per share of our common stock, you</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will suffer substantial dilution in the net tangible book value of the common stock you purchase in this offering. Based on the public offering price of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per share, and after deducting underwriting discounts and commissions and estimated offering expenses payable by us, and based on a net tangible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book value of our common stock of  $1.00 per share as of March 31, 2023, if you purchase shares of common stock in this offering, you will suffer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immediate and substantial dilution of  $     per share in the net tangible book value of common stock.</w:t>
      </w:r>
    </w:p>
    <w:p>
      <w:pPr>
        <w:spacing w:after="0" w:line="21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To the extent outstanding options or warrants are exercised, you will experience further dilution. See the section titled “Dilution” below for more detailed information regarding the dilution you would incur if you participate in this offering. Purchasers of the shares we sell, as well as our existing stockholders, will experience significant dilution if we sell shares at prices significantly below the price at which they invested.</w:t>
      </w:r>
    </w:p>
    <w:p>
      <w:pPr>
        <w:spacing w:after="0" w:line="16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2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estimate that the net proceeds from our issuance and sale of  $     million of shares of common stock in this offering will be approximately $      million, or approximately $     million if the underwriters exercise their option to purchase additional shares in full, after deducting the underwriting discounts and commissions and estimated offering expenses payable by us.</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intend to use the net proceeds from this offering to continue to advance our late-stage pipeline, including funding existing and potential new clinical programs, products, and product candidates, to expand our commercialization efforts, and for other general corporate purposes.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80" w:type="dxa"/>
            <w:vAlign w:val="bottom"/>
            <w:gridSpan w:val="11"/>
          </w:tcPr>
          <w:p>
            <w:pPr>
              <w:spacing w:after="0"/>
              <w:rPr>
                <w:sz w:val="20"/>
                <w:szCs w:val="20"/>
                <w:color w:val="auto"/>
              </w:rPr>
            </w:pPr>
            <w:r>
              <w:rPr>
                <w:rFonts w:ascii="Arial" w:cs="Arial" w:eastAsia="Arial" w:hAnsi="Arial"/>
                <w:sz w:val="18"/>
                <w:szCs w:val="18"/>
                <w:color w:val="auto"/>
                <w:w w:val="91"/>
              </w:rPr>
              <w:t>At March 31, 2023, our net tangible book value was approximately $43.4 million or $1.00 per share of common stock, based on 43,548,466 shares of</w:t>
            </w:r>
          </w:p>
        </w:tc>
        <w:tc>
          <w:tcPr>
            <w:tcW w:w="360" w:type="dxa"/>
            <w:vAlign w:val="bottom"/>
          </w:tcPr>
          <w:p>
            <w:pPr>
              <w:spacing w:after="0"/>
              <w:rPr>
                <w:sz w:val="18"/>
                <w:szCs w:val="18"/>
                <w:color w:val="auto"/>
              </w:rPr>
            </w:pPr>
          </w:p>
        </w:tc>
      </w:tr>
      <w:tr>
        <w:trPr>
          <w:trHeight w:val="216"/>
        </w:trPr>
        <w:tc>
          <w:tcPr>
            <w:tcW w:w="10880" w:type="dxa"/>
            <w:vAlign w:val="bottom"/>
            <w:gridSpan w:val="11"/>
          </w:tcPr>
          <w:p>
            <w:pPr>
              <w:spacing w:after="0"/>
              <w:rPr>
                <w:sz w:val="20"/>
                <w:szCs w:val="20"/>
                <w:color w:val="auto"/>
              </w:rPr>
            </w:pPr>
            <w:r>
              <w:rPr>
                <w:rFonts w:ascii="Arial" w:cs="Arial" w:eastAsia="Arial" w:hAnsi="Arial"/>
                <w:sz w:val="18"/>
                <w:szCs w:val="18"/>
                <w:color w:val="auto"/>
                <w:w w:val="93"/>
              </w:rPr>
              <w:t>common stock then outstanding. After giving effect to the sale by us of an aggregate of shares of our common stock at the public offering price of $</w:t>
            </w:r>
          </w:p>
        </w:tc>
        <w:tc>
          <w:tcPr>
            <w:tcW w:w="360" w:type="dxa"/>
            <w:vAlign w:val="bottom"/>
          </w:tcPr>
          <w:p>
            <w:pPr>
              <w:ind w:left="60"/>
              <w:spacing w:after="0"/>
              <w:rPr>
                <w:sz w:val="20"/>
                <w:szCs w:val="20"/>
                <w:color w:val="auto"/>
              </w:rPr>
            </w:pPr>
            <w:r>
              <w:rPr>
                <w:rFonts w:ascii="Arial" w:cs="Arial" w:eastAsia="Arial" w:hAnsi="Arial"/>
                <w:sz w:val="18"/>
                <w:szCs w:val="18"/>
                <w:color w:val="auto"/>
              </w:rPr>
              <w:t>per</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5"/>
              </w:rPr>
              <w:t>share, for aggregate gross proceeds of approximately $</w:t>
            </w:r>
          </w:p>
        </w:tc>
        <w:tc>
          <w:tcPr>
            <w:tcW w:w="7000" w:type="dxa"/>
            <w:vAlign w:val="bottom"/>
            <w:gridSpan w:val="11"/>
          </w:tcPr>
          <w:p>
            <w:pPr>
              <w:ind w:left="20"/>
              <w:spacing w:after="0"/>
              <w:rPr>
                <w:sz w:val="20"/>
                <w:szCs w:val="20"/>
                <w:color w:val="auto"/>
              </w:rPr>
            </w:pPr>
            <w:r>
              <w:rPr>
                <w:rFonts w:ascii="Arial" w:cs="Arial" w:eastAsia="Arial" w:hAnsi="Arial"/>
                <w:sz w:val="18"/>
                <w:szCs w:val="18"/>
                <w:color w:val="auto"/>
                <w:w w:val="95"/>
              </w:rPr>
              <w:t>million, and after deducting underwriting discounts and commissions, and estimated offering</w:t>
            </w:r>
          </w:p>
        </w:tc>
      </w:tr>
      <w:tr>
        <w:trPr>
          <w:trHeight w:val="216"/>
        </w:trPr>
        <w:tc>
          <w:tcPr>
            <w:tcW w:w="6660" w:type="dxa"/>
            <w:vAlign w:val="bottom"/>
            <w:gridSpan w:val="5"/>
          </w:tcPr>
          <w:p>
            <w:pPr>
              <w:spacing w:after="0"/>
              <w:rPr>
                <w:sz w:val="20"/>
                <w:szCs w:val="20"/>
                <w:color w:val="auto"/>
              </w:rPr>
            </w:pPr>
            <w:r>
              <w:rPr>
                <w:rFonts w:ascii="Arial" w:cs="Arial" w:eastAsia="Arial" w:hAnsi="Arial"/>
                <w:sz w:val="18"/>
                <w:szCs w:val="18"/>
                <w:color w:val="auto"/>
                <w:w w:val="91"/>
              </w:rPr>
              <w:t>expenses payable by us, our net tangible book value at March 31, 2023 would have been $</w:t>
            </w:r>
          </w:p>
        </w:tc>
        <w:tc>
          <w:tcPr>
            <w:tcW w:w="560" w:type="dxa"/>
            <w:vAlign w:val="bottom"/>
          </w:tcPr>
          <w:p>
            <w:pPr>
              <w:ind w:left="120"/>
              <w:spacing w:after="0"/>
              <w:rPr>
                <w:sz w:val="20"/>
                <w:szCs w:val="20"/>
                <w:color w:val="auto"/>
              </w:rPr>
            </w:pPr>
            <w:r>
              <w:rPr>
                <w:rFonts w:ascii="Arial" w:cs="Arial" w:eastAsia="Arial" w:hAnsi="Arial"/>
                <w:sz w:val="18"/>
                <w:szCs w:val="18"/>
                <w:color w:val="auto"/>
              </w:rPr>
              <w:t>or $</w:t>
            </w:r>
          </w:p>
        </w:tc>
        <w:tc>
          <w:tcPr>
            <w:tcW w:w="3660" w:type="dxa"/>
            <w:vAlign w:val="bottom"/>
            <w:gridSpan w:val="5"/>
          </w:tcPr>
          <w:p>
            <w:pPr>
              <w:jc w:val="right"/>
              <w:ind w:right="79"/>
              <w:spacing w:after="0"/>
              <w:rPr>
                <w:sz w:val="20"/>
                <w:szCs w:val="20"/>
                <w:color w:val="auto"/>
              </w:rPr>
            </w:pPr>
            <w:r>
              <w:rPr>
                <w:rFonts w:ascii="Arial" w:cs="Arial" w:eastAsia="Arial" w:hAnsi="Arial"/>
                <w:sz w:val="18"/>
                <w:szCs w:val="18"/>
                <w:color w:val="auto"/>
                <w:w w:val="92"/>
              </w:rPr>
              <w:t>per share of common stock. This represents an</w:t>
            </w:r>
          </w:p>
        </w:tc>
        <w:tc>
          <w:tcPr>
            <w:tcW w:w="360" w:type="dxa"/>
            <w:vAlign w:val="bottom"/>
          </w:tcPr>
          <w:p>
            <w:pPr>
              <w:spacing w:after="0"/>
              <w:rPr>
                <w:sz w:val="18"/>
                <w:szCs w:val="18"/>
                <w:color w:val="auto"/>
              </w:rPr>
            </w:pPr>
          </w:p>
        </w:tc>
      </w:tr>
      <w:tr>
        <w:trPr>
          <w:trHeight w:val="216"/>
        </w:trPr>
        <w:tc>
          <w:tcPr>
            <w:tcW w:w="5560" w:type="dxa"/>
            <w:vAlign w:val="bottom"/>
            <w:gridSpan w:val="4"/>
          </w:tcPr>
          <w:p>
            <w:pPr>
              <w:spacing w:after="0"/>
              <w:rPr>
                <w:sz w:val="20"/>
                <w:szCs w:val="20"/>
                <w:color w:val="auto"/>
              </w:rPr>
            </w:pPr>
            <w:r>
              <w:rPr>
                <w:rFonts w:ascii="Arial" w:cs="Arial" w:eastAsia="Arial" w:hAnsi="Arial"/>
                <w:sz w:val="18"/>
                <w:szCs w:val="18"/>
                <w:color w:val="auto"/>
                <w:w w:val="93"/>
              </w:rPr>
              <w:t>immediate increase in net tangible book value to existing stockholders of $</w:t>
            </w:r>
          </w:p>
        </w:tc>
        <w:tc>
          <w:tcPr>
            <w:tcW w:w="3280" w:type="dxa"/>
            <w:vAlign w:val="bottom"/>
            <w:gridSpan w:val="4"/>
          </w:tcPr>
          <w:p>
            <w:pPr>
              <w:jc w:val="right"/>
              <w:ind w:right="220"/>
              <w:spacing w:after="0"/>
              <w:rPr>
                <w:sz w:val="20"/>
                <w:szCs w:val="20"/>
                <w:color w:val="auto"/>
              </w:rPr>
            </w:pPr>
            <w:r>
              <w:rPr>
                <w:rFonts w:ascii="Arial" w:cs="Arial" w:eastAsia="Arial" w:hAnsi="Arial"/>
                <w:sz w:val="18"/>
                <w:szCs w:val="18"/>
                <w:color w:val="auto"/>
                <w:w w:val="94"/>
              </w:rPr>
              <w:t>per share and an immediate dilution of $</w:t>
            </w:r>
          </w:p>
        </w:tc>
        <w:tc>
          <w:tcPr>
            <w:tcW w:w="2040" w:type="dxa"/>
            <w:vAlign w:val="bottom"/>
            <w:gridSpan w:val="3"/>
          </w:tcPr>
          <w:p>
            <w:pPr>
              <w:jc w:val="right"/>
              <w:ind w:right="359"/>
              <w:spacing w:after="0"/>
              <w:rPr>
                <w:sz w:val="20"/>
                <w:szCs w:val="20"/>
                <w:color w:val="auto"/>
              </w:rPr>
            </w:pPr>
            <w:r>
              <w:rPr>
                <w:rFonts w:ascii="Arial" w:cs="Arial" w:eastAsia="Arial" w:hAnsi="Arial"/>
                <w:sz w:val="18"/>
                <w:szCs w:val="18"/>
                <w:color w:val="auto"/>
                <w:w w:val="91"/>
              </w:rPr>
              <w:t>per share to investors</w:t>
            </w:r>
          </w:p>
        </w:tc>
        <w:tc>
          <w:tcPr>
            <w:tcW w:w="36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2"/>
              </w:rPr>
              <w:t>purchasing common stock at the public offering price of $</w:t>
            </w:r>
          </w:p>
        </w:tc>
        <w:tc>
          <w:tcPr>
            <w:tcW w:w="26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per share in this offering.</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24"/>
        </w:trPr>
        <w:tc>
          <w:tcPr>
            <w:tcW w:w="8840" w:type="dxa"/>
            <w:vAlign w:val="bottom"/>
            <w:gridSpan w:val="8"/>
          </w:tcPr>
          <w:p>
            <w:pPr>
              <w:spacing w:after="0"/>
              <w:rPr>
                <w:sz w:val="20"/>
                <w:szCs w:val="20"/>
                <w:color w:val="auto"/>
              </w:rPr>
            </w:pPr>
            <w:r>
              <w:rPr>
                <w:rFonts w:ascii="Arial" w:cs="Arial" w:eastAsia="Arial" w:hAnsi="Arial"/>
                <w:sz w:val="18"/>
                <w:szCs w:val="18"/>
                <w:color w:val="auto"/>
                <w:w w:val="92"/>
              </w:rPr>
              <w:t>The following table illustrates this per share dilution to the investors purchasing shares of common stock in this offering:</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48"/>
        </w:trPr>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03"/>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 offering price per share</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r>
      <w:tr>
        <w:trPr>
          <w:trHeight w:val="213"/>
        </w:trPr>
        <w:tc>
          <w:tcPr>
            <w:tcW w:w="4240" w:type="dxa"/>
            <w:vAlign w:val="bottom"/>
          </w:tcPr>
          <w:p>
            <w:pPr>
              <w:ind w:left="260"/>
              <w:spacing w:after="0"/>
              <w:rPr>
                <w:sz w:val="20"/>
                <w:szCs w:val="20"/>
                <w:color w:val="auto"/>
              </w:rPr>
            </w:pPr>
            <w:r>
              <w:rPr>
                <w:rFonts w:ascii="Arial" w:cs="Arial" w:eastAsia="Arial" w:hAnsi="Arial"/>
                <w:sz w:val="16"/>
                <w:szCs w:val="16"/>
                <w:color w:val="auto"/>
              </w:rPr>
              <w:t>Net tangible book value per share at March 31, 2023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7220" w:type="dxa"/>
            <w:vAlign w:val="bottom"/>
            <w:tcBorders>
              <w:bottom w:val="single" w:sz="8" w:color="CCEEFF"/>
            </w:tcBorders>
            <w:gridSpan w:val="6"/>
            <w:shd w:val="clear" w:color="auto" w:fill="CCEEFF"/>
          </w:tcPr>
          <w:p>
            <w:pPr>
              <w:ind w:left="260"/>
              <w:spacing w:after="0"/>
              <w:rPr>
                <w:sz w:val="20"/>
                <w:szCs w:val="20"/>
                <w:color w:val="auto"/>
              </w:rPr>
            </w:pPr>
            <w:r>
              <w:rPr>
                <w:rFonts w:ascii="Arial" w:cs="Arial" w:eastAsia="Arial" w:hAnsi="Arial"/>
                <w:sz w:val="16"/>
                <w:szCs w:val="16"/>
                <w:color w:val="auto"/>
                <w:w w:val="95"/>
              </w:rPr>
              <w:t>Increase in net tangible book value per share attributable to investors purchasing shares in this offering</w:t>
            </w:r>
          </w:p>
        </w:tc>
        <w:tc>
          <w:tcPr>
            <w:tcW w:w="1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r>
      <w:tr>
        <w:trPr>
          <w:trHeight w:val="210"/>
        </w:trPr>
        <w:tc>
          <w:tcPr>
            <w:tcW w:w="66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66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w w:val="93"/>
              </w:rPr>
              <w:t>As adjusted net tangible book value per share at March 31, 2023, after giving effect to this offering</w:t>
            </w: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03"/>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263"/>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w w:val="96"/>
              </w:rPr>
              <w:t>Dilution per share to investors purchasing shares in this offering</w:t>
            </w: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22"/>
                <w:szCs w:val="22"/>
                <w:color w:val="auto"/>
              </w:rPr>
            </w:pPr>
          </w:p>
        </w:tc>
      </w:tr>
      <w:tr>
        <w:trPr>
          <w:trHeight w:val="398"/>
        </w:trPr>
        <w:tc>
          <w:tcPr>
            <w:tcW w:w="4240" w:type="dxa"/>
            <w:vAlign w:val="bottom"/>
          </w:tcPr>
          <w:p>
            <w:pPr>
              <w:spacing w:after="0"/>
              <w:rPr>
                <w:sz w:val="20"/>
                <w:szCs w:val="20"/>
                <w:color w:val="auto"/>
              </w:rPr>
            </w:pPr>
            <w:r>
              <w:rPr>
                <w:rFonts w:ascii="Arial" w:cs="Arial" w:eastAsia="Arial" w:hAnsi="Arial"/>
                <w:sz w:val="18"/>
                <w:szCs w:val="18"/>
                <w:color w:val="auto"/>
                <w:w w:val="92"/>
              </w:rPr>
              <w:t>If the underwriters exercise in full their option to purchase</w:t>
            </w:r>
          </w:p>
        </w:tc>
        <w:tc>
          <w:tcPr>
            <w:tcW w:w="260" w:type="dxa"/>
            <w:vAlign w:val="bottom"/>
          </w:tcPr>
          <w:p>
            <w:pPr>
              <w:spacing w:after="0"/>
              <w:rPr>
                <w:sz w:val="24"/>
                <w:szCs w:val="24"/>
                <w:color w:val="auto"/>
              </w:rPr>
            </w:pPr>
          </w:p>
        </w:tc>
        <w:tc>
          <w:tcPr>
            <w:tcW w:w="5160" w:type="dxa"/>
            <w:vAlign w:val="bottom"/>
            <w:gridSpan w:val="7"/>
          </w:tcPr>
          <w:p>
            <w:pPr>
              <w:jc w:val="right"/>
              <w:ind w:right="115"/>
              <w:spacing w:after="0"/>
              <w:rPr>
                <w:sz w:val="20"/>
                <w:szCs w:val="20"/>
                <w:color w:val="auto"/>
              </w:rPr>
            </w:pPr>
            <w:r>
              <w:rPr>
                <w:rFonts w:ascii="Arial" w:cs="Arial" w:eastAsia="Arial" w:hAnsi="Arial"/>
                <w:sz w:val="18"/>
                <w:szCs w:val="18"/>
                <w:color w:val="auto"/>
                <w:w w:val="94"/>
              </w:rPr>
              <w:t>additional shares of common stock at the public offering price of $</w:t>
            </w:r>
          </w:p>
        </w:tc>
        <w:tc>
          <w:tcPr>
            <w:tcW w:w="1580" w:type="dxa"/>
            <w:vAlign w:val="bottom"/>
            <w:gridSpan w:val="3"/>
          </w:tcPr>
          <w:p>
            <w:pPr>
              <w:ind w:left="200"/>
              <w:spacing w:after="0"/>
              <w:rPr>
                <w:sz w:val="20"/>
                <w:szCs w:val="20"/>
                <w:color w:val="auto"/>
              </w:rPr>
            </w:pPr>
            <w:r>
              <w:rPr>
                <w:rFonts w:ascii="Arial" w:cs="Arial" w:eastAsia="Arial" w:hAnsi="Arial"/>
                <w:sz w:val="18"/>
                <w:szCs w:val="18"/>
                <w:color w:val="auto"/>
              </w:rPr>
              <w:t>per share, the as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w w:val="91"/>
              </w:rPr>
              <w:t>adjusted net tangible book value after this offering would be $</w:t>
            </w:r>
          </w:p>
        </w:tc>
        <w:tc>
          <w:tcPr>
            <w:tcW w:w="440" w:type="dxa"/>
            <w:vAlign w:val="bottom"/>
          </w:tcPr>
          <w:p>
            <w:pPr>
              <w:spacing w:after="0"/>
              <w:rPr>
                <w:sz w:val="18"/>
                <w:szCs w:val="18"/>
                <w:color w:val="auto"/>
              </w:rPr>
            </w:pPr>
          </w:p>
        </w:tc>
        <w:tc>
          <w:tcPr>
            <w:tcW w:w="6300" w:type="dxa"/>
            <w:vAlign w:val="bottom"/>
            <w:gridSpan w:val="9"/>
          </w:tcPr>
          <w:p>
            <w:pPr>
              <w:ind w:left="80"/>
              <w:spacing w:after="0"/>
              <w:rPr>
                <w:sz w:val="20"/>
                <w:szCs w:val="20"/>
                <w:color w:val="auto"/>
              </w:rPr>
            </w:pPr>
            <w:r>
              <w:rPr>
                <w:rFonts w:ascii="Arial" w:cs="Arial" w:eastAsia="Arial" w:hAnsi="Arial"/>
                <w:sz w:val="18"/>
                <w:szCs w:val="18"/>
                <w:color w:val="auto"/>
                <w:w w:val="91"/>
              </w:rPr>
              <w:t>per share, representing an increase in net tangible book value of per share to existing</w:t>
            </w:r>
          </w:p>
        </w:tc>
      </w:tr>
      <w:tr>
        <w:trPr>
          <w:trHeight w:val="216"/>
        </w:trPr>
        <w:tc>
          <w:tcPr>
            <w:tcW w:w="4940" w:type="dxa"/>
            <w:vAlign w:val="bottom"/>
            <w:gridSpan w:val="3"/>
          </w:tcPr>
          <w:p>
            <w:pPr>
              <w:spacing w:after="0"/>
              <w:rPr>
                <w:sz w:val="20"/>
                <w:szCs w:val="20"/>
                <w:color w:val="auto"/>
              </w:rPr>
            </w:pPr>
            <w:r>
              <w:rPr>
                <w:rFonts w:ascii="Arial" w:cs="Arial" w:eastAsia="Arial" w:hAnsi="Arial"/>
                <w:sz w:val="18"/>
                <w:szCs w:val="18"/>
                <w:color w:val="auto"/>
                <w:w w:val="92"/>
              </w:rPr>
              <w:t>stockholders and immediate dilution in net tangible book value of $</w:t>
            </w:r>
          </w:p>
        </w:tc>
        <w:tc>
          <w:tcPr>
            <w:tcW w:w="5940" w:type="dxa"/>
            <w:vAlign w:val="bottom"/>
            <w:gridSpan w:val="8"/>
          </w:tcPr>
          <w:p>
            <w:pPr>
              <w:jc w:val="right"/>
              <w:spacing w:after="0"/>
              <w:rPr>
                <w:sz w:val="20"/>
                <w:szCs w:val="20"/>
                <w:color w:val="auto"/>
              </w:rPr>
            </w:pPr>
            <w:r>
              <w:rPr>
                <w:rFonts w:ascii="Arial" w:cs="Arial" w:eastAsia="Arial" w:hAnsi="Arial"/>
                <w:sz w:val="18"/>
                <w:szCs w:val="18"/>
                <w:color w:val="auto"/>
                <w:w w:val="95"/>
              </w:rPr>
              <w:t>per share to investors purchasing shares in this offering at the public offering</w:t>
            </w:r>
          </w:p>
        </w:tc>
        <w:tc>
          <w:tcPr>
            <w:tcW w:w="36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-1276985</wp:posOffset>
            </wp:positionV>
            <wp:extent cx="240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table and calculations are based on 43,548,466 shares of our common stock outstanding as of March 31, 2023, and exclude:</w:t>
      </w:r>
    </w:p>
    <w:p>
      <w:pPr>
        <w:spacing w:after="0" w:line="11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787,134 shares of common stock issuable upon vesting of restricted stock units outstanding as of March 31, 2023;</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8,038,119 shares of common stock issuable upon exercise of stock options outstanding as of March 31, 2023, at a weighted average exercise price of $38.06 per share;</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69,520 shares of common stock issuable upon the exercise of outstanding warrants as of March 31, 2023, at a weighted average exercise price of $48.97 per share;</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1,241,793 shares of common stock available for future grant under our 2015 Omnibus Incentive Compensation Plan as of March 31, 2023; and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1,100,000 shares of common stock available for future grant under our 2023 Employee Stock Purchase Plan as of the date of this prospectus supplement.</w:t>
      </w:r>
    </w:p>
    <w:p>
      <w:pPr>
        <w:spacing w:after="0" w:line="170"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 above table does not assume or give effect to the exercise of the underwriters’ option to purchase additional shares in this offering.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SVB Securities LLC is acting as representative of each of the underwriters named below and as sole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5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Underwriter</w:t>
            </w:r>
          </w:p>
        </w:tc>
        <w:tc>
          <w:tcPr>
            <w:tcW w:w="464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SVB Securities LLC</w:t>
            </w:r>
          </w:p>
        </w:tc>
        <w:tc>
          <w:tcPr>
            <w:tcW w:w="46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46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2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representative has advised us that the underwriters propose initially to offer the shares to the public at the public offering price set forth on the cover page of this prospectus supplement and to dealers at that price less a concession not in excess of $ per share. After the offering of the shares, the public offering price, concession or any other term of this offering may be changed by the representative.</w:t>
      </w:r>
    </w:p>
    <w:p>
      <w:pPr>
        <w:spacing w:after="0" w:line="18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5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Per</w:t>
            </w:r>
          </w:p>
        </w:tc>
        <w:tc>
          <w:tcPr>
            <w:tcW w:w="72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rPr>
              <w:t>Without</w:t>
            </w:r>
          </w:p>
        </w:tc>
        <w:tc>
          <w:tcPr>
            <w:tcW w:w="94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Share</w:t>
            </w:r>
          </w:p>
        </w:tc>
        <w:tc>
          <w:tcPr>
            <w:tcW w:w="94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vMerge w:val="restart"/>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6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66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20" w:type="dxa"/>
            <w:vAlign w:val="bottom"/>
            <w:vMerge w:val="restart"/>
          </w:tcPr>
          <w:p>
            <w:pPr>
              <w:jc w:val="right"/>
              <w:ind w:right="437"/>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4"/>
                <w:szCs w:val="24"/>
                <w:color w:val="auto"/>
              </w:rPr>
            </w:pPr>
          </w:p>
        </w:tc>
        <w:tc>
          <w:tcPr>
            <w:tcW w:w="720" w:type="dxa"/>
            <w:vAlign w:val="bottom"/>
            <w:vMerge w:val="restart"/>
          </w:tcPr>
          <w:p>
            <w:pPr>
              <w:jc w:val="right"/>
              <w:ind w:right="537"/>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6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vMerge w:val="restart"/>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60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approximately $ . We also have agreed to reimburse the underwriters for up to $15,000 for their FINRA counsel fee. In accordance with FINRA Rule 5110, this reimbursed fee is deemed underwriting compensation for this offering.</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spacing w:after="0"/>
        <w:tabs>
          <w:tab w:leader="none" w:pos="10060" w:val="left"/>
        </w:tabs>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w:t>
      </w:r>
      <w:r>
        <w:rPr>
          <w:sz w:val="20"/>
          <w:szCs w:val="20"/>
          <w:color w:val="auto"/>
        </w:rPr>
        <w:tab/>
      </w:r>
      <w:r>
        <w:rPr>
          <w:rFonts w:ascii="Arial" w:cs="Arial" w:eastAsia="Arial" w:hAnsi="Arial"/>
          <w:sz w:val="16"/>
          <w:szCs w:val="16"/>
          <w:color w:val="auto"/>
        </w:rPr>
        <w:t>additional</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SVB Securities LLC on behalf of the underwriters. Specifically, we and these other persons have agreed, with certain limited exceptions, not to directly or indirectly:</w:t>
      </w:r>
    </w:p>
    <w:p>
      <w:pPr>
        <w:spacing w:after="0" w:line="41"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17" w:lineRule="exact"/>
        <w:rPr>
          <w:rFonts w:ascii="Arial" w:cs="Arial" w:eastAsia="Arial" w:hAnsi="Arial"/>
          <w:sz w:val="18"/>
          <w:szCs w:val="18"/>
          <w:color w:val="auto"/>
        </w:rPr>
      </w:pPr>
    </w:p>
    <w:p>
      <w:pPr>
        <w:ind w:left="1140" w:right="60" w:hanging="383"/>
        <w:spacing w:after="0" w:line="26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7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certain of the underwriters or securities dealers may distribute prospectuses by electronic means, such as e-mail.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relation to each member state of the European Economic Area (each a “Member State”), no shares have been offered or will be offered pursuant to the offer described herein in that Member State prior to the publication of a prospectus in relation to the shares which has been approved by the competent authority in that Member State or, where appropriate, approved in another Member State and notified to the relevant competent authority in that Member State, all in accordance with the Prospectus Regulation, except that the shares may be offered to the public in that Member State at any time:</w:t>
      </w:r>
    </w:p>
    <w:p>
      <w:pPr>
        <w:spacing w:after="0" w:line="265"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 for any such offer;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Each person in a Member State who acquires any shares in the offer or to whom any offer is made will be deemed to have represented, acknowledged and agreed to and with the issuer and the underwriter that it is a qualified investor within the meaning of the Prospectus Regulation.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to and with the issuer and the underwriter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consent of the underwriter has been obtained to each such proposed offer or resale. Neither the issuer nor the underwriter have authorized, nor do they authorize, the making of any offer of shares through any financial intermediary, other than offers made by the underwriter which constitute the final placement of shares contemplated in this document.</w:t>
      </w:r>
    </w:p>
    <w:p>
      <w:pPr>
        <w:spacing w:after="0" w:line="1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issuer and the underwriter and their affiliates will rely upon the truth and accuracy of the foregoing representations, acknowledgements and agreements.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Member States, this document is being distributed only to, and is directed only at, persons who are “qualified investors” within the meaning of Article 2(e) of the Prospectus Regulation (“Qualified Investors”). This document must not be acted on or relied on in any Member State by persons who are not Qualified Investors. Any investment or investment activity to which this document relates is available in any Member State only to Qualified Investors and will be engaged in only with such persons.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Any person offering, selling or recommending the shares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relation to the United Kingdom, no shares have been offered or will be offered pursuant to the offer described herein to the public in the United Kingdom prior to the publication of a prospectus in relation to the shares which has been approved by the UK Financial Conduct Authority, except that the shares may be offered to the public in the United Kingdom at any time:</w:t>
      </w:r>
    </w:p>
    <w:p>
      <w:pPr>
        <w:spacing w:after="0" w:line="292"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provided that no such offer of the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Each person in the United Kingdom who acquires any shares in the offer or to whom any offer is made will be deemed to have represented, acknowledged and agreed to and with the issuer and the underwriter that it is a qualified investor within the meaning of the UK Prospectus Regulation.</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UK Prospectus Regulation, each such financial intermediary will be deemed to have represented, acknowledged and agreed to and with the issuer and the underwriter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 has been obtained to each such proposed offer or resale. Neither the issuer nor the underwriter have authorized, nor do they authorize, the making of any offer of shares through any financial intermediary, other than offers made by the underwriter which constitute the final placement of shares contemplated in this document.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issuer and the underwriter and their affiliates will rely upon the truth and accuracy of the foregoing representations, acknowledgements and agreements.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United Kingdom law by virtue of the European Union (Withdrawal) Act 2018.</w:t>
      </w:r>
    </w:p>
    <w:p>
      <w:pPr>
        <w:spacing w:after="0" w:line="18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the United Kingdom, this document is being distributed only to, and is directed only at, persons who are “qualified investors” within the meaning of Article 2(e) of the UK Prospectus Regulation who are also: (i) persons who fall within the definition of “investment professionals” in Article 19(5) of the Financial Services and Markets Act 2000 (Financial Promotion) Order 2005, as amended (the “Order”); (ii) persons falling within Article 49(2) of the Order; or (iii) persons to whom it may otherwise lawfully be communicated (all such persons together being referred to as “relevant persons”). This document must not be acted on or relied on in the United Kingdom by persons who are not relevant persons. Any investment or investment activity to which this document relates is available in the United Kingdom only to relevant persons and will be engaged in only with such persons.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may only be communicated or caused to be communicated in connection with the issue or sale of the shares in circumstances in which Section 21(1) of the FSMA does not apply. All applicable provisions of the FSMA and the Order must be complied with in respect of anything done by any person in relation to the shares in, from or otherwise involving the United Kingdom.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validity of the common stock being offered by this prospectus supplement has been passed upon for us by DLA Piper LLP (US), Short Hills, New Jersey. Covington &amp; Burling LLP, New York, New York, is acting as counsel to the underwriters in connection with this offering.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4" w:lineRule="auto"/>
        <w:rPr>
          <w:rFonts w:ascii="Arial" w:cs="Arial" w:eastAsia="Arial" w:hAnsi="Arial"/>
          <w:sz w:val="18"/>
          <w:szCs w:val="18"/>
          <w:color w:val="0000FF"/>
        </w:rPr>
      </w:pPr>
      <w:hyperlink r:id="rId47">
        <w:r>
          <w:rPr>
            <w:rFonts w:ascii="Arial" w:cs="Arial" w:eastAsia="Arial" w:hAnsi="Arial"/>
            <w:sz w:val="18"/>
            <w:szCs w:val="18"/>
            <w:color w:val="auto"/>
          </w:rPr>
          <w:t xml:space="preserve">Ernst &amp; Young LLP, independent registered public accounting firm, has audited our consolidated financial statements included in our </w:t>
        </w:r>
        <w:r>
          <w:rPr>
            <w:rFonts w:ascii="Arial" w:cs="Arial" w:eastAsia="Arial" w:hAnsi="Arial"/>
            <w:sz w:val="18"/>
            <w:szCs w:val="18"/>
            <w:u w:val="single" w:color="auto"/>
            <w:color w:val="0000FF"/>
          </w:rPr>
          <w:t>Annual Report on</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Form 10-K for the year ended December 31, 2022,</w:t>
        </w:r>
        <w:r>
          <w:rPr>
            <w:rFonts w:ascii="Arial" w:cs="Arial" w:eastAsia="Arial" w:hAnsi="Arial"/>
            <w:sz w:val="18"/>
            <w:szCs w:val="18"/>
            <w:color w:val="0000FF"/>
          </w:rPr>
          <w:t xml:space="preserve"> </w:t>
        </w:r>
        <w:r>
          <w:rPr>
            <w:rFonts w:ascii="Arial" w:cs="Arial" w:eastAsia="Arial" w:hAnsi="Arial"/>
            <w:sz w:val="18"/>
            <w:szCs w:val="18"/>
            <w:color w:val="000000"/>
          </w:rPr>
          <w:t>and the effectiveness of our internal control over financial reporting as of December 31, 2022, as set</w:t>
        </w:r>
      </w:hyperlink>
      <w:r>
        <w:rPr>
          <w:rFonts w:ascii="Arial" w:cs="Arial" w:eastAsia="Arial" w:hAnsi="Arial"/>
          <w:sz w:val="18"/>
          <w:szCs w:val="18"/>
          <w:color w:val="0000FF"/>
        </w:rPr>
        <w:t xml:space="preserve"> </w:t>
      </w:r>
      <w:r>
        <w:rPr>
          <w:rFonts w:ascii="Arial" w:cs="Arial" w:eastAsia="Arial" w:hAnsi="Arial"/>
          <w:sz w:val="18"/>
          <w:szCs w:val="18"/>
          <w:color w:val="000000"/>
        </w:rPr>
        <w:t>forth in their reports, which are incorporated by reference in this prospectus supplement and elsewhere in the registration statement of which this prospectus forms a part. Our financial statements are, and audited financial statements to be included in subsequently filed documents will be, incorporated herein by reference in reliance upon the reports of Ernst &amp; Young LLP pertaining to such financial statements and the effectiveness of our internal control over financial reporting as of their respective dates (to the extent covered by consents filed with the Securities and Exchange Commission), given on the authority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-852805</wp:posOffset>
            </wp:positionV>
            <wp:extent cx="847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47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-715645</wp:posOffset>
            </wp:positionV>
            <wp:extent cx="2322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supplement and the accompanying prospectus form part of the automatic “shelf” registration statement on Form S-3 (File No. 333-268664) that we filed with the SEC as a “well-known seasoned issuer” as defined in Rule 405 under the Securities Act. This prospectus supplement and the accompanying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maintain a website at </w:t>
      </w:r>
      <w:r>
        <w:rPr>
          <w:rFonts w:ascii="Arial" w:cs="Arial" w:eastAsia="Arial" w:hAnsi="Arial"/>
          <w:sz w:val="18"/>
          <w:szCs w:val="18"/>
          <w:i w:val="1"/>
          <w:iCs w:val="1"/>
          <w:color w:val="auto"/>
        </w:rPr>
        <w:t>www.axsome.com</w:t>
      </w:r>
      <w:r>
        <w:rPr>
          <w:rFonts w:ascii="Arial" w:cs="Arial" w:eastAsia="Arial" w:hAnsi="Arial"/>
          <w:sz w:val="18"/>
          <w:szCs w:val="18"/>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76" w:lineRule="exact"/>
        <w:rPr>
          <w:sz w:val="20"/>
          <w:szCs w:val="20"/>
          <w:color w:val="auto"/>
        </w:rPr>
      </w:pPr>
    </w:p>
    <w:p>
      <w:pPr>
        <w:ind w:left="1020" w:hanging="503"/>
        <w:spacing w:after="0" w:line="207" w:lineRule="exact"/>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7">
        <w:r>
          <w:rPr>
            <w:rFonts w:ascii="Arial" w:cs="Arial" w:eastAsia="Arial" w:hAnsi="Arial"/>
            <w:sz w:val="18"/>
            <w:szCs w:val="18"/>
            <w:u w:val="single" w:color="auto"/>
            <w:color w:val="0000FF"/>
          </w:rPr>
          <w:t>Form 10</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K for the fiscal year ended December 31, 2022 filed with the SEC on February 28, 2023</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right="300" w:hanging="503"/>
        <w:spacing w:after="0" w:line="342" w:lineRule="auto"/>
        <w:tabs>
          <w:tab w:leader="none" w:pos="1020" w:val="left"/>
        </w:tabs>
        <w:numPr>
          <w:ilvl w:val="0"/>
          <w:numId w:val="11"/>
        </w:numPr>
        <w:rPr>
          <w:rFonts w:ascii="Arial" w:cs="Arial" w:eastAsia="Arial" w:hAnsi="Arial"/>
          <w:sz w:val="16"/>
          <w:szCs w:val="16"/>
          <w:color w:val="0000FF"/>
        </w:rPr>
      </w:pPr>
      <w:hyperlink r:id="rId52">
        <w:r>
          <w:rPr>
            <w:rFonts w:ascii="Arial" w:cs="Arial" w:eastAsia="Arial" w:hAnsi="Arial"/>
            <w:sz w:val="16"/>
            <w:szCs w:val="16"/>
            <w:color w:val="auto"/>
          </w:rPr>
          <w:t xml:space="preserve">the information contained in our definitive proxy statement on </w:t>
        </w:r>
        <w:r>
          <w:rPr>
            <w:rFonts w:ascii="Arial" w:cs="Arial" w:eastAsia="Arial" w:hAnsi="Arial"/>
            <w:sz w:val="16"/>
            <w:szCs w:val="16"/>
            <w:u w:val="single" w:color="auto"/>
            <w:color w:val="0000FF"/>
          </w:rPr>
          <w:t>Schedule 14A for our 2023 Annual Meeting of Stockholders, filed with the</w:t>
        </w:r>
      </w:hyperlink>
      <w:r>
        <w:rPr>
          <w:rFonts w:ascii="Arial" w:cs="Arial" w:eastAsia="Arial" w:hAnsi="Arial"/>
          <w:sz w:val="16"/>
          <w:szCs w:val="16"/>
          <w:color w:val="auto"/>
        </w:rPr>
        <w:t xml:space="preserve"> </w:t>
      </w:r>
      <w:hyperlink r:id="rId52">
        <w:r>
          <w:rPr>
            <w:rFonts w:ascii="Arial" w:cs="Arial" w:eastAsia="Arial" w:hAnsi="Arial"/>
            <w:sz w:val="16"/>
            <w:szCs w:val="16"/>
            <w:u w:val="single" w:color="auto"/>
            <w:color w:val="0000FF"/>
          </w:rPr>
          <w:t>SEC on April 21, 2023, to the extent incorporated by reference in Part III of the Form 10 K for the fiscal year ended December 31, 2022</w:t>
        </w:r>
        <w:r>
          <w:rPr>
            <w:rFonts w:ascii="Arial" w:cs="Arial" w:eastAsia="Arial" w:hAnsi="Arial"/>
            <w:sz w:val="16"/>
            <w:szCs w:val="16"/>
            <w:color w:val="000000"/>
          </w:rPr>
          <w:t>;</w:t>
        </w:r>
      </w:hyperlink>
    </w:p>
    <w:p>
      <w:pPr>
        <w:spacing w:after="0" w:line="15" w:lineRule="exact"/>
        <w:rPr>
          <w:rFonts w:ascii="Arial" w:cs="Arial" w:eastAsia="Arial" w:hAnsi="Arial"/>
          <w:sz w:val="16"/>
          <w:szCs w:val="16"/>
          <w:color w:val="0000FF"/>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3">
        <w:r>
          <w:rPr>
            <w:rFonts w:ascii="Arial" w:cs="Arial" w:eastAsia="Arial" w:hAnsi="Arial"/>
            <w:sz w:val="18"/>
            <w:szCs w:val="18"/>
            <w:u w:val="single" w:color="auto"/>
            <w:color w:val="0000FF"/>
          </w:rPr>
          <w:t>Form 10-Q for the three months ended March 31, 2023 filed with the SEC on May 9, 2023</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4">
        <w:r>
          <w:rPr>
            <w:rFonts w:ascii="Arial" w:cs="Arial" w:eastAsia="Arial" w:hAnsi="Arial"/>
            <w:sz w:val="18"/>
            <w:szCs w:val="18"/>
            <w:u w:val="single" w:color="auto"/>
            <w:color w:val="0000FF"/>
          </w:rPr>
          <w:t>January 9, 2023</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February 13, 2023</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February 22, 2023</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June 8, 2023</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June 13, 2023</w:t>
        </w:r>
      </w:hyperlink>
      <w:r>
        <w:rPr>
          <w:rFonts w:ascii="Arial" w:cs="Arial" w:eastAsia="Arial" w:hAnsi="Arial"/>
          <w:sz w:val="18"/>
          <w:szCs w:val="18"/>
          <w:color w:val="auto"/>
        </w:rPr>
        <w:t xml:space="preserve">; and </w:t>
      </w:r>
      <w:hyperlink r:id="rId58">
        <w:r>
          <w:rPr>
            <w:rFonts w:ascii="Arial" w:cs="Arial" w:eastAsia="Arial" w:hAnsi="Arial"/>
            <w:sz w:val="18"/>
            <w:szCs w:val="18"/>
            <w:u w:val="single" w:color="auto"/>
            <w:color w:val="0000FF"/>
          </w:rPr>
          <w:t>June 26,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w:t>
      </w:r>
    </w:p>
    <w:p>
      <w:pPr>
        <w:spacing w:after="0" w:line="62" w:lineRule="exact"/>
        <w:rPr>
          <w:rFonts w:ascii="Arial" w:cs="Arial" w:eastAsia="Arial" w:hAnsi="Arial"/>
          <w:sz w:val="18"/>
          <w:szCs w:val="18"/>
          <w:color w:val="auto"/>
        </w:rPr>
      </w:pPr>
    </w:p>
    <w:p>
      <w:pPr>
        <w:ind w:left="1020" w:right="340" w:hanging="503"/>
        <w:spacing w:after="0" w:line="223" w:lineRule="exact"/>
        <w:tabs>
          <w:tab w:leader="none" w:pos="1020" w:val="left"/>
        </w:tabs>
        <w:numPr>
          <w:ilvl w:val="0"/>
          <w:numId w:val="11"/>
        </w:numPr>
        <w:rPr>
          <w:rFonts w:ascii="Arial" w:cs="Arial" w:eastAsia="Arial" w:hAnsi="Arial"/>
          <w:sz w:val="18"/>
          <w:szCs w:val="18"/>
          <w:color w:val="0000FF"/>
        </w:rPr>
      </w:pPr>
      <w:hyperlink r:id="rId59">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FF"/>
          </w:rPr>
          <w:t>Form 8</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A12B, filed with the SEC on November 16, 2015</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(File No. 001-37635)</w:t>
        </w:r>
        <w:r>
          <w:rPr>
            <w:rFonts w:ascii="Arial" w:cs="Arial" w:eastAsia="Arial" w:hAnsi="Arial"/>
            <w:sz w:val="18"/>
            <w:szCs w:val="18"/>
            <w:color w:val="000000"/>
          </w:rPr>
          <w:t>, and all amendments or reports filed for the purpose of updating such description.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1609725</wp:posOffset>
            </wp:positionH>
            <wp:positionV relativeFrom="paragraph">
              <wp:posOffset>-1258570</wp:posOffset>
            </wp:positionV>
            <wp:extent cx="44583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458335"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-1052830</wp:posOffset>
            </wp:positionV>
            <wp:extent cx="3449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44932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-915670</wp:posOffset>
            </wp:positionV>
            <wp:extent cx="62217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221730"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-709930</wp:posOffset>
            </wp:positionV>
            <wp:extent cx="41471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147185" cy="825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-504190</wp:posOffset>
            </wp:positionV>
            <wp:extent cx="38627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86270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-367030</wp:posOffset>
            </wp:positionV>
            <wp:extent cx="669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669925" cy="8255"/>
                    </a:xfrm>
                    <a:prstGeom prst="rect">
                      <a:avLst/>
                    </a:prstGeom>
                    <a:noFill/>
                  </pic:spPr>
                </pic:pic>
              </a:graphicData>
            </a:graphic>
          </wp:anchor>
        </w:drawing>
        <w:drawing>
          <wp:anchor simplePos="0" relativeHeight="251657728" behindDoc="1" locked="0" layoutInCell="0" allowOverlap="1">
            <wp:simplePos x="0" y="0"/>
            <wp:positionH relativeFrom="column">
              <wp:posOffset>4288155</wp:posOffset>
            </wp:positionH>
            <wp:positionV relativeFrom="paragraph">
              <wp:posOffset>-161290</wp:posOffset>
            </wp:positionV>
            <wp:extent cx="265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6593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-24130</wp:posOffset>
            </wp:positionV>
            <wp:extent cx="974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183" w:lineRule="exact"/>
        <w:rPr>
          <w:rFonts w:ascii="Arial" w:cs="Arial" w:eastAsia="Arial" w:hAnsi="Arial"/>
          <w:sz w:val="18"/>
          <w:szCs w:val="18"/>
          <w:color w:val="auto"/>
        </w:rPr>
      </w:pPr>
    </w:p>
    <w:p>
      <w:pPr>
        <w:ind w:right="200"/>
        <w:spacing w:after="0" w:line="257" w:lineRule="auto"/>
        <w:rPr>
          <w:sz w:val="20"/>
          <w:szCs w:val="20"/>
          <w:color w:val="auto"/>
        </w:rPr>
      </w:pPr>
      <w:r>
        <w:rPr>
          <w:rFonts w:ascii="Arial" w:cs="Arial" w:eastAsia="Arial" w:hAnsi="Arial"/>
          <w:sz w:val="18"/>
          <w:szCs w:val="18"/>
          <w:color w:val="auto"/>
        </w:rPr>
        <w:t>We also incorporate by reference into this prospectus supplement and the accompanying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 These documents include periodic reports, such as Annual Reports on Form 10-K, Quarterly Reports on Form 10-Q and Current Reports on Form 8-K.</w:t>
      </w:r>
    </w:p>
    <w:p>
      <w:pPr>
        <w:spacing w:after="0" w:line="80" w:lineRule="exact"/>
        <w:rPr>
          <w:rFonts w:ascii="Arial" w:cs="Arial" w:eastAsia="Arial" w:hAnsi="Arial"/>
          <w:sz w:val="18"/>
          <w:szCs w:val="18"/>
          <w:color w:val="auto"/>
        </w:rPr>
      </w:pPr>
    </w:p>
    <w:p>
      <w:pPr>
        <w:ind w:right="20"/>
        <w:spacing w:after="0" w:line="263"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76" w:lineRule="exact"/>
        <w:rPr>
          <w:rFonts w:ascii="Arial" w:cs="Arial" w:eastAsia="Arial" w:hAnsi="Arial"/>
          <w:sz w:val="18"/>
          <w:szCs w:val="18"/>
          <w:color w:val="auto"/>
        </w:rPr>
      </w:pPr>
    </w:p>
    <w:p>
      <w:pPr>
        <w:ind w:right="20"/>
        <w:spacing w:after="0" w:line="275"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supplement or the accompanying prospectus) by writing or calling us at the following address and telephone number:</w:t>
      </w:r>
    </w:p>
    <w:p>
      <w:pPr>
        <w:spacing w:after="0" w:line="6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One World Trade Center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22nd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New York, New York 10007</w:t>
      </w:r>
    </w:p>
    <w:p>
      <w:pPr>
        <w:spacing w:after="0" w:line="9" w:lineRule="exact"/>
        <w:rPr>
          <w:rFonts w:ascii="Arial" w:cs="Arial" w:eastAsia="Arial" w:hAnsi="Arial"/>
          <w:sz w:val="18"/>
          <w:szCs w:val="18"/>
          <w:color w:val="auto"/>
        </w:rPr>
      </w:pPr>
    </w:p>
    <w:p>
      <w:pPr>
        <w:ind w:left="5460" w:right="5060" w:hanging="398"/>
        <w:spacing w:after="0" w:line="605" w:lineRule="auto"/>
        <w:tabs>
          <w:tab w:leader="none" w:pos="55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332-3241 S-15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111760</wp:posOffset>
            </wp:positionV>
            <wp:extent cx="1791335" cy="1011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to Purchase Common Stock,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 or 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-302260</wp:posOffset>
            </wp:positionV>
            <wp:extent cx="1954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“AXSM.” On November 30, 2022, the last reported sale price of our common stock on the Nasdaq Global Market was $72.29.</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Arial" w:cs="Arial" w:eastAsia="Arial" w:hAnsi="Arial"/>
          <w:sz w:val="17"/>
          <w:szCs w:val="17"/>
          <w:b w:val="1"/>
          <w:bCs w:val="1"/>
          <w:u w:val="single" w:color="auto"/>
          <w:color w:val="0000FF"/>
        </w:rPr>
        <w:t>Risk Factors</w:t>
      </w:r>
      <w:r>
        <w:rPr>
          <w:rFonts w:ascii="Arial" w:cs="Arial" w:eastAsia="Arial" w:hAnsi="Arial"/>
          <w:sz w:val="17"/>
          <w:szCs w:val="17"/>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-50165</wp:posOffset>
            </wp:positionV>
            <wp:extent cx="619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19125" cy="8890"/>
                    </a:xfrm>
                    <a:prstGeom prst="rect">
                      <a:avLst/>
                    </a:prstGeom>
                    <a:noFill/>
                  </pic:spPr>
                </pic:pic>
              </a:graphicData>
            </a:graphic>
          </wp:anchor>
        </w:drawing>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020" w:type="dxa"/>
            <w:vAlign w:val="bottom"/>
            <w:gridSpan w:val="17"/>
          </w:tcPr>
          <w:p>
            <w:pPr>
              <w:spacing w:after="0"/>
              <w:rPr>
                <w:sz w:val="20"/>
                <w:szCs w:val="20"/>
                <w:color w:val="auto"/>
              </w:rPr>
            </w:pPr>
            <w:r>
              <w:rPr>
                <w:rFonts w:ascii="Arial" w:cs="Arial" w:eastAsia="Arial" w:hAnsi="Arial"/>
                <w:sz w:val="18"/>
                <w:szCs w:val="18"/>
                <w:color w:val="0000FF"/>
              </w:rPr>
              <w:t>Table of Contents</w:t>
            </w:r>
          </w:p>
        </w:tc>
        <w:tc>
          <w:tcPr>
            <w:tcW w:w="7220" w:type="dxa"/>
            <w:vAlign w:val="bottom"/>
          </w:tcPr>
          <w:p>
            <w:pPr>
              <w:spacing w:after="0"/>
              <w:rPr>
                <w:sz w:val="17"/>
                <w:szCs w:val="17"/>
                <w:color w:val="auto"/>
              </w:rPr>
            </w:pPr>
          </w:p>
        </w:tc>
      </w:tr>
      <w:tr>
        <w:trPr>
          <w:trHeight w:val="453"/>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20" w:type="dxa"/>
            <w:vAlign w:val="bottom"/>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20" w:type="dxa"/>
            <w:vAlign w:val="bottom"/>
          </w:tcPr>
          <w:p>
            <w:pPr>
              <w:spacing w:after="0"/>
              <w:rPr>
                <w:sz w:val="24"/>
                <w:szCs w:val="24"/>
                <w:color w:val="auto"/>
              </w:rPr>
            </w:pPr>
          </w:p>
        </w:tc>
        <w:tc>
          <w:tcPr>
            <w:tcW w:w="22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ABOUT THIS PROSPECTUS</w:t>
            </w:r>
          </w:p>
        </w:tc>
        <w:tc>
          <w:tcPr>
            <w:tcW w:w="1780" w:type="dxa"/>
            <w:vAlign w:val="bottom"/>
            <w:gridSpan w:val="7"/>
          </w:tcPr>
          <w:p>
            <w:pPr>
              <w:spacing w:after="0"/>
              <w:rPr>
                <w:sz w:val="24"/>
                <w:szCs w:val="24"/>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4000" w:type="dxa"/>
            <w:vAlign w:val="bottom"/>
            <w:gridSpan w:val="16"/>
          </w:tcPr>
          <w:p>
            <w:pPr>
              <w:spacing w:after="0" w:line="196" w:lineRule="exact"/>
              <w:rPr>
                <w:sz w:val="20"/>
                <w:szCs w:val="20"/>
                <w:color w:val="auto"/>
              </w:rPr>
            </w:pPr>
            <w:r>
              <w:rPr>
                <w:rFonts w:ascii="Arial" w:cs="Arial" w:eastAsia="Arial" w:hAnsi="Arial"/>
                <w:sz w:val="18"/>
                <w:szCs w:val="18"/>
                <w:color w:val="0000FF"/>
              </w:rPr>
              <w:t>AXSOME THERAPEUTICS, INC</w:t>
            </w: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9"/>
        </w:trPr>
        <w:tc>
          <w:tcPr>
            <w:tcW w:w="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RISK FACTORS</w:t>
            </w:r>
          </w:p>
        </w:tc>
        <w:tc>
          <w:tcPr>
            <w:tcW w:w="1280" w:type="dxa"/>
            <w:vAlign w:val="bottom"/>
            <w:tcBorders>
              <w:top w:val="single" w:sz="8" w:color="0000FF"/>
            </w:tcBorders>
            <w:gridSpan w:val="9"/>
          </w:tcPr>
          <w:p>
            <w:pPr>
              <w:spacing w:after="0"/>
              <w:rPr>
                <w:sz w:val="18"/>
                <w:szCs w:val="18"/>
                <w:color w:val="auto"/>
              </w:rPr>
            </w:pPr>
          </w:p>
        </w:tc>
        <w:tc>
          <w:tcPr>
            <w:tcW w:w="1480" w:type="dxa"/>
            <w:vAlign w:val="bottom"/>
            <w:gridSpan w:val="5"/>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0000FF"/>
              </w:rPr>
              <w:t>FORWARD-LOOKING STATEMENTS</w:t>
            </w:r>
          </w:p>
        </w:tc>
        <w:tc>
          <w:tcPr>
            <w:tcW w:w="7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USE OF PROCEEDS</w:t>
            </w:r>
          </w:p>
        </w:tc>
        <w:tc>
          <w:tcPr>
            <w:tcW w:w="1340" w:type="dxa"/>
            <w:vAlign w:val="bottom"/>
            <w:tcBorders>
              <w:top w:val="single" w:sz="8" w:color="0000FF"/>
            </w:tcBorders>
            <w:gridSpan w:val="8"/>
          </w:tcPr>
          <w:p>
            <w:pPr>
              <w:spacing w:after="0"/>
              <w:rPr>
                <w:sz w:val="17"/>
                <w:szCs w:val="17"/>
                <w:color w:val="auto"/>
              </w:rPr>
            </w:pPr>
          </w:p>
        </w:tc>
        <w:tc>
          <w:tcPr>
            <w:tcW w:w="1080" w:type="dxa"/>
            <w:vAlign w:val="bottom"/>
            <w:gridSpan w:val="3"/>
          </w:tcPr>
          <w:p>
            <w:pPr>
              <w:spacing w:after="0"/>
              <w:rPr>
                <w:sz w:val="17"/>
                <w:szCs w:val="17"/>
                <w:color w:val="auto"/>
              </w:rPr>
            </w:pP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2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4"/>
              </w:rPr>
              <w:t>DESCRIPTION OF CAPITAL STOCK</w:t>
            </w:r>
          </w:p>
        </w:tc>
        <w:tc>
          <w:tcPr>
            <w:tcW w:w="1140" w:type="dxa"/>
            <w:vAlign w:val="bottom"/>
            <w:gridSpan w:val="4"/>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4000" w:type="dxa"/>
            <w:vAlign w:val="bottom"/>
            <w:gridSpan w:val="16"/>
          </w:tcPr>
          <w:p>
            <w:pPr>
              <w:spacing w:after="0" w:line="196" w:lineRule="exact"/>
              <w:rPr>
                <w:sz w:val="20"/>
                <w:szCs w:val="20"/>
                <w:color w:val="auto"/>
              </w:rPr>
            </w:pPr>
            <w:r>
              <w:rPr>
                <w:rFonts w:ascii="Arial" w:cs="Arial" w:eastAsia="Arial" w:hAnsi="Arial"/>
                <w:sz w:val="18"/>
                <w:szCs w:val="18"/>
                <w:color w:val="0000FF"/>
              </w:rPr>
              <w:t>DESCRIPTION OF WARRANTS</w:t>
            </w: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DESCRIPTION OF DEBT SECURITIES</w:t>
            </w:r>
          </w:p>
        </w:tc>
        <w:tc>
          <w:tcPr>
            <w:tcW w:w="980" w:type="dxa"/>
            <w:vAlign w:val="bottom"/>
            <w:gridSpan w:val="2"/>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20" w:type="dxa"/>
            <w:vAlign w:val="bottom"/>
          </w:tcPr>
          <w:p>
            <w:pPr>
              <w:spacing w:after="0"/>
              <w:rPr>
                <w:sz w:val="17"/>
                <w:szCs w:val="17"/>
                <w:color w:val="auto"/>
              </w:rPr>
            </w:pPr>
          </w:p>
        </w:tc>
        <w:tc>
          <w:tcPr>
            <w:tcW w:w="214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3"/>
              </w:rPr>
              <w:t>DESCRIPTION OF RIGHTS</w:t>
            </w:r>
          </w:p>
        </w:tc>
        <w:tc>
          <w:tcPr>
            <w:tcW w:w="1860" w:type="dxa"/>
            <w:vAlign w:val="bottom"/>
            <w:gridSpan w:val="8"/>
          </w:tcPr>
          <w:p>
            <w:pPr>
              <w:spacing w:after="0"/>
              <w:rPr>
                <w:sz w:val="17"/>
                <w:szCs w:val="17"/>
                <w:color w:val="auto"/>
              </w:rPr>
            </w:pP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9"/>
        </w:trPr>
        <w:tc>
          <w:tcPr>
            <w:tcW w:w="20" w:type="dxa"/>
            <w:vAlign w:val="bottom"/>
          </w:tcPr>
          <w:p>
            <w:pPr>
              <w:spacing w:after="0"/>
              <w:rPr>
                <w:sz w:val="18"/>
                <w:szCs w:val="18"/>
                <w:color w:val="auto"/>
              </w:rPr>
            </w:pPr>
          </w:p>
        </w:tc>
        <w:tc>
          <w:tcPr>
            <w:tcW w:w="20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4"/>
              </w:rPr>
              <w:t>DESCRIPTION OF UNITS</w:t>
            </w:r>
          </w:p>
        </w:tc>
        <w:tc>
          <w:tcPr>
            <w:tcW w:w="1980" w:type="dxa"/>
            <w:vAlign w:val="bottom"/>
            <w:gridSpan w:val="10"/>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4000" w:type="dxa"/>
            <w:vAlign w:val="bottom"/>
            <w:gridSpan w:val="16"/>
          </w:tcPr>
          <w:p>
            <w:pPr>
              <w:spacing w:after="0" w:line="196" w:lineRule="exact"/>
              <w:rPr>
                <w:sz w:val="20"/>
                <w:szCs w:val="20"/>
                <w:color w:val="auto"/>
              </w:rPr>
            </w:pPr>
            <w:r>
              <w:rPr>
                <w:rFonts w:ascii="Arial" w:cs="Arial" w:eastAsia="Arial" w:hAnsi="Arial"/>
                <w:sz w:val="18"/>
                <w:szCs w:val="18"/>
                <w:color w:val="0000FF"/>
              </w:rPr>
              <w:t>PLAN OF DISTRIBUTION</w:t>
            </w: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14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5"/>
              </w:rPr>
              <w:t>LEGAL MATTERS</w:t>
            </w:r>
          </w:p>
        </w:tc>
        <w:tc>
          <w:tcPr>
            <w:tcW w:w="600" w:type="dxa"/>
            <w:vAlign w:val="bottom"/>
            <w:tcBorders>
              <w:top w:val="single" w:sz="8" w:color="0000FF"/>
            </w:tcBorders>
            <w:gridSpan w:val="3"/>
          </w:tcPr>
          <w:p>
            <w:pPr>
              <w:spacing w:after="0"/>
              <w:rPr>
                <w:sz w:val="18"/>
                <w:szCs w:val="18"/>
                <w:color w:val="auto"/>
              </w:rPr>
            </w:pPr>
          </w:p>
        </w:tc>
        <w:tc>
          <w:tcPr>
            <w:tcW w:w="1960" w:type="dxa"/>
            <w:vAlign w:val="bottom"/>
            <w:gridSpan w:val="9"/>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2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0000FF"/>
              </w:rPr>
              <w:t>EXPERTS</w:t>
            </w:r>
          </w:p>
        </w:tc>
        <w:tc>
          <w:tcPr>
            <w:tcW w:w="7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6"/>
              </w:rPr>
              <w:t>WHERE YOU CAN FIND MORE INFORMATION</w:t>
            </w:r>
          </w:p>
        </w:tc>
        <w:tc>
          <w:tcPr>
            <w:tcW w:w="200" w:type="dxa"/>
            <w:vAlign w:val="bottom"/>
          </w:tcPr>
          <w:p>
            <w:pPr>
              <w:spacing w:after="0"/>
              <w:rPr>
                <w:sz w:val="17"/>
                <w:szCs w:val="17"/>
                <w:color w:val="auto"/>
              </w:rPr>
            </w:pPr>
          </w:p>
        </w:tc>
        <w:tc>
          <w:tcPr>
            <w:tcW w:w="72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4"/>
              </w:rPr>
              <w:t>INFORMATION INCORPORATED BY REFERENCE</w:t>
            </w:r>
          </w:p>
        </w:tc>
        <w:tc>
          <w:tcPr>
            <w:tcW w:w="7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We are a commercial-stage biopharmaceutical company developing and delivering novel therapies for central nervous system (“CNS”) conditions that have limited treatment options. By focusing on this therapeutic area, we are addressing significant and growing markets where current treatment options are limited or inadequate. We were incorporated on January 12, 2012 in the State of Delaware. Our portfolio primarily consists of two commercial products and the development programs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221" w:lineRule="exact"/>
        <w:rPr>
          <w:sz w:val="20"/>
          <w:szCs w:val="20"/>
          <w:color w:val="auto"/>
        </w:rPr>
      </w:pPr>
    </w:p>
    <w:p>
      <w:pPr>
        <w:jc w:val="both"/>
        <w:ind w:left="760" w:hanging="378"/>
        <w:spacing w:after="0" w:line="261" w:lineRule="auto"/>
        <w:tabs>
          <w:tab w:leader="none" w:pos="760" w:val="left"/>
        </w:tabs>
        <w:numPr>
          <w:ilvl w:val="0"/>
          <w:numId w:val="13"/>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Auvelity®. </w:t>
      </w:r>
      <w:r>
        <w:rPr>
          <w:rFonts w:ascii="Arial" w:cs="Arial" w:eastAsia="Arial" w:hAnsi="Arial"/>
          <w:sz w:val="18"/>
          <w:szCs w:val="18"/>
          <w:color w:val="auto"/>
        </w:rPr>
        <w:t>Auvelity (dextromethorphan-bupropion) is a novel, oral, N-methyl-D-aspartate (NMDA) receptor antagonist with multimodal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indicated for the treatment of major depressive disorder (also known as “MDD”). Auvelity was developed by the Company and approved by the U.S. Food and Drug Administration (the “FDA”) for the treatment of MDD in August 2022. We commenced the commercial sale of Auvelity in the United States in October 2022.</w:t>
      </w:r>
    </w:p>
    <w:p>
      <w:pPr>
        <w:spacing w:after="0" w:line="179" w:lineRule="exact"/>
        <w:rPr>
          <w:rFonts w:ascii="Arial" w:cs="Arial" w:eastAsia="Arial" w:hAnsi="Arial"/>
          <w:sz w:val="16"/>
          <w:szCs w:val="16"/>
          <w:b w:val="1"/>
          <w:bCs w:val="1"/>
          <w:color w:val="auto"/>
        </w:rPr>
      </w:pPr>
    </w:p>
    <w:p>
      <w:pPr>
        <w:jc w:val="both"/>
        <w:ind w:left="760" w:hanging="378"/>
        <w:spacing w:after="0" w:line="256" w:lineRule="auto"/>
        <w:tabs>
          <w:tab w:leader="none" w:pos="760" w:val="left"/>
        </w:tabs>
        <w:numPr>
          <w:ilvl w:val="0"/>
          <w:numId w:val="13"/>
        </w:numPr>
        <w:rPr>
          <w:rFonts w:ascii="Arial" w:cs="Arial" w:eastAsia="Arial" w:hAnsi="Arial"/>
          <w:sz w:val="16"/>
          <w:szCs w:val="16"/>
          <w:b w:val="1"/>
          <w:bCs w:val="1"/>
          <w:color w:val="auto"/>
        </w:rPr>
      </w:pPr>
      <w:r>
        <w:rPr>
          <w:rFonts w:ascii="Arial" w:cs="Arial" w:eastAsia="Arial" w:hAnsi="Arial"/>
          <w:sz w:val="18"/>
          <w:szCs w:val="18"/>
          <w:b w:val="1"/>
          <w:bCs w:val="1"/>
          <w:color w:val="auto"/>
        </w:rPr>
        <w:t>Sunosi®</w:t>
      </w:r>
      <w:r>
        <w:rPr>
          <w:rFonts w:ascii="Arial" w:cs="Arial" w:eastAsia="Arial" w:hAnsi="Arial"/>
          <w:sz w:val="18"/>
          <w:szCs w:val="18"/>
          <w:color w:val="auto"/>
        </w:rPr>
        <w:t>. Sunosi (solriamfetol) is a novel, oral medication indicated to the treatment of excessive daytime sleepiness (also known as “EDS”) in</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narcolepsy or obstructive sleep apnea. Sunosi was approved for the treatment of EDS in the United States in 2019 and by the European Commission in 2022. We acquired the U.S. rights to Sunosi from Jazz Pharmaceuticals plc (“Jazz”) in May 2022, and worldwide ex-U.S. rights (excluding certain Asian markets) from Jazz in November 2022. We have been commercializing Sunosi since we completed these acquisitions. SK Biopharmaceuticals Co. Ltd. (“SK”) is the originator of Sunosi and retains rights in 12 Asian markets, including China, Korea, and Japan.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Programs</w:t>
      </w:r>
    </w:p>
    <w:p>
      <w:pPr>
        <w:spacing w:after="0" w:line="248" w:lineRule="exact"/>
        <w:rPr>
          <w:sz w:val="20"/>
          <w:szCs w:val="20"/>
          <w:color w:val="auto"/>
        </w:rPr>
      </w:pPr>
    </w:p>
    <w:p>
      <w:pPr>
        <w:jc w:val="both"/>
        <w:ind w:left="760" w:hanging="378"/>
        <w:spacing w:after="0" w:line="271" w:lineRule="auto"/>
        <w:tabs>
          <w:tab w:leader="none" w:pos="7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AXS-05</w:t>
      </w:r>
      <w:r>
        <w:rPr>
          <w:rFonts w:ascii="Arial" w:cs="Arial" w:eastAsia="Arial" w:hAnsi="Arial"/>
          <w:sz w:val="17"/>
          <w:szCs w:val="17"/>
          <w:color w:val="auto"/>
        </w:rPr>
        <w:t>. When used in programs for further development, we refer to the proprietary dextromethorphan-bupropion formulation contained in</w:t>
      </w:r>
      <w:r>
        <w:rPr>
          <w:rFonts w:ascii="Arial" w:cs="Arial" w:eastAsia="Arial" w:hAnsi="Arial"/>
          <w:sz w:val="17"/>
          <w:szCs w:val="17"/>
          <w:b w:val="1"/>
          <w:bCs w:val="1"/>
          <w:color w:val="auto"/>
        </w:rPr>
        <w:t xml:space="preserve"> </w:t>
      </w:r>
      <w:r>
        <w:rPr>
          <w:rFonts w:ascii="Arial" w:cs="Arial" w:eastAsia="Arial" w:hAnsi="Arial"/>
          <w:sz w:val="17"/>
          <w:szCs w:val="17"/>
          <w:color w:val="auto"/>
        </w:rPr>
        <w:t>Auvelity as “AXS-05.” AXS-05 is a novel, oral, investigational NMDA receptor antagonist with multimodal activity under development for the treatment of Alzheimer’s disease agitation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have recently commenced the ADVANCE-2 trial, another Phase 3, double blind, placebo-controlled, randomized withdrawal trial in patients with AD agitation. A positive Phase 2 trial for the use of AXS-05 in smoking cessation has been completed under a research collaboration with Duke University.</w:t>
      </w:r>
    </w:p>
    <w:p>
      <w:pPr>
        <w:spacing w:after="0" w:line="173" w:lineRule="exact"/>
        <w:rPr>
          <w:rFonts w:ascii="Arial" w:cs="Arial" w:eastAsia="Arial" w:hAnsi="Arial"/>
          <w:sz w:val="17"/>
          <w:szCs w:val="17"/>
          <w:b w:val="1"/>
          <w:bCs w:val="1"/>
          <w:color w:val="auto"/>
        </w:rPr>
      </w:pPr>
    </w:p>
    <w:p>
      <w:pPr>
        <w:jc w:val="both"/>
        <w:ind w:left="760" w:hanging="378"/>
        <w:spacing w:after="0" w:line="272" w:lineRule="auto"/>
        <w:tabs>
          <w:tab w:leader="none" w:pos="7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AXS-07</w:t>
      </w:r>
      <w:r>
        <w:rPr>
          <w:rFonts w:ascii="Arial" w:cs="Arial" w:eastAsia="Arial" w:hAnsi="Arial"/>
          <w:sz w:val="17"/>
          <w:szCs w:val="17"/>
          <w:color w:val="auto"/>
        </w:rPr>
        <w:t>. AXS-07 is a novel, oral, rapidly absorbed, multi-mechanistic, investigational medicine under development for the acute treatment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submitted an NDA for AXS-07 in 2021, which was accepted, and received a complete response letter (“CRL”) from the FDA in April 2022. The principal reasons given in the CRL relate to chemistry, manufacturing, and controls (“CMC”) considerations.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ind w:left="760" w:hanging="378"/>
        <w:spacing w:after="0" w:line="258" w:lineRule="auto"/>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AXS-12</w:t>
      </w:r>
      <w:r>
        <w:rPr>
          <w:rFonts w:ascii="Arial" w:cs="Arial" w:eastAsia="Arial" w:hAnsi="Arial"/>
          <w:sz w:val="18"/>
          <w:szCs w:val="18"/>
          <w:color w:val="auto"/>
        </w:rPr>
        <w:t>. AXS-12, reboxetine, is a novel, oral, investigational medicine in development for the treatment of narcolepsy. AXS-12 is a highly</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42" w:lineRule="exact"/>
        <w:rPr>
          <w:rFonts w:ascii="Arial" w:cs="Arial" w:eastAsia="Arial" w:hAnsi="Arial"/>
          <w:sz w:val="18"/>
          <w:szCs w:val="18"/>
          <w:b w:val="1"/>
          <w:bCs w:val="1"/>
          <w:color w:val="auto"/>
        </w:rPr>
      </w:pPr>
    </w:p>
    <w:p>
      <w:pPr>
        <w:jc w:val="both"/>
        <w:ind w:left="760" w:hanging="378"/>
        <w:spacing w:after="0" w:line="261" w:lineRule="auto"/>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AXS-14</w:t>
      </w:r>
      <w:r>
        <w:rPr>
          <w:rFonts w:ascii="Arial" w:cs="Arial" w:eastAsia="Arial" w:hAnsi="Arial"/>
          <w:sz w:val="18"/>
          <w:szCs w:val="18"/>
          <w:color w:val="auto"/>
        </w:rPr>
        <w:t>. AXS-14, esreboxetine, is a novel, oral, investigational medicine in development for the treatment of fibromyalgia. AXS-14 is a highly</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 and potent norepinephrine reuptake inhibitor. Esreboxetine, the SS-enantiomer of reboxetine, is more potent and selective than racemic reboxetine. We have in-licensed data from Pfizer which includes a completed Phase 2 trial and Phase 3 trial in fibromyalgia, both of which were positive.</w:t>
      </w:r>
    </w:p>
    <w:p>
      <w:pPr>
        <w:spacing w:after="0" w:line="206" w:lineRule="exact"/>
        <w:rPr>
          <w:rFonts w:ascii="Arial" w:cs="Arial" w:eastAsia="Arial" w:hAnsi="Arial"/>
          <w:sz w:val="18"/>
          <w:szCs w:val="18"/>
          <w:b w:val="1"/>
          <w:bCs w:val="1"/>
          <w:color w:val="auto"/>
        </w:rPr>
      </w:pPr>
    </w:p>
    <w:p>
      <w:pPr>
        <w:ind w:left="760" w:hanging="378"/>
        <w:spacing w:after="0" w:line="312" w:lineRule="auto"/>
        <w:tabs>
          <w:tab w:leader="none" w:pos="76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Solriamfetol</w:t>
      </w:r>
      <w:r>
        <w:rPr>
          <w:rFonts w:ascii="Arial" w:cs="Arial" w:eastAsia="Arial" w:hAnsi="Arial"/>
          <w:sz w:val="17"/>
          <w:szCs w:val="17"/>
          <w:color w:val="auto"/>
        </w:rPr>
        <w:t>. Solriamfetol is the active ingredient in our Sunosi product. It is an oral, dual-acting dopamine and norepinephrine reuptake</w:t>
      </w:r>
      <w:r>
        <w:rPr>
          <w:rFonts w:ascii="Arial" w:cs="Arial" w:eastAsia="Arial" w:hAnsi="Arial"/>
          <w:sz w:val="17"/>
          <w:szCs w:val="17"/>
          <w:b w:val="1"/>
          <w:bCs w:val="1"/>
          <w:color w:val="auto"/>
        </w:rPr>
        <w:t xml:space="preserve"> </w:t>
      </w:r>
      <w:r>
        <w:rPr>
          <w:rFonts w:ascii="Arial" w:cs="Arial" w:eastAsia="Arial" w:hAnsi="Arial"/>
          <w:sz w:val="17"/>
          <w:szCs w:val="17"/>
          <w:color w:val="auto"/>
        </w:rPr>
        <w:t>inhibitor. We recently announced our intent to conduct a Phase 3 trial of solriamfetol in adults with attention-deficit/hyperactivity disorder.</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principal executive offices are located at 22 Cortlandt Street,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New York, New York 10007, and our telephone number is (212) 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10-K for the year ended December 31, 2021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many uncertainties that affect our business and our market, particularly those discussed in the “Risk Factors” section of our Annual Report on Form 10-K for the year ended December 31, 2021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commercializing our products, or other corporate obligations. We may use a portion of the net proceeds to pay off outstanding indebtedness, if any, or acquire or invest in businesses, products and technologies.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Certificate of Incorporation provides the authority to issue 150,000,000 shares of common stock, par value $0.0001 per share. As of September 30, 2022, there were 43,425,707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any preferred stock could adversely affect the rights of the holders of common stock and, therefore, reduce the value of the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ability of our board of directors to issue preferred stock could discourage, delay or prevent a takeover or change in control.</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70"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70"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22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70"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148"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70"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Certain Amended and Restated Certificate of Incorporation and Amended and Restated Bylaws Provisions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79" w:lineRule="exact"/>
        <w:rPr>
          <w:sz w:val="20"/>
          <w:szCs w:val="20"/>
          <w:color w:val="auto"/>
        </w:rPr>
      </w:pPr>
    </w:p>
    <w:p>
      <w:pPr>
        <w:ind w:left="76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4"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144"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15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102"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144"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any action instituted against our officers or directors in connection with their service to us to be brought in the state of Delaware.</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Amended and Restated Certificate of Incorporation contains provisions to indemnify our directors and officers to the fullest extent permitted by the DGCL. These provisions do not limit or eliminate our right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170"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designation and terms of the shares of common stock or shares of preferred stock that may be purchased upon exercise of the warrants;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that the warrants are issued with and the number of warrants issued with each security;</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70"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 and</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prospectus supplement will describe the particular terms of any series of debt securities we may issue, including some or all of the following:</w:t>
      </w:r>
    </w:p>
    <w:p>
      <w:pPr>
        <w:spacing w:after="0" w:line="237"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308"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including those related to original issue discount, if applicable;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46"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we do not pay the principal of, or any premium on, a debt security of the series on its due date;</w:t>
      </w:r>
    </w:p>
    <w:p>
      <w:pPr>
        <w:spacing w:after="0" w:line="117"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we do not pay interest on a debt security of the series within 30 days of its due date;</w:t>
      </w:r>
    </w:p>
    <w:p>
      <w:pPr>
        <w:spacing w:after="0" w:line="117"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62"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5" w:lineRule="exact"/>
        <w:rPr>
          <w:rFonts w:ascii="Arial" w:cs="Arial" w:eastAsia="Arial" w:hAnsi="Arial"/>
          <w:sz w:val="14"/>
          <w:szCs w:val="14"/>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we file for bankruptcy or certain other events of bankruptcy, insolvency or reorganization occur; and</w:t>
      </w:r>
    </w:p>
    <w:p>
      <w:pPr>
        <w:spacing w:after="0" w:line="117"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any other Event of Default occurs in respect of debt securities of the series described in the prospectus supplement.</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70"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117"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5"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46" w:lineRule="exact"/>
        <w:rPr>
          <w:sz w:val="20"/>
          <w:szCs w:val="20"/>
          <w:color w:val="auto"/>
        </w:rPr>
      </w:pPr>
    </w:p>
    <w:p>
      <w:pPr>
        <w:jc w:val="both"/>
        <w:ind w:left="760" w:hanging="378"/>
        <w:spacing w:after="0" w:line="275"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68" w:lineRule="exact"/>
        <w:rPr>
          <w:rFonts w:ascii="Arial" w:cs="Arial" w:eastAsia="Arial" w:hAnsi="Arial"/>
          <w:sz w:val="17"/>
          <w:szCs w:val="17"/>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70"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225"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40" w:lineRule="exact"/>
        <w:rPr>
          <w:rFonts w:ascii="Arial" w:cs="Arial" w:eastAsia="Arial" w:hAnsi="Arial"/>
          <w:sz w:val="16"/>
          <w:szCs w:val="16"/>
          <w:color w:val="auto"/>
        </w:rPr>
      </w:pPr>
    </w:p>
    <w:p>
      <w:pPr>
        <w:ind w:left="760" w:hanging="378"/>
        <w:spacing w:after="0" w:line="308"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70" w:lineRule="exact"/>
        <w:rPr>
          <w:sz w:val="20"/>
          <w:szCs w:val="20"/>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 Defeasance—Legal Defeasance.”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98"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 Subordination” below. In order to achieve covenant defeasance, we must do the following:</w:t>
      </w:r>
    </w:p>
    <w:p>
      <w:pPr>
        <w:spacing w:after="0" w:line="188" w:lineRule="exact"/>
        <w:rPr>
          <w:sz w:val="20"/>
          <w:szCs w:val="20"/>
          <w:color w:val="auto"/>
        </w:rPr>
      </w:pPr>
    </w:p>
    <w:p>
      <w:pPr>
        <w:jc w:val="both"/>
        <w:ind w:left="1500" w:hanging="369"/>
        <w:spacing w:after="0" w:line="286" w:lineRule="auto"/>
        <w:tabs>
          <w:tab w:leader="none" w:pos="1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7" w:lineRule="exact"/>
        <w:rPr>
          <w:rFonts w:ascii="Arial" w:cs="Arial" w:eastAsia="Arial" w:hAnsi="Arial"/>
          <w:sz w:val="17"/>
          <w:szCs w:val="17"/>
          <w:color w:val="auto"/>
        </w:rPr>
      </w:pPr>
    </w:p>
    <w:p>
      <w:pPr>
        <w:jc w:val="both"/>
        <w:ind w:left="1500" w:hanging="369"/>
        <w:spacing w:after="0" w:line="263"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75" w:lineRule="exact"/>
        <w:rPr>
          <w:rFonts w:ascii="Arial" w:cs="Arial" w:eastAsia="Arial" w:hAnsi="Arial"/>
          <w:sz w:val="18"/>
          <w:szCs w:val="18"/>
          <w:color w:val="auto"/>
        </w:rPr>
      </w:pPr>
    </w:p>
    <w:p>
      <w:pPr>
        <w:ind w:left="1500" w:hanging="369"/>
        <w:spacing w:after="0" w:line="277"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225" w:lineRule="exact"/>
        <w:rPr>
          <w:sz w:val="20"/>
          <w:szCs w:val="20"/>
          <w:color w:val="auto"/>
        </w:rPr>
      </w:pPr>
    </w:p>
    <w:p>
      <w:pPr>
        <w:jc w:val="both"/>
        <w:ind w:left="760"/>
        <w:spacing w:after="0" w:line="311" w:lineRule="auto"/>
        <w:rPr>
          <w:sz w:val="20"/>
          <w:szCs w:val="20"/>
          <w:color w:val="auto"/>
        </w:rPr>
      </w:pPr>
      <w:r>
        <w:rPr>
          <w:rFonts w:ascii="Arial" w:cs="Arial" w:eastAsia="Arial" w:hAnsi="Arial"/>
          <w:sz w:val="16"/>
          <w:szCs w:val="16"/>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49" w:lineRule="exact"/>
        <w:rPr>
          <w:sz w:val="20"/>
          <w:szCs w:val="20"/>
          <w:color w:val="auto"/>
        </w:rPr>
      </w:pPr>
    </w:p>
    <w:p>
      <w:pPr>
        <w:jc w:val="both"/>
        <w:ind w:left="1500" w:hanging="369"/>
        <w:spacing w:after="0" w:line="286" w:lineRule="auto"/>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7" w:lineRule="exact"/>
        <w:rPr>
          <w:rFonts w:ascii="Arial" w:cs="Arial" w:eastAsia="Arial" w:hAnsi="Arial"/>
          <w:sz w:val="17"/>
          <w:szCs w:val="17"/>
          <w:color w:val="auto"/>
        </w:rPr>
      </w:pPr>
    </w:p>
    <w:p>
      <w:pPr>
        <w:jc w:val="both"/>
        <w:ind w:left="1500" w:hanging="369"/>
        <w:spacing w:after="0" w:line="273" w:lineRule="auto"/>
        <w:tabs>
          <w:tab w:leader="none" w:pos="1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69" w:lineRule="exact"/>
        <w:rPr>
          <w:rFonts w:ascii="Arial" w:cs="Arial" w:eastAsia="Arial" w:hAnsi="Arial"/>
          <w:sz w:val="17"/>
          <w:szCs w:val="17"/>
          <w:color w:val="auto"/>
        </w:rPr>
      </w:pPr>
    </w:p>
    <w:p>
      <w:pPr>
        <w:ind w:left="1500" w:hanging="369"/>
        <w:spacing w:after="0" w:line="277"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7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will be defined in an applicable indenture as the principal of (and premium, if any) and unpaid interest on:</w:t>
      </w:r>
    </w:p>
    <w:p>
      <w:pPr>
        <w:spacing w:after="0" w:line="225" w:lineRule="exact"/>
        <w:rPr>
          <w:sz w:val="20"/>
          <w:szCs w:val="20"/>
          <w:color w:val="auto"/>
        </w:rPr>
      </w:pPr>
    </w:p>
    <w:p>
      <w:pPr>
        <w:jc w:val="both"/>
        <w:ind w:left="760" w:hanging="378"/>
        <w:spacing w:after="0" w:line="259"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8"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225"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date on which the right to exercise the rights will commence, and the date on which the rights will expire (subject to any extension);</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70" w:lineRule="exact"/>
        <w:rPr>
          <w:sz w:val="20"/>
          <w:szCs w:val="20"/>
          <w:color w:val="auto"/>
        </w:rPr>
      </w:pPr>
    </w:p>
    <w:p>
      <w:pPr>
        <w:ind w:left="7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225"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70"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over-allotment options under which the underwriters may purchase additional shares of common stock from us;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securities exchange or market on which the common stock offered in the prospectus supplement may be listed.</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securities being offered hereby will be passed upon for us by DLA Piper LLP (US), Short Hills, New Jersey.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fiscal year ended December 31, 2021, and the effectiveness of our internal control over financial reporting as of December 31, 2021, as set forth in their reports, which are incorporated by reference in this prospectus and elsewhere in the registration statement. Our consolidated financial statements are incorporated herein by reference in reliance on Ernst &amp; Young LLP’s report, given on their authority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81"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19">
        <w:r>
          <w:rPr>
            <w:rFonts w:ascii="Arial" w:cs="Arial" w:eastAsia="Arial" w:hAnsi="Arial"/>
            <w:sz w:val="18"/>
            <w:szCs w:val="18"/>
            <w:u w:val="single" w:color="auto"/>
            <w:color w:val="0000FF"/>
          </w:rPr>
          <w:t>Form 10-K for the fiscal year ended December 31, 2021 filed with the SEC on March 1,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39"/>
        </w:numPr>
        <w:rPr>
          <w:rFonts w:ascii="Arial" w:cs="Arial" w:eastAsia="Arial" w:hAnsi="Arial"/>
          <w:sz w:val="17"/>
          <w:szCs w:val="17"/>
          <w:color w:val="0000FF"/>
        </w:rPr>
      </w:pPr>
      <w:hyperlink r:id="rId120">
        <w:r>
          <w:rPr>
            <w:rFonts w:ascii="Arial" w:cs="Arial" w:eastAsia="Arial" w:hAnsi="Arial"/>
            <w:sz w:val="17"/>
            <w:szCs w:val="17"/>
            <w:u w:val="single" w:color="auto"/>
            <w:color w:val="0000FF"/>
          </w:rPr>
          <w:t>the information contained in our definitive proxy statement on Schedule 14A for our 2022 annual meeting of stockholders filed with the SEC on</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April 22, 2022, to the extent incorporated by reference in Part III of the Form 10-K for the fiscal year ended December 31, 2021</w:t>
        </w:r>
        <w:r>
          <w:rPr>
            <w:rFonts w:ascii="Arial" w:cs="Arial" w:eastAsia="Arial" w:hAnsi="Arial"/>
            <w:sz w:val="17"/>
            <w:szCs w:val="17"/>
            <w:color w:val="000000"/>
          </w:rPr>
          <w:t>;</w:t>
        </w:r>
      </w:hyperlink>
    </w:p>
    <w:p>
      <w:pPr>
        <w:spacing w:after="0" w:line="38" w:lineRule="exact"/>
        <w:rPr>
          <w:rFonts w:ascii="Arial" w:cs="Arial" w:eastAsia="Arial" w:hAnsi="Arial"/>
          <w:sz w:val="17"/>
          <w:szCs w:val="17"/>
          <w:color w:val="0000FF"/>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21">
        <w:r>
          <w:rPr>
            <w:rFonts w:ascii="Arial" w:cs="Arial" w:eastAsia="Arial" w:hAnsi="Arial"/>
            <w:sz w:val="18"/>
            <w:szCs w:val="18"/>
            <w:u w:val="single" w:color="auto"/>
            <w:color w:val="0000FF"/>
          </w:rPr>
          <w:t>Form 10-Q for the quarter ended March 31, 2022 filed with the SEC on May 2,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22">
        <w:r>
          <w:rPr>
            <w:rFonts w:ascii="Arial" w:cs="Arial" w:eastAsia="Arial" w:hAnsi="Arial"/>
            <w:sz w:val="18"/>
            <w:szCs w:val="18"/>
            <w:u w:val="single" w:color="auto"/>
            <w:color w:val="0000FF"/>
          </w:rPr>
          <w:t>Form 10-Q for the quarter ended June 30, 2022 filed with the SEC on August 9,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23">
        <w:r>
          <w:rPr>
            <w:rFonts w:ascii="Arial" w:cs="Arial" w:eastAsia="Arial" w:hAnsi="Arial"/>
            <w:sz w:val="18"/>
            <w:szCs w:val="18"/>
            <w:u w:val="single" w:color="auto"/>
            <w:color w:val="0000FF"/>
          </w:rPr>
          <w:t>Form 10-Q for the quarter ended September 30, 2022 filed with the SEC on November 7,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60" w:right="100" w:hanging="378"/>
        <w:spacing w:after="0" w:line="257" w:lineRule="auto"/>
        <w:tabs>
          <w:tab w:leader="none" w:pos="760" w:val="left"/>
        </w:tabs>
        <w:numPr>
          <w:ilvl w:val="0"/>
          <w:numId w:val="39"/>
        </w:numPr>
        <w:rPr>
          <w:rFonts w:ascii="Arial" w:cs="Arial" w:eastAsia="Arial" w:hAnsi="Arial"/>
          <w:sz w:val="18"/>
          <w:szCs w:val="18"/>
          <w:color w:val="0000FF"/>
        </w:rPr>
      </w:pPr>
      <w:hyperlink r:id="rId12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FF"/>
          </w:rPr>
          <w:t>January 18, 2022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February 7, 2022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1, 2022 (Film No. 22699556)</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28,</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March 31,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April 19,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April 25,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May 2, 2022</w:t>
        </w:r>
        <w:r>
          <w:rPr>
            <w:rFonts w:ascii="Arial" w:cs="Arial" w:eastAsia="Arial" w:hAnsi="Arial"/>
            <w:sz w:val="18"/>
            <w:szCs w:val="18"/>
            <w:color w:val="0000FF"/>
          </w:rPr>
          <w:t xml:space="preserve"> </w:t>
        </w:r>
        <w:r>
          <w:rPr>
            <w:rFonts w:ascii="Arial" w:cs="Arial" w:eastAsia="Arial" w:hAnsi="Arial"/>
            <w:sz w:val="18"/>
            <w:szCs w:val="18"/>
            <w:color w:val="000000"/>
          </w:rPr>
          <w:t>(only Item 8.01 and Exhibit 99.2 thereto),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May 9, 2022, May 18,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May</w:t>
        </w:r>
      </w:hyperlink>
      <w:r>
        <w:rPr>
          <w:rFonts w:ascii="Arial" w:cs="Arial" w:eastAsia="Arial" w:hAnsi="Arial"/>
          <w:sz w:val="18"/>
          <w:szCs w:val="18"/>
          <w:color w:val="0000FF"/>
        </w:rPr>
        <w:t xml:space="preserve"> </w:t>
      </w:r>
      <w:hyperlink r:id="rId126">
        <w:r>
          <w:rPr>
            <w:rFonts w:ascii="Arial" w:cs="Arial" w:eastAsia="Arial" w:hAnsi="Arial"/>
            <w:sz w:val="18"/>
            <w:szCs w:val="18"/>
            <w:u w:val="single" w:color="auto"/>
            <w:color w:val="0000FF"/>
          </w:rPr>
          <w:t>31, 2022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1,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2,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7,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27,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June 28,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July 21,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August 9,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August 19, 2022</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August 22,</w:t>
        </w:r>
      </w:hyperlink>
      <w:r>
        <w:rPr>
          <w:rFonts w:ascii="Arial" w:cs="Arial" w:eastAsia="Arial" w:hAnsi="Arial"/>
          <w:sz w:val="18"/>
          <w:szCs w:val="18"/>
          <w:color w:val="0000FF"/>
        </w:rPr>
        <w:t xml:space="preserve"> </w:t>
      </w:r>
      <w:hyperlink r:id="rId126">
        <w:r>
          <w:rPr>
            <w:rFonts w:ascii="Arial" w:cs="Arial" w:eastAsia="Arial" w:hAnsi="Arial"/>
            <w:sz w:val="18"/>
            <w:szCs w:val="18"/>
            <w:u w:val="single" w:color="auto"/>
            <w:color w:val="0000FF"/>
          </w:rPr>
          <w:t>2022</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27">
        <w:r>
          <w:rPr>
            <w:rFonts w:ascii="Arial" w:cs="Arial" w:eastAsia="Arial" w:hAnsi="Arial"/>
            <w:sz w:val="18"/>
            <w:szCs w:val="18"/>
            <w:u w:val="single" w:color="auto"/>
            <w:color w:val="0000FF"/>
          </w:rPr>
          <w:t xml:space="preserve">August 23, 2022 </w:t>
        </w:r>
      </w:hyperlink>
      <w:hyperlink r:id="rId126">
        <w:r>
          <w:rPr>
            <w:rFonts w:ascii="Arial" w:cs="Arial" w:eastAsia="Arial" w:hAnsi="Arial"/>
            <w:sz w:val="18"/>
            <w:szCs w:val="18"/>
            <w:color w:val="000000"/>
          </w:rPr>
          <w:t>(only Item 8.01),</w:t>
        </w:r>
        <w:r>
          <w:rPr>
            <w:rFonts w:ascii="Arial" w:cs="Arial" w:eastAsia="Arial" w:hAnsi="Arial"/>
            <w:sz w:val="18"/>
            <w:szCs w:val="18"/>
            <w:color w:val="0000FF"/>
          </w:rPr>
          <w:t xml:space="preserve"> </w:t>
        </w:r>
      </w:hyperlink>
      <w:hyperlink r:id="rId128">
        <w:r>
          <w:rPr>
            <w:rFonts w:ascii="Arial" w:cs="Arial" w:eastAsia="Arial" w:hAnsi="Arial"/>
            <w:sz w:val="18"/>
            <w:szCs w:val="18"/>
            <w:u w:val="single" w:color="auto"/>
            <w:color w:val="0000FF"/>
          </w:rPr>
          <w:t>September 1, 2022</w:t>
        </w:r>
      </w:hyperlink>
      <w:hyperlink r:id="rId126">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29">
        <w:r>
          <w:rPr>
            <w:rFonts w:ascii="Arial" w:cs="Arial" w:eastAsia="Arial" w:hAnsi="Arial"/>
            <w:sz w:val="18"/>
            <w:szCs w:val="18"/>
            <w:u w:val="single" w:color="auto"/>
            <w:color w:val="0000FF"/>
          </w:rPr>
          <w:t>September 8, 2022</w:t>
        </w:r>
      </w:hyperlink>
      <w:hyperlink r:id="rId126">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30">
        <w:r>
          <w:rPr>
            <w:rFonts w:ascii="Arial" w:cs="Arial" w:eastAsia="Arial" w:hAnsi="Arial"/>
            <w:sz w:val="18"/>
            <w:szCs w:val="18"/>
            <w:u w:val="single" w:color="auto"/>
            <w:color w:val="0000FF"/>
          </w:rPr>
          <w:t>September 29, 2022</w:t>
        </w:r>
      </w:hyperlink>
      <w:hyperlink r:id="rId126">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31">
        <w:r>
          <w:rPr>
            <w:rFonts w:ascii="Arial" w:cs="Arial" w:eastAsia="Arial" w:hAnsi="Arial"/>
            <w:sz w:val="18"/>
            <w:szCs w:val="18"/>
            <w:u w:val="single" w:color="auto"/>
            <w:color w:val="0000FF"/>
          </w:rPr>
          <w:t>October 3, 2022</w:t>
        </w:r>
      </w:hyperlink>
      <w:hyperlink r:id="rId126">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32">
        <w:r>
          <w:rPr>
            <w:rFonts w:ascii="Arial" w:cs="Arial" w:eastAsia="Arial" w:hAnsi="Arial"/>
            <w:sz w:val="18"/>
            <w:szCs w:val="18"/>
            <w:u w:val="single" w:color="auto"/>
            <w:color w:val="0000FF"/>
          </w:rPr>
          <w:t>October 20, 2022</w:t>
        </w:r>
      </w:hyperlink>
      <w:hyperlink r:id="rId126">
        <w:r>
          <w:rPr>
            <w:rFonts w:ascii="Arial" w:cs="Arial" w:eastAsia="Arial" w:hAnsi="Arial"/>
            <w:sz w:val="18"/>
            <w:szCs w:val="18"/>
            <w:color w:val="000000"/>
          </w:rPr>
          <w:t>,</w:t>
        </w:r>
      </w:hyperlink>
      <w:r>
        <w:rPr>
          <w:rFonts w:ascii="Arial" w:cs="Arial" w:eastAsia="Arial" w:hAnsi="Arial"/>
          <w:sz w:val="18"/>
          <w:szCs w:val="18"/>
          <w:color w:val="0000FF"/>
        </w:rPr>
        <w:t xml:space="preserve"> </w:t>
      </w:r>
      <w:hyperlink r:id="rId133">
        <w:r>
          <w:rPr>
            <w:rFonts w:ascii="Arial" w:cs="Arial" w:eastAsia="Arial" w:hAnsi="Arial"/>
            <w:sz w:val="18"/>
            <w:szCs w:val="18"/>
            <w:u w:val="single" w:color="auto"/>
            <w:color w:val="0000FF"/>
          </w:rPr>
          <w:t>November 14, 2022</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hyperlink r:id="rId134">
        <w:r>
          <w:rPr>
            <w:rFonts w:ascii="Arial" w:cs="Arial" w:eastAsia="Arial" w:hAnsi="Arial"/>
            <w:sz w:val="18"/>
            <w:szCs w:val="18"/>
            <w:u w:val="single" w:color="auto"/>
            <w:color w:val="0000FF"/>
          </w:rPr>
          <w:t>November 28, 2022</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p>
    <w:p>
      <w:pPr>
        <w:spacing w:after="0" w:line="214" w:lineRule="exact"/>
        <w:rPr>
          <w:rFonts w:ascii="Arial" w:cs="Arial" w:eastAsia="Arial" w:hAnsi="Arial"/>
          <w:sz w:val="18"/>
          <w:szCs w:val="18"/>
          <w:color w:val="0000FF"/>
        </w:rPr>
      </w:pPr>
    </w:p>
    <w:p>
      <w:pPr>
        <w:ind w:left="760" w:hanging="378"/>
        <w:spacing w:after="0" w:line="277"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8"/>
          <w:szCs w:val="18"/>
          <w:color w:val="auto"/>
        </w:rPr>
        <w:t>the description of our common stock contained in our registration statement on Form 8-A, filed with the SEC on November 16, 2015 (File No. 001-37635), and all amendments or reports filed for the purpose of updating such description.</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1502410</wp:posOffset>
            </wp:positionH>
            <wp:positionV relativeFrom="paragraph">
              <wp:posOffset>-2188210</wp:posOffset>
            </wp:positionV>
            <wp:extent cx="42868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4286885" cy="889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-1982470</wp:posOffset>
            </wp:positionV>
            <wp:extent cx="6679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667956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-1845310</wp:posOffset>
            </wp:positionV>
            <wp:extent cx="5856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5856605"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-1639570</wp:posOffset>
            </wp:positionV>
            <wp:extent cx="38779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877945"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-1433830</wp:posOffset>
            </wp:positionV>
            <wp:extent cx="39033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903345"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-1228090</wp:posOffset>
            </wp:positionV>
            <wp:extent cx="4340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4340860" cy="8255"/>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-1022350</wp:posOffset>
            </wp:positionV>
            <wp:extent cx="39096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3909695" cy="889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-885190</wp:posOffset>
            </wp:positionV>
            <wp:extent cx="30918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3091815" cy="825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-885190</wp:posOffset>
            </wp:positionV>
            <wp:extent cx="1571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15716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-748030</wp:posOffset>
            </wp:positionV>
            <wp:extent cx="65233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-610870</wp:posOffset>
            </wp:positionV>
            <wp:extent cx="1038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038225"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-610870</wp:posOffset>
            </wp:positionV>
            <wp:extent cx="44018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44018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-473710</wp:posOffset>
            </wp:positionV>
            <wp:extent cx="20440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044065" cy="8255"/>
                    </a:xfrm>
                    <a:prstGeom prst="rect">
                      <a:avLst/>
                    </a:prstGeom>
                    <a:noFill/>
                  </pic:spPr>
                </pic:pic>
              </a:graphicData>
            </a:graphic>
          </wp:anchor>
        </w:drawing>
      </w:r>
    </w:p>
    <w:p>
      <w:pPr>
        <w:spacing w:after="0" w:line="258" w:lineRule="exact"/>
        <w:rPr>
          <w:rFonts w:ascii="Arial" w:cs="Arial" w:eastAsia="Arial" w:hAnsi="Arial"/>
          <w:sz w:val="18"/>
          <w:szCs w:val="18"/>
          <w:color w:val="0000FF"/>
        </w:rPr>
      </w:pPr>
    </w:p>
    <w:p>
      <w:pPr>
        <w:jc w:val="both"/>
        <w:spacing w:after="0" w:line="254"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219" w:lineRule="exact"/>
        <w:rPr>
          <w:rFonts w:ascii="Arial" w:cs="Arial" w:eastAsia="Arial" w:hAnsi="Arial"/>
          <w:sz w:val="18"/>
          <w:szCs w:val="18"/>
          <w:color w:val="0000FF"/>
        </w:rPr>
      </w:pPr>
    </w:p>
    <w:p>
      <w:pPr>
        <w:ind w:left="4600"/>
        <w:spacing w:after="0"/>
        <w:rPr>
          <w:sz w:val="20"/>
          <w:szCs w:val="20"/>
          <w:color w:val="auto"/>
        </w:rPr>
      </w:pPr>
      <w:r>
        <w:rPr>
          <w:rFonts w:ascii="Arial" w:cs="Arial" w:eastAsia="Arial" w:hAnsi="Arial"/>
          <w:sz w:val="18"/>
          <w:szCs w:val="18"/>
          <w:color w:val="auto"/>
        </w:rPr>
        <w:t>Axsome Therapeutics, Inc.</w:t>
      </w:r>
    </w:p>
    <w:p>
      <w:pPr>
        <w:spacing w:after="0" w:line="19" w:lineRule="exact"/>
        <w:rPr>
          <w:rFonts w:ascii="Arial" w:cs="Arial" w:eastAsia="Arial" w:hAnsi="Arial"/>
          <w:sz w:val="18"/>
          <w:szCs w:val="18"/>
          <w:color w:val="0000FF"/>
        </w:rPr>
      </w:pPr>
    </w:p>
    <w:p>
      <w:pPr>
        <w:ind w:left="4880"/>
        <w:spacing w:after="0"/>
        <w:rPr>
          <w:sz w:val="20"/>
          <w:szCs w:val="20"/>
          <w:color w:val="auto"/>
        </w:rPr>
      </w:pPr>
      <w:r>
        <w:rPr>
          <w:rFonts w:ascii="Arial" w:cs="Arial" w:eastAsia="Arial" w:hAnsi="Arial"/>
          <w:sz w:val="18"/>
          <w:szCs w:val="18"/>
          <w:color w:val="auto"/>
        </w:rPr>
        <w:t>22 Cortlandt Street</w:t>
      </w:r>
    </w:p>
    <w:p>
      <w:pPr>
        <w:jc w:val="center"/>
        <w:ind w:right="100"/>
        <w:spacing w:after="0" w:line="223" w:lineRule="auto"/>
        <w:rPr>
          <w:sz w:val="20"/>
          <w:szCs w:val="20"/>
          <w:color w:val="auto"/>
        </w:rPr>
      </w:pPr>
      <w:r>
        <w:rPr>
          <w:rFonts w:ascii="Arial" w:cs="Arial" w:eastAsia="Arial" w:hAnsi="Arial"/>
          <w:sz w:val="18"/>
          <w:szCs w:val="18"/>
          <w:color w:val="auto"/>
        </w:rPr>
        <w:t>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0000FF"/>
        </w:rPr>
      </w:pPr>
    </w:p>
    <w:p>
      <w:pPr>
        <w:jc w:val="center"/>
        <w:ind w:right="100"/>
        <w:spacing w:after="0"/>
        <w:rPr>
          <w:sz w:val="20"/>
          <w:szCs w:val="20"/>
          <w:color w:val="auto"/>
        </w:rPr>
      </w:pPr>
      <w:r>
        <w:rPr>
          <w:rFonts w:ascii="Arial" w:cs="Arial" w:eastAsia="Arial" w:hAnsi="Arial"/>
          <w:sz w:val="18"/>
          <w:szCs w:val="18"/>
          <w:color w:val="auto"/>
        </w:rPr>
        <w:t>New York, New York 10007</w:t>
      </w:r>
    </w:p>
    <w:p>
      <w:pPr>
        <w:spacing w:after="0" w:line="7" w:lineRule="exact"/>
        <w:rPr>
          <w:rFonts w:ascii="Arial" w:cs="Arial" w:eastAsia="Arial" w:hAnsi="Arial"/>
          <w:sz w:val="18"/>
          <w:szCs w:val="18"/>
          <w:color w:val="0000FF"/>
        </w:rPr>
      </w:pPr>
    </w:p>
    <w:p>
      <w:pPr>
        <w:ind w:left="5440" w:hanging="429"/>
        <w:spacing w:after="0"/>
        <w:tabs>
          <w:tab w:leader="none" w:pos="5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332-3241</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288925</wp:posOffset>
            </wp:positionV>
            <wp:extent cx="1791335" cy="10115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Rights to Purchase Common Stock, Preferred Stock, Debt Securities or Units</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Units</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-127635</wp:posOffset>
            </wp:positionV>
            <wp:extent cx="1954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4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-127635</wp:posOffset>
            </wp:positionV>
            <wp:extent cx="1954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147955</wp:posOffset>
            </wp:positionV>
            <wp:extent cx="1791335" cy="10115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17913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Axsome Therapeutics, Inc.</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619"/>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520"/>
        <w:spacing w:after="0"/>
        <w:rPr>
          <w:sz w:val="20"/>
          <w:szCs w:val="20"/>
          <w:color w:val="auto"/>
        </w:rPr>
      </w:pPr>
      <w:r>
        <w:rPr>
          <w:rFonts w:ascii="Arial" w:cs="Arial" w:eastAsia="Arial" w:hAnsi="Arial"/>
          <w:sz w:val="20"/>
          <w:szCs w:val="20"/>
          <w:i w:val="1"/>
          <w:iCs w:val="1"/>
          <w:color w:val="auto"/>
        </w:rPr>
        <w:t>Sole Bookrunning Manager</w:t>
      </w:r>
    </w:p>
    <w:p>
      <w:pPr>
        <w:spacing w:after="0" w:line="299"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SVB Securities</w:t>
      </w:r>
    </w:p>
    <w:p>
      <w:pPr>
        <w:spacing w:after="0" w:line="229" w:lineRule="exact"/>
        <w:rPr>
          <w:sz w:val="20"/>
          <w:szCs w:val="20"/>
          <w:color w:val="auto"/>
        </w:rPr>
      </w:pPr>
    </w:p>
    <w:p>
      <w:pPr>
        <w:ind w:left="5060"/>
        <w:spacing w:after="0"/>
        <w:tabs>
          <w:tab w:leader="none" w:pos="5720" w:val="left"/>
        </w:tabs>
        <w:rPr>
          <w:sz w:val="20"/>
          <w:szCs w:val="20"/>
          <w:color w:val="auto"/>
        </w:rPr>
      </w:pPr>
      <w:r>
        <w:rPr>
          <w:rFonts w:ascii="Arial" w:cs="Arial" w:eastAsia="Arial" w:hAnsi="Arial"/>
          <w:sz w:val="18"/>
          <w:szCs w:val="18"/>
          <w:color w:val="auto"/>
        </w:rPr>
        <w:t>June</w:t>
      </w:r>
      <w:r>
        <w:rPr>
          <w:sz w:val="20"/>
          <w:szCs w:val="20"/>
          <w:color w:val="auto"/>
        </w:rPr>
        <w:tab/>
      </w: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1"/>
    </w:lvl>
  </w:abstractNum>
  <w:abstractNum w:abstractNumId="9">
    <w:nsid w:val="79838CB2"/>
    <w:multiLevelType w:val="hybridMultilevel"/>
    <w:lvl w:ilvl="0">
      <w:lvlJc w:val="left"/>
      <w:lvlText w:val="%1."/>
      <w:numFmt w:val="lowerRoman"/>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212"/>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jpe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jpe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jpe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47" Type="http://schemas.openxmlformats.org/officeDocument/2006/relationships/hyperlink" Target="https://www.sec.gov/ix?doc=/Archives/edgar/data/1579428/000095017023004728/axsm-20221231.htm" TargetMode="External"/><Relationship Id="rId52" Type="http://schemas.openxmlformats.org/officeDocument/2006/relationships/hyperlink" Target="https://www.sec.gov/ix?doc=/Archives/edgar/data/0001579428/000095017023013882/axsm-20230421.htm" TargetMode="External"/><Relationship Id="rId53" Type="http://schemas.openxmlformats.org/officeDocument/2006/relationships/hyperlink" Target="https://www.sec.gov/ix?doc=/Archives/edgar/data/0001579428/000095017023018976/axsm-20230331.htm" TargetMode="External"/><Relationship Id="rId54" Type="http://schemas.openxmlformats.org/officeDocument/2006/relationships/hyperlink" Target="https://www.sec.gov/ix?doc=/Archives/edgar/data/0001579428/000095017023000427/axsm-20230109.htm" TargetMode="External"/><Relationship Id="rId55" Type="http://schemas.openxmlformats.org/officeDocument/2006/relationships/hyperlink" Target="https://www.sec.gov/ix?doc=/Archives/edgar/data/0001579428/000095017023003568/axsm-20230221.htm" TargetMode="External"/><Relationship Id="rId56" Type="http://schemas.openxmlformats.org/officeDocument/2006/relationships/hyperlink" Target="https://www.sec.gov/ix?doc=/Archives/edgar/data/0001579428/000095017023027059/axsm-20230602.htm" TargetMode="External"/><Relationship Id="rId57" Type="http://schemas.openxmlformats.org/officeDocument/2006/relationships/hyperlink" Target="https://www.sec.gov/ix?doc=/Archives/edgar/data/1579428/000095017023027770/axsm-20230613.htm" TargetMode="External"/><Relationship Id="rId58" Type="http://schemas.openxmlformats.org/officeDocument/2006/relationships/hyperlink" Target="https://www.sec.gov/ix?doc=/Archives/edgar/data/1579428/000095017023029901/axsm-20230622.htm" TargetMode="External"/><Relationship Id="rId59" Type="http://schemas.openxmlformats.org/officeDocument/2006/relationships/hyperlink" Target="https://www.sec.gov/Archives/edgar/data/1579428/000110465915079272/a15-17626_68a12b.htm" TargetMode="External"/><Relationship Id="rId119" Type="http://schemas.openxmlformats.org/officeDocument/2006/relationships/hyperlink" Target="https://www.sec.gov/ix?doc=/Archives/edgar/data/0001579428/000095017022002568/axsm-20211231.htm" TargetMode="External"/><Relationship Id="rId120" Type="http://schemas.openxmlformats.org/officeDocument/2006/relationships/hyperlink" Target="https://www.sec.gov/Archives/edgar/data/1579428/000095017022006020/axsm_2022_proxy_4.xx.22_.htm" TargetMode="External"/><Relationship Id="rId121" Type="http://schemas.openxmlformats.org/officeDocument/2006/relationships/hyperlink" Target="https://www.sec.gov/ix?doc=/Archives/edgar/data/0001579428/000095017022006901/axsm-20220331.htm" TargetMode="External"/><Relationship Id="rId122" Type="http://schemas.openxmlformats.org/officeDocument/2006/relationships/hyperlink" Target="https://www.sec.gov/ix?doc=/Archives/edgar/data/0001579428/000095017022016143/axsm-20220630.htm" TargetMode="External"/><Relationship Id="rId123" Type="http://schemas.openxmlformats.org/officeDocument/2006/relationships/hyperlink" Target="https://www.sec.gov/ix?doc=/Archives/edgar/data/1579428/000095017022022710/axsm-20220930.htm" TargetMode="External"/><Relationship Id="rId124" Type="http://schemas.openxmlformats.org/officeDocument/2006/relationships/hyperlink" Target="https://www.sec.gov/Archives/edgar/data/0001579428/000095017022004722/axsm-20220325.htm" TargetMode="External"/><Relationship Id="rId125" Type="http://schemas.openxmlformats.org/officeDocument/2006/relationships/hyperlink" Target="https://www.sec.gov/ix?doc=/Archives/edgar/data/0001579428/000095017022010892/axsm-20220531.htm" TargetMode="External"/><Relationship Id="rId126" Type="http://schemas.openxmlformats.org/officeDocument/2006/relationships/hyperlink" Target="https://www.sec.gov/Archives/edgar/data/0001579428/000119312522225573/d394428d8k.htm" TargetMode="External"/><Relationship Id="rId127" Type="http://schemas.openxmlformats.org/officeDocument/2006/relationships/hyperlink" Target="https://www.sec.gov/ix?doc=/Archives/edgar/data/1579428/000095017022017665/axsm-20220819.htm" TargetMode="External"/><Relationship Id="rId128" Type="http://schemas.openxmlformats.org/officeDocument/2006/relationships/hyperlink" Target="https://www.sec.gov/ix?doc=/Archives/edgar/data/1579428/000095017022018036/axsm-20220901.htm" TargetMode="External"/><Relationship Id="rId129" Type="http://schemas.openxmlformats.org/officeDocument/2006/relationships/hyperlink" Target="https://www.sec.gov/ix?doc=/Archives/edgar/data/1579428/000095017022018238/axsm-20220908.htm" TargetMode="External"/><Relationship Id="rId130" Type="http://schemas.openxmlformats.org/officeDocument/2006/relationships/hyperlink" Target="https://www.sec.gov/ix?doc=/Archives/edgar/data/1579428/000095017022018989/axsm-20220929.htm" TargetMode="External"/><Relationship Id="rId131" Type="http://schemas.openxmlformats.org/officeDocument/2006/relationships/hyperlink" Target="https://www.sec.gov/ix?doc=/Archives/edgar/data/1579428/000095017022019151/axsm-20221003.htm" TargetMode="External"/><Relationship Id="rId132" Type="http://schemas.openxmlformats.org/officeDocument/2006/relationships/hyperlink" Target="https://www.sec.gov/ix?doc=/Archives/edgar/data/1579428/000095017022019762/axsm-20221020.htm" TargetMode="External"/><Relationship Id="rId133" Type="http://schemas.openxmlformats.org/officeDocument/2006/relationships/hyperlink" Target="https://www.sec.gov/Archives/edgar/data/0001579428/000095017022025086/axsm-20221114.htm" TargetMode="External"/><Relationship Id="rId134" Type="http://schemas.openxmlformats.org/officeDocument/2006/relationships/hyperlink" Target="https://www.sec.gov/ix?doc=/Archives/edgar/data/1579428/000095017022025706/axsm-202211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2023-06-28T05:18:56Z</dcterms:created>
  <dcterms:modified xsi:type="dcterms:W3CDTF">2023-06-28T05:18:56Z</dcterms:modified>
</cp:coreProperties>
</file>