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xsm-20230930.htm"/>
      <w:bookmarkStart w:id="1" w:name="ksaxsm202309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UNITED STATES</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6"/>
        </w:rPr>
        <w:t>FORM</w:t>
      </w:r>
      <w:r>
        <w:rPr>
          <w:rFonts w:ascii="Times New Roman" w:hAnsi="Times New Roman"/>
          <w:color w:val="000000"/>
          <w:sz w:val="20"/>
        </w:rPr>
        <w:t xml:space="preserve"> </w:t>
      </w:r>
      <w:r>
        <w:rPr>
          <w:rFonts w:ascii="Times New Roman" w:hAnsi="Times New Roman"/>
          <w:b/>
          <w:color w:val="000000"/>
          <w:sz w:val="26"/>
        </w:rPr>
        <w:t>10-Q</w:t>
      </w:r>
    </w:p>
    <w:p>
      <w:pPr>
        <w:pStyle w:val="TextBody"/>
        <w:bidi w:val="0"/>
        <w:spacing w:before="60" w:after="283"/>
        <w:jc w:val="center"/>
        <w:rPr/>
      </w:pPr>
      <w:r>
        <w:rPr>
          <w:color w:val="000000"/>
        </w:rPr>
        <w:t xml:space="preserve">☒ </w:t>
      </w:r>
      <w:r>
        <w:rPr>
          <w:rFonts w:ascii="Times New Roman" w:hAnsi="Times New Roman"/>
          <w:b/>
          <w:color w:val="000000"/>
          <w:sz w:val="18"/>
        </w:rPr>
        <w:t>QUARTERLY REPORT PURSUANT TO SECTION 13 OR 15(d) OF THE SECURITIES EXCHANGE ACT OF 1934</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quarterly period ended September 30, 2023</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p>
      <w:pPr>
        <w:pStyle w:val="TextBody"/>
        <w:bidi w:val="0"/>
        <w:spacing w:before="60" w:after="283"/>
        <w:jc w:val="center"/>
        <w:rPr/>
      </w:pPr>
      <w:r>
        <w:rPr>
          <w:color w:val="00000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transition period from ________ to ________</w:t>
      </w:r>
    </w:p>
    <w:p>
      <w:pPr>
        <w:pStyle w:val="TextBody"/>
        <w:bidi w:val="0"/>
        <w:spacing w:before="60" w:after="283"/>
        <w:jc w:val="center"/>
        <w:rPr>
          <w:rFonts w:ascii="Times New Roman" w:hAnsi="Times New Roman"/>
          <w:sz w:val="20"/>
        </w:rPr>
      </w:pPr>
      <w:r>
        <w:rPr>
          <w:rFonts w:ascii="Times New Roman" w:hAnsi="Times New Roman"/>
          <w:b/>
          <w:color w:val="000000"/>
          <w:sz w:val="18"/>
        </w:rPr>
        <w:t>Commission File Number</w:t>
      </w:r>
      <w:r>
        <w:rPr>
          <w:rFonts w:ascii="Times New Roman" w:hAnsi="Times New Roman"/>
          <w:color w:val="000000"/>
          <w:sz w:val="20"/>
        </w:rPr>
        <w:t xml:space="preserve"> </w:t>
      </w:r>
      <w:r>
        <w:rPr>
          <w:rFonts w:ascii="Times New Roman" w:hAnsi="Times New Roman"/>
          <w:b/>
          <w:color w:val="000000"/>
          <w:sz w:val="18"/>
        </w:rPr>
        <w:t>001-37635</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26"/>
        </w:rPr>
      </w:pPr>
      <w:r>
        <w:rPr>
          <w:rFonts w:ascii="Times New Roman" w:hAnsi="Times New Roman"/>
          <w:b/>
          <w:color w:val="000000"/>
          <w:sz w:val="26"/>
        </w:rPr>
        <w:t>AXSOME THERAPEUTICS,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bidi w:val="0"/>
        <w:jc w:val="left"/>
        <w:rPr/>
      </w:pPr>
      <w:r>
        <w:rPr/>
        <w:t> </w:t>
      </w:r>
    </w:p>
    <w:tbl>
      <w:tblPr>
        <w:tblW w:w="6962" w:type="dxa"/>
        <w:jc w:val="left"/>
        <w:tblInd w:w="0" w:type="dxa"/>
        <w:tblLayout w:type="fixed"/>
        <w:tblCellMar>
          <w:top w:w="28" w:type="dxa"/>
          <w:left w:w="28" w:type="dxa"/>
          <w:bottom w:w="28" w:type="dxa"/>
          <w:right w:w="28" w:type="dxa"/>
        </w:tblCellMar>
      </w:tblPr>
      <w:tblGrid>
        <w:gridCol w:w="4291"/>
        <w:gridCol w:w="2671"/>
      </w:tblGrid>
      <w:tr>
        <w:trPr/>
        <w:tc>
          <w:tcPr>
            <w:tcW w:w="429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429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67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45-4241907</w:t>
            </w:r>
          </w:p>
        </w:tc>
      </w:tr>
      <w:tr>
        <w:trPr/>
        <w:tc>
          <w:tcPr>
            <w:tcW w:w="4291"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(State or other jurisdiction of incorporation or organization)</w:t>
            </w:r>
          </w:p>
        </w:tc>
        <w:tc>
          <w:tcPr>
            <w:tcW w:w="2671"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(I.R.S. Employer Identification No.)</w:t>
            </w:r>
          </w:p>
        </w:tc>
      </w:tr>
    </w:tbl>
    <w:p>
      <w:pPr>
        <w:pStyle w:val="TextBody"/>
        <w:bidi w:val="0"/>
        <w:jc w:val="left"/>
        <w:rPr/>
      </w:pPr>
      <w:r>
        <w:rPr/>
        <w:t> </w:t>
      </w:r>
    </w:p>
    <w:tbl>
      <w:tblPr>
        <w:tblW w:w="3782" w:type="dxa"/>
        <w:jc w:val="left"/>
        <w:tblInd w:w="0" w:type="dxa"/>
        <w:tblLayout w:type="fixed"/>
        <w:tblCellMar>
          <w:top w:w="28" w:type="dxa"/>
          <w:left w:w="28" w:type="dxa"/>
          <w:bottom w:w="28" w:type="dxa"/>
          <w:right w:w="28" w:type="dxa"/>
        </w:tblCellMar>
      </w:tblPr>
      <w:tblGrid>
        <w:gridCol w:w="2866"/>
        <w:gridCol w:w="916"/>
      </w:tblGrid>
      <w:tr>
        <w:trPr/>
        <w:tc>
          <w:tcPr>
            <w:tcW w:w="28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866" w:type="dxa"/>
            <w:tcBorders/>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One World Trade Center</w:t>
            </w:r>
          </w:p>
          <w:p>
            <w:pPr>
              <w:pStyle w:val="TableContents"/>
              <w:bidi w:val="0"/>
              <w:jc w:val="center"/>
              <w:rPr>
                <w:rFonts w:ascii="Times New Roman" w:hAnsi="Times New Roman"/>
                <w:b/>
                <w:color w:val="000000"/>
                <w:sz w:val="18"/>
              </w:rPr>
            </w:pPr>
            <w:r>
              <w:rPr>
                <w:rFonts w:ascii="Times New Roman" w:hAnsi="Times New Roman"/>
                <w:b/>
                <w:color w:val="000000"/>
                <w:sz w:val="18"/>
              </w:rPr>
              <w:t>22nd Floor</w:t>
            </w:r>
          </w:p>
          <w:p>
            <w:pPr>
              <w:pStyle w:val="TableContents"/>
              <w:bidi w:val="0"/>
              <w:spacing w:before="0" w:after="283"/>
              <w:jc w:val="center"/>
              <w:rPr>
                <w:rFonts w:ascii="Times New Roman" w:hAnsi="Times New Roman"/>
                <w:sz w:val="18"/>
              </w:rPr>
            </w:pPr>
            <w:r>
              <w:rPr>
                <w:rFonts w:ascii="Times New Roman" w:hAnsi="Times New Roman"/>
                <w:b/>
                <w:color w:val="000000"/>
                <w:sz w:val="18"/>
              </w:rPr>
              <w:t>New York,</w:t>
            </w:r>
            <w:r>
              <w:rPr>
                <w:rFonts w:ascii="Times New Roman" w:hAnsi="Times New Roman"/>
                <w:color w:val="000000"/>
                <w:sz w:val="18"/>
              </w:rPr>
              <w:t xml:space="preserve"> </w:t>
            </w:r>
            <w:r>
              <w:rPr>
                <w:rFonts w:ascii="Times New Roman" w:hAnsi="Times New Roman"/>
                <w:b/>
                <w:color w:val="000000"/>
                <w:sz w:val="18"/>
              </w:rPr>
              <w:t>New York</w:t>
            </w:r>
          </w:p>
        </w:tc>
        <w:tc>
          <w:tcPr>
            <w:tcW w:w="91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10007</w:t>
            </w:r>
          </w:p>
        </w:tc>
      </w:tr>
      <w:tr>
        <w:trPr/>
        <w:tc>
          <w:tcPr>
            <w:tcW w:w="2866"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(Address of principal executive offices)</w:t>
            </w:r>
          </w:p>
        </w:tc>
        <w:tc>
          <w:tcPr>
            <w:tcW w:w="916"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Registrant’s telephone number, including area code: (212)</w:t>
      </w:r>
      <w:r>
        <w:rPr>
          <w:rFonts w:ascii="Times New Roman" w:hAnsi="Times New Roman"/>
          <w:color w:val="000000"/>
          <w:sz w:val="20"/>
        </w:rPr>
        <w:t xml:space="preserve"> </w:t>
      </w:r>
      <w:r>
        <w:rPr>
          <w:rFonts w:ascii="Times New Roman" w:hAnsi="Times New Roman"/>
          <w:b/>
          <w:color w:val="000000"/>
          <w:sz w:val="18"/>
        </w:rPr>
        <w:t>332-3241</w:t>
      </w:r>
    </w:p>
    <w:p>
      <w:pPr>
        <w:pStyle w:val="TextBody"/>
        <w:bidi w:val="0"/>
        <w:spacing w:before="60" w:after="283"/>
        <w:jc w:val="left"/>
        <w:rPr>
          <w:rFonts w:ascii="Times New Roman" w:hAnsi="Times New Roman"/>
          <w:sz w:val="20"/>
        </w:rPr>
      </w:pPr>
      <w:r>
        <w:rPr>
          <w:rFonts w:ascii="Times New Roman" w:hAnsi="Times New Roman"/>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6"/>
        </w:rPr>
        <w:t>No ☐</w:t>
      </w:r>
    </w:p>
    <w:p>
      <w:pPr>
        <w:pStyle w:val="TextBody"/>
        <w:bidi w:val="0"/>
        <w:spacing w:before="60" w:after="283"/>
        <w:jc w:val="left"/>
        <w:rPr>
          <w:rFonts w:ascii="Times New Roman" w:hAnsi="Times New Roman"/>
          <w:sz w:val="20"/>
        </w:rPr>
      </w:pPr>
      <w:r>
        <w:rPr>
          <w:rFonts w:ascii="Times New Roman" w:hAnsi="Times New Roman"/>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6"/>
        </w:rPr>
        <w:t>No ☐</w:t>
      </w:r>
    </w:p>
    <w:p>
      <w:pPr>
        <w:pStyle w:val="TextBody"/>
        <w:bidi w:val="0"/>
        <w:spacing w:before="60" w:after="283"/>
        <w:jc w:val="left"/>
        <w:rPr>
          <w:rFonts w:ascii="Times New Roman" w:hAnsi="Times New Roman"/>
          <w:b w:val="false"/>
          <w:color w:val="000000"/>
          <w:sz w:val="16"/>
        </w:rPr>
      </w:pPr>
      <w:r>
        <w:rPr>
          <w:rFonts w:ascii="Times New Roman" w:hAnsi="Times New Roman"/>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b w:val="false"/>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6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8290" w:type="dxa"/>
        <w:jc w:val="left"/>
        <w:tblInd w:w="0" w:type="dxa"/>
        <w:tblLayout w:type="fixed"/>
        <w:tblCellMar>
          <w:top w:w="28" w:type="dxa"/>
          <w:left w:w="28" w:type="dxa"/>
          <w:bottom w:w="28" w:type="dxa"/>
          <w:right w:w="28" w:type="dxa"/>
        </w:tblCellMar>
      </w:tblPr>
      <w:tblGrid>
        <w:gridCol w:w="3301"/>
        <w:gridCol w:w="146"/>
        <w:gridCol w:w="1426"/>
        <w:gridCol w:w="146"/>
        <w:gridCol w:w="327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Title of each class:</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Trading Symbol(s)</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pPr>
            <w:r>
              <w:rPr/>
              <w:t> </w:t>
            </w:r>
          </w:p>
        </w:tc>
        <w:tc>
          <w:tcPr>
            <w:tcW w:w="3271"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Name of each exchange on which registered:</w:t>
            </w:r>
          </w:p>
        </w:tc>
      </w:tr>
      <w:tr>
        <w:trPr/>
        <w:tc>
          <w:tcPr>
            <w:tcW w:w="3301"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Common Stock, Par Value $0.0001 Per Share</w:t>
            </w:r>
          </w:p>
        </w:tc>
        <w:tc>
          <w:tcPr>
            <w:tcW w:w="14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AXSM</w:t>
            </w:r>
          </w:p>
        </w:tc>
        <w:tc>
          <w:tcPr>
            <w:tcW w:w="146"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The Nasdaq Global Market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16"/>
        </w:rPr>
        <w:t>There were 47,319,547</w:t>
      </w:r>
      <w:r>
        <w:rPr>
          <w:rFonts w:ascii="Times New Roman" w:hAnsi="Times New Roman"/>
          <w:color w:val="000000"/>
          <w:sz w:val="20"/>
        </w:rPr>
        <w:t xml:space="preserve"> </w:t>
      </w:r>
      <w:r>
        <w:rPr>
          <w:rFonts w:ascii="Times New Roman" w:hAnsi="Times New Roman"/>
          <w:b w:val="false"/>
          <w:color w:val="000000"/>
          <w:sz w:val="16"/>
        </w:rPr>
        <w:t>shares of the registrant’s common stock, $0.0001 par value, outstanding as of October 31, 2023.</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AXSOME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QUARTERLY REPORT ON FORM 10-Q</w:t>
      </w:r>
    </w:p>
    <w:p>
      <w:pPr>
        <w:pStyle w:val="TextBody"/>
        <w:bidi w:val="0"/>
        <w:jc w:val="center"/>
        <w:rPr>
          <w:rFonts w:ascii="Times New Roman" w:hAnsi="Times New Roman"/>
          <w:b/>
          <w:caps/>
          <w:color w:val="000000"/>
          <w:sz w:val="18"/>
        </w:rPr>
      </w:pPr>
      <w:r>
        <w:rPr>
          <w:rFonts w:ascii="Times New Roman" w:hAnsi="Times New Roman"/>
          <w:b/>
          <w:caps/>
          <w:color w:val="000000"/>
          <w:sz w:val="18"/>
        </w:rPr>
        <w:t>FOR THE QUARTER ENDED September 30, 2023</w:t>
      </w:r>
    </w:p>
    <w:p>
      <w:pPr>
        <w:pStyle w:val="TextBody"/>
        <w:bidi w:val="0"/>
        <w:jc w:val="center"/>
        <w:rPr/>
      </w:pPr>
      <w:r>
        <w:rPr/>
        <w:t> </w:t>
      </w:r>
    </w:p>
    <w:p>
      <w:pPr>
        <w:pStyle w:val="TextBody"/>
        <w:bidi w:val="0"/>
        <w:jc w:val="center"/>
        <w:rPr>
          <w:rFonts w:ascii="Times New Roman" w:hAnsi="Times New Roman"/>
          <w:sz w:val="20"/>
        </w:rPr>
      </w:pPr>
      <w:bookmarkStart w:id="2" w:name="table_contents"/>
      <w:bookmarkEnd w:id="2"/>
      <w:r>
        <w:rPr>
          <w:rFonts w:ascii="Times New Roman" w:hAnsi="Times New Roman"/>
          <w:b/>
          <w:color w:val="000000"/>
          <w:sz w:val="18"/>
        </w:rPr>
        <w:t>TABLE</w:t>
      </w:r>
      <w:r>
        <w:rPr>
          <w:rFonts w:ascii="Times New Roman" w:hAnsi="Times New Roman"/>
          <w:color w:val="000000"/>
          <w:sz w:val="20"/>
        </w:rPr>
        <w:t xml:space="preserve"> </w:t>
      </w:r>
      <w:r>
        <w:rPr>
          <w:rFonts w:ascii="Times New Roman" w:hAnsi="Times New Roman"/>
          <w:b/>
          <w:color w:val="000000"/>
          <w:sz w:val="18"/>
        </w:rPr>
        <w:t>OF</w:t>
      </w:r>
      <w:r>
        <w:rPr>
          <w:rFonts w:ascii="Times New Roman" w:hAnsi="Times New Roman"/>
          <w:color w:val="000000"/>
          <w:sz w:val="20"/>
        </w:rPr>
        <w:t xml:space="preserve"> </w:t>
      </w:r>
      <w:r>
        <w:rPr>
          <w:rFonts w:ascii="Times New Roman" w:hAnsi="Times New Roman"/>
          <w:b/>
          <w:color w:val="000000"/>
          <w:sz w:val="18"/>
        </w:rPr>
        <w:t>CONTENTS</w:t>
      </w:r>
    </w:p>
    <w:p>
      <w:pPr>
        <w:pStyle w:val="TextBody"/>
        <w:bidi w:val="0"/>
        <w:jc w:val="left"/>
        <w:rPr/>
      </w:pPr>
      <w:r>
        <w:rPr/>
        <w:t> </w:t>
      </w:r>
    </w:p>
    <w:tbl>
      <w:tblPr>
        <w:tblW w:w="8024" w:type="dxa"/>
        <w:jc w:val="left"/>
        <w:tblInd w:w="0" w:type="dxa"/>
        <w:tblLayout w:type="fixed"/>
        <w:tblCellMar>
          <w:top w:w="28" w:type="dxa"/>
          <w:left w:w="28" w:type="dxa"/>
          <w:bottom w:w="28" w:type="dxa"/>
          <w:right w:w="28" w:type="dxa"/>
        </w:tblCellMar>
      </w:tblPr>
      <w:tblGrid>
        <w:gridCol w:w="871"/>
        <w:gridCol w:w="6496"/>
        <w:gridCol w:w="146"/>
        <w:gridCol w:w="511"/>
      </w:tblGrid>
      <w:tr>
        <w:trPr/>
        <w:tc>
          <w:tcPr>
            <w:tcW w:w="871" w:type="dxa"/>
            <w:tcBorders/>
            <w:vAlign w:val="center"/>
          </w:tcPr>
          <w:p>
            <w:pPr>
              <w:pStyle w:val="TableContents"/>
              <w:bidi w:val="0"/>
              <w:spacing w:before="0" w:after="283"/>
              <w:jc w:val="left"/>
              <w:rPr>
                <w:sz w:val="4"/>
                <w:szCs w:val="4"/>
              </w:rPr>
            </w:pPr>
            <w:r>
              <w:rPr>
                <w:sz w:val="4"/>
                <w:szCs w:val="4"/>
              </w:rPr>
            </w:r>
          </w:p>
        </w:tc>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before="0" w:after="283"/>
              <w:jc w:val="left"/>
              <w:rPr/>
            </w:pPr>
            <w:r>
              <w:rPr/>
              <w:t> </w:t>
            </w:r>
          </w:p>
        </w:tc>
        <w:tc>
          <w:tcPr>
            <w:tcW w:w="6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Page</w:t>
            </w:r>
          </w:p>
        </w:tc>
      </w:tr>
      <w:tr>
        <w:trPr/>
        <w:tc>
          <w:tcPr>
            <w:tcW w:w="7367" w:type="dxa"/>
            <w:gridSpan w:val="2"/>
            <w:tcBorders/>
            <w:vAlign w:val="center"/>
          </w:tcPr>
          <w:p>
            <w:pPr>
              <w:pStyle w:val="TableContents"/>
              <w:bidi w:val="0"/>
              <w:spacing w:before="0" w:after="283"/>
              <w:jc w:val="left"/>
              <w:rPr/>
            </w:pPr>
            <w:hyperlink w:anchor="cautionary_note_regarding_forwardlooking">
              <w:r>
                <w:rPr>
                  <w:rStyle w:val="InternetLink"/>
                  <w:rFonts w:ascii="Times New Roman" w:hAnsi="Times New Roman"/>
                  <w:b w:val="false"/>
                  <w:color w:val="0563C1"/>
                  <w:sz w:val="18"/>
                  <w:u w:val="single"/>
                </w:rPr>
                <w:t>CAUTIONARY NOTE REGARDING FORWARD LOOKING STATEMENTS</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r>
      <w:tr>
        <w:trPr/>
        <w:tc>
          <w:tcPr>
            <w:tcW w:w="7367" w:type="dxa"/>
            <w:gridSpan w:val="2"/>
            <w:tcBorders/>
            <w:vAlign w:val="center"/>
          </w:tcPr>
          <w:p>
            <w:pPr>
              <w:pStyle w:val="TableContents"/>
              <w:bidi w:val="0"/>
              <w:spacing w:before="0" w:after="283"/>
              <w:jc w:val="left"/>
              <w:rPr/>
            </w:pPr>
            <w:hyperlink w:anchor="part_i_financial_information">
              <w:r>
                <w:rPr>
                  <w:rStyle w:val="InternetLink"/>
                  <w:rFonts w:ascii="Times New Roman" w:hAnsi="Times New Roman"/>
                  <w:b/>
                  <w:color w:val="0563C1"/>
                  <w:sz w:val="18"/>
                  <w:u w:val="single"/>
                </w:rPr>
                <w:t>PART I — FINANCIAL INFORMATION</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87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ITEM 1</w:t>
            </w:r>
          </w:p>
        </w:tc>
        <w:tc>
          <w:tcPr>
            <w:tcW w:w="6496" w:type="dxa"/>
            <w:tcBorders/>
            <w:vAlign w:val="center"/>
          </w:tcPr>
          <w:p>
            <w:pPr>
              <w:pStyle w:val="TableContents"/>
              <w:bidi w:val="0"/>
              <w:spacing w:before="0" w:after="283"/>
              <w:jc w:val="left"/>
              <w:rPr/>
            </w:pPr>
            <w:hyperlink w:anchor="item_1_financial_statements">
              <w:r>
                <w:rPr>
                  <w:rStyle w:val="InternetLink"/>
                  <w:rFonts w:ascii="Times New Roman" w:hAnsi="Times New Roman"/>
                  <w:b w:val="false"/>
                  <w:color w:val="0563C1"/>
                  <w:sz w:val="18"/>
                  <w:u w:val="single"/>
                </w:rPr>
                <w:t>Financial Statements</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r>
      <w:tr>
        <w:trPr/>
        <w:tc>
          <w:tcPr>
            <w:tcW w:w="87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ITEM 2</w:t>
            </w:r>
          </w:p>
        </w:tc>
        <w:tc>
          <w:tcPr>
            <w:tcW w:w="6496"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563C1"/>
                  <w:sz w:val="18"/>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w:t>
            </w:r>
          </w:p>
        </w:tc>
      </w:tr>
      <w:tr>
        <w:trPr/>
        <w:tc>
          <w:tcPr>
            <w:tcW w:w="87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ITEM 3</w:t>
            </w:r>
          </w:p>
        </w:tc>
        <w:tc>
          <w:tcPr>
            <w:tcW w:w="6496"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563C1"/>
                  <w:sz w:val="18"/>
                  <w:u w:val="single"/>
                </w:rPr>
                <w:t>Quantitative and Qualitative Disclosure About Market Risk</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w:t>
            </w:r>
          </w:p>
        </w:tc>
      </w:tr>
      <w:tr>
        <w:trPr/>
        <w:tc>
          <w:tcPr>
            <w:tcW w:w="87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ITEM 4</w:t>
            </w:r>
          </w:p>
        </w:tc>
        <w:tc>
          <w:tcPr>
            <w:tcW w:w="6496" w:type="dxa"/>
            <w:tcBorders/>
            <w:vAlign w:val="center"/>
          </w:tcPr>
          <w:p>
            <w:pPr>
              <w:pStyle w:val="TableContents"/>
              <w:bidi w:val="0"/>
              <w:spacing w:before="0" w:after="283"/>
              <w:jc w:val="left"/>
              <w:rPr/>
            </w:pPr>
            <w:hyperlink w:anchor="item_4_controls_procedures">
              <w:r>
                <w:rPr>
                  <w:rStyle w:val="InternetLink"/>
                  <w:rFonts w:ascii="Times New Roman" w:hAnsi="Times New Roman"/>
                  <w:b w:val="false"/>
                  <w:color w:val="0563C1"/>
                  <w:sz w:val="18"/>
                  <w:u w:val="single"/>
                </w:rPr>
                <w:t>Controls and Procedures</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w:t>
            </w:r>
          </w:p>
        </w:tc>
      </w:tr>
      <w:tr>
        <w:trPr/>
        <w:tc>
          <w:tcPr>
            <w:tcW w:w="7367" w:type="dxa"/>
            <w:gridSpan w:val="2"/>
            <w:tcBorders/>
            <w:vAlign w:val="center"/>
          </w:tcPr>
          <w:p>
            <w:pPr>
              <w:pStyle w:val="TableContents"/>
              <w:bidi w:val="0"/>
              <w:spacing w:before="0" w:after="283"/>
              <w:jc w:val="left"/>
              <w:rPr/>
            </w:pPr>
            <w:hyperlink w:anchor="part_ii_or_information">
              <w:r>
                <w:rPr>
                  <w:rStyle w:val="InternetLink"/>
                  <w:rFonts w:ascii="Times New Roman" w:hAnsi="Times New Roman"/>
                  <w:b/>
                  <w:color w:val="0563C1"/>
                  <w:sz w:val="18"/>
                  <w:u w:val="single"/>
                </w:rPr>
                <w:t>PART II — OTHER INFORMATION</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87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ITEM 1</w:t>
            </w:r>
          </w:p>
        </w:tc>
        <w:tc>
          <w:tcPr>
            <w:tcW w:w="6496" w:type="dxa"/>
            <w:tcBorders/>
            <w:vAlign w:val="center"/>
          </w:tcPr>
          <w:p>
            <w:pPr>
              <w:pStyle w:val="TableContents"/>
              <w:bidi w:val="0"/>
              <w:spacing w:before="0" w:after="283"/>
              <w:jc w:val="left"/>
              <w:rPr/>
            </w:pPr>
            <w:hyperlink w:anchor="item_1_legal_proceedings">
              <w:r>
                <w:rPr>
                  <w:rStyle w:val="InternetLink"/>
                  <w:rFonts w:ascii="Times New Roman" w:hAnsi="Times New Roman"/>
                  <w:b w:val="false"/>
                  <w:color w:val="0563C1"/>
                  <w:sz w:val="18"/>
                  <w:u w:val="single"/>
                </w:rPr>
                <w:t>Legal Proceedings</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w:t>
            </w:r>
          </w:p>
        </w:tc>
      </w:tr>
      <w:tr>
        <w:trPr/>
        <w:tc>
          <w:tcPr>
            <w:tcW w:w="87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ITEM 1A</w:t>
            </w:r>
          </w:p>
        </w:tc>
        <w:tc>
          <w:tcPr>
            <w:tcW w:w="6496" w:type="dxa"/>
            <w:tcBorders/>
            <w:vAlign w:val="center"/>
          </w:tcPr>
          <w:p>
            <w:pPr>
              <w:pStyle w:val="TableContents"/>
              <w:bidi w:val="0"/>
              <w:spacing w:before="0" w:after="283"/>
              <w:jc w:val="left"/>
              <w:rPr/>
            </w:pPr>
            <w:hyperlink w:anchor="item1a_risk_factors">
              <w:r>
                <w:rPr>
                  <w:rStyle w:val="InternetLink"/>
                  <w:rFonts w:ascii="Times New Roman" w:hAnsi="Times New Roman"/>
                  <w:b w:val="false"/>
                  <w:color w:val="0563C1"/>
                  <w:sz w:val="18"/>
                  <w:u w:val="single"/>
                </w:rPr>
                <w:t>Risk Factors</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r>
      <w:tr>
        <w:trPr/>
        <w:tc>
          <w:tcPr>
            <w:tcW w:w="87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ITEM 5</w:t>
            </w:r>
          </w:p>
        </w:tc>
        <w:tc>
          <w:tcPr>
            <w:tcW w:w="6496" w:type="dxa"/>
            <w:tcBorders/>
            <w:vAlign w:val="center"/>
          </w:tcPr>
          <w:p>
            <w:pPr>
              <w:pStyle w:val="TableContents"/>
              <w:bidi w:val="0"/>
              <w:spacing w:before="0" w:after="283"/>
              <w:jc w:val="left"/>
              <w:rPr/>
            </w:pPr>
            <w:hyperlink w:anchor="item_5_other_information">
              <w:r>
                <w:rPr>
                  <w:rStyle w:val="InternetLink"/>
                  <w:rFonts w:ascii="Times New Roman" w:hAnsi="Times New Roman"/>
                  <w:b w:val="false"/>
                  <w:color w:val="0563C1"/>
                  <w:sz w:val="18"/>
                  <w:u w:val="single"/>
                </w:rPr>
                <w:t>Other Information</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r>
      <w:tr>
        <w:trPr/>
        <w:tc>
          <w:tcPr>
            <w:tcW w:w="87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ITEM 6</w:t>
            </w:r>
          </w:p>
        </w:tc>
        <w:tc>
          <w:tcPr>
            <w:tcW w:w="6496" w:type="dxa"/>
            <w:tcBorders/>
            <w:vAlign w:val="center"/>
          </w:tcPr>
          <w:p>
            <w:pPr>
              <w:pStyle w:val="TableContents"/>
              <w:bidi w:val="0"/>
              <w:spacing w:before="0" w:after="283"/>
              <w:jc w:val="left"/>
              <w:rPr/>
            </w:pPr>
            <w:hyperlink w:anchor="item_6_exhibits">
              <w:r>
                <w:rPr>
                  <w:rStyle w:val="InternetLink"/>
                  <w:rFonts w:ascii="Times New Roman" w:hAnsi="Times New Roman"/>
                  <w:b w:val="false"/>
                  <w:color w:val="0563C1"/>
                  <w:sz w:val="18"/>
                  <w:u w:val="single"/>
                </w:rPr>
                <w:t>Exhibits</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96</w:t>
            </w:r>
          </w:p>
        </w:tc>
      </w:tr>
      <w:tr>
        <w:trPr/>
        <w:tc>
          <w:tcPr>
            <w:tcW w:w="871" w:type="dxa"/>
            <w:tcBorders/>
            <w:vAlign w:val="center"/>
          </w:tcPr>
          <w:p>
            <w:pPr>
              <w:pStyle w:val="TableContents"/>
              <w:bidi w:val="0"/>
              <w:spacing w:before="0" w:after="283"/>
              <w:jc w:val="left"/>
              <w:rPr/>
            </w:pPr>
            <w:hyperlink w:anchor="signatures">
              <w:r>
                <w:rPr>
                  <w:rStyle w:val="InternetLink"/>
                  <w:rFonts w:ascii="Times New Roman" w:hAnsi="Times New Roman"/>
                  <w:b w:val="false"/>
                  <w:color w:val="0563C1"/>
                  <w:sz w:val="18"/>
                  <w:u w:val="single"/>
                </w:rPr>
                <w:t>Signatures</w:t>
              </w:r>
            </w:hyperlink>
          </w:p>
        </w:tc>
        <w:tc>
          <w:tcPr>
            <w:tcW w:w="6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jc w:val="center"/>
        <w:rPr>
          <w:rFonts w:ascii="Times New Roman" w:hAnsi="Times New Roman"/>
          <w:sz w:val="20"/>
        </w:rPr>
      </w:pPr>
      <w:bookmarkStart w:id="3" w:name="cautionary_note_regarding_forwardlooking"/>
      <w:bookmarkEnd w:id="3"/>
      <w:r>
        <w:rPr>
          <w:rFonts w:ascii="Times New Roman" w:hAnsi="Times New Roman"/>
          <w:b/>
          <w:color w:val="000000"/>
          <w:sz w:val="18"/>
        </w:rPr>
        <w:t>CAUTIONARY NOTE</w:t>
      </w:r>
      <w:r>
        <w:rPr>
          <w:rFonts w:ascii="Times New Roman" w:hAnsi="Times New Roman"/>
          <w:color w:val="000000"/>
          <w:sz w:val="20"/>
        </w:rPr>
        <w:t xml:space="preserve"> </w:t>
      </w:r>
      <w:r>
        <w:rPr>
          <w:rFonts w:ascii="Times New Roman" w:hAnsi="Times New Roman"/>
          <w:b/>
          <w:color w:val="000000"/>
          <w:sz w:val="18"/>
        </w:rPr>
        <w:t>REGARDING FORWARD-LOOKING STATEMENTS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our expectations for increases or decreases in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our expectations for the clinical and preclinical development, manufacturing, regulatory approval, and commercialization of our pharmaceutical product candidates or any other products that we may acquire or in-license;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our estimates of the sufficiency of our existing capital resources combined with future anticipated cash flows to finance our operating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our expectations for incurring capital expenditures to expand our research and development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unforeseen circumstances or other disruptions to normal business operations arising from or related to COVID-19;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our future revenue projections, sales forecasts, and potential peak market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our expectations for becoming profitable on a sustained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our expectations or ability to enter into marketing and other partnership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our expectations or ability to enter into product acquisition and in-licensing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our expectations or ability to expand our own commercial infrastructure to manufacture, market and sell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our expected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our ability to obtain and maintain intellectual property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the acceptance of our products by doctors, patients, or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our stock price and its volatility;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our ability to attract and retain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the performance of our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our expectations for future capital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 xml:space="preserve">our ability to successfully implement our strategy.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forward-looking statements contained in this report reflect our views and assumptions only as of the date that this report is signed. Except as required by law, we assume no responsibility for updating any forward-looking statements.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jc w:val="center"/>
        <w:rPr>
          <w:rFonts w:ascii="Times New Roman" w:hAnsi="Times New Roman"/>
          <w:b/>
          <w:color w:val="000000"/>
          <w:sz w:val="18"/>
        </w:rPr>
      </w:pPr>
      <w:bookmarkStart w:id="4" w:name="part_i_financial_information"/>
      <w:bookmarkEnd w:id="4"/>
      <w:r>
        <w:rPr>
          <w:rFonts w:ascii="Times New Roman" w:hAnsi="Times New Roman"/>
          <w:b/>
          <w:color w:val="000000"/>
          <w:sz w:val="18"/>
        </w:rPr>
        <w:t>PART I. FINANCIAL INFORMATION</w:t>
      </w:r>
    </w:p>
    <w:p>
      <w:pPr>
        <w:pStyle w:val="TextBody"/>
        <w:bidi w:val="0"/>
        <w:spacing w:before="240" w:after="283"/>
        <w:jc w:val="left"/>
        <w:rPr>
          <w:rFonts w:ascii="Times New Roman" w:hAnsi="Times New Roman"/>
          <w:b/>
          <w:color w:val="000000"/>
          <w:sz w:val="18"/>
        </w:rPr>
      </w:pPr>
      <w:bookmarkStart w:id="5" w:name="item_1_financial_statements"/>
      <w:bookmarkEnd w:id="5"/>
      <w:r>
        <w:rPr>
          <w:rFonts w:ascii="Times New Roman" w:hAnsi="Times New Roman"/>
          <w:b/>
          <w:color w:val="000000"/>
          <w:sz w:val="18"/>
        </w:rPr>
        <w:t>ITEM 1. FINANCIAL STATEMENTS</w:t>
      </w:r>
    </w:p>
    <w:p>
      <w:pPr>
        <w:pStyle w:val="TextBody"/>
        <w:bidi w:val="0"/>
        <w:spacing w:before="144" w:after="283"/>
        <w:jc w:val="center"/>
        <w:rPr>
          <w:rFonts w:ascii="Times New Roman" w:hAnsi="Times New Roman"/>
          <w:b/>
          <w:color w:val="000000"/>
          <w:sz w:val="18"/>
        </w:rPr>
      </w:pPr>
      <w:r>
        <w:rPr>
          <w:rFonts w:ascii="Times New Roman" w:hAnsi="Times New Roman"/>
          <w:b/>
          <w:color w:val="000000"/>
          <w:sz w:val="18"/>
        </w:rPr>
        <w:t>Axsome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Consolidated Balance Sheets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for share and par value amounts)</w:t>
      </w:r>
    </w:p>
    <w:tbl>
      <w:tblPr>
        <w:tblW w:w="10205" w:type="dxa"/>
        <w:jc w:val="left"/>
        <w:tblInd w:w="0" w:type="dxa"/>
        <w:tblLayout w:type="fixed"/>
        <w:tblCellMar>
          <w:top w:w="28" w:type="dxa"/>
          <w:left w:w="28" w:type="dxa"/>
          <w:bottom w:w="28" w:type="dxa"/>
          <w:right w:w="28" w:type="dxa"/>
        </w:tblCellMar>
      </w:tblPr>
      <w:tblGrid>
        <w:gridCol w:w="7145"/>
        <w:gridCol w:w="146"/>
        <w:gridCol w:w="211"/>
        <w:gridCol w:w="931"/>
        <w:gridCol w:w="166"/>
        <w:gridCol w:w="146"/>
        <w:gridCol w:w="214"/>
        <w:gridCol w:w="854"/>
        <w:gridCol w:w="392"/>
      </w:tblGrid>
      <w:tr>
        <w:trPr/>
        <w:tc>
          <w:tcPr>
            <w:tcW w:w="7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1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2" w:type="dxa"/>
            <w:tcBorders/>
            <w:shd w:fill="FFFFFF" w:val="clear"/>
            <w:vAlign w:val="center"/>
          </w:tcPr>
          <w:p>
            <w:pPr>
              <w:pStyle w:val="TableContents"/>
              <w:bidi w:val="0"/>
              <w:spacing w:before="0" w:after="283"/>
              <w:jc w:val="center"/>
              <w:rPr/>
            </w:pPr>
            <w:r>
              <w:rPr/>
              <w:t> </w:t>
            </w:r>
          </w:p>
        </w:tc>
      </w:tr>
      <w:tr>
        <w:trPr/>
        <w:tc>
          <w:tcPr>
            <w:tcW w:w="71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center"/>
              <w:rPr/>
            </w:pPr>
            <w:r>
              <w:rPr/>
              <w:t> </w:t>
            </w:r>
          </w:p>
        </w:tc>
        <w:tc>
          <w:tcPr>
            <w:tcW w:w="392" w:type="dxa"/>
            <w:tcBorders/>
            <w:shd w:fill="FFFFFF" w:val="clear"/>
            <w:vAlign w:val="center"/>
          </w:tcPr>
          <w:p>
            <w:pPr>
              <w:pStyle w:val="TableContents"/>
              <w:bidi w:val="0"/>
              <w:spacing w:before="0" w:after="283"/>
              <w:jc w:val="center"/>
              <w:rPr/>
            </w:pPr>
            <w:r>
              <w:rPr/>
              <w:t> </w:t>
            </w:r>
          </w:p>
        </w:tc>
      </w:tr>
      <w:tr>
        <w:trPr/>
        <w:tc>
          <w:tcPr>
            <w:tcW w:w="714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71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ind w:left="0" w:right="0" w:firstLine="200"/>
              <w:jc w:val="right"/>
              <w:rPr/>
            </w:pPr>
            <w:r>
              <w:rPr/>
              <w:t> </w:t>
            </w:r>
          </w:p>
        </w:tc>
      </w:tr>
      <w:tr>
        <w:trPr/>
        <w:tc>
          <w:tcPr>
            <w:tcW w:w="714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416,564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200,842</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714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78,415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37,699</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714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Inventories,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4,320</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714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511,763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245,642</w:t>
            </w:r>
          </w:p>
        </w:tc>
        <w:tc>
          <w:tcPr>
            <w:tcW w:w="392" w:type="dxa"/>
            <w:tcBorders/>
            <w:shd w:fill="CFF0FC"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722</w:t>
            </w:r>
          </w:p>
        </w:tc>
        <w:tc>
          <w:tcPr>
            <w:tcW w:w="392" w:type="dxa"/>
            <w:tcBorders/>
            <w:shd w:fill="FFFFFF" w:val="clear"/>
            <w:vAlign w:val="center"/>
          </w:tcPr>
          <w:p>
            <w:pPr>
              <w:pStyle w:val="TableContents"/>
              <w:bidi w:val="0"/>
              <w:spacing w:before="0" w:after="283"/>
              <w:jc w:val="left"/>
              <w:rPr/>
            </w:pPr>
            <w:r>
              <w:rPr/>
              <w:t> </w:t>
            </w:r>
          </w:p>
        </w:tc>
      </w:tr>
      <w:tr>
        <w:trPr/>
        <w:tc>
          <w:tcPr>
            <w:tcW w:w="71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Right-of-use asset - operating lease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420</w:t>
            </w:r>
          </w:p>
        </w:tc>
        <w:tc>
          <w:tcPr>
            <w:tcW w:w="392" w:type="dxa"/>
            <w:tcBorders/>
            <w:shd w:fill="CFF0FC"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10,310</w:t>
            </w:r>
          </w:p>
        </w:tc>
        <w:tc>
          <w:tcPr>
            <w:tcW w:w="392" w:type="dxa"/>
            <w:tcBorders/>
            <w:shd w:fill="FFFFFF" w:val="clear"/>
            <w:vAlign w:val="center"/>
          </w:tcPr>
          <w:p>
            <w:pPr>
              <w:pStyle w:val="TableContents"/>
              <w:bidi w:val="0"/>
              <w:spacing w:before="0" w:after="283"/>
              <w:jc w:val="left"/>
              <w:rPr/>
            </w:pPr>
            <w:r>
              <w:rPr/>
              <w:t> </w:t>
            </w:r>
          </w:p>
        </w:tc>
      </w:tr>
      <w:tr>
        <w:trPr/>
        <w:tc>
          <w:tcPr>
            <w:tcW w:w="71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59,661</w:t>
            </w:r>
          </w:p>
        </w:tc>
        <w:tc>
          <w:tcPr>
            <w:tcW w:w="392" w:type="dxa"/>
            <w:tcBorders/>
            <w:shd w:fill="CFF0FC"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Non-current inventory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14,721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600,857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331,476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right"/>
              <w:rPr/>
            </w:pPr>
            <w:r>
              <w:rPr/>
              <w:t> </w:t>
            </w:r>
          </w:p>
        </w:tc>
      </w:tr>
      <w:tr>
        <w:trPr/>
        <w:tc>
          <w:tcPr>
            <w:tcW w:w="71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ind w:left="0" w:right="0" w:firstLine="200"/>
              <w:jc w:val="right"/>
              <w:rPr/>
            </w:pPr>
            <w:r>
              <w:rPr/>
              <w:t> </w:t>
            </w:r>
          </w:p>
        </w:tc>
      </w:tr>
      <w:tr>
        <w:trPr/>
        <w:tc>
          <w:tcPr>
            <w:tcW w:w="714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38,605</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714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78,454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51,631</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714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liability,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714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Contingent consideration, current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5,900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114,662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96,561</w:t>
            </w:r>
          </w:p>
        </w:tc>
        <w:tc>
          <w:tcPr>
            <w:tcW w:w="392" w:type="dxa"/>
            <w:tcBorders/>
            <w:shd w:fill="FFFFFF" w:val="clear"/>
            <w:vAlign w:val="center"/>
          </w:tcPr>
          <w:p>
            <w:pPr>
              <w:pStyle w:val="TableContents"/>
              <w:bidi w:val="0"/>
              <w:spacing w:before="0" w:after="283"/>
              <w:jc w:val="left"/>
              <w:rPr/>
            </w:pPr>
            <w:r>
              <w:rPr/>
              <w:t> </w:t>
            </w:r>
          </w:p>
        </w:tc>
      </w:tr>
      <w:tr>
        <w:trPr/>
        <w:tc>
          <w:tcPr>
            <w:tcW w:w="71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Contingent consideration,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31,100</w:t>
            </w:r>
          </w:p>
        </w:tc>
        <w:tc>
          <w:tcPr>
            <w:tcW w:w="392" w:type="dxa"/>
            <w:tcBorders/>
            <w:shd w:fill="CFF0FC"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Loan payable, long-term</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177,446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94,259</w:t>
            </w:r>
          </w:p>
        </w:tc>
        <w:tc>
          <w:tcPr>
            <w:tcW w:w="392" w:type="dxa"/>
            <w:tcBorders/>
            <w:shd w:fill="FFFFFF" w:val="clear"/>
            <w:vAlign w:val="center"/>
          </w:tcPr>
          <w:p>
            <w:pPr>
              <w:pStyle w:val="TableContents"/>
              <w:bidi w:val="0"/>
              <w:spacing w:before="0" w:after="283"/>
              <w:jc w:val="left"/>
              <w:rPr/>
            </w:pPr>
            <w:r>
              <w:rPr/>
              <w:t> </w:t>
            </w:r>
          </w:p>
        </w:tc>
      </w:tr>
      <w:tr>
        <w:trPr/>
        <w:tc>
          <w:tcPr>
            <w:tcW w:w="71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liability, long-term</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331,349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221,920</w:t>
            </w:r>
          </w:p>
        </w:tc>
        <w:tc>
          <w:tcPr>
            <w:tcW w:w="392" w:type="dxa"/>
            <w:tcBorders/>
            <w:shd w:fill="FFFFFF" w:val="clear"/>
            <w:vAlign w:val="center"/>
          </w:tcPr>
          <w:p>
            <w:pPr>
              <w:pStyle w:val="TableContents"/>
              <w:bidi w:val="0"/>
              <w:spacing w:before="0" w:after="283"/>
              <w:jc w:val="left"/>
              <w:rPr/>
            </w:pPr>
            <w:r>
              <w:rPr/>
              <w:t> </w:t>
            </w:r>
          </w:p>
        </w:tc>
      </w:tr>
      <w:tr>
        <w:trPr/>
        <w:tc>
          <w:tcPr>
            <w:tcW w:w="71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71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Preferred stock, $0.0001</w:t>
            </w:r>
            <w:r>
              <w:rPr>
                <w:rFonts w:ascii="Times New Roman" w:hAnsi="Times New Roman"/>
                <w:color w:val="000000"/>
                <w:sz w:val="20"/>
              </w:rPr>
              <w:t> </w:t>
            </w:r>
            <w:r>
              <w:rPr>
                <w:rFonts w:ascii="Times New Roman" w:hAnsi="Times New Roman"/>
                <w:b w:val="false"/>
                <w:color w:val="000000"/>
                <w:sz w:val="20"/>
              </w:rPr>
              <w:t>par value per share (10,000,000</w:t>
            </w:r>
            <w:r>
              <w:rPr>
                <w:rFonts w:ascii="Times New Roman" w:hAnsi="Times New Roman"/>
                <w:color w:val="000000"/>
                <w:sz w:val="20"/>
              </w:rPr>
              <w:t> </w:t>
            </w:r>
            <w:r>
              <w:rPr>
                <w:rFonts w:ascii="Times New Roman" w:hAnsi="Times New Roman"/>
                <w:b w:val="false"/>
                <w:color w:val="000000"/>
                <w:sz w:val="20"/>
              </w:rPr>
              <w:t>shares authorized, none</w:t>
            </w:r>
            <w:r>
              <w:rPr>
                <w:rFonts w:ascii="Times New Roman" w:hAnsi="Times New Roman"/>
                <w:color w:val="000000"/>
                <w:sz w:val="20"/>
              </w:rPr>
              <w:t> </w:t>
            </w:r>
            <w:r>
              <w:rPr>
                <w:rFonts w:ascii="Times New Roman" w:hAnsi="Times New Roman"/>
                <w:b w:val="false"/>
                <w:color w:val="000000"/>
                <w:sz w:val="20"/>
              </w:rPr>
              <w:t>issued and outstanding at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color w:val="000000"/>
              </w:rPr>
            </w:pPr>
            <w:r>
              <w:rPr>
                <w:color w:val="000000"/>
              </w:rPr>
              <w:t>—</w:t>
            </w:r>
          </w:p>
        </w:tc>
        <w:tc>
          <w:tcPr>
            <w:tcW w:w="392" w:type="dxa"/>
            <w:tcBorders/>
            <w:shd w:fill="FFFFFF" w:val="clear"/>
            <w:vAlign w:val="center"/>
          </w:tcPr>
          <w:p>
            <w:pPr>
              <w:pStyle w:val="TableContents"/>
              <w:bidi w:val="0"/>
              <w:spacing w:before="0" w:after="283"/>
              <w:jc w:val="left"/>
              <w:rPr/>
            </w:pPr>
            <w:r>
              <w:rPr/>
              <w:t> </w:t>
            </w:r>
          </w:p>
        </w:tc>
      </w:tr>
      <w:tr>
        <w:trPr/>
        <w:tc>
          <w:tcPr>
            <w:tcW w:w="714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Common stock, $0.0001</w:t>
            </w:r>
            <w:r>
              <w:rPr>
                <w:rFonts w:ascii="Times New Roman" w:hAnsi="Times New Roman"/>
                <w:color w:val="000000"/>
                <w:sz w:val="20"/>
              </w:rPr>
              <w:t> </w:t>
            </w:r>
            <w:r>
              <w:rPr>
                <w:rFonts w:ascii="Times New Roman" w:hAnsi="Times New Roman"/>
                <w:b w:val="false"/>
                <w:color w:val="000000"/>
                <w:sz w:val="20"/>
              </w:rPr>
              <w:t>par value per share (150,000,000</w:t>
            </w:r>
            <w:r>
              <w:rPr>
                <w:rFonts w:ascii="Times New Roman" w:hAnsi="Times New Roman"/>
                <w:color w:val="000000"/>
                <w:sz w:val="20"/>
              </w:rPr>
              <w:t> </w:t>
            </w:r>
            <w:r>
              <w:rPr>
                <w:rFonts w:ascii="Times New Roman" w:hAnsi="Times New Roman"/>
                <w:b w:val="false"/>
                <w:color w:val="000000"/>
                <w:sz w:val="20"/>
              </w:rPr>
              <w:t>shares authorized, 47,317,381</w:t>
            </w:r>
            <w:r>
              <w:rPr>
                <w:rFonts w:ascii="Times New Roman" w:hAnsi="Times New Roman"/>
                <w:color w:val="000000"/>
                <w:sz w:val="20"/>
              </w:rPr>
              <w:t> </w:t>
            </w:r>
            <w:r>
              <w:rPr>
                <w:rFonts w:ascii="Times New Roman" w:hAnsi="Times New Roman"/>
                <w:b w:val="false"/>
                <w:color w:val="000000"/>
                <w:sz w:val="20"/>
              </w:rPr>
              <w:t>and 43,498,617</w:t>
            </w:r>
            <w:r>
              <w:rPr>
                <w:rFonts w:ascii="Times New Roman" w:hAnsi="Times New Roman"/>
                <w:color w:val="000000"/>
                <w:sz w:val="20"/>
              </w:rPr>
              <w:t> </w:t>
            </w:r>
            <w:r>
              <w:rPr>
                <w:rFonts w:ascii="Times New Roman" w:hAnsi="Times New Roman"/>
                <w:b w:val="false"/>
                <w:color w:val="000000"/>
                <w:sz w:val="20"/>
              </w:rPr>
              <w:t>shares issued and outstanding at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392" w:type="dxa"/>
            <w:tcBorders/>
            <w:shd w:fill="CFF0FC"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1,006,423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705,885</w:t>
            </w:r>
          </w:p>
        </w:tc>
        <w:tc>
          <w:tcPr>
            <w:tcW w:w="392" w:type="dxa"/>
            <w:tcBorders/>
            <w:shd w:fill="FFFFFF" w:val="clear"/>
            <w:vAlign w:val="center"/>
          </w:tcPr>
          <w:p>
            <w:pPr>
              <w:pStyle w:val="TableContents"/>
              <w:bidi w:val="0"/>
              <w:spacing w:before="0" w:after="283"/>
              <w:jc w:val="left"/>
              <w:rPr/>
            </w:pPr>
            <w:r>
              <w:rPr/>
              <w:t> </w:t>
            </w:r>
          </w:p>
        </w:tc>
      </w:tr>
      <w:tr>
        <w:trPr/>
        <w:tc>
          <w:tcPr>
            <w:tcW w:w="71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(736,920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(596,333</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1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109,556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600,857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331,476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18"/>
        </w:rPr>
      </w:pPr>
      <w:r>
        <w:rPr>
          <w:rFonts w:ascii="Times New Roman" w:hAnsi="Times New Roman"/>
          <w:b w:val="false"/>
          <w:i/>
          <w:color w:val="000000"/>
          <w:sz w:val="18"/>
        </w:rPr>
        <w:t>The accompanying notes are an integral part of the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Axsome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Consolidated Statements of Operations (Unaudited)</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for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vAlign w:val="center"/>
          </w:tcPr>
          <w:p>
            <w:pPr>
              <w:pStyle w:val="TableContents"/>
              <w:bidi w:val="0"/>
              <w:spacing w:before="0" w:after="283"/>
              <w:jc w:val="center"/>
              <w:rPr/>
            </w:pPr>
            <w:r>
              <w:rPr/>
              <w:t> </w:t>
            </w:r>
          </w:p>
        </w:tc>
      </w:tr>
      <w:tr>
        <w:trPr/>
        <w:tc>
          <w:tcPr>
            <w:tcW w:w="37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Product sales,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131,713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25,666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License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65,735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Royalty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revenue (excluding amortization and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67,141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43,254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83,188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236,314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97,756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(Gain)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Intangible asset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145,547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(62,120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(133,551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(119,881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(62,877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(44,823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(139,302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(125,893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(140,587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(125,893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common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47,117,196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41,704,362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44,783,380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39,715,261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i/>
          <w:color w:val="000000"/>
          <w:sz w:val="18"/>
        </w:rPr>
      </w:pPr>
      <w:r>
        <w:rPr>
          <w:rFonts w:ascii="Times New Roman" w:hAnsi="Times New Roman"/>
          <w:b w:val="false"/>
          <w:i/>
          <w:color w:val="000000"/>
          <w:sz w:val="18"/>
        </w:rPr>
        <w:t>The accompanying notes are an integral part of the consolidated financial statements.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Axsome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Consolidated Statements of Stockholders’ Equity (Unaudited)</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for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23"/>
        <w:gridCol w:w="146"/>
        <w:gridCol w:w="146"/>
        <w:gridCol w:w="916"/>
        <w:gridCol w:w="146"/>
        <w:gridCol w:w="146"/>
        <w:gridCol w:w="249"/>
        <w:gridCol w:w="442"/>
        <w:gridCol w:w="146"/>
        <w:gridCol w:w="146"/>
        <w:gridCol w:w="220"/>
        <w:gridCol w:w="929"/>
        <w:gridCol w:w="166"/>
        <w:gridCol w:w="146"/>
        <w:gridCol w:w="217"/>
        <w:gridCol w:w="834"/>
        <w:gridCol w:w="166"/>
        <w:gridCol w:w="146"/>
        <w:gridCol w:w="234"/>
        <w:gridCol w:w="828"/>
        <w:gridCol w:w="213"/>
      </w:tblGrid>
      <w:tr>
        <w:trPr/>
        <w:tc>
          <w:tcPr>
            <w:tcW w:w="3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9"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36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37,816,794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92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424,826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(409,199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15,631</w:t>
            </w:r>
          </w:p>
        </w:tc>
        <w:tc>
          <w:tcPr>
            <w:tcW w:w="213" w:type="dxa"/>
            <w:tcBorders/>
            <w:shd w:fill="CFF0FC"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7,598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7,598</w:t>
            </w:r>
          </w:p>
        </w:tc>
        <w:tc>
          <w:tcPr>
            <w:tcW w:w="213" w:type="dxa"/>
            <w:tcBorders/>
            <w:shd w:fill="FFFFFF" w:val="cle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exercise of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18,015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182</w:t>
            </w:r>
          </w:p>
        </w:tc>
        <w:tc>
          <w:tcPr>
            <w:tcW w:w="213" w:type="dxa"/>
            <w:tcBorders/>
            <w:shd w:fill="CFF0FC"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vesting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financing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1,044,081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31,008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31,008</w:t>
            </w:r>
          </w:p>
        </w:tc>
        <w:tc>
          <w:tcPr>
            <w:tcW w:w="213" w:type="dxa"/>
            <w:tcBorders/>
            <w:shd w:fill="CFF0FC"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Shares tendered for withholding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(89</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(39,632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(39,632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Balance at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38,883,445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463,525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(448,831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14,698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10,162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10,162</w:t>
            </w:r>
          </w:p>
        </w:tc>
        <w:tc>
          <w:tcPr>
            <w:tcW w:w="213" w:type="dxa"/>
            <w:tcBorders/>
            <w:shd w:fill="CFF0FC"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exercise of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6,691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176</w:t>
            </w:r>
          </w:p>
        </w:tc>
        <w:tc>
          <w:tcPr>
            <w:tcW w:w="213" w:type="dxa"/>
            <w:tcBorders/>
            <w:shd w:fill="FFFFFF" w:val="cle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vesting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financing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1,023,153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30,795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30,795</w:t>
            </w:r>
          </w:p>
        </w:tc>
        <w:tc>
          <w:tcPr>
            <w:tcW w:w="213" w:type="dxa"/>
            <w:tcBorders/>
            <w:shd w:fill="FFFFFF" w:val="cle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warrants upon debt financing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826</w:t>
            </w:r>
          </w:p>
        </w:tc>
        <w:tc>
          <w:tcPr>
            <w:tcW w:w="213" w:type="dxa"/>
            <w:tcBorders/>
            <w:shd w:fill="CFF0FC"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Shares tendered for withholding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(19</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(41,439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(41,439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Balance at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39,914,411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505,465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(490,270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15,199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9,198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9,198</w:t>
            </w:r>
          </w:p>
        </w:tc>
        <w:tc>
          <w:tcPr>
            <w:tcW w:w="213" w:type="dxa"/>
            <w:tcBorders/>
            <w:shd w:fill="CFF0FC"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exercise of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246,665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3,064</w:t>
            </w:r>
          </w:p>
        </w:tc>
        <w:tc>
          <w:tcPr>
            <w:tcW w:w="213" w:type="dxa"/>
            <w:tcBorders/>
            <w:shd w:fill="FFFFFF" w:val="cle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vesting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financing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3,253,226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174,985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174,985</w:t>
            </w:r>
          </w:p>
        </w:tc>
        <w:tc>
          <w:tcPr>
            <w:tcW w:w="213" w:type="dxa"/>
            <w:tcBorders/>
            <w:shd w:fill="FFFFFF" w:val="cle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Shares tendered for withholding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(262</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(44,823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(44,823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3623"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43,425,707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692,450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(535,093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157,361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43,498,617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705,885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(596,333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109,556</w:t>
            </w:r>
          </w:p>
        </w:tc>
        <w:tc>
          <w:tcPr>
            <w:tcW w:w="213" w:type="dxa"/>
            <w:tcBorders/>
            <w:shd w:fill="FFFFFF" w:val="cle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12,943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12,943</w:t>
            </w:r>
          </w:p>
        </w:tc>
        <w:tc>
          <w:tcPr>
            <w:tcW w:w="213" w:type="dxa"/>
            <w:tcBorders/>
            <w:shd w:fill="CFF0FC"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exercise of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28,876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387</w:t>
            </w:r>
          </w:p>
        </w:tc>
        <w:tc>
          <w:tcPr>
            <w:tcW w:w="213" w:type="dxa"/>
            <w:tcBorders/>
            <w:shd w:fill="FFFFFF" w:val="cle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vesting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20,973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warrants upon debt financing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1,011</w:t>
            </w:r>
          </w:p>
        </w:tc>
        <w:tc>
          <w:tcPr>
            <w:tcW w:w="213" w:type="dxa"/>
            <w:tcBorders/>
            <w:shd w:fill="FFFFFF" w:val="cle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Shares tendered for withholding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(867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(867</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(11,218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43,548,466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719,359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(607,551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111,812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15,922</w:t>
            </w:r>
          </w:p>
        </w:tc>
        <w:tc>
          <w:tcPr>
            <w:tcW w:w="213" w:type="dxa"/>
            <w:tcBorders/>
            <w:shd w:fill="FFFFFF" w:val="cle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exercise of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169,998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6,570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6,570</w:t>
            </w:r>
          </w:p>
        </w:tc>
        <w:tc>
          <w:tcPr>
            <w:tcW w:w="213" w:type="dxa"/>
            <w:tcBorders/>
            <w:shd w:fill="CFF0FC"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vesting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financing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211,378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211,378</w:t>
            </w:r>
          </w:p>
        </w:tc>
        <w:tc>
          <w:tcPr>
            <w:tcW w:w="213" w:type="dxa"/>
            <w:tcBorders/>
            <w:shd w:fill="CFF0FC"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warrants upon debt financing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624</w:t>
            </w:r>
          </w:p>
        </w:tc>
        <w:tc>
          <w:tcPr>
            <w:tcW w:w="213" w:type="dxa"/>
            <w:tcBorders/>
            <w:shd w:fill="FFFFFF" w:val="cle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Shares tendered for withholding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(333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(333</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(67,170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(67,170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Balance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46,726,794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953,520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(674,721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278,804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17,237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17,237</w:t>
            </w:r>
          </w:p>
        </w:tc>
        <w:tc>
          <w:tcPr>
            <w:tcW w:w="213" w:type="dxa"/>
            <w:tcBorders/>
            <w:shd w:fill="FFFFFF" w:val="cle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exercise of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131,512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4,317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4,317</w:t>
            </w:r>
          </w:p>
        </w:tc>
        <w:tc>
          <w:tcPr>
            <w:tcW w:w="213" w:type="dxa"/>
            <w:tcBorders/>
            <w:shd w:fill="CFF0FC"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vesting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Issuance of common stock upon financing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31,704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31,704</w:t>
            </w:r>
          </w:p>
        </w:tc>
        <w:tc>
          <w:tcPr>
            <w:tcW w:w="213" w:type="dxa"/>
            <w:tcBorders/>
            <w:shd w:fill="CFF0FC"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Shares tendered for withholding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(355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(355</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36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(62,199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(62,199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3623"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47,317,381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1,006,423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(736,920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269,508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18"/>
        </w:rPr>
      </w:pPr>
      <w:r>
        <w:rPr>
          <w:rFonts w:ascii="Times New Roman" w:hAnsi="Times New Roman"/>
          <w:b w:val="false"/>
          <w:i/>
          <w:color w:val="000000"/>
          <w:sz w:val="18"/>
        </w:rPr>
        <w:t>The accompanying notes are an integral part of the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Axsome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Consolidated Statements of Cash Flows (Unaudited)</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jc w:val="left"/>
        <w:rPr/>
      </w:pPr>
      <w:r>
        <w:rPr/>
        <w:t> </w:t>
      </w:r>
    </w:p>
    <w:tbl>
      <w:tblPr>
        <w:tblW w:w="10005" w:type="dxa"/>
        <w:jc w:val="left"/>
        <w:tblInd w:w="0" w:type="dxa"/>
        <w:tblLayout w:type="fixed"/>
        <w:tblCellMar>
          <w:top w:w="28" w:type="dxa"/>
          <w:left w:w="28" w:type="dxa"/>
          <w:bottom w:w="28" w:type="dxa"/>
          <w:right w:w="28" w:type="dxa"/>
        </w:tblCellMar>
      </w:tblPr>
      <w:tblGrid>
        <w:gridCol w:w="6856"/>
        <w:gridCol w:w="146"/>
        <w:gridCol w:w="226"/>
        <w:gridCol w:w="903"/>
        <w:gridCol w:w="178"/>
        <w:gridCol w:w="156"/>
        <w:gridCol w:w="226"/>
        <w:gridCol w:w="903"/>
        <w:gridCol w:w="411"/>
      </w:tblGrid>
      <w:tr>
        <w:trPr/>
        <w:tc>
          <w:tcPr>
            <w:tcW w:w="6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8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(140,587</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(125,894</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43,705</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26,958</w:t>
            </w:r>
          </w:p>
        </w:tc>
        <w:tc>
          <w:tcPr>
            <w:tcW w:w="411" w:type="dxa"/>
            <w:tcBorders/>
            <w:shd w:fill="FFFFFF" w:val="clear"/>
            <w:vAlign w:val="center"/>
          </w:tcPr>
          <w:p>
            <w:pPr>
              <w:pStyle w:val="TableContents"/>
              <w:bidi w:val="0"/>
              <w:spacing w:before="0" w:after="283"/>
              <w:jc w:val="left"/>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intangible asset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4,768</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2,532</w:t>
            </w:r>
          </w:p>
        </w:tc>
        <w:tc>
          <w:tcPr>
            <w:tcW w:w="411" w:type="dxa"/>
            <w:tcBorders/>
            <w:shd w:fill="CFF0FC"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debt discount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2,120</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1,137</w:t>
            </w:r>
          </w:p>
        </w:tc>
        <w:tc>
          <w:tcPr>
            <w:tcW w:w="411" w:type="dxa"/>
            <w:tcBorders/>
            <w:shd w:fill="FFFFFF" w:val="clear"/>
            <w:vAlign w:val="center"/>
          </w:tcPr>
          <w:p>
            <w:pPr>
              <w:pStyle w:val="TableContents"/>
              <w:bidi w:val="0"/>
              <w:spacing w:before="0" w:after="283"/>
              <w:jc w:val="left"/>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w:t>
            </w:r>
          </w:p>
        </w:tc>
        <w:tc>
          <w:tcPr>
            <w:tcW w:w="411" w:type="dxa"/>
            <w:tcBorders/>
            <w:shd w:fill="CFF0FC"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(gain)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5,711</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1,115</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836</w:t>
            </w:r>
          </w:p>
        </w:tc>
        <w:tc>
          <w:tcPr>
            <w:tcW w:w="411" w:type="dxa"/>
            <w:tcBorders/>
            <w:shd w:fill="CFF0FC"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operating lease liability</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(765</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8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(40,716</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(20,302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Inventories, net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(3,268</w:t>
            </w:r>
          </w:p>
        </w:tc>
        <w:tc>
          <w:tcPr>
            <w:tcW w:w="1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(4,018</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Non-current inventory and other assets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(9,507</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25,091</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(114,718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of equipment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(575</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(521</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business combination</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draw down of debt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85,000</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45,000</w:t>
            </w:r>
          </w:p>
        </w:tc>
        <w:tc>
          <w:tcPr>
            <w:tcW w:w="411" w:type="dxa"/>
            <w:tcBorders/>
            <w:shd w:fill="FFFFFF" w:val="clear"/>
            <w:vAlign w:val="center"/>
          </w:tcPr>
          <w:p>
            <w:pPr>
              <w:pStyle w:val="TableContents"/>
              <w:bidi w:val="0"/>
              <w:spacing w:before="0" w:after="283"/>
              <w:jc w:val="left"/>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 of debt issuance costs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(2,297</w:t>
            </w:r>
          </w:p>
        </w:tc>
        <w:tc>
          <w:tcPr>
            <w:tcW w:w="1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(487</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 of common stock upon financing</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258,750</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243,763</w:t>
            </w:r>
          </w:p>
        </w:tc>
        <w:tc>
          <w:tcPr>
            <w:tcW w:w="411" w:type="dxa"/>
            <w:tcBorders/>
            <w:shd w:fill="FFFFFF" w:val="clear"/>
            <w:vAlign w:val="center"/>
          </w:tcPr>
          <w:p>
            <w:pPr>
              <w:pStyle w:val="TableContents"/>
              <w:bidi w:val="0"/>
              <w:spacing w:before="0" w:after="283"/>
              <w:jc w:val="left"/>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common stock issuance costs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(15,668</w:t>
            </w:r>
          </w:p>
        </w:tc>
        <w:tc>
          <w:tcPr>
            <w:tcW w:w="1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(6,975</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 of common stock upon exercise of options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11,274</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3,422</w:t>
            </w:r>
          </w:p>
        </w:tc>
        <w:tc>
          <w:tcPr>
            <w:tcW w:w="411" w:type="dxa"/>
            <w:tcBorders/>
            <w:shd w:fill="FFFFFF" w:val="clear"/>
            <w:vAlign w:val="center"/>
          </w:tcPr>
          <w:p>
            <w:pPr>
              <w:pStyle w:val="TableContents"/>
              <w:bidi w:val="0"/>
              <w:spacing w:before="0" w:after="283"/>
              <w:jc w:val="left"/>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 of contingent consideration</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(4,489</w:t>
            </w:r>
          </w:p>
        </w:tc>
        <w:tc>
          <w:tcPr>
            <w:tcW w:w="1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(838</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Payments of tax withholdings on stock award</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331,015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283,516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increase in cash</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215,722</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141,047</w:t>
            </w:r>
          </w:p>
        </w:tc>
        <w:tc>
          <w:tcPr>
            <w:tcW w:w="411" w:type="dxa"/>
            <w:tcBorders/>
            <w:shd w:fill="FFFFFF" w:val="clear"/>
            <w:vAlign w:val="center"/>
          </w:tcPr>
          <w:p>
            <w:pPr>
              <w:pStyle w:val="TableContents"/>
              <w:bidi w:val="0"/>
              <w:spacing w:before="0" w:after="283"/>
              <w:jc w:val="left"/>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at beginning of period</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200,842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at end of period</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416,564</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227,520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paid</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11,862</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5,117</w:t>
            </w:r>
          </w:p>
        </w:tc>
        <w:tc>
          <w:tcPr>
            <w:tcW w:w="411" w:type="dxa"/>
            <w:tcBorders/>
            <w:shd w:fill="FFFFFF" w:val="clear"/>
            <w:vAlign w:val="center"/>
          </w:tcPr>
          <w:p>
            <w:pPr>
              <w:pStyle w:val="TableContents"/>
              <w:bidi w:val="0"/>
              <w:spacing w:before="0" w:after="283"/>
              <w:jc w:val="left"/>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 obtained in exchange for operating lease liability</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7,764</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w:t>
            </w:r>
          </w:p>
        </w:tc>
        <w:tc>
          <w:tcPr>
            <w:tcW w:w="411" w:type="dxa"/>
            <w:tcBorders/>
            <w:shd w:fill="CFF0FC"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investing activities:</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Fair value of contingent consideration in a business combination</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38,222</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34,400</w:t>
            </w:r>
          </w:p>
        </w:tc>
        <w:tc>
          <w:tcPr>
            <w:tcW w:w="4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18"/>
        </w:rPr>
      </w:pPr>
      <w:r>
        <w:rPr>
          <w:rFonts w:ascii="Times New Roman" w:hAnsi="Times New Roman"/>
          <w:b w:val="false"/>
          <w:i/>
          <w:color w:val="000000"/>
          <w:sz w:val="18"/>
        </w:rPr>
        <w:t>The accompanying notes are an integral part of the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Axsome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Notes to Consolidated Financial Statements (Unaudited)</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for share and per share amounts)</w:t>
      </w:r>
    </w:p>
    <w:p>
      <w:pPr>
        <w:pStyle w:val="TextBody"/>
        <w:bidi w:val="0"/>
        <w:spacing w:before="200" w:after="283"/>
        <w:jc w:val="left"/>
        <w:rPr>
          <w:rFonts w:ascii="Times New Roman" w:hAnsi="Times New Roman"/>
          <w:b/>
          <w:color w:val="000000"/>
          <w:sz w:val="18"/>
        </w:rPr>
      </w:pPr>
      <w:r>
        <w:rPr>
          <w:rFonts w:ascii="Times New Roman" w:hAnsi="Times New Roman"/>
          <w:b/>
          <w:color w:val="000000"/>
          <w:sz w:val="18"/>
        </w:rPr>
        <w:t>Note 1. Nature of Business and Basis of Presentation</w:t>
      </w:r>
    </w:p>
    <w:p>
      <w:pPr>
        <w:pStyle w:val="TextBody"/>
        <w:bidi w:val="0"/>
        <w:spacing w:before="200" w:after="283"/>
        <w:jc w:val="left"/>
        <w:rPr>
          <w:rFonts w:ascii="Times New Roman" w:hAnsi="Times New Roman"/>
          <w:sz w:val="20"/>
        </w:rPr>
      </w:pPr>
      <w:r>
        <w:rPr>
          <w:rFonts w:ascii="Times New Roman" w:hAnsi="Times New Roman"/>
          <w:b w:val="false"/>
          <w:color w:val="000000"/>
          <w:sz w:val="18"/>
        </w:rPr>
        <w:t>Axsome Therapeutics, Inc. (“Axsome” or the “Company”) is a biopharmaceutical company developing and delivering novel therapies for central nervous system (“CNS”) conditions that have limited treatment options. By focusing on this therapeutic area, the Company is addressing significant and growing markets where current treatment options are limited or inadequate. The Company was incorporated on January 12, 2012 in the State of Delaware. The Company aims to become a fully integrated biopharmaceutical company that develops and commercializes differentiated therapies that expand the treatment options available to caregivers and improve the lives of patients living with CNS disorders. The Company’s CNS portfolio includes three</w:t>
      </w:r>
      <w:r>
        <w:rPr>
          <w:rFonts w:ascii="Times New Roman" w:hAnsi="Times New Roman"/>
          <w:color w:val="000000"/>
          <w:sz w:val="20"/>
        </w:rPr>
        <w:t xml:space="preserve"> </w:t>
      </w:r>
      <w:r>
        <w:rPr>
          <w:rFonts w:ascii="Times New Roman" w:hAnsi="Times New Roman"/>
          <w:b w:val="false"/>
          <w:color w:val="000000"/>
          <w:sz w:val="18"/>
        </w:rPr>
        <w:t>not yet approved product candidates, AXS-07, AXS-12, and AXS-14, which are being developed for multiple indications, and two</w:t>
      </w:r>
      <w:r>
        <w:rPr>
          <w:rFonts w:ascii="Times New Roman" w:hAnsi="Times New Roman"/>
          <w:color w:val="000000"/>
          <w:sz w:val="20"/>
        </w:rPr>
        <w:t xml:space="preserve"> </w:t>
      </w:r>
      <w:r>
        <w:rPr>
          <w:rFonts w:ascii="Times New Roman" w:hAnsi="Times New Roman"/>
          <w:b w:val="false"/>
          <w:color w:val="000000"/>
          <w:sz w:val="18"/>
        </w:rPr>
        <w:t>approved products - Auvelity® (the components of which are referred to as “AXS-05”), and Sunosi® - both of which are also being developed for further indications. The Company refers herein to Sunosi, Auvelity, AXS-07, AXS-12, AXS-14, and its programs to develop additional indications for AXS-05 and solriamfetol, as the Company’s products.</w:t>
      </w:r>
    </w:p>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The Company acquired the U.S. rights to Sunosi from Jazz Pharmaceuticals plc (“Jazz”) in May 2022 and worldwide ex-U.S. rights (excluding certain Asian markets) from Jazz in November 2022. Sunosi is a product approved by FDA and marketed in the U.S. to improve wakefulness in adult patients with excessive daytime sleepiness (“EDS”) associated with narcolepsy or obstructive sleep apnea. Sunosi was approved in Europe in January 2020 by the European Commission. In February 2023, the Company announced a licensing transaction with Atnahs Pharma UK Limited (“Pharmanovia”) to market Sunosi in Europe and certain countries in the Middle East / North Africa.</w:t>
      </w:r>
    </w:p>
    <w:p>
      <w:pPr>
        <w:pStyle w:val="TextBody"/>
        <w:bidi w:val="0"/>
        <w:spacing w:before="200" w:after="283"/>
        <w:jc w:val="left"/>
        <w:rPr>
          <w:rFonts w:ascii="Times New Roman" w:hAnsi="Times New Roman"/>
          <w:sz w:val="20"/>
        </w:rPr>
      </w:pPr>
      <w:r>
        <w:rPr>
          <w:rFonts w:ascii="Times New Roman" w:hAnsi="Times New Roman"/>
          <w:b w:val="false"/>
          <w:color w:val="000000"/>
          <w:sz w:val="18"/>
        </w:rPr>
        <w:t>In August 2022, the Company announced the FDA approval of Auvelity, and in October 2022, the U.S. commercial availability of Auvelity for the treatment of major depressive disorder in adults.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2022 filed with the SEC on February 28, 2023.</w:t>
      </w:r>
    </w:p>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nine months ended September 30, 2023 are not necessarily indicative of the operating results for the full fiscal year or any future period.</w:t>
      </w:r>
    </w:p>
    <w:p>
      <w:pPr>
        <w:pStyle w:val="TextBody"/>
        <w:bidi w:val="0"/>
        <w:spacing w:before="200" w:after="283"/>
        <w:jc w:val="left"/>
        <w:rPr>
          <w:rFonts w:ascii="Times New Roman" w:hAnsi="Times New Roman"/>
          <w:b/>
          <w:color w:val="000000"/>
          <w:sz w:val="18"/>
        </w:rPr>
      </w:pPr>
      <w:r>
        <w:rPr>
          <w:rFonts w:ascii="Times New Roman" w:hAnsi="Times New Roman"/>
          <w:b/>
          <w:color w:val="000000"/>
          <w:sz w:val="18"/>
        </w:rPr>
        <w:t>Liquidity and Capital Resources</w:t>
      </w:r>
    </w:p>
    <w:p>
      <w:pPr>
        <w:pStyle w:val="TextBody"/>
        <w:bidi w:val="0"/>
        <w:spacing w:before="200" w:after="283"/>
        <w:jc w:val="left"/>
        <w:rPr>
          <w:rFonts w:ascii="Times New Roman" w:hAnsi="Times New Roman"/>
          <w:sz w:val="20"/>
        </w:rPr>
      </w:pPr>
      <w:r>
        <w:rPr>
          <w:rFonts w:ascii="Times New Roman" w:hAnsi="Times New Roman"/>
          <w:b w:val="false"/>
          <w:color w:val="000000"/>
          <w:sz w:val="18"/>
        </w:rPr>
        <w:t>The Company has incurred operating losses since its inception and expects to continue to incur operating losses for the foreseeable future and may never become profitable. As of September 30, 2023, the Company had an accumulated deficit of $736.9</w:t>
      </w:r>
      <w:r>
        <w:rPr>
          <w:rFonts w:ascii="Times New Roman" w:hAnsi="Times New Roman"/>
          <w:color w:val="000000"/>
          <w:sz w:val="20"/>
        </w:rPr>
        <w:t xml:space="preserve"> </w:t>
      </w:r>
      <w:r>
        <w:rPr>
          <w:rFonts w:ascii="Times New Roman" w:hAnsi="Times New Roman"/>
          <w:b w:val="false"/>
          <w:color w:val="000000"/>
          <w:sz w:val="18"/>
        </w:rPr>
        <w:t>million.</w:t>
      </w:r>
    </w:p>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The Company’s primary sources of cash have been proceeds from the sales of Sunosi and Auvelity,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begins to generate revenues from its product candidates.</w:t>
      </w:r>
    </w:p>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Sunosi and Auvelity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pStyle w:val="TextBody"/>
        <w:bidi w:val="0"/>
        <w:spacing w:before="200" w:after="283"/>
        <w:jc w:val="left"/>
        <w:rPr>
          <w:rFonts w:ascii="Times New Roman" w:hAnsi="Times New Roman"/>
          <w:sz w:val="20"/>
        </w:rPr>
      </w:pPr>
      <w:r>
        <w:rPr>
          <w:rFonts w:ascii="Times New Roman" w:hAnsi="Times New Roman"/>
          <w:b w:val="false"/>
          <w:color w:val="000000"/>
          <w:sz w:val="18"/>
        </w:rPr>
        <w:t>The Company’s common stock is listed on The Nasdaq Global Market</w:t>
      </w:r>
      <w:r>
        <w:rPr>
          <w:rFonts w:ascii="Times New Roman" w:hAnsi="Times New Roman"/>
          <w:color w:val="000000"/>
          <w:sz w:val="20"/>
        </w:rPr>
        <w:t xml:space="preserve"> </w:t>
      </w:r>
      <w:r>
        <w:rPr>
          <w:rFonts w:ascii="Times New Roman" w:hAnsi="Times New Roman"/>
          <w:b w:val="false"/>
          <w:color w:val="000000"/>
          <w:sz w:val="18"/>
        </w:rPr>
        <w:t>and trades under the symbol “AXSM.”</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Note 2. Summary of Significant Accounting Policies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Significant Risks and Uncertainties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the Company’s ability to negotiate favorable licensing or other manufacturing and marketing agreements for its products; and the Company’s ability to raise additional financing. If the Company's commercialization of its products is not financially successful, it will be unable to generate sufficient recurring product revenue to achieve and maintain profitability.</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 currently has two commercially approved products, Auvelity and Sunosi, and there can be no assurance that the Company’s research and development efforts will result in successfully commercialized products in addition to Auvelity and Sunosi.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Use of Estimates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noBreakHyphen/>
        <w:t>based compensation expense; the determination of the fair value of the warrants; the accounting for research and development costs; accounting for acquisitions; impairments of goodwill and intangible assets; contingent consideration; chargebacks, cash discounts, sales rebates, returns and other adjustments; and the recoverability of the Company’s net deferred tax assets and related valuation allowance.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Revenue Recognition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accordance with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(below) and Note 14 - Revenues.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License Agreements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For arrangements that include sales-based royalties, including sales-based milestone payments,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Product Sales, net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 sells Sunosi and Auvelity in the United States through wholesale distributors with whom the Company has entered into formal agreements for delivery to retail pharmacies (collectively the “Distributors”). The Company sells Sunosi internationally through local distributors for delivery primarily to retail pharmacies and hospitals. See Note 14 - Revenues for a further breakout of product sales, net, for the three and nine months ended September 30, 2023 and 2022.</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Reserves for Variable Consideration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i/>
          <w:color w:val="000000"/>
          <w:sz w:val="18"/>
        </w:rPr>
        <w:t>Trade Discounts and Allowances -</w:t>
      </w:r>
      <w:r>
        <w:rPr>
          <w:rFonts w:ascii="Times New Roman" w:hAnsi="Times New Roman"/>
          <w:color w:val="000000"/>
          <w:sz w:val="20"/>
        </w:rPr>
        <w:t xml:space="preserve"> </w:t>
      </w:r>
      <w:r>
        <w:rPr>
          <w:rFonts w:ascii="Times New Roman" w:hAnsi="Times New Roman"/>
          <w:b w:val="false"/>
          <w:color w:val="000000"/>
          <w:sz w:val="18"/>
        </w:rPr>
        <w:t>The Company generally provides discounts which include incentive fees that are explicitly stated in the Company’s contracts 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receivables, net on the consolidated balance sheets.</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Product Returns -</w:t>
      </w:r>
      <w:r>
        <w:rPr>
          <w:rFonts w:ascii="Times New Roman" w:hAnsi="Times New Roman"/>
          <w:color w:val="000000"/>
          <w:sz w:val="20"/>
        </w:rPr>
        <w:t xml:space="preserve"> </w:t>
      </w:r>
      <w:r>
        <w:rPr>
          <w:rFonts w:ascii="Times New Roman" w:hAnsi="Times New Roman"/>
          <w:b w:val="false"/>
          <w:color w:val="000000"/>
          <w:sz w:val="18"/>
        </w:rPr>
        <w:t>The Company generally offers a limited right of return for product that has been purchased from the Company based on the product’s expiration date. The Company estimates the amount of its product sales that may be returned and records this estimate as a reduction of revenue in the period the related product sales is recognized, as well as a component of accrued expense and other current liabilities. The Company currently estimates product return liabilities using available industry data, product sales information and actual returns experience.</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Chargebacks and Discounts -</w:t>
      </w:r>
      <w:r>
        <w:rPr>
          <w:rFonts w:ascii="Times New Roman" w:hAnsi="Times New Roman"/>
          <w:color w:val="000000"/>
          <w:sz w:val="20"/>
        </w:rPr>
        <w:t xml:space="preserve"> </w:t>
      </w:r>
      <w:r>
        <w:rPr>
          <w:rFonts w:ascii="Times New Roman" w:hAnsi="Times New Roman"/>
          <w:b w:val="false"/>
          <w:color w:val="000000"/>
          <w:sz w:val="18"/>
        </w:rPr>
        <w:t>Chargebacks for fees and discounts to providers represent the estimated obligations resulting from contractual commitments to sell 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receivables, net.</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Rebates -</w:t>
      </w:r>
      <w:r>
        <w:rPr>
          <w:rFonts w:ascii="Times New Roman" w:hAnsi="Times New Roman"/>
          <w:color w:val="000000"/>
          <w:sz w:val="20"/>
        </w:rPr>
        <w:t xml:space="preserve"> </w:t>
      </w:r>
      <w:r>
        <w:rPr>
          <w:rFonts w:ascii="Times New Roman" w:hAnsi="Times New Roman"/>
          <w:b w:val="false"/>
          <w:color w:val="000000"/>
          <w:sz w:val="18"/>
        </w:rPr>
        <w:t>Rebates apply to: Medicaid, managed care, and supplemental rebates to all applicable states as defined by the statutory government pricing calculation requirements under the Medicaid Drug Rebate Program. Tricare rebates to the TRICARE third-party administrator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The Company estimates these rebates and records such estimates in the same period the related product sales is recognized, resulting in a reduction to product sales as well as a component of accrued expense and other current liabilities.</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Coverage Gap -</w:t>
      </w:r>
      <w:r>
        <w:rPr>
          <w:rFonts w:ascii="Times New Roman" w:hAnsi="Times New Roman"/>
          <w:color w:val="000000"/>
          <w:sz w:val="20"/>
        </w:rPr>
        <w:t xml:space="preserve"> </w:t>
      </w:r>
      <w:r>
        <w:rPr>
          <w:rFonts w:ascii="Times New Roman" w:hAnsi="Times New Roman"/>
          <w:b w:val="false"/>
          <w:color w:val="000000"/>
          <w:sz w:val="18"/>
        </w:rPr>
        <w:t>The Medicare Part D coverage gap is a period of consumer payment for prescription medication costs which lies between the initial coverage limit and the catastrophic-coverage threshold, when the patient is a member of a Medicare Part D prescription-drug program administered by the Centers for Medicare &amp; Medicaid Services. The Company estimates the percentage of goods sold under Coverage Gap and adjusts the transaction price for such discount at the time of sale resulting in a reduction to product sales as well as a component of accrued expense and other current liabilities.</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Other Incentives -</w:t>
      </w:r>
      <w:r>
        <w:rPr>
          <w:rFonts w:ascii="Times New Roman" w:hAnsi="Times New Roman"/>
          <w:color w:val="000000"/>
          <w:sz w:val="20"/>
        </w:rPr>
        <w:t xml:space="preserve"> </w:t>
      </w:r>
      <w:r>
        <w:rPr>
          <w:rFonts w:ascii="Times New Roman" w:hAnsi="Times New Roman"/>
          <w:b w:val="false"/>
          <w:color w:val="000000"/>
          <w:sz w:val="18"/>
        </w:rPr>
        <w:t>Other incentives which the Company offers include voluntary patient assistance programs, such as the co-pay assistance 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adjustments are recorded in the same period the related revenue is recognized, resulting in a reduction of product sales as well as a component of accrued expense and other current liabilities.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License revenue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License revenue consists of the recognition of the upfront payment the Company received from Pharmanovia in February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Cost of revenue</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Company's cost of revenue consists of cost of product sales and a fee sharing expense related to the upfront license revenue received. Cost of product sales primarily include direct costs (inclusive of material, shipping, handling, and manufacturing costs), overhead and product royalties. Cost of product sales excludes depreciation and amortization. The cost of product sales for both Sunosi and Auvelity were $6.5</w:t>
      </w:r>
      <w:r>
        <w:rPr>
          <w:rFonts w:ascii="Times New Roman" w:hAnsi="Times New Roman"/>
          <w:color w:val="000000"/>
          <w:sz w:val="20"/>
        </w:rPr>
        <w:t xml:space="preserve"> </w:t>
      </w:r>
      <w:r>
        <w:rPr>
          <w:rFonts w:ascii="Times New Roman" w:hAnsi="Times New Roman"/>
          <w:b w:val="false"/>
          <w:color w:val="000000"/>
          <w:sz w:val="18"/>
        </w:rPr>
        <w:t>million and $18.7</w:t>
      </w:r>
      <w:r>
        <w:rPr>
          <w:rFonts w:ascii="Times New Roman" w:hAnsi="Times New Roman"/>
          <w:color w:val="000000"/>
          <w:sz w:val="20"/>
        </w:rPr>
        <w:t xml:space="preserve"> </w:t>
      </w:r>
      <w:r>
        <w:rPr>
          <w:rFonts w:ascii="Times New Roman" w:hAnsi="Times New Roman"/>
          <w:b w:val="false"/>
          <w:color w:val="000000"/>
          <w:sz w:val="18"/>
        </w:rPr>
        <w:t>million for the three and nine months ended September 30, 2023, respectively. In the first quarter of 2023, the Company recorded a $5.0</w:t>
      </w:r>
      <w:r>
        <w:rPr>
          <w:rFonts w:ascii="Times New Roman" w:hAnsi="Times New Roman"/>
          <w:color w:val="000000"/>
          <w:sz w:val="20"/>
        </w:rPr>
        <w:t xml:space="preserve"> </w:t>
      </w:r>
      <w:r>
        <w:rPr>
          <w:rFonts w:ascii="Times New Roman" w:hAnsi="Times New Roman"/>
          <w:b w:val="false"/>
          <w:color w:val="000000"/>
          <w:sz w:val="18"/>
        </w:rPr>
        <w:t>million fee sharing expense related to the upfront license revenue received. Cost of product sales, which only related to sales of Sunosi, was approximately $1.9</w:t>
      </w:r>
      <w:r>
        <w:rPr>
          <w:rFonts w:ascii="Times New Roman" w:hAnsi="Times New Roman"/>
          <w:color w:val="000000"/>
          <w:sz w:val="20"/>
        </w:rPr>
        <w:t xml:space="preserve"> </w:t>
      </w:r>
      <w:r>
        <w:rPr>
          <w:rFonts w:ascii="Times New Roman" w:hAnsi="Times New Roman"/>
          <w:b w:val="false"/>
          <w:color w:val="000000"/>
          <w:sz w:val="18"/>
        </w:rPr>
        <w:t>million and $2.9</w:t>
      </w:r>
      <w:r>
        <w:rPr>
          <w:rFonts w:ascii="Times New Roman" w:hAnsi="Times New Roman"/>
          <w:color w:val="000000"/>
          <w:sz w:val="20"/>
        </w:rPr>
        <w:t xml:space="preserve"> </w:t>
      </w:r>
      <w:r>
        <w:rPr>
          <w:rFonts w:ascii="Times New Roman" w:hAnsi="Times New Roman"/>
          <w:b w:val="false"/>
          <w:color w:val="000000"/>
          <w:sz w:val="18"/>
        </w:rPr>
        <w:t>million for the three and nine months ended September 30, 2022. There were no</w:t>
      </w:r>
      <w:r>
        <w:rPr>
          <w:rFonts w:ascii="Times New Roman" w:hAnsi="Times New Roman"/>
          <w:color w:val="000000"/>
          <w:sz w:val="20"/>
        </w:rPr>
        <w:t xml:space="preserve"> </w:t>
      </w:r>
      <w:r>
        <w:rPr>
          <w:rFonts w:ascii="Times New Roman" w:hAnsi="Times New Roman"/>
          <w:b w:val="false"/>
          <w:color w:val="000000"/>
          <w:sz w:val="18"/>
        </w:rPr>
        <w:t>cost of product sales for Auvelity in three or nine months ended September 30, 2022, as the product was launched in the fourth quarter of 2022.</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Company assumed royalty and sales-based milestone commitments of Jazz to SK Biopharmaceuticals Co. Ltd. (“SK”) and Aerial Biopharma, LLC (“Aerial”). SK is the originator of Sunosi and retains rights in 12</w:t>
      </w:r>
      <w:r>
        <w:rPr>
          <w:rFonts w:ascii="Times New Roman" w:hAnsi="Times New Roman"/>
          <w:color w:val="000000"/>
          <w:sz w:val="20"/>
        </w:rPr>
        <w:t xml:space="preserve"> </w:t>
      </w:r>
      <w:r>
        <w:rPr>
          <w:rFonts w:ascii="Times New Roman" w:hAnsi="Times New Roman"/>
          <w:b w:val="false"/>
          <w:color w:val="000000"/>
          <w:sz w:val="18"/>
        </w:rPr>
        <w:t>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$165</w:t>
      </w:r>
      <w:r>
        <w:rPr>
          <w:rFonts w:ascii="Times New Roman" w:hAnsi="Times New Roman"/>
          <w:color w:val="000000"/>
          <w:sz w:val="20"/>
        </w:rPr>
        <w:t xml:space="preserve"> </w:t>
      </w:r>
      <w:r>
        <w:rPr>
          <w:rFonts w:ascii="Times New Roman" w:hAnsi="Times New Roman"/>
          <w:b w:val="false"/>
          <w:color w:val="000000"/>
          <w:sz w:val="18"/>
        </w:rPr>
        <w:t>million based on revenue milestones and $1</w:t>
      </w:r>
      <w:r>
        <w:rPr>
          <w:rFonts w:ascii="Times New Roman" w:hAnsi="Times New Roman"/>
          <w:color w:val="000000"/>
          <w:sz w:val="20"/>
        </w:rPr>
        <w:t xml:space="preserve"> </w:t>
      </w:r>
      <w:r>
        <w:rPr>
          <w:rFonts w:ascii="Times New Roman" w:hAnsi="Times New Roman"/>
          <w:b w:val="false"/>
          <w:color w:val="000000"/>
          <w:sz w:val="18"/>
        </w:rPr>
        <w:t>million based on development milestones. Additionally, the Company pays a royalty to Antecip Bioventures II LLC (“Antecip”), an entity owned by Axsome’s Chief Executive Officer and Chairman of the Board, Herriot Tabuteau, M.D., equal to 3.0% of Auvelity net sales.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Foreign Currency Translation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Segment and Geographic Information</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w:t>
      </w:r>
      <w:r>
        <w:rPr>
          <w:rFonts w:ascii="Times New Roman" w:hAnsi="Times New Roman"/>
          <w:color w:val="000000"/>
          <w:sz w:val="20"/>
        </w:rPr>
        <w:t xml:space="preserve"> </w:t>
      </w:r>
      <w:r>
        <w:rPr>
          <w:rFonts w:ascii="Times New Roman" w:hAnsi="Times New Roman"/>
          <w:b w:val="false"/>
          <w:color w:val="000000"/>
          <w:sz w:val="18"/>
        </w:rPr>
        <w:t>operating segment and reporting unit, which is the business of developing and delivering novel therapies for the management of CNS disorders.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Cash Equivalents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September 30, 2023, the balance of cash and cash equivalents was $416.6</w:t>
      </w:r>
      <w:r>
        <w:rPr>
          <w:rFonts w:ascii="Times New Roman" w:hAnsi="Times New Roman"/>
          <w:color w:val="000000"/>
          <w:sz w:val="20"/>
        </w:rPr>
        <w:t xml:space="preserve"> </w:t>
      </w:r>
      <w:r>
        <w:rPr>
          <w:rFonts w:ascii="Times New Roman" w:hAnsi="Times New Roman"/>
          <w:b w:val="false"/>
          <w:color w:val="000000"/>
          <w:sz w:val="18"/>
        </w:rPr>
        <w:t>million, which approximates fair value and was determined based upon Level 1 inputs. The sweep account is valued using quoted market prices with no valuation adjustments applied. Accordingly, these securities are categorized as Level 1.</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Concentration of Risk</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Concentration of Credit Risk</w:t>
      </w:r>
      <w:r>
        <w:rPr>
          <w:rFonts w:ascii="Times New Roman" w:hAnsi="Times New Roman"/>
          <w:color w:val="000000"/>
          <w:sz w:val="20"/>
        </w:rPr>
        <w:t xml:space="preserve"> </w:t>
      </w:r>
      <w:r>
        <w:rPr>
          <w:rFonts w:ascii="Times New Roman" w:hAnsi="Times New Roman"/>
          <w:b w:val="false"/>
          <w:color w:val="000000"/>
          <w:sz w:val="18"/>
        </w:rPr>
        <w:t>- Financial instruments that potentially subject the Company to a concentration of credit risk consist of cash and cash equivalents. The Company maintains its cash at financial institutions which exceed insured limits. At September 30, 2023, the majority of the Company’s cash was held by two</w:t>
      </w:r>
      <w:r>
        <w:rPr>
          <w:rFonts w:ascii="Times New Roman" w:hAnsi="Times New Roman"/>
          <w:color w:val="000000"/>
          <w:sz w:val="20"/>
        </w:rPr>
        <w:t xml:space="preserve"> </w:t>
      </w:r>
      <w:r>
        <w:rPr>
          <w:rFonts w:ascii="Times New Roman" w:hAnsi="Times New Roman"/>
          <w:b w:val="false"/>
          <w:color w:val="000000"/>
          <w:sz w:val="18"/>
        </w:rPr>
        <w:t>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Accounts Receivables, net below for further information.</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 xml:space="preserve">Concentration of Risk, Other </w:t>
      </w:r>
      <w:r>
        <w:rPr>
          <w:rFonts w:ascii="Times New Roman" w:hAnsi="Times New Roman"/>
          <w:b w:val="false"/>
          <w:color w:val="000000"/>
          <w:sz w:val="18"/>
        </w:rPr>
        <w:t>- We have a limited number of contract manufacturers for our products. At times we may have only one manufacturer or supplier for a product.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Business Combination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 accounted for the Sunosi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the intangible asset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As a result of the acquisition of Sunosi from Jazz, the Company recorded goodwill and an intangible asset.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Goodwill</w:t>
        <w:br/>
      </w:r>
      <w:r>
        <w:rPr>
          <w:rFonts w:ascii="Times New Roman" w:hAnsi="Times New Roman"/>
          <w:color w:val="000000"/>
          <w:sz w:val="20"/>
        </w:rPr>
        <w:t> </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Goodwill is deemed to have an indefinite life and therefore not amortized. The Company tests the carrying amounts of goodwill for recoverability on an annual basis or more frequently if events or changes in circumstances indicate that the asset might be impaired. The Company performs a one-step test in its evaluation of the carrying value of goodwill if qualitative factors determine it is necessary to complete a goodwill impairment test. In the evaluation,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intends to complete its annual goodwill assessment in the fourth quarter. As of September 30, 2023, the Company has determined that it has one</w:t>
      </w:r>
      <w:r>
        <w:rPr>
          <w:rFonts w:ascii="Times New Roman" w:hAnsi="Times New Roman"/>
          <w:color w:val="000000"/>
          <w:sz w:val="20"/>
        </w:rPr>
        <w:t xml:space="preserve"> </w:t>
      </w:r>
      <w:r>
        <w:rPr>
          <w:rFonts w:ascii="Times New Roman" w:hAnsi="Times New Roman"/>
          <w:b w:val="false"/>
          <w:color w:val="000000"/>
          <w:sz w:val="18"/>
        </w:rPr>
        <w:t>reporting unit. The Company has not identified any events or changes in circumstances that indicate the existence of potential impairment of goodwill during the nine months ended September 30, 2023.</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Intangible Asset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Company's intangible asset is amortized using the straight-line method over its estimated period of benefit of ten years. The Company evaluates the recoverability of the intangible asset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the intangible asset during the nine months ended September 30, 2023.</w:t>
      </w:r>
    </w:p>
    <w:p>
      <w:pPr>
        <w:pStyle w:val="TextBody"/>
        <w:bidi w:val="0"/>
        <w:spacing w:before="240" w:after="283"/>
        <w:jc w:val="both"/>
        <w:rPr>
          <w:rFonts w:ascii="Times New Roman" w:hAnsi="Times New Roman"/>
          <w:b/>
          <w:color w:val="000000"/>
          <w:sz w:val="18"/>
        </w:rPr>
      </w:pPr>
      <w:r>
        <w:rPr>
          <w:rFonts w:ascii="Times New Roman" w:hAnsi="Times New Roman"/>
          <w:b/>
          <w:color w:val="000000"/>
          <w:sz w:val="18"/>
        </w:rPr>
        <w:t>Contingent Consideration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estimated future cash outflows based on future sales. Contingent consideration liabilities expected to be settled within 12 months after the balance sheet date are presented in current liabilities, with the non-current portion recorded within total liabilities in the consolidated balance sheets.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Fair Value Measurements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noBreakHyphen/>
        <w:t>level fair value hierarchy that prioritizes the inputs used to measure fair value. This hierarchy maximizes the use of observable inputs and minimizes the use of unobservable inputs. The three levels of inputs used to measure fair value are as follows: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Level 1—Quoted prices in active markets for identical assets or liabilities that the Company has the ability to access at the measurement date.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Level 2—Inputs other than quoted prices in active markets that are observable for the asset or liability, either directly or indirectly.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Level 3—Unobservable inputs for which there is little or no market data, which require the reporting entity to develop its own assumptions.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Company’s financial instruments are cash and cash equivalents, accounts receivable, accounts payable, accrued liabilities, contingent warrant liability, current and long-term debt, and current and non-current contingent consideration. The carrying values for cash, accounts payable and accrued liabilities reported in the accompanying consolidated financial statements approximate their respective fair values due to their short-term maturities, and therefore, are considered Level 1 within the fair value hierarchy. The carrying value of debt on the Company’s balance sheet is estimated to approximate its fair value. The Company estimated the fair value of the warrant liabilities using the Black-Scholes model based on key assumption and inputs. The Company utilizes a probability assessment to estimate the likelihood of vesting for the remaining Loan Agreement warrants and allocated the probability of occurrence percentage to the fair values calculated, and therefore, is considered Level 3 within the fair value hierarchy. The Company accounts for warrants anticipated to be issued in the future under the Loan Agreement as liabilities and measures them at fair value using the Black-Scholes valuation model. The warrants are subject to remeasurement at each prospective balance sheet date, with any changes in the fair value recorded in the consolidated statements of operations.</w:t>
      </w:r>
    </w:p>
    <w:p>
      <w:pPr>
        <w:pStyle w:val="TextBody"/>
        <w:bidi w:val="0"/>
        <w:spacing w:before="240" w:after="283"/>
        <w:jc w:val="left"/>
        <w:rPr>
          <w:rFonts w:ascii="Times New Roman" w:hAnsi="Times New Roman"/>
          <w:sz w:val="20"/>
        </w:rPr>
      </w:pPr>
      <w:r>
        <w:rPr>
          <w:rFonts w:ascii="Times New Roman" w:hAnsi="Times New Roman"/>
          <w:b/>
          <w:color w:val="000000"/>
          <w:sz w:val="18"/>
        </w:rPr>
        <w:t>Accounts Receivable, net</w:t>
      </w:r>
      <w:r>
        <w:rPr>
          <w:rFonts w:ascii="Times New Roman" w:hAnsi="Times New Roman"/>
          <w:b w:val="false"/>
          <w:color w:val="000000"/>
          <w:sz w:val="18"/>
        </w:rPr>
        <w:br/>
      </w:r>
      <w:r>
        <w:rPr>
          <w:rFonts w:ascii="Times New Roman" w:hAnsi="Times New Roman"/>
          <w:color w:val="000000"/>
          <w:sz w:val="20"/>
        </w:rPr>
        <w:t>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Company’s accounts receivable, net, arise from product sales. They are generally stated at the invoiced amount and do not bear interest. Accounts receivable allowances result from chargebacks, prompt pay discounts, and distribution fees. Payment terms are typically 60 days or less.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Company monitors the financial performance and creditworthiness of its customers so that it can properly assess and respond to changes in the customers’ credit profiles. During the first quarter of 2023, the Company began distributing products through wholesale customers.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Based on its assessment, as of September 30, 2023, the Company has not recorded any allowances for doubtful accounts receivable. Receivables from the Company's three</w:t>
      </w:r>
      <w:r>
        <w:rPr>
          <w:rFonts w:ascii="Times New Roman" w:hAnsi="Times New Roman"/>
          <w:color w:val="000000"/>
          <w:sz w:val="20"/>
        </w:rPr>
        <w:t xml:space="preserve"> </w:t>
      </w:r>
      <w:r>
        <w:rPr>
          <w:rFonts w:ascii="Times New Roman" w:hAnsi="Times New Roman"/>
          <w:b w:val="false"/>
          <w:color w:val="000000"/>
          <w:sz w:val="18"/>
        </w:rPr>
        <w:t>largest customers totaled 37%, 29% and 27% of the Company's accounts receivable, net, balance as of September 30, 2023.</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Debt Issuance Costs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pStyle w:val="TextBody"/>
        <w:bidi w:val="0"/>
        <w:spacing w:before="240" w:after="283"/>
        <w:jc w:val="left"/>
        <w:rPr>
          <w:rFonts w:ascii="Times New Roman" w:hAnsi="Times New Roman"/>
          <w:sz w:val="20"/>
        </w:rPr>
      </w:pPr>
      <w:r>
        <w:rPr>
          <w:rFonts w:ascii="Times New Roman" w:hAnsi="Times New Roman"/>
          <w:b/>
          <w:color w:val="000000"/>
          <w:sz w:val="18"/>
        </w:rPr>
        <w:t>Inventory</w:t>
        <w:br/>
      </w:r>
      <w:r>
        <w:rPr>
          <w:rFonts w:ascii="Times New Roman" w:hAnsi="Times New Roman"/>
          <w:color w:val="000000"/>
          <w:sz w:val="20"/>
        </w:rPr>
        <w:t>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 values its inventories at the lower of average cost or estimated net realizable value. The remaining inventory associated with the Sunosi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cost of revenue.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Inventory levels are evaluated for amounts that would be sold within one year. If the level of inventory exceeds the estimated amount that would be sold beyond the next 12 months, the Company classifies the estimate of such inventory as non-current.</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Equipment, net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Equipment consists primarily of computer equipment and is recorded at cost. Equipment is depreciated on a straight</w:t>
        <w:noBreakHyphen/>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Research and Development Costs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Research and development costs are expensed as incurred. Research and development expenses consist primarily of employee-related expenses including salaries, benefits, travel, and stock</w:t>
        <w:noBreakHyphen/>
        <w:t>based compensation expense, contract services, costs incurred to third-party service providers for the conduct of research, preclinical and clinical studies, laboratory supplies, product license fees, consulting and other related expenses. Research, preclinical and clinical study expenses are estimated based on services performed, pursuant to contracts with third-party research and development organizations that conduct and manage research, preclinical and clinical activities on our behalf, including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accruals are adjusted accordingly. Payments associated with licensing agreements to acquire licenses to develop, use, manufacture and commercialize products that have not reached technological feasibility and do not have alternative future use are expensed as incurred. Payments made to third parties under these arrangements in advance of the performance of the related services by the third parties are recorded as prepaid expenses until the services are rendered.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Advertising Costs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Advertising costs are included in selling, general and administrative expenses and are expensed as incurred. The Company considers advertising costs as expenses related to the promotion of the Company's commercial products. For the three and nine months ended September 30, 2023, advertising costs were $28.1</w:t>
      </w:r>
      <w:r>
        <w:rPr>
          <w:rFonts w:ascii="Times New Roman" w:hAnsi="Times New Roman"/>
          <w:color w:val="000000"/>
          <w:sz w:val="20"/>
        </w:rPr>
        <w:t xml:space="preserve"> </w:t>
      </w:r>
      <w:r>
        <w:rPr>
          <w:rFonts w:ascii="Times New Roman" w:hAnsi="Times New Roman"/>
          <w:b w:val="false"/>
          <w:color w:val="000000"/>
          <w:sz w:val="18"/>
        </w:rPr>
        <w:t>million and $76.2</w:t>
      </w:r>
      <w:r>
        <w:rPr>
          <w:rFonts w:ascii="Times New Roman" w:hAnsi="Times New Roman"/>
          <w:color w:val="000000"/>
          <w:sz w:val="20"/>
        </w:rPr>
        <w:t xml:space="preserve"> </w:t>
      </w:r>
      <w:r>
        <w:rPr>
          <w:rFonts w:ascii="Times New Roman" w:hAnsi="Times New Roman"/>
          <w:b w:val="false"/>
          <w:color w:val="000000"/>
          <w:sz w:val="18"/>
        </w:rPr>
        <w:t>million, respectively. For the three and nine months ended September 30, 2022, advertising costs were $13.8</w:t>
      </w:r>
      <w:r>
        <w:rPr>
          <w:rFonts w:ascii="Times New Roman" w:hAnsi="Times New Roman"/>
          <w:color w:val="000000"/>
          <w:sz w:val="20"/>
        </w:rPr>
        <w:t xml:space="preserve"> </w:t>
      </w:r>
      <w:r>
        <w:rPr>
          <w:rFonts w:ascii="Times New Roman" w:hAnsi="Times New Roman"/>
          <w:b w:val="false"/>
          <w:color w:val="000000"/>
          <w:sz w:val="18"/>
        </w:rPr>
        <w:t>million and $32.3</w:t>
      </w:r>
      <w:r>
        <w:rPr>
          <w:rFonts w:ascii="Times New Roman" w:hAnsi="Times New Roman"/>
          <w:color w:val="000000"/>
          <w:sz w:val="20"/>
        </w:rPr>
        <w:t xml:space="preserve"> </w:t>
      </w:r>
      <w:r>
        <w:rPr>
          <w:rFonts w:ascii="Times New Roman" w:hAnsi="Times New Roman"/>
          <w:b w:val="false"/>
          <w:color w:val="000000"/>
          <w:sz w:val="18"/>
        </w:rPr>
        <w:t>million, respectively.</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Income Taxes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Company used the Annual Effective Tax Rate (“AETR”) approach of ASC 740-270, Interim Reporting, to calculate its 2023 interim tax provision and recorded an income tax expense for the nine months ended September 30, 2023</w:t>
      </w:r>
      <w:r>
        <w:rPr>
          <w:rFonts w:ascii="Times New Roman" w:hAnsi="Times New Roman"/>
          <w:color w:val="000000"/>
          <w:sz w:val="20"/>
        </w:rPr>
        <w:t xml:space="preserve"> </w:t>
      </w:r>
      <w:r>
        <w:rPr>
          <w:rFonts w:ascii="Times New Roman" w:hAnsi="Times New Roman"/>
          <w:b w:val="false"/>
          <w:color w:val="000000"/>
          <w:sz w:val="18"/>
        </w:rPr>
        <w:t>of $1.3</w:t>
      </w:r>
      <w:r>
        <w:rPr>
          <w:rFonts w:ascii="Times New Roman" w:hAnsi="Times New Roman"/>
          <w:color w:val="000000"/>
          <w:sz w:val="20"/>
        </w:rPr>
        <w:t xml:space="preserve"> </w:t>
      </w:r>
      <w:r>
        <w:rPr>
          <w:rFonts w:ascii="Times New Roman" w:hAnsi="Times New Roman"/>
          <w:b w:val="false"/>
          <w:color w:val="000000"/>
          <w:sz w:val="18"/>
        </w:rPr>
        <w:t>million.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September 30, 2023, the Company does not believe any material uncertain tax positions are present. In the event the Company determines that accrual of interest or penalties are necessary in the future, the amount will be presented as a component of income tax expense.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Stock-Based Compensation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For stock options issued, the Company estimates the grant date fair value of each option using the Black</w:t>
        <w:noBreakHyphen/>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adjusts expense for equity award forfeitures as they occur.</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For restricted stock units (“RSUs”), the Company issues them in the form of Company common stock. The fair market value of these awards is based on the market closing price per share on the grant date.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Company’s policy upon exercise of stock options and RSUs is that shares will be issued as new shares drawing on the Company’s 2015 Omnibus Incentive Compensation Plan share pool that was adopted by the stockholders in November 2015.</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Basic and Diluted Net Loss per Common Share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and RSUs, which would result in the issuance of incremental shares of common stock. As the impact of these items is anti-dilutive during periods of net loss, there was no difference between basic and diluted net loss per share of common stock for the three and nine months ended September 30, 2023 and 2022.</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Leases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interest rate when readily determinable and uses the Company’s incremental borrowing rate when the implicit rate is not readily determinable based upon the information available at the commencement date in determining the present value of the lease payments.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Company’s operating leases are reflected in the right-of-use operating asset; operating lease liability, current portion; and operating lease liability, long-term portion in the Company’s consolidated balance sheets. Lease expense for minimum lease payments is recognized on a straight-line basis over the lease term.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Recent Accounting Pronouncements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There have been no recent accounting standards updates that impact the Company's financial statements during the nine months ended September 30, 2023.</w:t>
      </w:r>
    </w:p>
    <w:p>
      <w:pPr>
        <w:pStyle w:val="TextBody"/>
        <w:bidi w:val="0"/>
        <w:spacing w:before="240" w:after="283"/>
        <w:jc w:val="left"/>
        <w:rPr>
          <w:rFonts w:ascii="Times New Roman" w:hAnsi="Times New Roman"/>
          <w:sz w:val="20"/>
        </w:rPr>
      </w:pPr>
      <w:r>
        <w:rPr>
          <w:rFonts w:ascii="Times New Roman" w:hAnsi="Times New Roman"/>
          <w:b/>
          <w:color w:val="000000"/>
          <w:sz w:val="20"/>
        </w:rPr>
        <w:t>Note 3</w:t>
      </w:r>
      <w:r>
        <w:rPr>
          <w:rFonts w:ascii="Times New Roman" w:hAnsi="Times New Roman"/>
          <w:b/>
          <w:color w:val="000000"/>
          <w:sz w:val="18"/>
        </w:rPr>
        <w:t>. Business Combination</w:t>
      </w:r>
    </w:p>
    <w:p>
      <w:pPr>
        <w:pStyle w:val="TextBody"/>
        <w:bidi w:val="0"/>
        <w:spacing w:before="200" w:after="283"/>
        <w:jc w:val="left"/>
        <w:rPr>
          <w:rFonts w:ascii="Times New Roman" w:hAnsi="Times New Roman"/>
          <w:sz w:val="20"/>
        </w:rPr>
      </w:pPr>
      <w:r>
        <w:rPr>
          <w:rFonts w:ascii="Times New Roman" w:hAnsi="Times New Roman"/>
          <w:b/>
          <w:color w:val="000000"/>
          <w:sz w:val="18"/>
        </w:rPr>
        <w:t>Acquisition of Assets of Jazz Pharmaceuticals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18"/>
        </w:rPr>
        <w:t>On March 25, 2022, the Company entered into an Asset Purchase Agreement (the “Purchase Agreement”) with Jazz, pursuant to which the Company was to acquire commercial and development rights with respect to Sunosi from Jazz (the “Acquisition”) in certain U.S. and ex-U.S. markets. The Acquisition occurred in two separate closings. The sale and purchase of Specified Initial Assets as defined and contemplated by the Purchase Agreement occurred on May 9, 2022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(“Final Closing” or “Ex-U.S. Closing”). The Company accounted for the Initial Closing as a business combination using the acquisition method of accounting, and the Company accounted for the Final Closing as an asset acquisition.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18"/>
        </w:rPr>
        <w:t>Under the terms of the Purchase Agreement, the Company received from Jazz worldwide commercial, development, manufacturing, and intellectual property rights to Sunosi, except for certain Asian markets. Jazz received from the Company a total upfront payment of $53</w:t>
      </w:r>
      <w:r>
        <w:rPr>
          <w:rFonts w:ascii="Times New Roman" w:hAnsi="Times New Roman"/>
          <w:color w:val="000000"/>
          <w:sz w:val="20"/>
        </w:rPr>
        <w:t xml:space="preserve"> </w:t>
      </w:r>
      <w:r>
        <w:rPr>
          <w:rFonts w:ascii="Times New Roman" w:hAnsi="Times New Roman"/>
          <w:b w:val="false"/>
          <w:color w:val="000000"/>
          <w:sz w:val="18"/>
        </w:rPr>
        <w:t>million. In addition, Jazz will receive a high single-digit royalty on the Company's U.S. net sales of Sunosi in the current indication, and a mid-single-digit royalty on the Company's U.S. net sales of Sunosi in future indications. The Company also assumed the commitments of Jazz to SK and Aerial. SK is the originator of Sunosi and retains rights in 12</w:t>
      </w:r>
      <w:r>
        <w:rPr>
          <w:rFonts w:ascii="Times New Roman" w:hAnsi="Times New Roman"/>
          <w:color w:val="000000"/>
          <w:sz w:val="20"/>
        </w:rPr>
        <w:t xml:space="preserve"> </w:t>
      </w:r>
      <w:r>
        <w:rPr>
          <w:rFonts w:ascii="Times New Roman" w:hAnsi="Times New Roman"/>
          <w:b w:val="false"/>
          <w:color w:val="000000"/>
          <w:sz w:val="18"/>
        </w:rPr>
        <w:t>Asian markets, including China, Korea, and Japan. In 2014, Jazz acquired from Aerial worldwide rights to Sunosi excluding those Asian markets as stated previously. The assumed commitments to SK and Aerial include single-digit tiered royalties based on the Company's sales of Sunosi, and additionally, the Company is committed to pay up to $165</w:t>
      </w:r>
      <w:r>
        <w:rPr>
          <w:rFonts w:ascii="Times New Roman" w:hAnsi="Times New Roman"/>
          <w:color w:val="000000"/>
          <w:sz w:val="20"/>
        </w:rPr>
        <w:t xml:space="preserve"> </w:t>
      </w:r>
      <w:r>
        <w:rPr>
          <w:rFonts w:ascii="Times New Roman" w:hAnsi="Times New Roman"/>
          <w:b w:val="false"/>
          <w:color w:val="000000"/>
          <w:sz w:val="18"/>
        </w:rPr>
        <w:t>million based on revenue milestones and $1</w:t>
      </w:r>
      <w:r>
        <w:rPr>
          <w:rFonts w:ascii="Times New Roman" w:hAnsi="Times New Roman"/>
          <w:color w:val="000000"/>
          <w:sz w:val="20"/>
        </w:rPr>
        <w:t xml:space="preserve"> </w:t>
      </w:r>
      <w:r>
        <w:rPr>
          <w:rFonts w:ascii="Times New Roman" w:hAnsi="Times New Roman"/>
          <w:b w:val="false"/>
          <w:color w:val="000000"/>
          <w:sz w:val="18"/>
        </w:rPr>
        <w:t>million based on development milestones. The Company financed the transaction via its existing term loan facility with Hercules Capital, Inc.</w:t>
      </w:r>
    </w:p>
    <w:p>
      <w:pPr>
        <w:pStyle w:val="TextBody"/>
        <w:bidi w:val="0"/>
        <w:spacing w:before="200" w:after="240"/>
        <w:jc w:val="left"/>
        <w:rPr>
          <w:rFonts w:ascii="Times New Roman" w:hAnsi="Times New Roman"/>
          <w:b w:val="false"/>
          <w:color w:val="000000"/>
          <w:sz w:val="18"/>
        </w:rPr>
      </w:pPr>
      <w:r>
        <w:rPr>
          <w:rFonts w:ascii="Times New Roman" w:hAnsi="Times New Roman"/>
          <w:b w:val="false"/>
          <w:color w:val="000000"/>
          <w:sz w:val="18"/>
        </w:rPr>
        <w:t>The purchase consideration consisted of the following:</w:t>
      </w:r>
    </w:p>
    <w:tbl>
      <w:tblPr>
        <w:tblW w:w="4596" w:type="dxa"/>
        <w:jc w:val="left"/>
        <w:tblInd w:w="0" w:type="dxa"/>
        <w:tblLayout w:type="fixed"/>
        <w:tblCellMar>
          <w:top w:w="28" w:type="dxa"/>
          <w:left w:w="28" w:type="dxa"/>
          <w:bottom w:w="28" w:type="dxa"/>
          <w:right w:w="28" w:type="dxa"/>
        </w:tblCellMar>
      </w:tblPr>
      <w:tblGrid>
        <w:gridCol w:w="3226"/>
        <w:gridCol w:w="146"/>
        <w:gridCol w:w="211"/>
        <w:gridCol w:w="676"/>
        <w:gridCol w:w="146"/>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at settlement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53,000</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40"/>
        <w:jc w:val="left"/>
        <w:rPr>
          <w:rFonts w:ascii="Times New Roman" w:hAnsi="Times New Roman"/>
          <w:b w:val="false"/>
          <w:color w:val="000000"/>
          <w:sz w:val="18"/>
        </w:rPr>
      </w:pPr>
      <w:r>
        <w:rPr>
          <w:rFonts w:ascii="Times New Roman" w:hAnsi="Times New Roman"/>
          <w:b w:val="false"/>
          <w:color w:val="000000"/>
          <w:sz w:val="18"/>
        </w:rPr>
        <w:t>The allocation of the fair value of the Sunosi acquisition is shown in the table below:</w:t>
      </w:r>
    </w:p>
    <w:tbl>
      <w:tblPr>
        <w:tblW w:w="10205" w:type="dxa"/>
        <w:jc w:val="left"/>
        <w:tblInd w:w="0" w:type="dxa"/>
        <w:tblLayout w:type="fixed"/>
        <w:tblCellMar>
          <w:top w:w="28" w:type="dxa"/>
          <w:left w:w="28" w:type="dxa"/>
          <w:bottom w:w="28" w:type="dxa"/>
          <w:right w:w="28" w:type="dxa"/>
        </w:tblCellMar>
      </w:tblPr>
      <w:tblGrid>
        <w:gridCol w:w="2487"/>
        <w:gridCol w:w="146"/>
        <w:gridCol w:w="740"/>
        <w:gridCol w:w="2380"/>
        <w:gridCol w:w="166"/>
        <w:gridCol w:w="146"/>
        <w:gridCol w:w="499"/>
        <w:gridCol w:w="1500"/>
        <w:gridCol w:w="166"/>
        <w:gridCol w:w="146"/>
        <w:gridCol w:w="349"/>
        <w:gridCol w:w="1119"/>
        <w:gridCol w:w="166"/>
        <w:gridCol w:w="195"/>
      </w:tblGrid>
      <w:tr>
        <w:trPr/>
        <w:tc>
          <w:tcPr>
            <w:tcW w:w="2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Recognized as of Acquisition Date (as previously reported)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Measurement Period Adjustments (1)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 Price Allocation</w:t>
            </w:r>
          </w:p>
        </w:tc>
        <w:tc>
          <w:tcPr>
            <w:tcW w:w="166" w:type="dxa"/>
            <w:tcBorders/>
            <w:shd w:fill="FFFFFF" w:val="cle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4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10,601</w:t>
            </w:r>
          </w:p>
        </w:tc>
        <w:tc>
          <w:tcPr>
            <w:tcW w:w="16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24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23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5,138</w:t>
            </w:r>
          </w:p>
        </w:tc>
        <w:tc>
          <w:tcPr>
            <w:tcW w:w="16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4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w:t>
            </w:r>
          </w:p>
        </w:tc>
        <w:tc>
          <w:tcPr>
            <w:tcW w:w="146"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left"/>
              <w:rPr/>
            </w:pPr>
            <w:r>
              <w:rPr/>
              <w:t> </w:t>
            </w:r>
          </w:p>
        </w:tc>
        <w:tc>
          <w:tcPr>
            <w:tcW w:w="23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pPr>
            <w:r>
              <w:rPr/>
              <w:t> </w:t>
            </w:r>
          </w:p>
        </w:tc>
        <w:tc>
          <w:tcPr>
            <w:tcW w:w="150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11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63,800</w:t>
            </w:r>
          </w:p>
        </w:tc>
        <w:tc>
          <w:tcPr>
            <w:tcW w:w="16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24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23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12,042</w:t>
            </w:r>
          </w:p>
        </w:tc>
        <w:tc>
          <w:tcPr>
            <w:tcW w:w="16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4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5" w:type="dxa"/>
            <w:tcBorders/>
            <w:shd w:fill="CFF0FC" w:val="clear"/>
            <w:vAlign w:val="center"/>
          </w:tcPr>
          <w:p>
            <w:pPr>
              <w:pStyle w:val="TableContents"/>
              <w:bidi w:val="0"/>
              <w:spacing w:before="0" w:after="283"/>
              <w:jc w:val="left"/>
              <w:rPr/>
            </w:pPr>
            <w:r>
              <w:rPr/>
              <w:t> </w:t>
            </w:r>
          </w:p>
        </w:tc>
      </w:tr>
      <w:tr>
        <w:trPr/>
        <w:tc>
          <w:tcPr>
            <w:tcW w:w="24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(1) The adjustment to goodwill resulted from rebates and returns during the post-acquisition period which were provisionally recorded as of the acquisition date.</w:t>
      </w:r>
    </w:p>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The net assets were recorded at their estimated fair value. In valuing acquired assets and liabilities, fair value estimates were based primarily on future expected cash flows, market rate assumptions for contractual obligations, and appropriate discount rates.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00" w:after="283"/>
        <w:jc w:val="left"/>
        <w:rPr>
          <w:rFonts w:ascii="Times New Roman" w:hAnsi="Times New Roman"/>
          <w:sz w:val="20"/>
        </w:rPr>
      </w:pPr>
      <w:r>
        <w:rPr>
          <w:rFonts w:ascii="Times New Roman" w:hAnsi="Times New Roman"/>
          <w:b w:val="false"/>
          <w:color w:val="000000"/>
          <w:sz w:val="18"/>
        </w:rPr>
        <w:t>Inventories acquired included raw materials, work in process and finished goods for Sunosi. Inventories were recorded at their estimated fair values categorized as Level 3. The fair value of finished goods was determined based on the estimated selling price, net of selling costs and a margin on the selling activities. The fair value of work in process was determined based on estimated selling price, net of selling costs and costs to complete the manufacturing, and a margin on the selling and manufacturing activities. The fair value of raw materials was estimated to equal the replacement cost. A step-up in the value of inventory of $1.1</w:t>
      </w:r>
      <w:r>
        <w:rPr>
          <w:rFonts w:ascii="Times New Roman" w:hAnsi="Times New Roman"/>
          <w:color w:val="000000"/>
          <w:sz w:val="20"/>
        </w:rPr>
        <w:t xml:space="preserve"> </w:t>
      </w:r>
      <w:r>
        <w:rPr>
          <w:rFonts w:ascii="Times New Roman" w:hAnsi="Times New Roman"/>
          <w:b w:val="false"/>
          <w:color w:val="000000"/>
          <w:sz w:val="18"/>
        </w:rPr>
        <w:t>million was originally recorded in connection with the Acquisition and is being amortized through cost of product sales as the underlying product is sold.</w:t>
      </w:r>
    </w:p>
    <w:p>
      <w:pPr>
        <w:pStyle w:val="TextBody"/>
        <w:bidi w:val="0"/>
        <w:spacing w:before="200" w:after="283"/>
        <w:jc w:val="left"/>
        <w:rPr>
          <w:rFonts w:ascii="Times New Roman" w:hAnsi="Times New Roman"/>
          <w:sz w:val="20"/>
        </w:rPr>
      </w:pPr>
      <w:r>
        <w:rPr>
          <w:rFonts w:ascii="Times New Roman" w:hAnsi="Times New Roman"/>
          <w:b w:val="false"/>
          <w:color w:val="000000"/>
          <w:sz w:val="18"/>
        </w:rPr>
        <w:t>Other current assets acquired were sample inventory and the rebates for Sunosi sales by the Company after the Initial Closing to be covered by Jazz.</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18"/>
        </w:rPr>
        <w:t>The intangible asset is acquired developed technology. Fair value was determined by applying the income approach, which recognizes that the fair value of an asset is premised upon the expected receipt of future economic benefits such as earnings and cash inflows based on current sales projections and estimated direct costs, using a discount rate of 43.5% that reflects the return requirements of the market. The intangible asset is being amortized over an estimated useful life of 10</w:t>
      </w:r>
      <w:r>
        <w:rPr>
          <w:rFonts w:ascii="Times New Roman" w:hAnsi="Times New Roman"/>
          <w:color w:val="000000"/>
          <w:sz w:val="20"/>
        </w:rPr>
        <w:t xml:space="preserve"> </w:t>
      </w:r>
      <w:r>
        <w:rPr>
          <w:rFonts w:ascii="Times New Roman" w:hAnsi="Times New Roman"/>
          <w:b w:val="false"/>
          <w:color w:val="000000"/>
          <w:sz w:val="18"/>
        </w:rPr>
        <w:t>years.</w:t>
      </w:r>
    </w:p>
    <w:p>
      <w:pPr>
        <w:pStyle w:val="TextBody"/>
        <w:bidi w:val="0"/>
        <w:spacing w:before="200" w:after="283"/>
        <w:jc w:val="left"/>
        <w:rPr>
          <w:rFonts w:ascii="Times New Roman" w:hAnsi="Times New Roman"/>
          <w:sz w:val="20"/>
        </w:rPr>
      </w:pPr>
      <w:r>
        <w:rPr>
          <w:rFonts w:ascii="Times New Roman" w:hAnsi="Times New Roman"/>
          <w:b w:val="false"/>
          <w:color w:val="000000"/>
          <w:sz w:val="18"/>
        </w:rPr>
        <w:t>Goodwill is considered an indefinite-lived asset and relates primarily to intangible assets that do not qualify for separate recognition, such as the assembled workforce and synergies between the entities. The Company expects that the entire amount of the purchase price allocated to goodwill will be deductible for U.S. income tax purposes over a 15-year</w:t>
      </w:r>
      <w:r>
        <w:rPr>
          <w:rFonts w:ascii="Times New Roman" w:hAnsi="Times New Roman"/>
          <w:color w:val="000000"/>
          <w:sz w:val="20"/>
        </w:rPr>
        <w:t xml:space="preserve"> </w:t>
      </w:r>
      <w:r>
        <w:rPr>
          <w:rFonts w:ascii="Times New Roman" w:hAnsi="Times New Roman"/>
          <w:b w:val="false"/>
          <w:color w:val="000000"/>
          <w:sz w:val="18"/>
        </w:rPr>
        <w:t>period.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18"/>
        </w:rPr>
        <w:t>Accrued expense and other current liabilities acquired were the Company's assumed sales returns liability for Sunosi after the transaction close date related to Sunosi sales recorded by Jazz prior to the Initial Closing.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Pro Forma Consolidated Financial Information (Unaudited)</w:t>
      </w:r>
    </w:p>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The following unaudited pro forma summary presents consolidated information of the Company, including Sunosi, as if the business combination had occurred on January 1, 2022, the earliest period presented herein:</w:t>
      </w:r>
    </w:p>
    <w:tbl>
      <w:tblPr>
        <w:tblW w:w="4123" w:type="dxa"/>
        <w:jc w:val="left"/>
        <w:tblInd w:w="0" w:type="dxa"/>
        <w:tblLayout w:type="fixed"/>
        <w:tblCellMar>
          <w:top w:w="28" w:type="dxa"/>
          <w:left w:w="28" w:type="dxa"/>
          <w:bottom w:w="28" w:type="dxa"/>
          <w:right w:w="28" w:type="dxa"/>
        </w:tblCellMar>
      </w:tblPr>
      <w:tblGrid>
        <w:gridCol w:w="1171"/>
        <w:gridCol w:w="146"/>
        <w:gridCol w:w="520"/>
        <w:gridCol w:w="2075"/>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revenues</w:t>
            </w:r>
          </w:p>
        </w:tc>
        <w:tc>
          <w:tcPr>
            <w:tcW w:w="146"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49,694</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2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(153,625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Note 4. Accounts receivable, net</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As of September 30, 2023 and December 31, 2022, accounts receivable, net, consisted of the following:</w:t>
      </w:r>
    </w:p>
    <w:p>
      <w:pPr>
        <w:pStyle w:val="TextBody"/>
        <w:bidi w:val="0"/>
        <w:jc w:val="left"/>
        <w:rPr/>
      </w:pPr>
      <w:r>
        <w:rPr/>
        <w:t> </w:t>
      </w:r>
    </w:p>
    <w:tbl>
      <w:tblPr>
        <w:tblW w:w="6561" w:type="dxa"/>
        <w:jc w:val="left"/>
        <w:tblInd w:w="0" w:type="dxa"/>
        <w:tblLayout w:type="fixed"/>
        <w:tblCellMar>
          <w:top w:w="28" w:type="dxa"/>
          <w:left w:w="28" w:type="dxa"/>
          <w:bottom w:w="28" w:type="dxa"/>
          <w:right w:w="28" w:type="dxa"/>
        </w:tblCellMar>
      </w:tblPr>
      <w:tblGrid>
        <w:gridCol w:w="3511"/>
        <w:gridCol w:w="146"/>
        <w:gridCol w:w="271"/>
        <w:gridCol w:w="869"/>
        <w:gridCol w:w="166"/>
        <w:gridCol w:w="146"/>
        <w:gridCol w:w="260"/>
        <w:gridCol w:w="835"/>
        <w:gridCol w:w="166"/>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Trade receivables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88,387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46,796</w:t>
            </w:r>
          </w:p>
        </w:tc>
        <w:tc>
          <w:tcPr>
            <w:tcW w:w="16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Reserves for Variable Consideration</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78,415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Note 5. Inventory</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As of September 30, 2023 and December 31, 2022, inventory consisted of the following:</w:t>
      </w:r>
    </w:p>
    <w:p>
      <w:pPr>
        <w:pStyle w:val="TextBody"/>
        <w:bidi w:val="0"/>
        <w:jc w:val="left"/>
        <w:rPr/>
      </w:pPr>
      <w:r>
        <w:rPr/>
        <w:t> </w:t>
      </w:r>
    </w:p>
    <w:tbl>
      <w:tblPr>
        <w:tblW w:w="4436" w:type="dxa"/>
        <w:jc w:val="left"/>
        <w:tblInd w:w="0" w:type="dxa"/>
        <w:tblLayout w:type="fixed"/>
        <w:tblCellMar>
          <w:top w:w="28" w:type="dxa"/>
          <w:left w:w="28" w:type="dxa"/>
          <w:bottom w:w="28" w:type="dxa"/>
          <w:right w:w="28" w:type="dxa"/>
        </w:tblCellMar>
      </w:tblPr>
      <w:tblGrid>
        <w:gridCol w:w="1426"/>
        <w:gridCol w:w="146"/>
        <w:gridCol w:w="271"/>
        <w:gridCol w:w="869"/>
        <w:gridCol w:w="146"/>
        <w:gridCol w:w="146"/>
        <w:gridCol w:w="260"/>
        <w:gridCol w:w="835"/>
        <w:gridCol w:w="146"/>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2,473</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Work in process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13,964</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There were no</w:t>
      </w:r>
      <w:r>
        <w:rPr>
          <w:rFonts w:ascii="Times New Roman" w:hAnsi="Times New Roman"/>
          <w:color w:val="000000"/>
          <w:sz w:val="20"/>
        </w:rPr>
        <w:t xml:space="preserve"> </w:t>
      </w:r>
      <w:r>
        <w:rPr>
          <w:rFonts w:ascii="Times New Roman" w:hAnsi="Times New Roman"/>
          <w:b w:val="false"/>
          <w:color w:val="000000"/>
          <w:sz w:val="18"/>
        </w:rPr>
        <w:t>material inventory reserves as of September 30, 2023. Non-current inventory, which consists of raw materials and work in progress inventory, is included in non-current inventory and other assets in the Company's consolidated balance sheets. Non-current inventory is anticipated to be consumed beyond the Company’s normal operating cycle.</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jc w:val="left"/>
        <w:rPr>
          <w:rFonts w:ascii="Times New Roman" w:hAnsi="Times New Roman"/>
          <w:b w:val="false"/>
          <w:color w:val="000000"/>
          <w:sz w:val="18"/>
        </w:rPr>
      </w:pPr>
      <w:r>
        <w:rPr>
          <w:rFonts w:ascii="Times New Roman" w:hAnsi="Times New Roman"/>
          <w:b w:val="false"/>
          <w:color w:val="000000"/>
          <w:sz w:val="18"/>
        </w:rPr>
        <w:t>The following table summarizes the balance sheet classification of the Company's inventory for each of the periods indicated:</w:t>
      </w:r>
    </w:p>
    <w:p>
      <w:pPr>
        <w:pStyle w:val="TextBody"/>
        <w:bidi w:val="0"/>
        <w:jc w:val="left"/>
        <w:rPr/>
      </w:pPr>
      <w:r>
        <w:rPr/>
        <w:t> </w:t>
      </w:r>
    </w:p>
    <w:tbl>
      <w:tblPr>
        <w:tblW w:w="6266" w:type="dxa"/>
        <w:jc w:val="left"/>
        <w:tblInd w:w="0" w:type="dxa"/>
        <w:tblLayout w:type="fixed"/>
        <w:tblCellMar>
          <w:top w:w="28" w:type="dxa"/>
          <w:left w:w="28" w:type="dxa"/>
          <w:bottom w:w="28" w:type="dxa"/>
          <w:right w:w="28" w:type="dxa"/>
        </w:tblCellMar>
      </w:tblPr>
      <w:tblGrid>
        <w:gridCol w:w="3256"/>
        <w:gridCol w:w="146"/>
        <w:gridCol w:w="271"/>
        <w:gridCol w:w="869"/>
        <w:gridCol w:w="146"/>
        <w:gridCol w:w="146"/>
        <w:gridCol w:w="260"/>
        <w:gridCol w:w="835"/>
        <w:gridCol w:w="146"/>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Inventories, net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4,320</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Non-current inventory and other assets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Note 6. Goodwill</w:t>
      </w:r>
    </w:p>
    <w:p>
      <w:pPr>
        <w:pStyle w:val="TextBody"/>
        <w:bidi w:val="0"/>
        <w:spacing w:before="200" w:after="283"/>
        <w:jc w:val="left"/>
        <w:rPr>
          <w:rFonts w:ascii="Times New Roman" w:hAnsi="Times New Roman"/>
          <w:sz w:val="20"/>
        </w:rPr>
      </w:pPr>
      <w:r>
        <w:rPr>
          <w:rFonts w:ascii="Times New Roman" w:hAnsi="Times New Roman"/>
          <w:b w:val="false"/>
          <w:color w:val="000000"/>
          <w:sz w:val="18"/>
        </w:rPr>
        <w:t>The following table provides the Company’s goodwill balance as of September 30, 2023. There was no</w:t>
      </w:r>
      <w:r>
        <w:rPr>
          <w:rFonts w:ascii="Times New Roman" w:hAnsi="Times New Roman"/>
          <w:color w:val="000000"/>
          <w:sz w:val="20"/>
        </w:rPr>
        <w:t xml:space="preserve"> </w:t>
      </w:r>
      <w:r>
        <w:rPr>
          <w:rFonts w:ascii="Times New Roman" w:hAnsi="Times New Roman"/>
          <w:b w:val="false"/>
          <w:color w:val="000000"/>
          <w:sz w:val="18"/>
        </w:rPr>
        <w:t>goodwill impairment during the nine months ended September 30, 2023.</w:t>
      </w:r>
    </w:p>
    <w:p>
      <w:pPr>
        <w:pStyle w:val="TextBody"/>
        <w:bidi w:val="0"/>
        <w:jc w:val="both"/>
        <w:rPr/>
      </w:pPr>
      <w:r>
        <w:rPr/>
        <w:t> </w:t>
      </w:r>
    </w:p>
    <w:tbl>
      <w:tblPr>
        <w:tblW w:w="4355" w:type="dxa"/>
        <w:jc w:val="left"/>
        <w:tblInd w:w="0" w:type="dxa"/>
        <w:tblLayout w:type="fixed"/>
        <w:tblCellMar>
          <w:top w:w="28" w:type="dxa"/>
          <w:left w:w="28" w:type="dxa"/>
          <w:bottom w:w="28" w:type="dxa"/>
          <w:right w:w="28" w:type="dxa"/>
        </w:tblCellMar>
      </w:tblPr>
      <w:tblGrid>
        <w:gridCol w:w="2931"/>
        <w:gridCol w:w="146"/>
        <w:gridCol w:w="211"/>
        <w:gridCol w:w="676"/>
        <w:gridCol w:w="391"/>
      </w:tblGrid>
      <w:tr>
        <w:trPr/>
        <w:tc>
          <w:tcPr>
            <w:tcW w:w="2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Measurement period adjustment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Note 7. Intangible Asset</w:t>
      </w:r>
    </w:p>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The gross carrying amount and net book value of the Company's intangible asset are as follows:</w:t>
      </w:r>
    </w:p>
    <w:p>
      <w:pPr>
        <w:pStyle w:val="TextBody"/>
        <w:bidi w:val="0"/>
        <w:jc w:val="left"/>
        <w:rPr/>
      </w:pPr>
      <w:r>
        <w:rPr/>
        <w:t> </w:t>
      </w:r>
    </w:p>
    <w:tbl>
      <w:tblPr>
        <w:tblW w:w="8485" w:type="dxa"/>
        <w:jc w:val="left"/>
        <w:tblInd w:w="0" w:type="dxa"/>
        <w:tblLayout w:type="fixed"/>
        <w:tblCellMar>
          <w:top w:w="28" w:type="dxa"/>
          <w:left w:w="28" w:type="dxa"/>
          <w:bottom w:w="28" w:type="dxa"/>
          <w:right w:w="28" w:type="dxa"/>
        </w:tblCellMar>
      </w:tblPr>
      <w:tblGrid>
        <w:gridCol w:w="3286"/>
        <w:gridCol w:w="146"/>
        <w:gridCol w:w="374"/>
        <w:gridCol w:w="1201"/>
        <w:gridCol w:w="166"/>
        <w:gridCol w:w="146"/>
        <w:gridCol w:w="316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Weighted-Average Useful Life</w:t>
            </w:r>
          </w:p>
        </w:tc>
      </w:tr>
      <w:tr>
        <w:trPr/>
        <w:tc>
          <w:tcPr>
            <w:tcW w:w="3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6" w:type="dxa"/>
            <w:tcBorders/>
            <w:shd w:fill="CFF0FC" w:val="clear"/>
            <w:vAlign w:val="center"/>
          </w:tcPr>
          <w:p>
            <w:pPr>
              <w:pStyle w:val="TableContents"/>
              <w:bidi w:val="0"/>
              <w:spacing w:before="0" w:after="283"/>
              <w:ind w:left="0" w:right="0" w:firstLine="200"/>
              <w:jc w:val="righ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Amortization Expense</w:t>
            </w:r>
          </w:p>
        </w:tc>
        <w:tc>
          <w:tcPr>
            <w:tcW w:w="146" w:type="dxa"/>
            <w:tcBorders/>
            <w:shd w:fill="FFFFFF" w:val="cle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9-years</w:t>
            </w:r>
          </w:p>
        </w:tc>
      </w:tr>
      <w:tr>
        <w:trPr/>
        <w:tc>
          <w:tcPr>
            <w:tcW w:w="3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Book Value at September 30, 2023</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6" w:type="dxa"/>
            <w:tcBorders/>
            <w:shd w:fill="CFF0FC" w:val="cle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Based on the finite-lived intangible asset recorded as of September 30, 2023, and assuming the underlying assets will not be impaired and that the expected life of the asset will not change, future amortization expenses were estimated as follows:</w:t>
      </w:r>
    </w:p>
    <w:p>
      <w:pPr>
        <w:pStyle w:val="TextBody"/>
        <w:bidi w:val="0"/>
        <w:jc w:val="left"/>
        <w:rPr/>
      </w:pPr>
      <w:r>
        <w:rPr/>
        <w:t> </w:t>
      </w:r>
    </w:p>
    <w:tbl>
      <w:tblPr>
        <w:tblW w:w="4178" w:type="dxa"/>
        <w:jc w:val="left"/>
        <w:tblInd w:w="0" w:type="dxa"/>
        <w:tblLayout w:type="fixed"/>
        <w:tblCellMar>
          <w:top w:w="28" w:type="dxa"/>
          <w:left w:w="28" w:type="dxa"/>
          <w:bottom w:w="28" w:type="dxa"/>
          <w:right w:w="28" w:type="dxa"/>
        </w:tblCellMar>
      </w:tblPr>
      <w:tblGrid>
        <w:gridCol w:w="946"/>
        <w:gridCol w:w="146"/>
        <w:gridCol w:w="687"/>
        <w:gridCol w:w="2208"/>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Amortization Expense</w:t>
            </w:r>
          </w:p>
        </w:tc>
        <w:tc>
          <w:tcPr>
            <w:tcW w:w="191" w:type="dxa"/>
            <w:tcBorders/>
            <w:shd w:fill="FFFFFF" w:val="clear"/>
            <w:vAlign w:val="center"/>
          </w:tcPr>
          <w:p>
            <w:pPr>
              <w:pStyle w:val="TableContents"/>
              <w:bidi w:val="0"/>
              <w:spacing w:before="0" w:after="283"/>
              <w:jc w:val="center"/>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left"/>
              <w:rPr/>
            </w:pPr>
            <w:r>
              <w:rPr/>
              <w:t> </w:t>
            </w:r>
          </w:p>
        </w:tc>
        <w:tc>
          <w:tcPr>
            <w:tcW w:w="22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1,607</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pPr>
            <w:r>
              <w:rPr/>
              <w:t> </w:t>
            </w:r>
          </w:p>
        </w:tc>
        <w:tc>
          <w:tcPr>
            <w:tcW w:w="22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6,392</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left"/>
              <w:rPr/>
            </w:pPr>
            <w:r>
              <w:rPr/>
              <w:t> </w:t>
            </w:r>
          </w:p>
        </w:tc>
        <w:tc>
          <w:tcPr>
            <w:tcW w:w="22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6,375</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pPr>
            <w:r>
              <w:rPr/>
              <w:t> </w:t>
            </w:r>
          </w:p>
        </w:tc>
        <w:tc>
          <w:tcPr>
            <w:tcW w:w="22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6,375</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left"/>
              <w:rPr/>
            </w:pPr>
            <w:r>
              <w:rPr/>
              <w:t> </w:t>
            </w:r>
          </w:p>
        </w:tc>
        <w:tc>
          <w:tcPr>
            <w:tcW w:w="22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6,375</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Note 8. Fair Value of Financial Instruments</w:t>
      </w:r>
    </w:p>
    <w:p>
      <w:pPr>
        <w:pStyle w:val="TextBody"/>
        <w:bidi w:val="0"/>
        <w:spacing w:before="200" w:after="283"/>
        <w:jc w:val="left"/>
        <w:rPr>
          <w:rFonts w:ascii="Times New Roman" w:hAnsi="Times New Roman"/>
          <w:sz w:val="20"/>
        </w:rPr>
      </w:pPr>
      <w:r>
        <w:rPr>
          <w:rFonts w:ascii="Times New Roman" w:hAnsi="Times New Roman"/>
          <w:b w:val="false"/>
          <w:color w:val="000000"/>
          <w:sz w:val="18"/>
        </w:rPr>
        <w:t>In connection with the Sunosi acquisition, the Company pays a royalty on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$6.7</w:t>
      </w:r>
      <w:r>
        <w:rPr>
          <w:rFonts w:ascii="Times New Roman" w:hAnsi="Times New Roman"/>
          <w:color w:val="000000"/>
          <w:sz w:val="20"/>
        </w:rPr>
        <w:t xml:space="preserve"> </w:t>
      </w:r>
      <w:r>
        <w:rPr>
          <w:rFonts w:ascii="Times New Roman" w:hAnsi="Times New Roman"/>
          <w:b w:val="false"/>
          <w:color w:val="000000"/>
          <w:sz w:val="18"/>
        </w:rPr>
        <w:t>million and non-current contingent consideration liability of $31.6</w:t>
      </w:r>
      <w:r>
        <w:rPr>
          <w:rFonts w:ascii="Times New Roman" w:hAnsi="Times New Roman"/>
          <w:color w:val="000000"/>
          <w:sz w:val="20"/>
        </w:rPr>
        <w:t xml:space="preserve"> </w:t>
      </w:r>
      <w:r>
        <w:rPr>
          <w:rFonts w:ascii="Times New Roman" w:hAnsi="Times New Roman"/>
          <w:b w:val="false"/>
          <w:color w:val="000000"/>
          <w:sz w:val="18"/>
        </w:rPr>
        <w:t>million in the consolidated balance sheet as of September 30, 2023.</w:t>
      </w:r>
    </w:p>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The fair value of financial instruments measured on a recurring basis is as follows: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tbl>
      <w:tblPr>
        <w:tblW w:w="8976" w:type="dxa"/>
        <w:jc w:val="left"/>
        <w:tblInd w:w="0" w:type="dxa"/>
        <w:tblLayout w:type="fixed"/>
        <w:tblCellMar>
          <w:top w:w="28" w:type="dxa"/>
          <w:left w:w="28" w:type="dxa"/>
          <w:bottom w:w="28" w:type="dxa"/>
          <w:right w:w="28" w:type="dxa"/>
        </w:tblCellMar>
      </w:tblPr>
      <w:tblGrid>
        <w:gridCol w:w="4066"/>
        <w:gridCol w:w="146"/>
        <w:gridCol w:w="211"/>
        <w:gridCol w:w="146"/>
        <w:gridCol w:w="571"/>
        <w:gridCol w:w="146"/>
        <w:gridCol w:w="146"/>
        <w:gridCol w:w="211"/>
        <w:gridCol w:w="146"/>
        <w:gridCol w:w="346"/>
        <w:gridCol w:w="146"/>
        <w:gridCol w:w="146"/>
        <w:gridCol w:w="211"/>
        <w:gridCol w:w="146"/>
        <w:gridCol w:w="676"/>
        <w:gridCol w:w="146"/>
        <w:gridCol w:w="146"/>
        <w:gridCol w:w="211"/>
        <w:gridCol w:w="146"/>
        <w:gridCol w:w="676"/>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4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 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3,225</w:t>
            </w:r>
          </w:p>
        </w:tc>
        <w:tc>
          <w:tcPr>
            <w:tcW w:w="191" w:type="dxa"/>
            <w:tcBorders/>
            <w:shd w:fill="CFF0FC"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4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922</w:t>
            </w:r>
          </w:p>
        </w:tc>
        <w:tc>
          <w:tcPr>
            <w:tcW w:w="191" w:type="dxa"/>
            <w:tcBorders/>
            <w:shd w:fill="CFF0FC"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38,222</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9291" w:type="dxa"/>
        <w:jc w:val="left"/>
        <w:tblInd w:w="0" w:type="dxa"/>
        <w:tblLayout w:type="fixed"/>
        <w:tblCellMar>
          <w:top w:w="28" w:type="dxa"/>
          <w:left w:w="28" w:type="dxa"/>
          <w:bottom w:w="28" w:type="dxa"/>
          <w:right w:w="28" w:type="dxa"/>
        </w:tblCellMar>
      </w:tblPr>
      <w:tblGrid>
        <w:gridCol w:w="4066"/>
        <w:gridCol w:w="146"/>
        <w:gridCol w:w="211"/>
        <w:gridCol w:w="146"/>
        <w:gridCol w:w="781"/>
        <w:gridCol w:w="146"/>
        <w:gridCol w:w="146"/>
        <w:gridCol w:w="211"/>
        <w:gridCol w:w="146"/>
        <w:gridCol w:w="346"/>
        <w:gridCol w:w="146"/>
        <w:gridCol w:w="146"/>
        <w:gridCol w:w="211"/>
        <w:gridCol w:w="146"/>
        <w:gridCol w:w="676"/>
        <w:gridCol w:w="146"/>
        <w:gridCol w:w="146"/>
        <w:gridCol w:w="211"/>
        <w:gridCol w:w="146"/>
        <w:gridCol w:w="781"/>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4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 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195,475</w:t>
            </w:r>
          </w:p>
        </w:tc>
        <w:tc>
          <w:tcPr>
            <w:tcW w:w="191" w:type="dxa"/>
            <w:tcBorders/>
            <w:shd w:fill="CFF0FC"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4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Contingent consideration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37,000</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The fair value of the contingent consideration is marked-to-market each reporting period and was remeasured at September 30, 2023. Changes in the fair value of the contingent considerations as of September 30, 2023 is as follows:</w:t>
      </w:r>
    </w:p>
    <w:p>
      <w:pPr>
        <w:pStyle w:val="TextBody"/>
        <w:bidi w:val="0"/>
        <w:jc w:val="left"/>
        <w:rPr/>
      </w:pPr>
      <w:r>
        <w:rPr/>
        <w:t> </w:t>
      </w:r>
    </w:p>
    <w:tbl>
      <w:tblPr>
        <w:tblW w:w="5938" w:type="dxa"/>
        <w:jc w:val="left"/>
        <w:tblInd w:w="0" w:type="dxa"/>
        <w:tblLayout w:type="fixed"/>
        <w:tblCellMar>
          <w:top w:w="28" w:type="dxa"/>
          <w:left w:w="28" w:type="dxa"/>
          <w:bottom w:w="28" w:type="dxa"/>
          <w:right w:w="28" w:type="dxa"/>
        </w:tblCellMar>
      </w:tblPr>
      <w:tblGrid>
        <w:gridCol w:w="3421"/>
        <w:gridCol w:w="146"/>
        <w:gridCol w:w="469"/>
        <w:gridCol w:w="1511"/>
        <w:gridCol w:w="3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Consideration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Adjustment to fair value</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5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Payments</w:t>
            </w:r>
          </w:p>
        </w:tc>
        <w:tc>
          <w:tcPr>
            <w:tcW w:w="146" w:type="dxa"/>
            <w:tcBorders/>
            <w:shd w:fill="CFF0FC" w:val="cle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 (Level 3)</w:t>
            </w:r>
          </w:p>
        </w:tc>
        <w:tc>
          <w:tcPr>
            <w:tcW w:w="146" w:type="dxa"/>
            <w:tcBorders/>
            <w:shd w:fill="FFFFFF" w:val="clear"/>
            <w:vAlign w:val="center"/>
          </w:tcPr>
          <w:p>
            <w:pPr>
              <w:pStyle w:val="TableContents"/>
              <w:bidi w:val="0"/>
              <w:spacing w:before="0" w:after="283"/>
              <w:jc w:val="left"/>
              <w:rPr/>
            </w:pPr>
            <w:r>
              <w:rPr/>
              <w:t> </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38,222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18"/>
        </w:rPr>
        <w:t>In the second quarter of 2023, the Company changed its accounting for contingently issued warrants and recognized a $0.9</w:t>
      </w:r>
      <w:r>
        <w:rPr>
          <w:rFonts w:ascii="Times New Roman" w:hAnsi="Times New Roman"/>
          <w:color w:val="000000"/>
          <w:sz w:val="20"/>
        </w:rPr>
        <w:t xml:space="preserve"> </w:t>
      </w:r>
      <w:r>
        <w:rPr>
          <w:rFonts w:ascii="Times New Roman" w:hAnsi="Times New Roman"/>
          <w:b w:val="false"/>
          <w:color w:val="000000"/>
          <w:sz w:val="18"/>
        </w:rPr>
        <w:t>million contingent warrant liability, included in Accrued expenses and other current liabilities on the consolidated balance sheet. During the three months ended September 30, 2023, the Company recorded a $0.1</w:t>
      </w:r>
      <w:r>
        <w:rPr>
          <w:rFonts w:ascii="Times New Roman" w:hAnsi="Times New Roman"/>
          <w:color w:val="000000"/>
          <w:sz w:val="20"/>
        </w:rPr>
        <w:t xml:space="preserve"> </w:t>
      </w:r>
      <w:r>
        <w:rPr>
          <w:rFonts w:ascii="Times New Roman" w:hAnsi="Times New Roman"/>
          <w:b w:val="false"/>
          <w:color w:val="000000"/>
          <w:sz w:val="18"/>
        </w:rPr>
        <w:t>million loss for the remeasurement of the warrant liability on the consolidated statement of operations. The adjustment was not material to previously reported consolidated balance sheets. The fair value of the warrant liability is marked-to-market each reporting period.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The recurring Level 3 fair value measurements of contingent consideration for which a liability is recorded include the following significant unobservable inputs: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3"/>
        <w:gridCol w:w="146"/>
        <w:gridCol w:w="2025"/>
        <w:gridCol w:w="146"/>
        <w:gridCol w:w="1846"/>
        <w:gridCol w:w="146"/>
        <w:gridCol w:w="1976"/>
        <w:gridCol w:w="146"/>
        <w:gridCol w:w="1967"/>
        <w:gridCol w:w="194"/>
      </w:tblGrid>
      <w:tr>
        <w:trPr/>
        <w:tc>
          <w:tcPr>
            <w:tcW w:w="1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13" w:type="dxa"/>
            <w:tcBorders/>
            <w:shd w:fill="FFFFFF" w:val="clear"/>
            <w:vAlign w:val="center"/>
          </w:tcPr>
          <w:p>
            <w:pPr>
              <w:pStyle w:val="TableContents"/>
              <w:bidi w:val="0"/>
              <w:spacing w:before="0" w:after="283"/>
              <w:jc w:val="left"/>
              <w:rPr>
                <w:color w:val="000000"/>
              </w:rPr>
            </w:pPr>
            <w:r>
              <w:rPr>
                <w:color w:val="000000"/>
              </w:rPr>
              <w: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December 31, 2022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3" w:type="dxa"/>
            <w:tcBorders/>
            <w:shd w:fill="FFFFFF" w:val="clear"/>
            <w:vAlign w:val="center"/>
          </w:tcPr>
          <w:p>
            <w:pPr>
              <w:pStyle w:val="TableContents"/>
              <w:bidi w:val="0"/>
              <w:spacing w:before="0" w:after="283"/>
              <w:jc w:val="left"/>
              <w:rPr>
                <w:color w:val="000000"/>
              </w:rPr>
            </w:pPr>
            <w:r>
              <w:rPr>
                <w:color w:val="000000"/>
              </w:rPr>
              <w: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 Methodology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(range, if applicable)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(range, if applicable)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Contingent consideration</w:t>
            </w:r>
          </w:p>
        </w:tc>
        <w:tc>
          <w:tcPr>
            <w:tcW w:w="146" w:type="dxa"/>
            <w:tcBorders/>
            <w:shd w:fill="CFF0FC" w:val="clear"/>
            <w:vAlign w:val="center"/>
          </w:tcPr>
          <w:p>
            <w:pPr>
              <w:pStyle w:val="TableContents"/>
              <w:bidi w:val="0"/>
              <w:spacing w:before="0" w:after="283"/>
              <w:jc w:val="right"/>
              <w:rPr/>
            </w:pPr>
            <w:r>
              <w:rPr/>
              <w:t> </w:t>
            </w:r>
          </w:p>
        </w:tc>
        <w:tc>
          <w:tcPr>
            <w:tcW w:w="202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Probability weighted income approach</w:t>
            </w:r>
          </w:p>
        </w:tc>
        <w:tc>
          <w:tcPr>
            <w:tcW w:w="146" w:type="dxa"/>
            <w:tcBorders/>
            <w:shd w:fill="CFF0FC" w:val="clear"/>
            <w:vAlign w:val="center"/>
          </w:tcPr>
          <w:p>
            <w:pPr>
              <w:pStyle w:val="TableContents"/>
              <w:bidi w:val="0"/>
              <w:spacing w:before="0" w:after="283"/>
              <w:jc w:val="right"/>
              <w:rPr/>
            </w:pPr>
            <w:r>
              <w:rPr/>
              <w:t> </w:t>
            </w:r>
          </w:p>
        </w:tc>
        <w:tc>
          <w:tcPr>
            <w:tcW w:w="184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Discount rate</w:t>
            </w:r>
          </w:p>
        </w:tc>
        <w:tc>
          <w:tcPr>
            <w:tcW w:w="146" w:type="dxa"/>
            <w:tcBorders/>
            <w:shd w:fill="CFF0FC" w:val="clear"/>
            <w:vAlign w:val="center"/>
          </w:tcPr>
          <w:p>
            <w:pPr>
              <w:pStyle w:val="TableContents"/>
              <w:bidi w:val="0"/>
              <w:spacing w:before="0" w:after="283"/>
              <w:jc w:val="right"/>
              <w:rPr/>
            </w:pPr>
            <w:r>
              <w:rPr/>
              <w:t> </w:t>
            </w:r>
          </w:p>
        </w:tc>
        <w:tc>
          <w:tcPr>
            <w:tcW w:w="197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14.0%</w:t>
            </w:r>
          </w:p>
        </w:tc>
        <w:tc>
          <w:tcPr>
            <w:tcW w:w="146" w:type="dxa"/>
            <w:tcBorders/>
            <w:shd w:fill="CFF0FC" w:val="clear"/>
            <w:vAlign w:val="center"/>
          </w:tcPr>
          <w:p>
            <w:pPr>
              <w:pStyle w:val="TableContents"/>
              <w:bidi w:val="0"/>
              <w:spacing w:before="0" w:after="283"/>
              <w:jc w:val="right"/>
              <w:rPr/>
            </w:pPr>
            <w:r>
              <w:rPr/>
              <w:t> </w:t>
            </w:r>
          </w:p>
        </w:tc>
        <w:tc>
          <w:tcPr>
            <w:tcW w:w="1967"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12.0%</w:t>
            </w:r>
          </w:p>
        </w:tc>
        <w:tc>
          <w:tcPr>
            <w:tcW w:w="194" w:type="dxa"/>
            <w:tcBorders/>
            <w:shd w:fill="CFF0FC" w:val="clear"/>
            <w:vAlign w:val="center"/>
          </w:tcPr>
          <w:p>
            <w:pPr>
              <w:pStyle w:val="TableContents"/>
              <w:bidi w:val="0"/>
              <w:spacing w:before="0" w:after="283"/>
              <w:jc w:val="right"/>
              <w:rPr/>
            </w:pPr>
            <w:r>
              <w:rPr/>
              <w:t> </w:t>
            </w:r>
          </w:p>
        </w:tc>
      </w:tr>
      <w:tr>
        <w:trPr/>
        <w:tc>
          <w:tcPr>
            <w:tcW w:w="16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84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Revenue discount rate</w:t>
            </w:r>
          </w:p>
        </w:tc>
        <w:tc>
          <w:tcPr>
            <w:tcW w:w="146" w:type="dxa"/>
            <w:tcBorders/>
            <w:shd w:fill="FFFFFF" w:val="clear"/>
            <w:vAlign w:val="center"/>
          </w:tcPr>
          <w:p>
            <w:pPr>
              <w:pStyle w:val="TableContents"/>
              <w:bidi w:val="0"/>
              <w:spacing w:before="0" w:after="283"/>
              <w:jc w:val="right"/>
              <w:rPr/>
            </w:pPr>
            <w:r>
              <w:rPr/>
              <w:t> </w:t>
            </w:r>
          </w:p>
        </w:tc>
        <w:tc>
          <w:tcPr>
            <w:tcW w:w="197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20.4%</w:t>
            </w:r>
          </w:p>
        </w:tc>
        <w:tc>
          <w:tcPr>
            <w:tcW w:w="146" w:type="dxa"/>
            <w:tcBorders/>
            <w:shd w:fill="FFFFFF" w:val="clear"/>
            <w:vAlign w:val="center"/>
          </w:tcPr>
          <w:p>
            <w:pPr>
              <w:pStyle w:val="TableContents"/>
              <w:bidi w:val="0"/>
              <w:spacing w:before="0" w:after="283"/>
              <w:jc w:val="right"/>
              <w:rPr/>
            </w:pPr>
            <w:r>
              <w:rPr/>
              <w:t> </w:t>
            </w:r>
          </w:p>
        </w:tc>
        <w:tc>
          <w:tcPr>
            <w:tcW w:w="1967"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20.9%</w:t>
            </w:r>
          </w:p>
        </w:tc>
        <w:tc>
          <w:tcPr>
            <w:tcW w:w="194" w:type="dxa"/>
            <w:tcBorders/>
            <w:shd w:fill="FFFFFF" w:val="clear"/>
            <w:vAlign w:val="center"/>
          </w:tcPr>
          <w:p>
            <w:pPr>
              <w:pStyle w:val="TableContents"/>
              <w:bidi w:val="0"/>
              <w:spacing w:before="0" w:after="283"/>
              <w:jc w:val="right"/>
              <w:rPr/>
            </w:pPr>
            <w:r>
              <w:rPr/>
              <w:t> </w:t>
            </w:r>
          </w:p>
        </w:tc>
      </w:tr>
    </w:tbl>
    <w:p>
      <w:pPr>
        <w:pStyle w:val="TextBody"/>
        <w:bidi w:val="0"/>
        <w:spacing w:before="200" w:after="240"/>
        <w:jc w:val="left"/>
        <w:rPr>
          <w:rFonts w:ascii="Times New Roman" w:hAnsi="Times New Roman"/>
          <w:sz w:val="20"/>
        </w:rPr>
      </w:pPr>
      <w:r>
        <w:rPr>
          <w:rFonts w:ascii="Times New Roman" w:hAnsi="Times New Roman"/>
          <w:b w:val="false"/>
          <w:color w:val="000000"/>
          <w:sz w:val="18"/>
        </w:rPr>
        <w:t>The fair value measurement of the contingent consideration is sensitive to the change in discount rates. As of September 30, 2023, if the discount rate increases or decreases by approximately 1%, the fair value of the contingent consideration would range from $36.5</w:t>
      </w:r>
      <w:r>
        <w:rPr>
          <w:rFonts w:ascii="Times New Roman" w:hAnsi="Times New Roman"/>
          <w:color w:val="000000"/>
          <w:sz w:val="20"/>
        </w:rPr>
        <w:t xml:space="preserve"> </w:t>
      </w:r>
      <w:r>
        <w:rPr>
          <w:rFonts w:ascii="Times New Roman" w:hAnsi="Times New Roman"/>
          <w:b w:val="false"/>
          <w:color w:val="000000"/>
          <w:sz w:val="18"/>
        </w:rPr>
        <w:t>million to $39.9</w:t>
      </w:r>
      <w:r>
        <w:rPr>
          <w:rFonts w:ascii="Times New Roman" w:hAnsi="Times New Roman"/>
          <w:color w:val="000000"/>
          <w:sz w:val="20"/>
        </w:rPr>
        <w:t xml:space="preserve"> </w:t>
      </w:r>
      <w:r>
        <w:rPr>
          <w:rFonts w:ascii="Times New Roman" w:hAnsi="Times New Roman"/>
          <w:b w:val="false"/>
          <w:color w:val="000000"/>
          <w:sz w:val="18"/>
        </w:rPr>
        <w:t>million. As of September 30, 2023, if the revenue discount rate increases or decreases by approximately 1%, the fair value of the contingent consideration would range from $37.0</w:t>
      </w:r>
      <w:r>
        <w:rPr>
          <w:rFonts w:ascii="Times New Roman" w:hAnsi="Times New Roman"/>
          <w:color w:val="000000"/>
          <w:sz w:val="20"/>
        </w:rPr>
        <w:t xml:space="preserve"> </w:t>
      </w:r>
      <w:r>
        <w:rPr>
          <w:rFonts w:ascii="Times New Roman" w:hAnsi="Times New Roman"/>
          <w:b w:val="false"/>
          <w:color w:val="000000"/>
          <w:sz w:val="18"/>
        </w:rPr>
        <w:t>million to $39.4</w:t>
      </w:r>
      <w:r>
        <w:rPr>
          <w:rFonts w:ascii="Times New Roman" w:hAnsi="Times New Roman"/>
          <w:color w:val="000000"/>
          <w:sz w:val="20"/>
        </w:rPr>
        <w:t xml:space="preserve"> </w:t>
      </w:r>
      <w:r>
        <w:rPr>
          <w:rFonts w:ascii="Times New Roman" w:hAnsi="Times New Roman"/>
          <w:b w:val="false"/>
          <w:color w:val="000000"/>
          <w:sz w:val="18"/>
        </w:rPr>
        <w:t>million.</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Note 9. Accrued Expenses and Other Current Liabilities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At September 30, 2023 and December 31, 2022 accrued expenses and other current liabilities consisted of the following:</w:t>
      </w:r>
    </w:p>
    <w:p>
      <w:pPr>
        <w:pStyle w:val="TextBody"/>
        <w:bidi w:val="0"/>
        <w:jc w:val="left"/>
        <w:rPr/>
      </w:pPr>
      <w:r>
        <w:rPr/>
        <w:t> </w:t>
      </w:r>
    </w:p>
    <w:tbl>
      <w:tblPr>
        <w:tblW w:w="6870" w:type="dxa"/>
        <w:jc w:val="left"/>
        <w:tblInd w:w="0" w:type="dxa"/>
        <w:tblLayout w:type="fixed"/>
        <w:tblCellMar>
          <w:top w:w="28" w:type="dxa"/>
          <w:left w:w="28" w:type="dxa"/>
          <w:bottom w:w="28" w:type="dxa"/>
          <w:right w:w="28" w:type="dxa"/>
        </w:tblCellMar>
      </w:tblPr>
      <w:tblGrid>
        <w:gridCol w:w="4006"/>
        <w:gridCol w:w="146"/>
        <w:gridCol w:w="271"/>
        <w:gridCol w:w="869"/>
        <w:gridCol w:w="146"/>
        <w:gridCol w:w="146"/>
        <w:gridCol w:w="260"/>
        <w:gridCol w:w="835"/>
        <w:gridCol w:w="1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research and development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4,714</w:t>
            </w:r>
          </w:p>
        </w:tc>
        <w:tc>
          <w:tcPr>
            <w:tcW w:w="1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11,284</w:t>
            </w:r>
          </w:p>
        </w:tc>
        <w:tc>
          <w:tcPr>
            <w:tcW w:w="19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selling, general and administrative</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6,596</w:t>
            </w:r>
          </w:p>
        </w:tc>
        <w:tc>
          <w:tcPr>
            <w:tcW w:w="1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sales discounts, rebates and allowances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26,545</w:t>
            </w:r>
          </w:p>
        </w:tc>
        <w:tc>
          <w:tcPr>
            <w:tcW w:w="19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royalties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1,617</w:t>
            </w:r>
          </w:p>
        </w:tc>
        <w:tc>
          <w:tcPr>
            <w:tcW w:w="1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interest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78,454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Note 10. Loan and Security Agreement</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Hercules Capital,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18"/>
        </w:rPr>
        <w:t>Fourth Amendment to the Loan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On May 8, 2023, the Company entered into the Waiver and Fourth Amendment (the “Fourth Amendment”) to its Loan and Security Agreement, dated as of September 25, 2020 (as amended by that certain First Amendment to Loan and Security Agreement, dated as of October 14, 2021, as further amended by the Second Amendment to Loan and Security Agreement, dated as of March 27, 2022, and as further amended by the Third Amendment to Loan and Security Agreement, dated as of January 9, 2023) (the “Loan Agreement”) with Hercules Capital, Inc., a Maryland corporation (“Hercules”), in its capacity as administrative agent and collateral agent, and the other financial institutions or entities party thereto as lenders.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Fourth Amendment increased the amount of Cash (as defined in the Loan Agreement) that could be held by Axsome Malta Ltd. (“Axsome Malta”) outside of the United States from $3.0</w:t>
      </w:r>
      <w:r>
        <w:rPr>
          <w:rFonts w:ascii="Times New Roman" w:hAnsi="Times New Roman"/>
          <w:color w:val="000000"/>
          <w:sz w:val="20"/>
        </w:rPr>
        <w:t xml:space="preserve"> </w:t>
      </w:r>
      <w:r>
        <w:rPr>
          <w:rFonts w:ascii="Times New Roman" w:hAnsi="Times New Roman"/>
          <w:b w:val="false"/>
          <w:color w:val="000000"/>
          <w:sz w:val="18"/>
        </w:rPr>
        <w:t>million to $15.0</w:t>
      </w:r>
      <w:r>
        <w:rPr>
          <w:rFonts w:ascii="Times New Roman" w:hAnsi="Times New Roman"/>
          <w:color w:val="000000"/>
          <w:sz w:val="20"/>
        </w:rPr>
        <w:t xml:space="preserve"> </w:t>
      </w:r>
      <w:r>
        <w:rPr>
          <w:rFonts w:ascii="Times New Roman" w:hAnsi="Times New Roman"/>
          <w:b w:val="false"/>
          <w:color w:val="000000"/>
          <w:sz w:val="18"/>
        </w:rPr>
        <w:t>million for a 45-day period after the closing of the Fourth Amendment and to $10.0</w:t>
      </w:r>
      <w:r>
        <w:rPr>
          <w:rFonts w:ascii="Times New Roman" w:hAnsi="Times New Roman"/>
          <w:color w:val="000000"/>
          <w:sz w:val="20"/>
        </w:rPr>
        <w:t xml:space="preserve"> </w:t>
      </w:r>
      <w:r>
        <w:rPr>
          <w:rFonts w:ascii="Times New Roman" w:hAnsi="Times New Roman"/>
          <w:b w:val="false"/>
          <w:color w:val="000000"/>
          <w:sz w:val="18"/>
        </w:rPr>
        <w:t>million thereafter. The Fourth Amendment also waived any purported default with respect to the amount of cash held by the Malta Subsidiary prior to the date of the Fourth Amendment. In August 2023, Hercules granted the Company a waiver to the Fourth Amendment, permitting Axsome Malta to hold up to $12.5</w:t>
      </w:r>
      <w:r>
        <w:rPr>
          <w:rFonts w:ascii="Times New Roman" w:hAnsi="Times New Roman"/>
          <w:color w:val="000000"/>
          <w:sz w:val="20"/>
        </w:rPr>
        <w:t xml:space="preserve"> </w:t>
      </w:r>
      <w:r>
        <w:rPr>
          <w:rFonts w:ascii="Times New Roman" w:hAnsi="Times New Roman"/>
          <w:b w:val="false"/>
          <w:color w:val="000000"/>
          <w:sz w:val="18"/>
        </w:rPr>
        <w:t>million in Cash outside of the United States until December 31, 2023.</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Third Amendment to the Loan Agreement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On January 9, 2023, the Company entered into a Third Amendment (the “Third Amendment”) to the Loan Agreement with Hercules, in its capacity as administrative agent and collateral agent, and the other financial institutions or entities party thereto as lenders.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Third Amendment amended the terms of the Loan Agreement to, among other things: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 xml:space="preserve">Extend the maturity date to January 1, 2028, unless the Company meets certain revenue targets as described in the Loan Agreement, in which case the Company can extend the maturity date to January 1, 2029;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val="false"/>
          <w:color w:val="000000"/>
          <w:sz w:val="18"/>
        </w:rPr>
        <w:t>Increase the aggregate principal amount under the Loan Agreement from $300.0</w:t>
      </w:r>
      <w:r>
        <w:rPr>
          <w:rFonts w:ascii="Times New Roman" w:hAnsi="Times New Roman"/>
          <w:color w:val="000000"/>
          <w:sz w:val="24"/>
        </w:rPr>
        <w:t xml:space="preserve"> </w:t>
      </w:r>
      <w:r>
        <w:rPr>
          <w:rFonts w:ascii="Times New Roman" w:hAnsi="Times New Roman"/>
          <w:b w:val="false"/>
          <w:color w:val="000000"/>
          <w:sz w:val="18"/>
        </w:rPr>
        <w:t>million to $350.0</w:t>
      </w:r>
      <w:r>
        <w:rPr>
          <w:rFonts w:ascii="Times New Roman" w:hAnsi="Times New Roman"/>
          <w:color w:val="000000"/>
          <w:sz w:val="24"/>
        </w:rPr>
        <w:t xml:space="preserve"> </w:t>
      </w:r>
      <w:r>
        <w:rPr>
          <w:rFonts w:ascii="Times New Roman" w:hAnsi="Times New Roman"/>
          <w:b w:val="false"/>
          <w:color w:val="000000"/>
          <w:sz w:val="18"/>
        </w:rPr>
        <w:t xml:space="preserve">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val="false"/>
          <w:color w:val="000000"/>
          <w:sz w:val="18"/>
        </w:rPr>
        <w:t>Subject to the terms and conditions in the Loan Agreement, change the Term Loan Advance amounts and dates available under the Tranche 1 Advance (as defined in the Loan Agreement) through Tranche 5 Advance (as defined in the Loan Agreement), including increasing the Tranche 1 Advance from one tranche of $95.0</w:t>
      </w:r>
      <w:r>
        <w:rPr>
          <w:rFonts w:ascii="Times New Roman" w:hAnsi="Times New Roman"/>
          <w:color w:val="000000"/>
          <w:sz w:val="24"/>
        </w:rPr>
        <w:t xml:space="preserve"> </w:t>
      </w:r>
      <w:r>
        <w:rPr>
          <w:rFonts w:ascii="Times New Roman" w:hAnsi="Times New Roman"/>
          <w:b w:val="false"/>
          <w:color w:val="000000"/>
          <w:sz w:val="18"/>
        </w:rPr>
        <w:t>million to five sub-tranches of $95.0</w:t>
      </w:r>
      <w:r>
        <w:rPr>
          <w:rFonts w:ascii="Times New Roman" w:hAnsi="Times New Roman"/>
          <w:color w:val="000000"/>
          <w:sz w:val="24"/>
        </w:rPr>
        <w:t xml:space="preserve"> </w:t>
      </w:r>
      <w:r>
        <w:rPr>
          <w:rFonts w:ascii="Times New Roman" w:hAnsi="Times New Roman"/>
          <w:b w:val="false"/>
          <w:color w:val="000000"/>
          <w:sz w:val="18"/>
        </w:rPr>
        <w:t>million, $55.0</w:t>
      </w:r>
      <w:r>
        <w:rPr>
          <w:rFonts w:ascii="Times New Roman" w:hAnsi="Times New Roman"/>
          <w:color w:val="000000"/>
          <w:sz w:val="24"/>
        </w:rPr>
        <w:t xml:space="preserve"> </w:t>
      </w:r>
      <w:r>
        <w:rPr>
          <w:rFonts w:ascii="Times New Roman" w:hAnsi="Times New Roman"/>
          <w:b w:val="false"/>
          <w:color w:val="000000"/>
          <w:sz w:val="18"/>
        </w:rPr>
        <w:t>million, $30.0</w:t>
      </w:r>
      <w:r>
        <w:rPr>
          <w:rFonts w:ascii="Times New Roman" w:hAnsi="Times New Roman"/>
          <w:color w:val="000000"/>
          <w:sz w:val="24"/>
        </w:rPr>
        <w:t xml:space="preserve"> </w:t>
      </w:r>
      <w:r>
        <w:rPr>
          <w:rFonts w:ascii="Times New Roman" w:hAnsi="Times New Roman"/>
          <w:b w:val="false"/>
          <w:color w:val="000000"/>
          <w:sz w:val="18"/>
        </w:rPr>
        <w:t>million, $35.0</w:t>
      </w:r>
      <w:r>
        <w:rPr>
          <w:rFonts w:ascii="Times New Roman" w:hAnsi="Times New Roman"/>
          <w:color w:val="000000"/>
          <w:sz w:val="24"/>
        </w:rPr>
        <w:t xml:space="preserve"> </w:t>
      </w:r>
      <w:r>
        <w:rPr>
          <w:rFonts w:ascii="Times New Roman" w:hAnsi="Times New Roman"/>
          <w:b w:val="false"/>
          <w:color w:val="000000"/>
          <w:sz w:val="18"/>
        </w:rPr>
        <w:t>million and $35.0</w:t>
      </w:r>
      <w:r>
        <w:rPr>
          <w:rFonts w:ascii="Times New Roman" w:hAnsi="Times New Roman"/>
          <w:color w:val="000000"/>
          <w:sz w:val="24"/>
        </w:rPr>
        <w:t xml:space="preserve"> </w:t>
      </w:r>
      <w:r>
        <w:rPr>
          <w:rFonts w:ascii="Times New Roman" w:hAnsi="Times New Roman"/>
          <w:b w:val="false"/>
          <w:color w:val="000000"/>
          <w:sz w:val="18"/>
        </w:rPr>
        <w:t>million, respectively, changing the Tranche 2 Advance (as defined in the Loan Agreement) from three sub-tranches of $35.0</w:t>
      </w:r>
      <w:r>
        <w:rPr>
          <w:rFonts w:ascii="Times New Roman" w:hAnsi="Times New Roman"/>
          <w:color w:val="000000"/>
          <w:sz w:val="24"/>
        </w:rPr>
        <w:t xml:space="preserve"> </w:t>
      </w:r>
      <w:r>
        <w:rPr>
          <w:rFonts w:ascii="Times New Roman" w:hAnsi="Times New Roman"/>
          <w:b w:val="false"/>
          <w:color w:val="000000"/>
          <w:sz w:val="18"/>
        </w:rPr>
        <w:t>million, $35.0</w:t>
      </w:r>
      <w:r>
        <w:rPr>
          <w:rFonts w:ascii="Times New Roman" w:hAnsi="Times New Roman"/>
          <w:color w:val="000000"/>
          <w:sz w:val="24"/>
        </w:rPr>
        <w:t xml:space="preserve"> </w:t>
      </w:r>
      <w:r>
        <w:rPr>
          <w:rFonts w:ascii="Times New Roman" w:hAnsi="Times New Roman"/>
          <w:b w:val="false"/>
          <w:color w:val="000000"/>
          <w:sz w:val="18"/>
        </w:rPr>
        <w:t>million and $30,.0 million to one tranche of $25.0</w:t>
      </w:r>
      <w:r>
        <w:rPr>
          <w:rFonts w:ascii="Times New Roman" w:hAnsi="Times New Roman"/>
          <w:color w:val="000000"/>
          <w:sz w:val="24"/>
        </w:rPr>
        <w:t xml:space="preserve"> </w:t>
      </w:r>
      <w:r>
        <w:rPr>
          <w:rFonts w:ascii="Times New Roman" w:hAnsi="Times New Roman"/>
          <w:b w:val="false"/>
          <w:color w:val="000000"/>
          <w:sz w:val="18"/>
        </w:rPr>
        <w:t>million, changing the Tranche 3 Advance (as defined in the Loan Agreement) from two sub-tranches of $15.0</w:t>
      </w:r>
      <w:r>
        <w:rPr>
          <w:rFonts w:ascii="Times New Roman" w:hAnsi="Times New Roman"/>
          <w:color w:val="000000"/>
          <w:sz w:val="24"/>
        </w:rPr>
        <w:t xml:space="preserve"> </w:t>
      </w:r>
      <w:r>
        <w:rPr>
          <w:rFonts w:ascii="Times New Roman" w:hAnsi="Times New Roman"/>
          <w:b w:val="false"/>
          <w:color w:val="000000"/>
          <w:sz w:val="18"/>
        </w:rPr>
        <w:t>million and $5.0</w:t>
      </w:r>
      <w:r>
        <w:rPr>
          <w:rFonts w:ascii="Times New Roman" w:hAnsi="Times New Roman"/>
          <w:color w:val="000000"/>
          <w:sz w:val="24"/>
        </w:rPr>
        <w:t xml:space="preserve"> </w:t>
      </w:r>
      <w:r>
        <w:rPr>
          <w:rFonts w:ascii="Times New Roman" w:hAnsi="Times New Roman"/>
          <w:b w:val="false"/>
          <w:color w:val="000000"/>
          <w:sz w:val="18"/>
        </w:rPr>
        <w:t>million to one tranche of $75.0</w:t>
      </w:r>
      <w:r>
        <w:rPr>
          <w:rFonts w:ascii="Times New Roman" w:hAnsi="Times New Roman"/>
          <w:color w:val="000000"/>
          <w:sz w:val="24"/>
        </w:rPr>
        <w:t xml:space="preserve"> </w:t>
      </w:r>
      <w:r>
        <w:rPr>
          <w:rFonts w:ascii="Times New Roman" w:hAnsi="Times New Roman"/>
          <w:b w:val="false"/>
          <w:color w:val="000000"/>
          <w:sz w:val="18"/>
        </w:rPr>
        <w:t xml:space="preserve">million, and removing the Tranche 4 Advance (as defined in the Loan Agreement) and Tranche 5 Advance entirely;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 xml:space="preserve">Revise the interest rate applicable to extensions of credit under the Loan Agreement to equal (a) if the prime rate is greater than or equal to 7.00%, the greater of either (i) the prime rate plus 2.20%, and (ii) 9.95%, but in no event greater than 10.70%, and (b) if the prime rate is less than 7.00%, 9.70%;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val="false"/>
          <w:color w:val="000000"/>
          <w:sz w:val="18"/>
        </w:rPr>
        <w:t>Increase the minimum cash requirement of the Company to $30.0</w:t>
      </w:r>
      <w:r>
        <w:rPr>
          <w:rFonts w:ascii="Times New Roman" w:hAnsi="Times New Roman"/>
          <w:color w:val="000000"/>
          <w:sz w:val="24"/>
        </w:rPr>
        <w:t xml:space="preserve"> </w:t>
      </w:r>
      <w:r>
        <w:rPr>
          <w:rFonts w:ascii="Times New Roman" w:hAnsi="Times New Roman"/>
          <w:b w:val="false"/>
          <w:color w:val="000000"/>
          <w:sz w:val="18"/>
        </w:rPr>
        <w:t xml:space="preserve">million;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Require the Company to pay a facility fee equal to 0.75% of the amount of principal actually funded pursuant to the Tranche 1B Advance (as defined in the Loan Agreement), Tranche 1C Advance (as defined in the Loan Agreement), Tranche 1D Advance (as defined in the Loan Agreement), Tranche 1E Advance (as defined in the Loan Agreement), Tranche 2 Advance and Tranche 3 Advance.</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On October 14, 2021, the Company entered into a First Amendment to the Loan and Security Agreement with Hercules. On March 27, 2022, in connection with the Acquisition (as described above), the Company entered into a Second Amendment to the Loan and Security Agreement (the “Second Amendment”) with Hercules. The Second Amendment closed on May 9, 2022 concurrently with the closing of the Acquisition.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As collateral for the obligations, the Company has granted to Hercules a senior security interest in all of the Company’s right, title, and interest in, to and under all of the Company’s property, inclusive of intellectual property, which includes one of the Company’s existing license agreements (the “License Agreement”) with Antecip, an entity owned by Axsome’s Chief Executive Officer and Chairman of the Board, Herriot Tabuteau, M.D., subject to limited exceptions. Antecip consented to the collateral assignment of the License Agreement, among other things, under a direct agreement (the “Direct Agreement”) with the Company and Hercules.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the Company in the future, if the Company decides to do so, under the terms set forth in the Loan Agreement, there will be certain limited financial covenants that will apply,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val="false"/>
          <w:color w:val="000000"/>
          <w:sz w:val="18"/>
        </w:rPr>
        <w:t>Effective upon closing of the Third Amendment of the Loan Agreement, the Company at all times thereafter must maintain cash in an account or accounts in which Hercules has a first priority security interest, in an aggregate amount greater than or equal to $30.0</w:t>
      </w:r>
      <w:r>
        <w:rPr>
          <w:rFonts w:ascii="Times New Roman" w:hAnsi="Times New Roman"/>
          <w:color w:val="000000"/>
          <w:sz w:val="24"/>
        </w:rPr>
        <w:t xml:space="preserve"> </w:t>
      </w:r>
      <w:r>
        <w:rPr>
          <w:rFonts w:ascii="Times New Roman" w:hAnsi="Times New Roman"/>
          <w:b w:val="false"/>
          <w:color w:val="000000"/>
          <w:sz w:val="18"/>
        </w:rPr>
        <w:t xml:space="preserve">million, plus the amount of the Company’s accounts payable under U.S. GAAP not paid after the 180th day following the invoice for such account payable (such amount, the “Qualified Cash A/P Amount”).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val="false"/>
          <w:color w:val="000000"/>
          <w:sz w:val="18"/>
        </w:rPr>
        <w:t>The Company must meet, beginning June 30, 2023, any of the following conditions: (A) ensure that at all times its market capitalization exceeds $1.5</w:t>
      </w:r>
      <w:r>
        <w:rPr>
          <w:rFonts w:ascii="Times New Roman" w:hAnsi="Times New Roman"/>
          <w:color w:val="000000"/>
          <w:sz w:val="24"/>
        </w:rPr>
        <w:t xml:space="preserve"> </w:t>
      </w:r>
      <w:r>
        <w:rPr>
          <w:rFonts w:ascii="Times New Roman" w:hAnsi="Times New Roman"/>
          <w:b w:val="false"/>
          <w:color w:val="000000"/>
          <w:sz w:val="18"/>
        </w:rPr>
        <w:t xml:space="preserve">billion, and that it maintains cash in an account which Hercules has a first priority security interest in an amount not less than 50% of the sum of the outstanding principal amount of the Term Loan Advances (as defined in the Loan Agreement) </w:t>
      </w:r>
      <w:r>
        <w:rPr>
          <w:rFonts w:ascii="Times New Roman" w:hAnsi="Times New Roman"/>
          <w:b w:val="false"/>
          <w:i/>
          <w:color w:val="000000"/>
          <w:sz w:val="18"/>
        </w:rPr>
        <w:t xml:space="preserve">plus </w:t>
      </w:r>
      <w:r>
        <w:rPr>
          <w:rFonts w:ascii="Times New Roman" w:hAnsi="Times New Roman"/>
          <w:b w:val="false"/>
          <w:color w:val="000000"/>
          <w:sz w:val="18"/>
        </w:rPr>
        <w:t xml:space="preserve">the Qualified Cash A/P Amount, (B) ensure that at all times that it maintains cash in an account which Hercules has a first priority security interest in an amount not less than 95% of the sum of the outstanding principal amount of the Term Loan Advances </w:t>
      </w:r>
      <w:r>
        <w:rPr>
          <w:rFonts w:ascii="Times New Roman" w:hAnsi="Times New Roman"/>
          <w:b w:val="false"/>
          <w:i/>
          <w:color w:val="000000"/>
          <w:sz w:val="18"/>
        </w:rPr>
        <w:t>plus</w:t>
      </w:r>
      <w:r>
        <w:rPr>
          <w:rFonts w:ascii="Times New Roman" w:hAnsi="Times New Roman"/>
          <w:color w:val="000000"/>
          <w:sz w:val="24"/>
        </w:rPr>
        <w:t xml:space="preserve"> </w:t>
      </w:r>
      <w:r>
        <w:rPr>
          <w:rFonts w:ascii="Times New Roman" w:hAnsi="Times New Roman"/>
          <w:b w:val="false"/>
          <w:color w:val="000000"/>
          <w:sz w:val="18"/>
        </w:rPr>
        <w:t>the Qualified Cash A/P Amount, or (C) achieve at least 60% of the net product revenue per the board of directors approved forecast solely from the sale of AXS-05, AXS-07, and Sunosi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val="false"/>
          <w:color w:val="000000"/>
          <w:sz w:val="18"/>
        </w:rPr>
        <w:t>Axsome Malta, a company organized under the laws of the Republic of Malta, shall not hold Cash (as defined in the Loan Agreement) outside of the United States in excess of $3.0</w:t>
      </w:r>
      <w:r>
        <w:rPr>
          <w:rFonts w:ascii="Times New Roman" w:hAnsi="Times New Roman"/>
          <w:color w:val="000000"/>
          <w:sz w:val="24"/>
        </w:rPr>
        <w:t xml:space="preserve"> </w:t>
      </w:r>
      <w:r>
        <w:rPr>
          <w:rFonts w:ascii="Times New Roman" w:hAnsi="Times New Roman"/>
          <w:b w:val="false"/>
          <w:color w:val="000000"/>
          <w:sz w:val="18"/>
        </w:rPr>
        <w:t xml:space="preserve">million in the aggregate at any time. This amount,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120" w:after="283"/>
        <w:jc w:val="left"/>
        <w:rPr>
          <w:rFonts w:ascii="Times New Roman" w:hAnsi="Times New Roman"/>
          <w:sz w:val="24"/>
        </w:rPr>
      </w:pPr>
      <w:r>
        <w:rPr>
          <w:rFonts w:ascii="Times New Roman" w:hAnsi="Times New Roman"/>
          <w:b w:val="false"/>
          <w:color w:val="000000"/>
          <w:sz w:val="18"/>
        </w:rPr>
        <w:t>however, was increased by the Fourth Amendment to $15.0</w:t>
      </w:r>
      <w:r>
        <w:rPr>
          <w:rFonts w:ascii="Times New Roman" w:hAnsi="Times New Roman"/>
          <w:color w:val="000000"/>
          <w:sz w:val="24"/>
        </w:rPr>
        <w:t xml:space="preserve"> </w:t>
      </w:r>
      <w:r>
        <w:rPr>
          <w:rFonts w:ascii="Times New Roman" w:hAnsi="Times New Roman"/>
          <w:b w:val="false"/>
          <w:color w:val="000000"/>
          <w:sz w:val="18"/>
        </w:rPr>
        <w:t>million for a 45-day period after the closing of the Fourth Amendment and to $10.0</w:t>
      </w:r>
      <w:r>
        <w:rPr>
          <w:rFonts w:ascii="Times New Roman" w:hAnsi="Times New Roman"/>
          <w:color w:val="000000"/>
          <w:sz w:val="24"/>
        </w:rPr>
        <w:t xml:space="preserve"> </w:t>
      </w:r>
      <w:r>
        <w:rPr>
          <w:rFonts w:ascii="Times New Roman" w:hAnsi="Times New Roman"/>
          <w:b w:val="false"/>
          <w:color w:val="000000"/>
          <w:sz w:val="18"/>
        </w:rPr>
        <w:t>million thereafter. Furthermore, in August 2023, Hercules granted the Company a waiver to the Fourth Amendment, permitting Axsome Malta to hold up to $12.5</w:t>
      </w:r>
      <w:r>
        <w:rPr>
          <w:rFonts w:ascii="Times New Roman" w:hAnsi="Times New Roman"/>
          <w:color w:val="000000"/>
          <w:sz w:val="24"/>
        </w:rPr>
        <w:t xml:space="preserve"> </w:t>
      </w:r>
      <w:r>
        <w:rPr>
          <w:rFonts w:ascii="Times New Roman" w:hAnsi="Times New Roman"/>
          <w:b w:val="false"/>
          <w:color w:val="000000"/>
          <w:sz w:val="18"/>
        </w:rPr>
        <w:t>million in Cash outside of the United States until December 31,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Restrictions on the Company’s ability to incur additional indebtedness, pay dividends, encumber its intellectual property, or engage in certain fundamental business transactions, such as mergers or acquisitions of other businesses, with certain exceptions.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In addition, the Company is required to pay certain end of term charges, including (A) an initial end of term charge of $4.45</w:t>
      </w:r>
      <w:r>
        <w:rPr>
          <w:rFonts w:ascii="Times New Roman" w:hAnsi="Times New Roman"/>
          <w:color w:val="000000"/>
          <w:sz w:val="20"/>
        </w:rPr>
        <w:t xml:space="preserve"> </w:t>
      </w:r>
      <w:r>
        <w:rPr>
          <w:rFonts w:ascii="Times New Roman" w:hAnsi="Times New Roman"/>
          <w:b w:val="false"/>
          <w:color w:val="000000"/>
          <w:sz w:val="18"/>
        </w:rPr>
        <w:t xml:space="preserve">million and (B) a subsequent end of term charge of (i) 1.10% of the aggregate amount of all Tranche 1A Advances </w:t>
      </w:r>
      <w:r>
        <w:rPr>
          <w:rFonts w:ascii="Times New Roman" w:hAnsi="Times New Roman"/>
          <w:b w:val="false"/>
          <w:i/>
          <w:color w:val="000000"/>
          <w:sz w:val="18"/>
        </w:rPr>
        <w:t xml:space="preserve">plus </w:t>
      </w:r>
      <w:r>
        <w:rPr>
          <w:rFonts w:ascii="Times New Roman" w:hAnsi="Times New Roman"/>
          <w:b w:val="false"/>
          <w:color w:val="000000"/>
          <w:sz w:val="18"/>
        </w:rPr>
        <w:t>(ii) 4.95% of the aggregate amount of all Term Loan Advances (other than Tranche 1A Advances) funded. The end of term charges are being accreted into interest expense using the effective interest rate method over the term of the loan.</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If the Maturity Extension Conditions (as defined in the Loan Agreement) are satisfied, the Company must pay an Extension End of Term Charge equal to 1.00% of the aggregate amount of all Term Loan Advances outstanding as of the date on which the Maturity Extension Conditions are satisfied, in addition to the end of term charges described above.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Company may, at its option prepay the term loans in full or in part, subject to a prepayment penalty equal to (i) 2.0% of the principal amount prepaid if the prepayment occurs prior to February 1, 2024, (ii) 1.5% of the principal amount prepaid if the prepayment occurs on or after February 1, 2024 but prior to February 1, 2025, and (iii) 1.0% of the principal amount prepaid if the prepayment occurs on or after February 1, 2025 but prior to February 1,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 xml:space="preserve">The Company evaluated whether the Third Amendment entered into in January 2023 represented a debt modification or extinguishment in accordance with ASC 470-50, </w:t>
      </w:r>
      <w:r>
        <w:rPr>
          <w:rFonts w:ascii="Times New Roman" w:hAnsi="Times New Roman"/>
          <w:b w:val="false"/>
          <w:i/>
          <w:color w:val="000000"/>
          <w:sz w:val="18"/>
        </w:rPr>
        <w:t>Debt – Modifications and Extinguishments</w:t>
      </w:r>
      <w:r>
        <w:rPr>
          <w:rFonts w:ascii="Times New Roman" w:hAnsi="Times New Roman"/>
          <w:b w:val="false"/>
          <w:color w:val="000000"/>
          <w:sz w:val="18"/>
        </w:rPr>
        <w:t>. As the present value of the cash flows under the terms of the Third Amendment is less than 10% different from the remaining cash flows under the terms of the Second Amendment, the Third Amendment was accounted for as a debt modification. The unamortized balance of debt discount costs incurred in connection with those loans and additional debt discount costs incurred in connection with entry into the Third Amendment are being amortized through maturity in January 2028</w:t>
      </w:r>
      <w:r>
        <w:rPr>
          <w:rFonts w:ascii="Times New Roman" w:hAnsi="Times New Roman"/>
          <w:color w:val="000000"/>
          <w:sz w:val="20"/>
        </w:rPr>
        <w:t xml:space="preserve"> </w:t>
      </w:r>
      <w:r>
        <w:rPr>
          <w:rFonts w:ascii="Times New Roman" w:hAnsi="Times New Roman"/>
          <w:b w:val="false"/>
          <w:color w:val="000000"/>
          <w:sz w:val="18"/>
        </w:rPr>
        <w:t>utilizing the effective interest rate method.</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Loan Interest Expense and Amortization</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interest expense, amortization expense for the final payment fee and debt discount related to the issuance costs and warrants for the Company’s debt is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86"/>
        <w:gridCol w:w="146"/>
        <w:gridCol w:w="286"/>
        <w:gridCol w:w="775"/>
        <w:gridCol w:w="198"/>
        <w:gridCol w:w="198"/>
        <w:gridCol w:w="286"/>
        <w:gridCol w:w="775"/>
        <w:gridCol w:w="146"/>
        <w:gridCol w:w="146"/>
        <w:gridCol w:w="265"/>
        <w:gridCol w:w="851"/>
        <w:gridCol w:w="183"/>
        <w:gridCol w:w="183"/>
        <w:gridCol w:w="265"/>
        <w:gridCol w:w="718"/>
        <w:gridCol w:w="198"/>
      </w:tblGrid>
      <w:tr>
        <w:trPr/>
        <w:tc>
          <w:tcPr>
            <w:tcW w:w="4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4,890</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12,592</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5,579</w:t>
            </w:r>
          </w:p>
        </w:tc>
        <w:tc>
          <w:tcPr>
            <w:tcW w:w="198" w:type="dxa"/>
            <w:tcBorders/>
            <w:shd w:fill="CFF0FC" w:val="clear"/>
            <w:vAlign w:val="center"/>
          </w:tcPr>
          <w:p>
            <w:pPr>
              <w:pStyle w:val="TableContents"/>
              <w:bidi w:val="0"/>
              <w:spacing w:before="0" w:after="283"/>
              <w:jc w:val="left"/>
              <w:rPr/>
            </w:pPr>
            <w:r>
              <w:rPr/>
              <w:t> </w:t>
            </w:r>
          </w:p>
        </w:tc>
      </w:tr>
      <w:tr>
        <w:trPr/>
        <w:tc>
          <w:tcPr>
            <w:tcW w:w="45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final payment fee</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w:t>
            </w:r>
          </w:p>
        </w:tc>
        <w:tc>
          <w:tcPr>
            <w:tcW w:w="198"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855</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w:t>
            </w:r>
          </w:p>
        </w:tc>
        <w:tc>
          <w:tcPr>
            <w:tcW w:w="198" w:type="dxa"/>
            <w:tcBorders/>
            <w:shd w:fill="FFFFFF" w:val="clear"/>
            <w:vAlign w:val="center"/>
          </w:tcPr>
          <w:p>
            <w:pPr>
              <w:pStyle w:val="TableContents"/>
              <w:bidi w:val="0"/>
              <w:spacing w:before="0" w:after="283"/>
              <w:jc w:val="left"/>
              <w:rPr/>
            </w:pPr>
            <w:r>
              <w:rPr/>
              <w:t> </w:t>
            </w:r>
          </w:p>
        </w:tc>
      </w:tr>
      <w:tr>
        <w:trPr/>
        <w:tc>
          <w:tcPr>
            <w:tcW w:w="45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debt discount related issuance costs and warrants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1,265</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675</w:t>
            </w:r>
          </w:p>
        </w:tc>
        <w:tc>
          <w:tcPr>
            <w:tcW w:w="198"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outstanding debt and unamortized debt discount balances are as follows:</w:t>
      </w:r>
    </w:p>
    <w:p>
      <w:pPr>
        <w:pStyle w:val="TextBody"/>
        <w:bidi w:val="0"/>
        <w:jc w:val="left"/>
        <w:rPr/>
      </w:pPr>
      <w:r>
        <w:rPr/>
        <w:t> </w:t>
      </w:r>
    </w:p>
    <w:tbl>
      <w:tblPr>
        <w:tblW w:w="6950" w:type="dxa"/>
        <w:jc w:val="left"/>
        <w:tblInd w:w="0" w:type="dxa"/>
        <w:tblLayout w:type="fixed"/>
        <w:tblCellMar>
          <w:top w:w="28" w:type="dxa"/>
          <w:left w:w="28" w:type="dxa"/>
          <w:bottom w:w="28" w:type="dxa"/>
          <w:right w:w="28" w:type="dxa"/>
        </w:tblCellMar>
      </w:tblPr>
      <w:tblGrid>
        <w:gridCol w:w="3846"/>
        <w:gridCol w:w="146"/>
        <w:gridCol w:w="242"/>
        <w:gridCol w:w="898"/>
        <w:gridCol w:w="166"/>
        <w:gridCol w:w="146"/>
        <w:gridCol w:w="260"/>
        <w:gridCol w:w="835"/>
        <w:gridCol w:w="411"/>
      </w:tblGrid>
      <w:tr>
        <w:trPr/>
        <w:tc>
          <w:tcPr>
            <w:tcW w:w="3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4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Outstanding Debt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95,000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8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 accreted final payment fee</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8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unamortized debt discount, long-term</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8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current portion of long-term debt</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Loan payable, long-term</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94,259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Scheduled Principal Payments on Outstanding Debt, as of September 30, 2023, are as follows:</w:t>
      </w:r>
    </w:p>
    <w:p>
      <w:pPr>
        <w:pStyle w:val="TextBody"/>
        <w:bidi w:val="0"/>
        <w:jc w:val="both"/>
        <w:rPr/>
      </w:pPr>
      <w:r>
        <w:rPr/>
        <w:t> </w:t>
      </w:r>
    </w:p>
    <w:tbl>
      <w:tblPr>
        <w:tblW w:w="4510" w:type="dxa"/>
        <w:jc w:val="left"/>
        <w:tblInd w:w="0" w:type="dxa"/>
        <w:tblLayout w:type="fixed"/>
        <w:tblCellMar>
          <w:top w:w="28" w:type="dxa"/>
          <w:left w:w="28" w:type="dxa"/>
          <w:bottom w:w="28" w:type="dxa"/>
          <w:right w:w="28" w:type="dxa"/>
        </w:tblCellMar>
      </w:tblPr>
      <w:tblGrid>
        <w:gridCol w:w="3181"/>
        <w:gridCol w:w="146"/>
        <w:gridCol w:w="211"/>
        <w:gridCol w:w="781"/>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principal payments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The Company was in compliance with all covenants and requirements of its financing arrangements as of and during the nine months ended September 30, 2023.</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Note 11. Commitments and Contingencies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Operating Leases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In April 2023, the Company entered into a ten-year</w:t>
      </w:r>
      <w:r>
        <w:rPr>
          <w:rFonts w:ascii="Times New Roman" w:hAnsi="Times New Roman"/>
          <w:color w:val="000000"/>
          <w:sz w:val="20"/>
        </w:rPr>
        <w:t xml:space="preserve"> </w:t>
      </w:r>
      <w:r>
        <w:rPr>
          <w:rFonts w:ascii="Times New Roman" w:hAnsi="Times New Roman"/>
          <w:b w:val="false"/>
          <w:color w:val="000000"/>
          <w:sz w:val="18"/>
        </w:rPr>
        <w:t>agreement to sublease office space at One World Trade Center. Based on the Company's past experience and current expectation for administrative office needs, the Company determined the lease term to be five years. As of September 30, 2023, the remaining lease term for the Company's operating lease was 4.5</w:t>
      </w:r>
      <w:r>
        <w:rPr>
          <w:rFonts w:ascii="Times New Roman" w:hAnsi="Times New Roman"/>
          <w:color w:val="000000"/>
          <w:sz w:val="20"/>
        </w:rPr>
        <w:t xml:space="preserve"> </w:t>
      </w:r>
      <w:r>
        <w:rPr>
          <w:rFonts w:ascii="Times New Roman" w:hAnsi="Times New Roman"/>
          <w:b w:val="false"/>
          <w:color w:val="000000"/>
          <w:sz w:val="18"/>
        </w:rPr>
        <w:t>years with a discount rate of 12.0%.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 The lease at 22 Cortlandt Street ended in April 2023.</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For the three and nine months ended September 30, 2023 and 2022, the Company had the following operating lease expense: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83"/>
        <w:gridCol w:w="146"/>
        <w:gridCol w:w="2480"/>
        <w:gridCol w:w="146"/>
        <w:gridCol w:w="321"/>
        <w:gridCol w:w="641"/>
        <w:gridCol w:w="222"/>
        <w:gridCol w:w="222"/>
        <w:gridCol w:w="321"/>
        <w:gridCol w:w="641"/>
        <w:gridCol w:w="146"/>
        <w:gridCol w:w="146"/>
        <w:gridCol w:w="290"/>
        <w:gridCol w:w="785"/>
        <w:gridCol w:w="200"/>
        <w:gridCol w:w="200"/>
        <w:gridCol w:w="290"/>
        <w:gridCol w:w="579"/>
        <w:gridCol w:w="146"/>
        <w:gridCol w:w="200"/>
      </w:tblGrid>
      <w:tr>
        <w:trPr/>
        <w:tc>
          <w:tcPr>
            <w:tcW w:w="2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0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0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Statement of Operations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center"/>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08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lease expense</w:t>
            </w:r>
          </w:p>
        </w:tc>
        <w:tc>
          <w:tcPr>
            <w:tcW w:w="146" w:type="dxa"/>
            <w:tcBorders/>
            <w:shd w:fill="CFF0FC" w:val="clear"/>
            <w:vAlign w:val="center"/>
          </w:tcPr>
          <w:p>
            <w:pPr>
              <w:pStyle w:val="TableContents"/>
              <w:bidi w:val="0"/>
              <w:spacing w:before="0" w:after="283"/>
              <w:jc w:val="left"/>
              <w:rPr/>
            </w:pPr>
            <w:r>
              <w:rPr/>
              <w:t> </w:t>
            </w:r>
          </w:p>
        </w:tc>
        <w:tc>
          <w:tcPr>
            <w:tcW w:w="2480"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583</w:t>
            </w:r>
          </w:p>
        </w:tc>
        <w:tc>
          <w:tcPr>
            <w:tcW w:w="222"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1,590</w:t>
            </w:r>
          </w:p>
        </w:tc>
        <w:tc>
          <w:tcPr>
            <w:tcW w:w="200"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872</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Future minimum lease payments of the Company’s operating leases as of September 30, 2023 were as follows:</w:t>
      </w:r>
    </w:p>
    <w:p>
      <w:pPr>
        <w:pStyle w:val="TextBody"/>
        <w:bidi w:val="0"/>
        <w:jc w:val="left"/>
        <w:rPr/>
      </w:pPr>
      <w:r>
        <w:rPr/>
        <w:t> </w:t>
      </w:r>
    </w:p>
    <w:tbl>
      <w:tblPr>
        <w:tblW w:w="4955" w:type="dxa"/>
        <w:jc w:val="left"/>
        <w:tblInd w:w="0" w:type="dxa"/>
        <w:tblLayout w:type="fixed"/>
        <w:tblCellMar>
          <w:top w:w="28" w:type="dxa"/>
          <w:left w:w="28" w:type="dxa"/>
          <w:bottom w:w="28" w:type="dxa"/>
          <w:right w:w="28" w:type="dxa"/>
        </w:tblCellMar>
      </w:tblPr>
      <w:tblGrid>
        <w:gridCol w:w="3611"/>
        <w:gridCol w:w="146"/>
        <w:gridCol w:w="211"/>
        <w:gridCol w:w="676"/>
        <w:gridCol w:w="311"/>
      </w:tblGrid>
      <w:tr>
        <w:trPr/>
        <w:tc>
          <w:tcPr>
            <w:tcW w:w="3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311" w:type="dxa"/>
            <w:tcBorders/>
            <w:shd w:fill="CFF0FC" w:val="clear"/>
            <w:vAlign w:val="center"/>
          </w:tcPr>
          <w:p>
            <w:pPr>
              <w:pStyle w:val="TableContents"/>
              <w:bidi w:val="0"/>
              <w:spacing w:before="0" w:after="283"/>
              <w:jc w:val="left"/>
              <w:rPr/>
            </w:pPr>
            <w:r>
              <w:rPr/>
              <w:t> </w:t>
            </w:r>
          </w:p>
        </w:tc>
      </w:tr>
      <w:tr>
        <w:trPr/>
        <w:tc>
          <w:tcPr>
            <w:tcW w:w="3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720</w:t>
            </w:r>
          </w:p>
        </w:tc>
        <w:tc>
          <w:tcPr>
            <w:tcW w:w="311" w:type="dxa"/>
            <w:tcBorders/>
            <w:shd w:fill="FFFFFF" w:val="clear"/>
            <w:vAlign w:val="center"/>
          </w:tcPr>
          <w:p>
            <w:pPr>
              <w:pStyle w:val="TableContents"/>
              <w:bidi w:val="0"/>
              <w:spacing w:before="0" w:after="283"/>
              <w:jc w:val="left"/>
              <w:rPr/>
            </w:pPr>
            <w:r>
              <w:rPr/>
              <w:t> </w:t>
            </w:r>
          </w:p>
        </w:tc>
      </w:tr>
      <w:tr>
        <w:trPr/>
        <w:tc>
          <w:tcPr>
            <w:tcW w:w="3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2,452</w:t>
            </w:r>
          </w:p>
        </w:tc>
        <w:tc>
          <w:tcPr>
            <w:tcW w:w="311" w:type="dxa"/>
            <w:tcBorders/>
            <w:shd w:fill="CFF0FC" w:val="clear"/>
            <w:vAlign w:val="center"/>
          </w:tcPr>
          <w:p>
            <w:pPr>
              <w:pStyle w:val="TableContents"/>
              <w:bidi w:val="0"/>
              <w:spacing w:before="0" w:after="283"/>
              <w:jc w:val="left"/>
              <w:rPr/>
            </w:pPr>
            <w:r>
              <w:rPr/>
              <w:t> </w:t>
            </w:r>
          </w:p>
        </w:tc>
      </w:tr>
      <w:tr>
        <w:trPr/>
        <w:tc>
          <w:tcPr>
            <w:tcW w:w="3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2,521</w:t>
            </w:r>
          </w:p>
        </w:tc>
        <w:tc>
          <w:tcPr>
            <w:tcW w:w="311" w:type="dxa"/>
            <w:tcBorders/>
            <w:shd w:fill="FFFFFF" w:val="clear"/>
            <w:vAlign w:val="center"/>
          </w:tcPr>
          <w:p>
            <w:pPr>
              <w:pStyle w:val="TableContents"/>
              <w:bidi w:val="0"/>
              <w:spacing w:before="0" w:after="283"/>
              <w:jc w:val="left"/>
              <w:rPr/>
            </w:pPr>
            <w:r>
              <w:rPr/>
              <w:t> </w:t>
            </w:r>
          </w:p>
        </w:tc>
      </w:tr>
      <w:tr>
        <w:trPr/>
        <w:tc>
          <w:tcPr>
            <w:tcW w:w="3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2,521</w:t>
            </w:r>
          </w:p>
        </w:tc>
        <w:tc>
          <w:tcPr>
            <w:tcW w:w="311" w:type="dxa"/>
            <w:tcBorders/>
            <w:shd w:fill="CFF0FC" w:val="clear"/>
            <w:vAlign w:val="center"/>
          </w:tcPr>
          <w:p>
            <w:pPr>
              <w:pStyle w:val="TableContents"/>
              <w:bidi w:val="0"/>
              <w:spacing w:before="0" w:after="283"/>
              <w:jc w:val="left"/>
              <w:rPr/>
            </w:pPr>
            <w:r>
              <w:rPr/>
              <w:t> </w:t>
            </w:r>
          </w:p>
        </w:tc>
      </w:tr>
      <w:tr>
        <w:trPr/>
        <w:tc>
          <w:tcPr>
            <w:tcW w:w="3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11,559</w:t>
            </w:r>
          </w:p>
        </w:tc>
        <w:tc>
          <w:tcPr>
            <w:tcW w:w="311" w:type="dxa"/>
            <w:tcBorders/>
            <w:shd w:fill="CFF0FC" w:val="clear"/>
            <w:vAlign w:val="center"/>
          </w:tcPr>
          <w:p>
            <w:pPr>
              <w:pStyle w:val="TableContents"/>
              <w:bidi w:val="0"/>
              <w:spacing w:before="0" w:after="283"/>
              <w:jc w:val="left"/>
              <w:rPr/>
            </w:pPr>
            <w:r>
              <w:rPr/>
              <w:t> </w:t>
            </w:r>
          </w:p>
        </w:tc>
      </w:tr>
      <w:tr>
        <w:trPr/>
        <w:tc>
          <w:tcPr>
            <w:tcW w:w="3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Present value of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Note 12. Stockholders’ Equity</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Public Offerings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At-the-Market Offerings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In December 2019, the Company entered into a sales agreement (the “December 2019 Sales Agreement”) with SVB Securities LLC (now known as Leerink Partners LLC) (“Leerink”), pursuant to which the Company may sell up to $80</w:t>
      </w:r>
      <w:r>
        <w:rPr>
          <w:rFonts w:ascii="Times New Roman" w:hAnsi="Times New Roman"/>
          <w:color w:val="000000"/>
          <w:sz w:val="20"/>
        </w:rPr>
        <w:t xml:space="preserve"> </w:t>
      </w:r>
      <w:r>
        <w:rPr>
          <w:rFonts w:ascii="Times New Roman" w:hAnsi="Times New Roman"/>
          <w:b w:val="false"/>
          <w:color w:val="000000"/>
          <w:sz w:val="18"/>
        </w:rPr>
        <w:t>million in shares of the Company’s common stock from time to time through Leerink, acting as the Company’s sales agent, in one or more at-the-market offerings utilizing an automatic shelf registration statement (the “2019 Shelf Registration Statement”) the Company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filed with the SEC on December 5, 2019 for the issuance of common stock, preferred stock, warrants, rights, debt securities and units. Leerink is entitled to receive a commission of 3.0% of the gross proceeds for any shares sold under the December 2019 Sales Agreement. The December 2019 Sales Agreement was replaced by the March 2022 Sales Agreement (see below).</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In March 2022, the Company entered into a sales agreement (the “March 2022 Sales Agreement”) with Leerink, pursuant to which the Company may sell up to $200</w:t>
      </w:r>
      <w:r>
        <w:rPr>
          <w:rFonts w:ascii="Times New Roman" w:hAnsi="Times New Roman"/>
          <w:color w:val="000000"/>
          <w:sz w:val="20"/>
        </w:rPr>
        <w:t xml:space="preserve"> </w:t>
      </w:r>
      <w:r>
        <w:rPr>
          <w:rFonts w:ascii="Times New Roman" w:hAnsi="Times New Roman"/>
          <w:b w:val="false"/>
          <w:color w:val="000000"/>
          <w:sz w:val="18"/>
        </w:rPr>
        <w:t>million in shares of the Company’s common stock from time to time through Leerink, acting as the Company’s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dated December 5, 2019, by and between the Company and Leerink. The Company exhausted sales of its shares of the Company’s common stock under its prior at-the-market offering program.</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In August 2022, the Company filed a prospectus supplement to the 2019 Shelf Registration Statement for the issuance and sale, if any, of up to an additional $250</w:t>
      </w:r>
      <w:r>
        <w:rPr>
          <w:rFonts w:ascii="Times New Roman" w:hAnsi="Times New Roman"/>
          <w:color w:val="000000"/>
          <w:sz w:val="20"/>
        </w:rPr>
        <w:t xml:space="preserve"> </w:t>
      </w:r>
      <w:r>
        <w:rPr>
          <w:rFonts w:ascii="Times New Roman" w:hAnsi="Times New Roman"/>
          <w:b w:val="false"/>
          <w:color w:val="000000"/>
          <w:sz w:val="18"/>
        </w:rPr>
        <w:t>million in shares of the Company’s common stock. The Company will pay Leerink a commission of up to 3.0% of the gross sales proceeds of any shares sold through Leerink, acting as sales agent, under the March 2022 Sales Agreement.</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In December 2022, in connection with the 2022 Shelf Registration Statement (as defined below), the Company filed a new sales agreement prospectus to replace the prior prospectus supplement filed in August 2022 associated with the expired 2019 Shelf Registration Statement. The new sales agreement prospectus covered the issuance and sale by the Company of up to the same $250</w:t>
      </w:r>
      <w:r>
        <w:rPr>
          <w:rFonts w:ascii="Times New Roman" w:hAnsi="Times New Roman"/>
          <w:color w:val="000000"/>
          <w:sz w:val="20"/>
        </w:rPr>
        <w:t xml:space="preserve"> </w:t>
      </w:r>
      <w:r>
        <w:rPr>
          <w:rFonts w:ascii="Times New Roman" w:hAnsi="Times New Roman"/>
          <w:b w:val="false"/>
          <w:color w:val="000000"/>
          <w:sz w:val="18"/>
        </w:rPr>
        <w:t>million of the Company’s common stock that may be issued and sold from time to time through Leerink, as the Company’s sales agent, under the March 2022 Sales Agreement.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Company did not utilize the March 2022 Sales Agreement with Leerink during the nine months ended September 30, 2023.</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holders of shares of common stock are entitled to one</w:t>
      </w:r>
      <w:r>
        <w:rPr>
          <w:rFonts w:ascii="Times New Roman" w:hAnsi="Times New Roman"/>
          <w:color w:val="000000"/>
          <w:sz w:val="20"/>
        </w:rPr>
        <w:t xml:space="preserve"> </w:t>
      </w:r>
      <w:r>
        <w:rPr>
          <w:rFonts w:ascii="Times New Roman" w:hAnsi="Times New Roman"/>
          <w:b w:val="false"/>
          <w:color w:val="000000"/>
          <w:sz w:val="18"/>
        </w:rPr>
        <w:t>vote for each share of common stock held at all meetings of stockholders and written actions in lieu of meetings. The holders of shares of common stock are entitled to receive dividends, if and when declared by the board of directors.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June 2023 Public Offering</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In June 2023, the Company completed an underwritten public offering of its common stock (the “June 2023 Public Offering”). The Company sold 3.0</w:t>
      </w:r>
      <w:r>
        <w:rPr>
          <w:rFonts w:ascii="Times New Roman" w:hAnsi="Times New Roman"/>
          <w:color w:val="000000"/>
          <w:sz w:val="20"/>
        </w:rPr>
        <w:t xml:space="preserve"> </w:t>
      </w:r>
      <w:r>
        <w:rPr>
          <w:rFonts w:ascii="Times New Roman" w:hAnsi="Times New Roman"/>
          <w:b w:val="false"/>
          <w:color w:val="000000"/>
          <w:sz w:val="18"/>
        </w:rPr>
        <w:t>million shares of its common stock at a public offering price of $75.00</w:t>
      </w:r>
      <w:r>
        <w:rPr>
          <w:rFonts w:ascii="Times New Roman" w:hAnsi="Times New Roman"/>
          <w:color w:val="000000"/>
          <w:sz w:val="20"/>
        </w:rPr>
        <w:t xml:space="preserve"> </w:t>
      </w:r>
      <w:r>
        <w:rPr>
          <w:rFonts w:ascii="Times New Roman" w:hAnsi="Times New Roman"/>
          <w:b w:val="false"/>
          <w:color w:val="000000"/>
          <w:sz w:val="18"/>
        </w:rPr>
        <w:t>per share. The net proceeds were $211.3</w:t>
      </w:r>
      <w:r>
        <w:rPr>
          <w:rFonts w:ascii="Times New Roman" w:hAnsi="Times New Roman"/>
          <w:color w:val="000000"/>
          <w:sz w:val="20"/>
        </w:rPr>
        <w:t xml:space="preserve"> </w:t>
      </w:r>
      <w:r>
        <w:rPr>
          <w:rFonts w:ascii="Times New Roman" w:hAnsi="Times New Roman"/>
          <w:b w:val="false"/>
          <w:color w:val="000000"/>
          <w:sz w:val="18"/>
        </w:rPr>
        <w:t>million, net of underwriting discounts and commissions of $13.5</w:t>
      </w:r>
      <w:r>
        <w:rPr>
          <w:rFonts w:ascii="Times New Roman" w:hAnsi="Times New Roman"/>
          <w:color w:val="000000"/>
          <w:sz w:val="20"/>
        </w:rPr>
        <w:t xml:space="preserve"> </w:t>
      </w:r>
      <w:r>
        <w:rPr>
          <w:rFonts w:ascii="Times New Roman" w:hAnsi="Times New Roman"/>
          <w:b w:val="false"/>
          <w:color w:val="000000"/>
          <w:sz w:val="18"/>
        </w:rPr>
        <w:t>million and other offering costs of $0.2</w:t>
      </w:r>
      <w:r>
        <w:rPr>
          <w:rFonts w:ascii="Times New Roman" w:hAnsi="Times New Roman"/>
          <w:color w:val="000000"/>
          <w:sz w:val="20"/>
        </w:rPr>
        <w:t xml:space="preserve"> </w:t>
      </w:r>
      <w:r>
        <w:rPr>
          <w:rFonts w:ascii="Times New Roman" w:hAnsi="Times New Roman"/>
          <w:b w:val="false"/>
          <w:color w:val="000000"/>
          <w:sz w:val="18"/>
        </w:rPr>
        <w:t>million. Additionally, in connection with this public offering, in July 2023, the underwriters fully exercised their option to purchase 450,000</w:t>
      </w:r>
      <w:r>
        <w:rPr>
          <w:rFonts w:ascii="Times New Roman" w:hAnsi="Times New Roman"/>
          <w:color w:val="000000"/>
          <w:sz w:val="20"/>
        </w:rPr>
        <w:t xml:space="preserve"> </w:t>
      </w:r>
      <w:r>
        <w:rPr>
          <w:rFonts w:ascii="Times New Roman" w:hAnsi="Times New Roman"/>
          <w:b w:val="false"/>
          <w:color w:val="000000"/>
          <w:sz w:val="18"/>
        </w:rPr>
        <w:t>additional shares of the Company's common stock at a public offering price of $75.00</w:t>
      </w:r>
      <w:r>
        <w:rPr>
          <w:rFonts w:ascii="Times New Roman" w:hAnsi="Times New Roman"/>
          <w:color w:val="000000"/>
          <w:sz w:val="20"/>
        </w:rPr>
        <w:t xml:space="preserve"> </w:t>
      </w:r>
      <w:r>
        <w:rPr>
          <w:rFonts w:ascii="Times New Roman" w:hAnsi="Times New Roman"/>
          <w:b w:val="false"/>
          <w:color w:val="000000"/>
          <w:sz w:val="18"/>
        </w:rPr>
        <w:t>per share. The net proceeds from the exercise of the option were $31.7</w:t>
      </w:r>
      <w:r>
        <w:rPr>
          <w:rFonts w:ascii="Times New Roman" w:hAnsi="Times New Roman"/>
          <w:color w:val="000000"/>
          <w:sz w:val="20"/>
        </w:rPr>
        <w:t xml:space="preserve"> </w:t>
      </w:r>
      <w:r>
        <w:rPr>
          <w:rFonts w:ascii="Times New Roman" w:hAnsi="Times New Roman"/>
          <w:b w:val="false"/>
          <w:color w:val="000000"/>
          <w:sz w:val="18"/>
        </w:rPr>
        <w:t>million, net of underwriting discounts and commissions of $2.0</w:t>
      </w:r>
      <w:r>
        <w:rPr>
          <w:rFonts w:ascii="Times New Roman" w:hAnsi="Times New Roman"/>
          <w:color w:val="000000"/>
          <w:sz w:val="20"/>
        </w:rPr>
        <w:t xml:space="preserve"> </w:t>
      </w:r>
      <w:r>
        <w:rPr>
          <w:rFonts w:ascii="Times New Roman" w:hAnsi="Times New Roman"/>
          <w:b w:val="false"/>
          <w:color w:val="000000"/>
          <w:sz w:val="18"/>
        </w:rPr>
        <w:t>million and other minimal offering costs.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Shelf Registration Statement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On December 2, 2022, the Company filed an automatic shelf registration statement (“2022 Shelf Registration Statement”) with the SEC for the issuance of common stock, preferred stock, warrants, rights, debt securities and units. It became effective upon filing with the SEC and is currently the Company’s only active shelf registration.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Under SEC rules, the 2022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2022 Shelf Registration Statement are offered for sale, a prospectus supplement will be prepared and filed with the SEC containing specific information about the terms of any such offering.</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Equity Incentive Plans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There were 2,530,629</w:t>
      </w:r>
      <w:r>
        <w:rPr>
          <w:rFonts w:ascii="Times New Roman" w:hAnsi="Times New Roman"/>
          <w:color w:val="000000"/>
          <w:sz w:val="20"/>
        </w:rPr>
        <w:t xml:space="preserve"> </w:t>
      </w:r>
      <w:r>
        <w:rPr>
          <w:rFonts w:ascii="Times New Roman" w:hAnsi="Times New Roman"/>
          <w:b w:val="false"/>
          <w:color w:val="000000"/>
          <w:sz w:val="18"/>
        </w:rPr>
        <w:t>shares available for the issuance of stock options or stock-based awards under the Company’s 2015 Omnibus Incentive Compensation Plan at September 30,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Stock Options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following table sets forth the stock option activity for the nine months ended September 30, 2023:</w:t>
      </w:r>
    </w:p>
    <w:p>
      <w:pPr>
        <w:pStyle w:val="TextBody"/>
        <w:bidi w:val="0"/>
        <w:jc w:val="left"/>
        <w:rPr/>
      </w:pPr>
      <w:r>
        <w:rPr/>
        <w:t> </w:t>
      </w:r>
    </w:p>
    <w:tbl>
      <w:tblPr>
        <w:tblW w:w="9774" w:type="dxa"/>
        <w:jc w:val="left"/>
        <w:tblInd w:w="0" w:type="dxa"/>
        <w:tblLayout w:type="fixed"/>
        <w:tblCellMar>
          <w:top w:w="28" w:type="dxa"/>
          <w:left w:w="28" w:type="dxa"/>
          <w:bottom w:w="28" w:type="dxa"/>
          <w:right w:w="28" w:type="dxa"/>
        </w:tblCellMar>
      </w:tblPr>
      <w:tblGrid>
        <w:gridCol w:w="4246"/>
        <w:gridCol w:w="146"/>
        <w:gridCol w:w="146"/>
        <w:gridCol w:w="931"/>
        <w:gridCol w:w="166"/>
        <w:gridCol w:w="146"/>
        <w:gridCol w:w="290"/>
        <w:gridCol w:w="790"/>
        <w:gridCol w:w="146"/>
        <w:gridCol w:w="146"/>
        <w:gridCol w:w="272"/>
        <w:gridCol w:w="674"/>
        <w:gridCol w:w="146"/>
        <w:gridCol w:w="146"/>
        <w:gridCol w:w="211"/>
        <w:gridCol w:w="781"/>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6,617,728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2,165,411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(330,386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(302,564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8,150,189</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244,068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 and expected to vest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8,150,189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244,068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Exercisable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4,193,559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183,507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is based on historical volatilities of similar entities within the Company’s industry which were commensurate with the Company’s expected term assumption. Currently, expected volatility is based on historical volatility information of the Company's common stock since the Company's initial public offering in 2015.</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weighted average grant date fair value of options granted was $53.38</w:t>
      </w:r>
      <w:r>
        <w:rPr>
          <w:rFonts w:ascii="Times New Roman" w:hAnsi="Times New Roman"/>
          <w:color w:val="000000"/>
          <w:sz w:val="20"/>
        </w:rPr>
        <w:t xml:space="preserve"> </w:t>
      </w:r>
      <w:r>
        <w:rPr>
          <w:rFonts w:ascii="Times New Roman" w:hAnsi="Times New Roman"/>
          <w:b w:val="false"/>
          <w:color w:val="000000"/>
          <w:sz w:val="18"/>
        </w:rPr>
        <w:t>per option for the nine months ended September 30, 2023. As of September 30, 2023, there was $160.6</w:t>
      </w:r>
      <w:r>
        <w:rPr>
          <w:rFonts w:ascii="Times New Roman" w:hAnsi="Times New Roman"/>
          <w:color w:val="000000"/>
          <w:sz w:val="20"/>
        </w:rPr>
        <w:t xml:space="preserve"> </w:t>
      </w:r>
      <w:r>
        <w:rPr>
          <w:rFonts w:ascii="Times New Roman" w:hAnsi="Times New Roman"/>
          <w:b w:val="false"/>
          <w:color w:val="000000"/>
          <w:sz w:val="18"/>
        </w:rPr>
        <w:t>million of total unrecognized compensation cost related to non-vested stock options which is expected to be recognized over a weighted average period of 2.9</w:t>
      </w:r>
      <w:r>
        <w:rPr>
          <w:rFonts w:ascii="Times New Roman" w:hAnsi="Times New Roman"/>
          <w:color w:val="000000"/>
          <w:sz w:val="20"/>
        </w:rPr>
        <w:t xml:space="preserve"> </w:t>
      </w:r>
      <w:r>
        <w:rPr>
          <w:rFonts w:ascii="Times New Roman" w:hAnsi="Times New Roman"/>
          <w:b w:val="false"/>
          <w:color w:val="000000"/>
          <w:sz w:val="18"/>
        </w:rPr>
        <w:t>years. These amounts do not include 6,169</w:t>
      </w:r>
      <w:r>
        <w:rPr>
          <w:rFonts w:ascii="Times New Roman" w:hAnsi="Times New Roman"/>
          <w:color w:val="000000"/>
          <w:sz w:val="20"/>
        </w:rPr>
        <w:t xml:space="preserve"> </w:t>
      </w:r>
      <w:r>
        <w:rPr>
          <w:rFonts w:ascii="Times New Roman" w:hAnsi="Times New Roman"/>
          <w:b w:val="false"/>
          <w:color w:val="000000"/>
          <w:sz w:val="18"/>
        </w:rPr>
        <w:t>options outstanding as of September 30, 2023, which are performance-based and vest upon the achievement of certain corporate milestones. Stock</w:t>
        <w:noBreakHyphen/>
        <w:t>based compensation will be measured and recorded if and when it is probable that the milestone will occur.</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Restricted Stock Units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fair value of RSUs is determined on the date of the grant based on the market price of its shares of common stock as of that date. The fair value of the RSUs is recognized as an expense ratably over the vesting period of four years. As of September 30, 2023, total compensation cost not yet recognized related to unvested RSUs was $27.2</w:t>
      </w:r>
      <w:r>
        <w:rPr>
          <w:rFonts w:ascii="Times New Roman" w:hAnsi="Times New Roman"/>
          <w:color w:val="000000"/>
          <w:sz w:val="20"/>
        </w:rPr>
        <w:t xml:space="preserve"> </w:t>
      </w:r>
      <w:r>
        <w:rPr>
          <w:rFonts w:ascii="Times New Roman" w:hAnsi="Times New Roman"/>
          <w:b w:val="false"/>
          <w:color w:val="000000"/>
          <w:sz w:val="18"/>
        </w:rPr>
        <w:t>million, which is expected to be recognized over a weighted-average period of 2.7</w:t>
      </w:r>
      <w:r>
        <w:rPr>
          <w:rFonts w:ascii="Times New Roman" w:hAnsi="Times New Roman"/>
          <w:color w:val="000000"/>
          <w:sz w:val="20"/>
        </w:rPr>
        <w:t xml:space="preserve"> </w:t>
      </w:r>
      <w:r>
        <w:rPr>
          <w:rFonts w:ascii="Times New Roman" w:hAnsi="Times New Roman"/>
          <w:b w:val="false"/>
          <w:color w:val="000000"/>
          <w:sz w:val="18"/>
        </w:rPr>
        <w:t>years.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following table sets forth the RSU activity for the nine months ended September 30, 2023:</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2986"/>
        <w:gridCol w:w="146"/>
        <w:gridCol w:w="146"/>
        <w:gridCol w:w="841"/>
        <w:gridCol w:w="166"/>
        <w:gridCol w:w="146"/>
        <w:gridCol w:w="234"/>
        <w:gridCol w:w="636"/>
        <w:gridCol w:w="3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686,375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320,160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(178,997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47.45</w:t>
            </w:r>
          </w:p>
        </w:tc>
        <w:tc>
          <w:tcPr>
            <w:tcW w:w="3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798,286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Employee Stock Purchase Plan</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Company’s 2023 Employee Stock Purchase Plan (the “ESPP”) allows employees to purchase shares of the Company’s common stock. The purchase price is equal to 85% of the lower of the closing price of the Company’s common stock on (1) the first day of the offering period or (2) the last day of the offering period. The Company commenced the first offering pursuant to the ESPP on June 1, 2023, and such offering will end on May 31, 2024. During the three and nine months ended September 30, 2023, no</w:t>
      </w:r>
      <w:r>
        <w:rPr>
          <w:rFonts w:ascii="Times New Roman" w:hAnsi="Times New Roman"/>
          <w:color w:val="000000"/>
          <w:sz w:val="20"/>
        </w:rPr>
        <w:t xml:space="preserve"> </w:t>
      </w:r>
      <w:r>
        <w:rPr>
          <w:rFonts w:ascii="Times New Roman" w:hAnsi="Times New Roman"/>
          <w:b w:val="false"/>
          <w:color w:val="000000"/>
          <w:sz w:val="18"/>
        </w:rPr>
        <w:t>shares of common stock were purchased pursuant to the ESPP, and $0.5</w:t>
      </w:r>
      <w:r>
        <w:rPr>
          <w:rFonts w:ascii="Times New Roman" w:hAnsi="Times New Roman"/>
          <w:color w:val="000000"/>
          <w:sz w:val="20"/>
        </w:rPr>
        <w:t xml:space="preserve"> </w:t>
      </w:r>
      <w:r>
        <w:rPr>
          <w:rFonts w:ascii="Times New Roman" w:hAnsi="Times New Roman"/>
          <w:b w:val="false"/>
          <w:color w:val="000000"/>
          <w:sz w:val="18"/>
        </w:rPr>
        <w:t>million and $0.6</w:t>
      </w:r>
      <w:r>
        <w:rPr>
          <w:rFonts w:ascii="Times New Roman" w:hAnsi="Times New Roman"/>
          <w:color w:val="000000"/>
          <w:sz w:val="20"/>
        </w:rPr>
        <w:t xml:space="preserve"> </w:t>
      </w:r>
      <w:r>
        <w:rPr>
          <w:rFonts w:ascii="Times New Roman" w:hAnsi="Times New Roman"/>
          <w:b w:val="false"/>
          <w:color w:val="000000"/>
          <w:sz w:val="18"/>
        </w:rPr>
        <w:t>million of expense was recorded for the same period.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Stock-based Compensation Expense</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A summary of the allocation of the Company’s stock-based compensation expense for the three and nine months ended September 30, 2023 and 2022 is as follows:</w:t>
      </w:r>
    </w:p>
    <w:p>
      <w:pPr>
        <w:pStyle w:val="TextBody"/>
        <w:bidi w:val="0"/>
        <w:jc w:val="left"/>
        <w:rPr/>
      </w:pPr>
      <w:r>
        <w:rPr/>
        <w:t> </w:t>
      </w:r>
    </w:p>
    <w:tbl>
      <w:tblPr>
        <w:tblW w:w="8862" w:type="dxa"/>
        <w:jc w:val="left"/>
        <w:tblInd w:w="0" w:type="dxa"/>
        <w:tblLayout w:type="fixed"/>
        <w:tblCellMar>
          <w:top w:w="28" w:type="dxa"/>
          <w:left w:w="28" w:type="dxa"/>
          <w:bottom w:w="28" w:type="dxa"/>
          <w:right w:w="28" w:type="dxa"/>
        </w:tblCellMar>
      </w:tblPr>
      <w:tblGrid>
        <w:gridCol w:w="2956"/>
        <w:gridCol w:w="146"/>
        <w:gridCol w:w="289"/>
        <w:gridCol w:w="925"/>
        <w:gridCol w:w="199"/>
        <w:gridCol w:w="199"/>
        <w:gridCol w:w="289"/>
        <w:gridCol w:w="782"/>
        <w:gridCol w:w="146"/>
        <w:gridCol w:w="146"/>
        <w:gridCol w:w="265"/>
        <w:gridCol w:w="849"/>
        <w:gridCol w:w="183"/>
        <w:gridCol w:w="183"/>
        <w:gridCol w:w="265"/>
        <w:gridCol w:w="849"/>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4,029</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9,681</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6,268</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12,339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16,368</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43,705</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Stock-based compensation expense capitalized into inventory totaled $0.9</w:t>
      </w:r>
      <w:r>
        <w:rPr>
          <w:rFonts w:ascii="Times New Roman" w:hAnsi="Times New Roman"/>
          <w:color w:val="000000"/>
          <w:sz w:val="20"/>
        </w:rPr>
        <w:t xml:space="preserve"> </w:t>
      </w:r>
      <w:r>
        <w:rPr>
          <w:rFonts w:ascii="Times New Roman" w:hAnsi="Times New Roman"/>
          <w:b w:val="false"/>
          <w:color w:val="000000"/>
          <w:sz w:val="18"/>
        </w:rPr>
        <w:t>million and $2.4</w:t>
      </w:r>
      <w:r>
        <w:rPr>
          <w:rFonts w:ascii="Times New Roman" w:hAnsi="Times New Roman"/>
          <w:color w:val="000000"/>
          <w:sz w:val="20"/>
        </w:rPr>
        <w:t xml:space="preserve"> </w:t>
      </w:r>
      <w:r>
        <w:rPr>
          <w:rFonts w:ascii="Times New Roman" w:hAnsi="Times New Roman"/>
          <w:b w:val="false"/>
          <w:color w:val="000000"/>
          <w:sz w:val="18"/>
        </w:rPr>
        <w:t>million for the three and nine months ended September 30, 2023, respectively. The Company started capitalizing stock-based compensation to inventory in the third quarter of 2022. Capitalized stock-based compensation is recognized as an expense in cost of product sales when the related product is sold or in selling, general and administrative expense when the related product is dispensed as a physician sample.</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Warrants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following table summarizes warrant activity for the nine months ended September 30, 2023:</w:t>
      </w:r>
    </w:p>
    <w:p>
      <w:pPr>
        <w:pStyle w:val="TextBody"/>
        <w:bidi w:val="0"/>
        <w:jc w:val="left"/>
        <w:rPr/>
      </w:pPr>
      <w:r>
        <w:rPr/>
        <w:t> </w:t>
      </w:r>
    </w:p>
    <w:tbl>
      <w:tblPr>
        <w:tblW w:w="5717" w:type="dxa"/>
        <w:jc w:val="left"/>
        <w:tblInd w:w="0" w:type="dxa"/>
        <w:tblLayout w:type="fixed"/>
        <w:tblCellMar>
          <w:top w:w="28" w:type="dxa"/>
          <w:left w:w="28" w:type="dxa"/>
          <w:bottom w:w="28" w:type="dxa"/>
          <w:right w:w="28" w:type="dxa"/>
        </w:tblCellMar>
      </w:tblPr>
      <w:tblGrid>
        <w:gridCol w:w="2986"/>
        <w:gridCol w:w="146"/>
        <w:gridCol w:w="146"/>
        <w:gridCol w:w="676"/>
        <w:gridCol w:w="146"/>
        <w:gridCol w:w="146"/>
        <w:gridCol w:w="290"/>
        <w:gridCol w:w="790"/>
        <w:gridCol w:w="3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50,796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Issued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74.75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jc w:val="left"/>
        <w:rPr>
          <w:rFonts w:ascii="Times New Roman" w:hAnsi="Times New Roman"/>
          <w:b w:val="false"/>
          <w:i/>
          <w:color w:val="000000"/>
          <w:sz w:val="18"/>
        </w:rPr>
      </w:pPr>
      <w:r>
        <w:rPr>
          <w:rFonts w:ascii="Times New Roman" w:hAnsi="Times New Roman"/>
          <w:b w:val="false"/>
          <w:i/>
          <w:color w:val="000000"/>
          <w:sz w:val="18"/>
        </w:rPr>
        <w:t>Outstanding Warrants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In connection with the entry into the Third Amendment, Hercules received warrants to purchase an aggregate of 18,724</w:t>
      </w:r>
      <w:r>
        <w:rPr>
          <w:rFonts w:ascii="Times New Roman" w:hAnsi="Times New Roman"/>
          <w:color w:val="000000"/>
          <w:sz w:val="20"/>
        </w:rPr>
        <w:t xml:space="preserve"> </w:t>
      </w:r>
      <w:r>
        <w:rPr>
          <w:rFonts w:ascii="Times New Roman" w:hAnsi="Times New Roman"/>
          <w:b w:val="false"/>
          <w:color w:val="000000"/>
          <w:sz w:val="18"/>
        </w:rPr>
        <w:t>shares of the Company’s common stock at an exercise price of $55.01</w:t>
      </w:r>
      <w:r>
        <w:rPr>
          <w:rFonts w:ascii="Times New Roman" w:hAnsi="Times New Roman"/>
          <w:color w:val="000000"/>
          <w:sz w:val="20"/>
        </w:rPr>
        <w:t xml:space="preserve"> </w:t>
      </w:r>
      <w:r>
        <w:rPr>
          <w:rFonts w:ascii="Times New Roman" w:hAnsi="Times New Roman"/>
          <w:b w:val="false"/>
          <w:color w:val="000000"/>
          <w:sz w:val="18"/>
        </w:rPr>
        <w:t>per share, and in connection with the draw down of the Tranche 1C Advance of the Third Amendment to the Loan and Security Agreement, Hercules received warrants to purchase 9,700</w:t>
      </w:r>
      <w:r>
        <w:rPr>
          <w:rFonts w:ascii="Times New Roman" w:hAnsi="Times New Roman"/>
          <w:color w:val="000000"/>
          <w:sz w:val="20"/>
        </w:rPr>
        <w:t xml:space="preserve"> </w:t>
      </w:r>
      <w:r>
        <w:rPr>
          <w:rFonts w:ascii="Times New Roman" w:hAnsi="Times New Roman"/>
          <w:b w:val="false"/>
          <w:color w:val="000000"/>
          <w:sz w:val="18"/>
        </w:rPr>
        <w:t>shares of the Company's common stock at an exercise price of $77.31</w:t>
      </w:r>
      <w:r>
        <w:rPr>
          <w:rFonts w:ascii="Times New Roman" w:hAnsi="Times New Roman"/>
          <w:color w:val="000000"/>
          <w:sz w:val="20"/>
        </w:rPr>
        <w:t xml:space="preserve"> </w:t>
      </w:r>
      <w:r>
        <w:rPr>
          <w:rFonts w:ascii="Times New Roman" w:hAnsi="Times New Roman"/>
          <w:b w:val="false"/>
          <w:color w:val="000000"/>
          <w:sz w:val="18"/>
        </w:rPr>
        <w:t>per share (collectively, the “2023 warrants”). In connection with the entry into the Second Amendment, Hercules received warrants to purchase an aggregate of 35,255</w:t>
      </w:r>
      <w:r>
        <w:rPr>
          <w:rFonts w:ascii="Times New Roman" w:hAnsi="Times New Roman"/>
          <w:color w:val="000000"/>
          <w:sz w:val="20"/>
        </w:rPr>
        <w:t xml:space="preserve"> </w:t>
      </w:r>
      <w:r>
        <w:rPr>
          <w:rFonts w:ascii="Times New Roman" w:hAnsi="Times New Roman"/>
          <w:b w:val="false"/>
          <w:color w:val="000000"/>
          <w:sz w:val="18"/>
        </w:rPr>
        <w:t>shares of the Company’s common stock at an exercise price of $31.91</w:t>
      </w:r>
      <w:r>
        <w:rPr>
          <w:rFonts w:ascii="Times New Roman" w:hAnsi="Times New Roman"/>
          <w:color w:val="000000"/>
          <w:sz w:val="20"/>
        </w:rPr>
        <w:t xml:space="preserve"> </w:t>
      </w:r>
      <w:r>
        <w:rPr>
          <w:rFonts w:ascii="Times New Roman" w:hAnsi="Times New Roman"/>
          <w:b w:val="false"/>
          <w:color w:val="000000"/>
          <w:sz w:val="18"/>
        </w:rPr>
        <w:t>per share (“2022 warrants”), and in connection with the first advance of the 2020 Term Loan, Hercules received warrants to purchase an aggregate of 15,541</w:t>
      </w:r>
      <w:r>
        <w:rPr>
          <w:rFonts w:ascii="Times New Roman" w:hAnsi="Times New Roman"/>
          <w:color w:val="000000"/>
          <w:sz w:val="20"/>
        </w:rPr>
        <w:t xml:space="preserve"> </w:t>
      </w:r>
      <w:r>
        <w:rPr>
          <w:rFonts w:ascii="Times New Roman" w:hAnsi="Times New Roman"/>
          <w:b w:val="false"/>
          <w:color w:val="000000"/>
          <w:sz w:val="18"/>
        </w:rPr>
        <w:t>shares of the Company’s common stock at an exercise price of $80.43</w:t>
      </w:r>
      <w:r>
        <w:rPr>
          <w:rFonts w:ascii="Times New Roman" w:hAnsi="Times New Roman"/>
          <w:color w:val="000000"/>
          <w:sz w:val="20"/>
        </w:rPr>
        <w:t xml:space="preserve"> </w:t>
      </w:r>
      <w:r>
        <w:rPr>
          <w:rFonts w:ascii="Times New Roman" w:hAnsi="Times New Roman"/>
          <w:b w:val="false"/>
          <w:color w:val="000000"/>
          <w:sz w:val="18"/>
        </w:rPr>
        <w:t>per share (“2020 warrants”).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w:t>
      </w:r>
      <w:r>
        <w:rPr>
          <w:rFonts w:ascii="Times New Roman" w:hAnsi="Times New Roman"/>
          <w:color w:val="000000"/>
          <w:sz w:val="20"/>
        </w:rPr>
        <w:t xml:space="preserve"> </w:t>
      </w:r>
      <w:r>
        <w:rPr>
          <w:rFonts w:ascii="Times New Roman" w:hAnsi="Times New Roman"/>
          <w:b w:val="false"/>
          <w:color w:val="000000"/>
          <w:sz w:val="18"/>
        </w:rPr>
        <w:t>from the date of issuance. The warrants were classified as a component of stockholders’ equity. The relative fair value of the warrants of approximately $1.6</w:t>
      </w:r>
      <w:r>
        <w:rPr>
          <w:rFonts w:ascii="Times New Roman" w:hAnsi="Times New Roman"/>
          <w:color w:val="000000"/>
          <w:sz w:val="20"/>
        </w:rPr>
        <w:t xml:space="preserve"> </w:t>
      </w:r>
      <w:r>
        <w:rPr>
          <w:rFonts w:ascii="Times New Roman" w:hAnsi="Times New Roman"/>
          <w:b w:val="false"/>
          <w:color w:val="000000"/>
          <w:sz w:val="18"/>
        </w:rPr>
        <w:t>million for the 2023 warrants, $0.8</w:t>
      </w:r>
      <w:r>
        <w:rPr>
          <w:rFonts w:ascii="Times New Roman" w:hAnsi="Times New Roman"/>
          <w:color w:val="000000"/>
          <w:sz w:val="20"/>
        </w:rPr>
        <w:t xml:space="preserve"> </w:t>
      </w:r>
      <w:r>
        <w:rPr>
          <w:rFonts w:ascii="Times New Roman" w:hAnsi="Times New Roman"/>
          <w:b w:val="false"/>
          <w:color w:val="000000"/>
          <w:sz w:val="18"/>
        </w:rPr>
        <w:t>million for the 2022 warrants, and $0.9</w:t>
      </w:r>
      <w:r>
        <w:rPr>
          <w:rFonts w:ascii="Times New Roman" w:hAnsi="Times New Roman"/>
          <w:color w:val="000000"/>
          <w:sz w:val="20"/>
        </w:rPr>
        <w:t xml:space="preserve"> </w:t>
      </w:r>
      <w:r>
        <w:rPr>
          <w:rFonts w:ascii="Times New Roman" w:hAnsi="Times New Roman"/>
          <w:b w:val="false"/>
          <w:color w:val="000000"/>
          <w:sz w:val="18"/>
        </w:rPr>
        <w:t>million for the 2020 warrants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Note 13. Net Loss per Common Share</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The following table sets forth the computation of basic and diluted net loss per common share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Basic and diluted net loss per common share: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(62,199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(44,823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(140,587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(125,893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common shares outstanding—basic</w:t>
              <w:br/>
              <w:t>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47,117,196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41,704,362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44,783,380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39,715,261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common share—basic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The following potentially dilutive securities outstanding at September 30, 2023 and 2022 have been excluded from the computation of diluted weighted average shares outstanding, as they would be anti-dilutive:</w:t>
      </w:r>
    </w:p>
    <w:p>
      <w:pPr>
        <w:pStyle w:val="TextBody"/>
        <w:bidi w:val="0"/>
        <w:jc w:val="left"/>
        <w:rPr/>
      </w:pPr>
      <w:r>
        <w:rPr/>
        <w:t> </w:t>
      </w:r>
    </w:p>
    <w:tbl>
      <w:tblPr>
        <w:tblW w:w="4659" w:type="dxa"/>
        <w:jc w:val="left"/>
        <w:tblInd w:w="0" w:type="dxa"/>
        <w:tblLayout w:type="fixed"/>
        <w:tblCellMar>
          <w:top w:w="28" w:type="dxa"/>
          <w:left w:w="28" w:type="dxa"/>
          <w:bottom w:w="28" w:type="dxa"/>
          <w:right w:w="28" w:type="dxa"/>
        </w:tblCellMar>
      </w:tblPr>
      <w:tblGrid>
        <w:gridCol w:w="1876"/>
        <w:gridCol w:w="146"/>
        <w:gridCol w:w="146"/>
        <w:gridCol w:w="931"/>
        <w:gridCol w:w="146"/>
        <w:gridCol w:w="146"/>
        <w:gridCol w:w="146"/>
        <w:gridCol w:w="931"/>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8,150,189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6,544,883</w:t>
            </w:r>
          </w:p>
        </w:tc>
        <w:tc>
          <w:tcPr>
            <w:tcW w:w="191" w:type="dxa"/>
            <w:tcBorders/>
            <w:shd w:fill="CFF0FC"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798,286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686,933</w:t>
            </w:r>
          </w:p>
        </w:tc>
        <w:tc>
          <w:tcPr>
            <w:tcW w:w="191" w:type="dxa"/>
            <w:tcBorders/>
            <w:shd w:fill="FFFFFF" w:val="clear"/>
            <w:vAlign w:val="center"/>
          </w:tcPr>
          <w:p>
            <w:pPr>
              <w:pStyle w:val="TableContents"/>
              <w:bidi w:val="0"/>
              <w:spacing w:before="0" w:after="283"/>
              <w:jc w:val="left"/>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79,220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50,796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9,027,695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7,282,612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jc w:val="left"/>
        <w:rPr>
          <w:rFonts w:ascii="Times New Roman" w:hAnsi="Times New Roman"/>
          <w:b/>
          <w:color w:val="000000"/>
          <w:sz w:val="18"/>
        </w:rPr>
      </w:pPr>
      <w:r>
        <w:rPr>
          <w:rFonts w:ascii="Times New Roman" w:hAnsi="Times New Roman"/>
          <w:b/>
          <w:color w:val="000000"/>
          <w:sz w:val="18"/>
        </w:rPr>
        <w:t>Note 14. Revenues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The Company sells Sunosi and Auvelity in the United States through the Distributors. The Company sells Sunosi internationally through local distributors for delivery primarily to retail pharmacies and hospitals.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License revenue consists of the recognition of the upfront payment the Company received from Pharmanovia in February 2023 and royalty revenue is related to sales of Sunosi by Pharmanovia in certain ex-U.S. markets.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The following table presents a summary of total revenues (in thousands):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i/>
          <w:color w:val="000000"/>
          <w:sz w:val="18"/>
        </w:rPr>
      </w:pPr>
      <w:r>
        <w:rPr>
          <w:rFonts w:ascii="Times New Roman" w:hAnsi="Times New Roman"/>
          <w:b w:val="false"/>
          <w:i/>
          <w:color w:val="000000"/>
          <w:sz w:val="18"/>
        </w:rPr>
        <w:t>By Product</w:t>
      </w:r>
    </w:p>
    <w:p>
      <w:pPr>
        <w:pStyle w:val="TextBody"/>
        <w:bidi w:val="0"/>
        <w:jc w:val="left"/>
        <w:rPr/>
      </w:pPr>
      <w:r>
        <w:rPr/>
        <w:t> </w:t>
      </w:r>
    </w:p>
    <w:tbl>
      <w:tblPr>
        <w:tblW w:w="7915" w:type="dxa"/>
        <w:jc w:val="left"/>
        <w:tblInd w:w="0" w:type="dxa"/>
        <w:tblLayout w:type="fixed"/>
        <w:tblCellMar>
          <w:top w:w="28" w:type="dxa"/>
          <w:left w:w="28" w:type="dxa"/>
          <w:bottom w:w="28" w:type="dxa"/>
          <w:right w:w="28" w:type="dxa"/>
        </w:tblCellMar>
      </w:tblPr>
      <w:tblGrid>
        <w:gridCol w:w="2011"/>
        <w:gridCol w:w="146"/>
        <w:gridCol w:w="274"/>
        <w:gridCol w:w="878"/>
        <w:gridCol w:w="189"/>
        <w:gridCol w:w="189"/>
        <w:gridCol w:w="274"/>
        <w:gridCol w:w="878"/>
        <w:gridCol w:w="146"/>
        <w:gridCol w:w="146"/>
        <w:gridCol w:w="252"/>
        <w:gridCol w:w="933"/>
        <w:gridCol w:w="174"/>
        <w:gridCol w:w="174"/>
        <w:gridCol w:w="252"/>
        <w:gridCol w:w="808"/>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Auvelity</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37,653</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81,045</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Sunosi</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19,474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50,668</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product sales, net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57,127</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131,713</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25,666</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Sunosi license revenue</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65,735</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Sunosi royalty revenue</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57,794</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199,070</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i/>
          <w:color w:val="000000"/>
          <w:sz w:val="18"/>
        </w:rPr>
      </w:pPr>
      <w:r>
        <w:rPr>
          <w:rFonts w:ascii="Times New Roman" w:hAnsi="Times New Roman"/>
          <w:b w:val="false"/>
          <w:i/>
          <w:color w:val="000000"/>
          <w:sz w:val="18"/>
        </w:rPr>
        <w:t>By Geographic Location</w:t>
      </w:r>
    </w:p>
    <w:p>
      <w:pPr>
        <w:pStyle w:val="TextBody"/>
        <w:bidi w:val="0"/>
        <w:jc w:val="left"/>
        <w:rPr/>
      </w:pPr>
      <w:r>
        <w:rPr/>
        <w:t> </w:t>
      </w:r>
    </w:p>
    <w:tbl>
      <w:tblPr>
        <w:tblW w:w="8690" w:type="dxa"/>
        <w:jc w:val="left"/>
        <w:tblInd w:w="0" w:type="dxa"/>
        <w:tblLayout w:type="fixed"/>
        <w:tblCellMar>
          <w:top w:w="28" w:type="dxa"/>
          <w:left w:w="28" w:type="dxa"/>
          <w:bottom w:w="28" w:type="dxa"/>
          <w:right w:w="28" w:type="dxa"/>
        </w:tblCellMar>
      </w:tblPr>
      <w:tblGrid>
        <w:gridCol w:w="2586"/>
        <w:gridCol w:w="146"/>
        <w:gridCol w:w="274"/>
        <w:gridCol w:w="878"/>
        <w:gridCol w:w="189"/>
        <w:gridCol w:w="189"/>
        <w:gridCol w:w="274"/>
        <w:gridCol w:w="878"/>
        <w:gridCol w:w="146"/>
        <w:gridCol w:w="146"/>
        <w:gridCol w:w="252"/>
        <w:gridCol w:w="933"/>
        <w:gridCol w:w="174"/>
        <w:gridCol w:w="174"/>
        <w:gridCol w:w="252"/>
        <w:gridCol w:w="808"/>
        <w:gridCol w:w="39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6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Product sales, net</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06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United States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55,781</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128,125</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25,666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Outside of the United States</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1,346</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3,588</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product sales, net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57,127</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131,713</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25,666</w:t>
            </w:r>
          </w:p>
        </w:tc>
        <w:tc>
          <w:tcPr>
            <w:tcW w:w="391" w:type="dxa"/>
            <w:tcBorders/>
            <w:shd w:fill="FFFFFF" w:val="clear"/>
            <w:vAlign w:val="center"/>
          </w:tcPr>
          <w:p>
            <w:pPr>
              <w:pStyle w:val="TableContents"/>
              <w:bidi w:val="0"/>
              <w:spacing w:before="0" w:after="283"/>
              <w:jc w:val="left"/>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License Revenue</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06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Outside of the United States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65,735</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Royalty revenue</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06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Outside of the United States</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Total Revenues</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57,794</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199,070</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For the nine months ended September 30, 2023, product sales, net, includes adjustments for provisions for product sales made in 2022 resulting from changes in estimates of $0.1</w:t>
      </w:r>
      <w:r>
        <w:rPr>
          <w:rFonts w:ascii="Times New Roman" w:hAnsi="Times New Roman"/>
          <w:color w:val="000000"/>
          <w:sz w:val="20"/>
        </w:rPr>
        <w:t xml:space="preserve"> </w:t>
      </w:r>
      <w:r>
        <w:rPr>
          <w:rFonts w:ascii="Times New Roman" w:hAnsi="Times New Roman"/>
          <w:b w:val="false"/>
          <w:color w:val="000000"/>
          <w:sz w:val="18"/>
        </w:rPr>
        <w:t>million for Sunosi and $0.8</w:t>
      </w:r>
      <w:r>
        <w:rPr>
          <w:rFonts w:ascii="Times New Roman" w:hAnsi="Times New Roman"/>
          <w:color w:val="000000"/>
          <w:sz w:val="20"/>
        </w:rPr>
        <w:t xml:space="preserve"> </w:t>
      </w:r>
      <w:r>
        <w:rPr>
          <w:rFonts w:ascii="Times New Roman" w:hAnsi="Times New Roman"/>
          <w:b w:val="false"/>
          <w:color w:val="000000"/>
          <w:sz w:val="18"/>
        </w:rPr>
        <w:t>million for Auvelity.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both"/>
        <w:rPr>
          <w:rFonts w:ascii="Times New Roman" w:hAnsi="Times New Roman"/>
          <w:b/>
          <w:color w:val="000000"/>
          <w:sz w:val="18"/>
        </w:rPr>
      </w:pPr>
      <w:r>
        <w:rPr>
          <w:rFonts w:ascii="Times New Roman" w:hAnsi="Times New Roman"/>
          <w:b/>
          <w:color w:val="000000"/>
          <w:sz w:val="18"/>
        </w:rPr>
        <w:t>Note 15. License Agreements</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License Agreement with Pharmanovia</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February 2023, Axsome Malta, a Malta limited company and a wholly-owned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the Sunosi intellectual property and licenses those rights in the Territory to Pharmanovia. Pharmanovia is solely responsible for the clinical development and commercialization in the Territory. The Company will continue to manufacture Sunosi and provide product supply to Pharmanovia for an indefinite period of time and the Company will recognize revenue as a component of product sales, net, when performance obligation criteria are met as per the product supply agreement.</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In consideration for entering the Pharmanovia License Agreement, the Company received a non-refundable upfront payment of €62.0</w:t>
      </w:r>
      <w:r>
        <w:rPr>
          <w:rFonts w:ascii="Times New Roman" w:hAnsi="Times New Roman"/>
          <w:color w:val="000000"/>
          <w:sz w:val="20"/>
        </w:rPr>
        <w:t xml:space="preserve"> </w:t>
      </w:r>
      <w:r>
        <w:rPr>
          <w:rFonts w:ascii="Times New Roman" w:hAnsi="Times New Roman"/>
          <w:b w:val="false"/>
          <w:color w:val="000000"/>
          <w:sz w:val="18"/>
        </w:rPr>
        <w:t>million ($65.7</w:t>
      </w:r>
      <w:r>
        <w:rPr>
          <w:rFonts w:ascii="Times New Roman" w:hAnsi="Times New Roman"/>
          <w:color w:val="000000"/>
          <w:sz w:val="20"/>
        </w:rPr>
        <w:t xml:space="preserve"> </w:t>
      </w:r>
      <w:r>
        <w:rPr>
          <w:rFonts w:ascii="Times New Roman" w:hAnsi="Times New Roman"/>
          <w:b w:val="false"/>
          <w:color w:val="000000"/>
          <w:sz w:val="18"/>
        </w:rPr>
        <w:t>million). The Company also will receive a royalty percentage in the mid-twenties on Sunosi net sales in the Territory, and is eligible to receive sales-based milestone payments totaling up to €94.5</w:t>
      </w:r>
      <w:r>
        <w:rPr>
          <w:rFonts w:ascii="Times New Roman" w:hAnsi="Times New Roman"/>
          <w:color w:val="000000"/>
          <w:sz w:val="20"/>
        </w:rPr>
        <w:t xml:space="preserve"> </w:t>
      </w:r>
      <w:r>
        <w:rPr>
          <w:rFonts w:ascii="Times New Roman" w:hAnsi="Times New Roman"/>
          <w:b w:val="false"/>
          <w:color w:val="000000"/>
          <w:sz w:val="18"/>
        </w:rPr>
        <w:t>million.</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as the requirements for revenue recognition under ASC 606 were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milestones will be recognized as revenue immediately in the period the underlying milestone is achieved. Any consideration related to sales-based royalties will be recognized when the related sales occur. For the three and nine months ended September 30, 2023, the Company recognized royalty revenue of $0.7</w:t>
      </w:r>
      <w:r>
        <w:rPr>
          <w:rFonts w:ascii="Times New Roman" w:hAnsi="Times New Roman"/>
          <w:color w:val="000000"/>
          <w:sz w:val="20"/>
        </w:rPr>
        <w:t xml:space="preserve"> </w:t>
      </w:r>
      <w:r>
        <w:rPr>
          <w:rFonts w:ascii="Times New Roman" w:hAnsi="Times New Roman"/>
          <w:b w:val="false"/>
          <w:color w:val="000000"/>
          <w:sz w:val="18"/>
        </w:rPr>
        <w:t>million and $1.6</w:t>
      </w:r>
      <w:r>
        <w:rPr>
          <w:rFonts w:ascii="Times New Roman" w:hAnsi="Times New Roman"/>
          <w:color w:val="000000"/>
          <w:sz w:val="20"/>
        </w:rPr>
        <w:t xml:space="preserve"> </w:t>
      </w:r>
      <w:r>
        <w:rPr>
          <w:rFonts w:ascii="Times New Roman" w:hAnsi="Times New Roman"/>
          <w:b w:val="false"/>
          <w:color w:val="000000"/>
          <w:sz w:val="18"/>
        </w:rPr>
        <w:t>million, respectively, related to Pharmanovia sales of Sunosi.</w:t>
      </w:r>
    </w:p>
    <w:p>
      <w:pPr>
        <w:pStyle w:val="TextBody"/>
        <w:bidi w:val="0"/>
        <w:spacing w:before="240" w:after="283"/>
        <w:jc w:val="both"/>
        <w:rPr>
          <w:rFonts w:ascii="Times New Roman" w:hAnsi="Times New Roman"/>
          <w:b w:val="false"/>
          <w:i/>
          <w:color w:val="000000"/>
          <w:sz w:val="18"/>
        </w:rPr>
      </w:pPr>
      <w:r>
        <w:rPr>
          <w:rFonts w:ascii="Times New Roman" w:hAnsi="Times New Roman"/>
          <w:b w:val="false"/>
          <w:i/>
          <w:color w:val="000000"/>
          <w:sz w:val="18"/>
        </w:rPr>
        <w:t>Exclusive License Agreement with Pfizer</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Under the terms of the agreement, Pfizer received 82,019</w:t>
      </w:r>
      <w:r>
        <w:rPr>
          <w:rFonts w:ascii="Times New Roman" w:hAnsi="Times New Roman"/>
          <w:color w:val="000000"/>
          <w:sz w:val="20"/>
        </w:rPr>
        <w:t xml:space="preserve"> </w:t>
      </w:r>
      <w:r>
        <w:rPr>
          <w:rFonts w:ascii="Times New Roman" w:hAnsi="Times New Roman"/>
          <w:b w:val="false"/>
          <w:color w:val="000000"/>
          <w:sz w:val="18"/>
        </w:rPr>
        <w:t>shares of the Company’s common stock having a stated value of $8.0</w:t>
      </w:r>
      <w:r>
        <w:rPr>
          <w:rFonts w:ascii="Times New Roman" w:hAnsi="Times New Roman"/>
          <w:color w:val="000000"/>
          <w:sz w:val="20"/>
        </w:rPr>
        <w:t xml:space="preserve"> </w:t>
      </w:r>
      <w:r>
        <w:rPr>
          <w:rFonts w:ascii="Times New Roman" w:hAnsi="Times New Roman"/>
          <w:b w:val="false"/>
          <w:color w:val="000000"/>
          <w:sz w:val="18"/>
        </w:rPr>
        <w:t>million, based on the average closing price of the Company’s common stock for the ten</w:t>
      </w:r>
      <w:r>
        <w:rPr>
          <w:rFonts w:ascii="Times New Roman" w:hAnsi="Times New Roman"/>
          <w:color w:val="000000"/>
          <w:sz w:val="20"/>
        </w:rPr>
        <w:t xml:space="preserve"> </w:t>
      </w:r>
      <w:r>
        <w:rPr>
          <w:rFonts w:ascii="Times New Roman" w:hAnsi="Times New Roman"/>
          <w:b w:val="false"/>
          <w:color w:val="000000"/>
          <w:sz w:val="18"/>
        </w:rPr>
        <w:t>prior trading days of $97.54, in consideration for the license and rights and also received an upfront cash payment of $3.0</w:t>
      </w:r>
      <w:r>
        <w:rPr>
          <w:rFonts w:ascii="Times New Roman" w:hAnsi="Times New Roman"/>
          <w:color w:val="000000"/>
          <w:sz w:val="20"/>
        </w:rPr>
        <w:t xml:space="preserve"> </w:t>
      </w:r>
      <w:r>
        <w:rPr>
          <w:rFonts w:ascii="Times New Roman" w:hAnsi="Times New Roman"/>
          <w:b w:val="false"/>
          <w:color w:val="000000"/>
          <w:sz w:val="18"/>
        </w:rPr>
        <w:t>million. The Company determined that the fair value of each share of common stock granted to Pfizer on the closing date of January 9, 2020 was $87.24, based on the closing price of the Company’s stock on that date. As a result, the fair value of the stock issued was $7.2</w:t>
      </w:r>
      <w:r>
        <w:rPr>
          <w:rFonts w:ascii="Times New Roman" w:hAnsi="Times New Roman"/>
          <w:color w:val="000000"/>
          <w:sz w:val="20"/>
        </w:rPr>
        <w:t xml:space="preserve"> </w:t>
      </w:r>
      <w:r>
        <w:rPr>
          <w:rFonts w:ascii="Times New Roman" w:hAnsi="Times New Roman"/>
          <w:b w:val="false"/>
          <w:color w:val="000000"/>
          <w:sz w:val="18"/>
        </w:rPr>
        <w:t>million and therefore, the total research and development expense recognized was $10.2</w:t>
      </w:r>
      <w:r>
        <w:rPr>
          <w:rFonts w:ascii="Times New Roman" w:hAnsi="Times New Roman"/>
          <w:color w:val="000000"/>
          <w:sz w:val="20"/>
        </w:rPr>
        <w:t xml:space="preserve"> </w:t>
      </w:r>
      <w:r>
        <w:rPr>
          <w:rFonts w:ascii="Times New Roman" w:hAnsi="Times New Roman"/>
          <w:b w:val="false"/>
          <w:color w:val="000000"/>
          <w:sz w:val="18"/>
        </w:rPr>
        <w:t>million related to the Pfizer license agreement during the year ended 2020.</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Pfizer can also receive up to $323</w:t>
      </w:r>
      <w:r>
        <w:rPr>
          <w:rFonts w:ascii="Times New Roman" w:hAnsi="Times New Roman"/>
          <w:color w:val="000000"/>
          <w:sz w:val="20"/>
        </w:rPr>
        <w:t xml:space="preserve"> </w:t>
      </w:r>
      <w:r>
        <w:rPr>
          <w:rFonts w:ascii="Times New Roman" w:hAnsi="Times New Roman"/>
          <w:b w:val="false"/>
          <w:color w:val="000000"/>
          <w:sz w:val="18"/>
        </w:rPr>
        <w:t>million in regulatory and sales milestones, and tiered mid-single to low double-digit royalties on future sales related to the licensed products. Pfizer will also have a right of first negotiation on any potential future strategic transactions involving AXS-12 and AXS-14. During the three and nine months ended September 30, 2023 and 2022, no</w:t>
      </w:r>
      <w:r>
        <w:rPr>
          <w:rFonts w:ascii="Times New Roman" w:hAnsi="Times New Roman"/>
          <w:color w:val="000000"/>
          <w:sz w:val="20"/>
        </w:rPr>
        <w:t xml:space="preserve"> </w:t>
      </w:r>
      <w:r>
        <w:rPr>
          <w:rFonts w:ascii="Times New Roman" w:hAnsi="Times New Roman"/>
          <w:b w:val="false"/>
          <w:color w:val="000000"/>
          <w:sz w:val="18"/>
        </w:rPr>
        <w:t>milestone payments or royalties were paid to Pfizer by the Company.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both"/>
        <w:rPr>
          <w:rFonts w:ascii="Times New Roman" w:hAnsi="Times New Roman"/>
          <w:b w:val="false"/>
          <w:i/>
          <w:color w:val="000000"/>
          <w:sz w:val="18"/>
        </w:rPr>
      </w:pPr>
      <w:r>
        <w:rPr>
          <w:rFonts w:ascii="Times New Roman" w:hAnsi="Times New Roman"/>
          <w:b w:val="false"/>
          <w:i/>
          <w:color w:val="000000"/>
          <w:sz w:val="18"/>
        </w:rPr>
        <w:t>Exclusive License Agreements with Antecip</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In 2012, the Company entered into three</w:t>
      </w:r>
      <w:r>
        <w:rPr>
          <w:rFonts w:ascii="Times New Roman" w:hAnsi="Times New Roman"/>
          <w:color w:val="000000"/>
          <w:sz w:val="20"/>
        </w:rPr>
        <w:t xml:space="preserve"> </w:t>
      </w:r>
      <w:r>
        <w:rPr>
          <w:rFonts w:ascii="Times New Roman" w:hAnsi="Times New Roman"/>
          <w:b w:val="false"/>
          <w:color w:val="000000"/>
          <w:sz w:val="18"/>
        </w:rPr>
        <w:t>exclusive license agreements with Antecip, an entity owed by the Company's Chief Executive Officer and Chairman of the Board, Herriot Tabuteau, M.D., in which it was granted exclusive licenses to develop, manufacture, and commercialize Antecip’s patents and applications related to the development of AXS-02, AXS-05, and AXS-04, anywhere in the world for human therapeutic, veterinary, and diagnostic use. Pursuant to the agreements, the Company is required to use commercially reasonable efforts to develop, obtain regulatory approval for and commercialize AXS-02, AXS-05, and AXS-04. Under the terms of the agreements, the Company is required to pay to Antecip a royalty equal to 4.5% for AXS-02, 3.0% for AXS-05, and 1.5% for AXS-04,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w:t>
      </w:r>
      <w:r>
        <w:rPr>
          <w:rFonts w:ascii="Times New Roman" w:hAnsi="Times New Roman"/>
          <w:color w:val="000000"/>
          <w:sz w:val="20"/>
        </w:rPr>
        <w:t xml:space="preserve"> </w:t>
      </w:r>
      <w:r>
        <w:rPr>
          <w:rFonts w:ascii="Times New Roman" w:hAnsi="Times New Roman"/>
          <w:b w:val="false"/>
          <w:color w:val="000000"/>
          <w:sz w:val="18"/>
        </w:rPr>
        <w:t>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(the components of which are referred to as “AXS-05”) in the fourth quarter of 2022. For the nine months ended September 30, 2023, the Company recorded an accrued expense of $2.6</w:t>
      </w:r>
      <w:r>
        <w:rPr>
          <w:rFonts w:ascii="Times New Roman" w:hAnsi="Times New Roman"/>
          <w:color w:val="000000"/>
          <w:sz w:val="20"/>
        </w:rPr>
        <w:t xml:space="preserve"> </w:t>
      </w:r>
      <w:r>
        <w:rPr>
          <w:rFonts w:ascii="Times New Roman" w:hAnsi="Times New Roman"/>
          <w:b w:val="false"/>
          <w:color w:val="000000"/>
          <w:sz w:val="18"/>
        </w:rPr>
        <w:t>million for royalty payments to Antecip, which is equal to 3.0% of net sales of Auvelity. This is considered to be a related party transaction.</w:t>
      </w:r>
    </w:p>
    <w:p>
      <w:pPr>
        <w:pStyle w:val="TextBody"/>
        <w:bidi w:val="0"/>
        <w:spacing w:before="120" w:after="240"/>
        <w:jc w:val="left"/>
        <w:rPr>
          <w:rFonts w:ascii="Times New Roman" w:hAnsi="Times New Roman"/>
          <w:b w:val="false"/>
          <w:color w:val="000000"/>
          <w:sz w:val="18"/>
        </w:rPr>
      </w:pPr>
      <w:r>
        <w:rPr>
          <w:rFonts w:ascii="Times New Roman" w:hAnsi="Times New Roman"/>
          <w:b w:val="false"/>
          <w:color w:val="000000"/>
          <w:sz w:val="18"/>
        </w:rPr>
        <w:t>In connection with the 2020 Term Loan, the Company entered into the Direct Agreement with Antecip pursuant to which Antecip consented to the collateral assignment of the License Agreement to Hercules, among other things.</w:t>
      </w:r>
    </w:p>
    <w:p>
      <w:pPr>
        <w:pStyle w:val="TextBody"/>
        <w:bidi w:val="0"/>
        <w:jc w:val="left"/>
        <w:rPr>
          <w:rFonts w:ascii="Times New Roman" w:hAnsi="Times New Roman"/>
          <w:b/>
          <w:color w:val="000000"/>
          <w:sz w:val="18"/>
        </w:rPr>
      </w:pPr>
      <w:r>
        <w:rPr>
          <w:rFonts w:ascii="Times New Roman" w:hAnsi="Times New Roman"/>
          <w:b/>
          <w:color w:val="000000"/>
          <w:sz w:val="18"/>
        </w:rPr>
        <w:t>Note 16. Royalty Agreements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Pursuant to the Purchase Agreement, the Company agreed to make non-refundable, non-creditable royalty payments to Jazz equal to a (A) high-single digit royalty for any Current Indication (as defined in the Purchase Agreement), or (B) mid-single digit royalty for any Future Indication (as defined in the Purchase Agreement), of Net Sales (as defined in the Purchase Agreement) in the U.S. Territory (as defined in the Purchase Agreement) made during the applicable Royalty Term (as defined in the Purchase Agreement). There are no royalty payments due to Jazz for Net Sales outside of the U.S. Territory.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At the initial closing, the Company assumed all of the commitments of Jazz to SK and Aerial. SK is the originator of the Product and retains rights in 12</w:t>
      </w:r>
      <w:r>
        <w:rPr>
          <w:rFonts w:ascii="Times New Roman" w:hAnsi="Times New Roman"/>
          <w:color w:val="000000"/>
          <w:sz w:val="20"/>
        </w:rPr>
        <w:t xml:space="preserve"> </w:t>
      </w:r>
      <w:r>
        <w:rPr>
          <w:rFonts w:ascii="Times New Roman" w:hAnsi="Times New Roman"/>
          <w:b w:val="false"/>
          <w:color w:val="000000"/>
          <w:sz w:val="18"/>
        </w:rPr>
        <w:t>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$165</w:t>
      </w:r>
      <w:r>
        <w:rPr>
          <w:rFonts w:ascii="Times New Roman" w:hAnsi="Times New Roman"/>
          <w:color w:val="000000"/>
          <w:sz w:val="20"/>
        </w:rPr>
        <w:t xml:space="preserve"> </w:t>
      </w:r>
      <w:r>
        <w:rPr>
          <w:rFonts w:ascii="Times New Roman" w:hAnsi="Times New Roman"/>
          <w:b w:val="false"/>
          <w:color w:val="000000"/>
          <w:sz w:val="18"/>
        </w:rPr>
        <w:t>million based on revenue milestones and $1</w:t>
      </w:r>
      <w:r>
        <w:rPr>
          <w:rFonts w:ascii="Times New Roman" w:hAnsi="Times New Roman"/>
          <w:color w:val="000000"/>
          <w:sz w:val="20"/>
        </w:rPr>
        <w:t xml:space="preserve"> </w:t>
      </w:r>
      <w:r>
        <w:rPr>
          <w:rFonts w:ascii="Times New Roman" w:hAnsi="Times New Roman"/>
          <w:b w:val="false"/>
          <w:color w:val="000000"/>
          <w:sz w:val="18"/>
        </w:rPr>
        <w:t>million based on development milestones.</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Note 17. Income Taxes</w:t>
      </w:r>
    </w:p>
    <w:p>
      <w:pPr>
        <w:pStyle w:val="TextBody"/>
        <w:bidi w:val="0"/>
        <w:spacing w:before="240" w:after="120"/>
        <w:jc w:val="left"/>
        <w:rPr>
          <w:rFonts w:ascii="Times New Roman" w:hAnsi="Times New Roman"/>
          <w:b w:val="false"/>
          <w:color w:val="000000"/>
          <w:sz w:val="18"/>
        </w:rPr>
      </w:pPr>
      <w:r>
        <w:rPr>
          <w:rFonts w:ascii="Times New Roman" w:hAnsi="Times New Roman"/>
          <w:b w:val="false"/>
          <w:color w:val="000000"/>
          <w:sz w:val="18"/>
        </w:rPr>
        <w:t>The table below presents the Company's loss before income taxes and effective tax rates for all periods presented:</w:t>
      </w:r>
    </w:p>
    <w:tbl>
      <w:tblPr>
        <w:tblW w:w="8617" w:type="dxa"/>
        <w:jc w:val="left"/>
        <w:tblInd w:w="0" w:type="dxa"/>
        <w:tblLayout w:type="fixed"/>
        <w:tblCellMar>
          <w:top w:w="28" w:type="dxa"/>
          <w:left w:w="28" w:type="dxa"/>
          <w:bottom w:w="28" w:type="dxa"/>
          <w:right w:w="28" w:type="dxa"/>
        </w:tblCellMar>
      </w:tblPr>
      <w:tblGrid>
        <w:gridCol w:w="2461"/>
        <w:gridCol w:w="146"/>
        <w:gridCol w:w="286"/>
        <w:gridCol w:w="997"/>
        <w:gridCol w:w="448"/>
        <w:gridCol w:w="197"/>
        <w:gridCol w:w="286"/>
        <w:gridCol w:w="469"/>
        <w:gridCol w:w="271"/>
        <w:gridCol w:w="146"/>
        <w:gridCol w:w="270"/>
        <w:gridCol w:w="1077"/>
        <w:gridCol w:w="347"/>
        <w:gridCol w:w="187"/>
        <w:gridCol w:w="270"/>
        <w:gridCol w:w="443"/>
        <w:gridCol w:w="31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center"/>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(62,877</w:t>
            </w:r>
          </w:p>
        </w:tc>
        <w:tc>
          <w:tcPr>
            <w:tcW w:w="4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7"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9"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(139,302</w:t>
            </w:r>
          </w:p>
        </w:tc>
        <w:tc>
          <w:tcPr>
            <w:tcW w:w="3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7"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678</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(1,285</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Effective tax rate</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7"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7"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2"/>
              </w:rPr>
            </w:pPr>
            <w:r>
              <w:rPr>
                <w:rFonts w:ascii="Calibri;sans-serif" w:hAnsi="Calibri;sans-serif"/>
                <w:b w:val="false"/>
                <w:color w:val="000000"/>
                <w:sz w:val="22"/>
              </w:rPr>
              <w:t>%</w:t>
            </w:r>
          </w:p>
        </w:tc>
      </w:tr>
    </w:tbl>
    <w:p>
      <w:pPr>
        <w:pStyle w:val="TextBody"/>
        <w:bidi w:val="0"/>
        <w:spacing w:before="240" w:after="120"/>
        <w:jc w:val="left"/>
        <w:rPr>
          <w:rFonts w:ascii="Times New Roman" w:hAnsi="Times New Roman"/>
          <w:b w:val="false"/>
          <w:color w:val="000000"/>
          <w:sz w:val="18"/>
        </w:rPr>
      </w:pPr>
      <w:r>
        <w:rPr>
          <w:rFonts w:ascii="Times New Roman" w:hAnsi="Times New Roman"/>
          <w:b w:val="false"/>
          <w:color w:val="000000"/>
          <w:sz w:val="18"/>
        </w:rPr>
        <w:t>The Company is subject to income taxes in the United States and foreign jurisdictions in which the Company does business. These foreign jurisdictions have statutory tax rates different from those in the United States. Accordingly, the Company's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 The Company regularly assesses the likelihood of adverse outcomes resulting from the examination of the Company's tax returns by the Internal Revenue Service, or IRS, and other tax authorities to determine the adequacy of our income tax reserves and expense. Should actual events or results differ from the Company's current expectations, charges or credits to our income tax expense may become necessary.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120"/>
        <w:jc w:val="left"/>
        <w:rPr>
          <w:rFonts w:ascii="Times New Roman" w:hAnsi="Times New Roman"/>
          <w:sz w:val="20"/>
        </w:rPr>
      </w:pPr>
      <w:r>
        <w:rPr>
          <w:rFonts w:ascii="Times New Roman" w:hAnsi="Times New Roman"/>
          <w:b w:val="false"/>
          <w:color w:val="000000"/>
          <w:sz w:val="18"/>
        </w:rPr>
        <w:t>The Company recorded a tax benefit of $0.7</w:t>
      </w:r>
      <w:r>
        <w:rPr>
          <w:rFonts w:ascii="Times New Roman" w:hAnsi="Times New Roman"/>
          <w:color w:val="000000"/>
          <w:sz w:val="20"/>
        </w:rPr>
        <w:t xml:space="preserve"> </w:t>
      </w:r>
      <w:r>
        <w:rPr>
          <w:rFonts w:ascii="Times New Roman" w:hAnsi="Times New Roman"/>
          <w:b w:val="false"/>
          <w:color w:val="000000"/>
          <w:sz w:val="18"/>
        </w:rPr>
        <w:t>million for the three months ended September 30, 2023</w:t>
      </w:r>
      <w:r>
        <w:rPr>
          <w:rFonts w:ascii="Times New Roman" w:hAnsi="Times New Roman"/>
          <w:color w:val="000000"/>
          <w:sz w:val="20"/>
        </w:rPr>
        <w:t xml:space="preserve"> </w:t>
      </w:r>
      <w:r>
        <w:rPr>
          <w:rFonts w:ascii="Times New Roman" w:hAnsi="Times New Roman"/>
          <w:b w:val="false"/>
          <w:color w:val="000000"/>
          <w:sz w:val="18"/>
        </w:rPr>
        <w:t>and tax expense of $1.3</w:t>
      </w:r>
      <w:r>
        <w:rPr>
          <w:rFonts w:ascii="Times New Roman" w:hAnsi="Times New Roman"/>
          <w:color w:val="000000"/>
          <w:sz w:val="20"/>
        </w:rPr>
        <w:t xml:space="preserve"> </w:t>
      </w:r>
      <w:r>
        <w:rPr>
          <w:rFonts w:ascii="Times New Roman" w:hAnsi="Times New Roman"/>
          <w:b w:val="false"/>
          <w:color w:val="000000"/>
          <w:sz w:val="18"/>
        </w:rPr>
        <w:t>million for the nine months ended September 30, 2023 on income earned in foreign jurisdictions in relation to the license revenue recognized from the license agreement with Pharmanovia.</w:t>
      </w:r>
    </w:p>
    <w:p>
      <w:pPr>
        <w:pStyle w:val="TextBody"/>
        <w:bidi w:val="0"/>
        <w:spacing w:before="240" w:after="120"/>
        <w:jc w:val="left"/>
        <w:rPr>
          <w:rFonts w:ascii="Times New Roman" w:hAnsi="Times New Roman"/>
          <w:sz w:val="20"/>
        </w:rPr>
      </w:pPr>
      <w:r>
        <w:rPr>
          <w:rFonts w:ascii="Times New Roman" w:hAnsi="Times New Roman"/>
          <w:b w:val="false"/>
          <w:color w:val="000000"/>
          <w:sz w:val="18"/>
        </w:rPr>
        <w:t>The Company did not have any unrecognized tax benefits as of September 30, 2023</w:t>
      </w:r>
      <w:r>
        <w:rPr>
          <w:rFonts w:ascii="Times New Roman" w:hAnsi="Times New Roman"/>
          <w:color w:val="000000"/>
          <w:sz w:val="20"/>
        </w:rPr>
        <w:t xml:space="preserve"> </w:t>
      </w:r>
      <w:r>
        <w:rPr>
          <w:rFonts w:ascii="Times New Roman" w:hAnsi="Times New Roman"/>
          <w:b w:val="false"/>
          <w:color w:val="000000"/>
          <w:sz w:val="18"/>
        </w:rPr>
        <w:t>related to uncertain tax positions that would impact the effective income tax rate if recognized.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jc w:val="left"/>
        <w:rPr>
          <w:rFonts w:ascii="Times New Roman" w:hAnsi="Times New Roman"/>
          <w:b/>
          <w:color w:val="000000"/>
          <w:sz w:val="18"/>
        </w:rPr>
      </w:pPr>
      <w:bookmarkStart w:id="6" w:name="item_2_managements_discussion_analysis_f"/>
      <w:bookmarkEnd w:id="6"/>
      <w:r>
        <w:rPr>
          <w:rFonts w:ascii="Times New Roman" w:hAnsi="Times New Roman"/>
          <w:b/>
          <w:color w:val="000000"/>
          <w:sz w:val="18"/>
        </w:rPr>
        <w:t>ITEM 2. MANAGEMENT’S DISCUSSION AND ANALYSIS OF FINANCIAL CONDITION AND RESULTS OF OPERATIONS</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2022</w:t>
      </w:r>
      <w:r>
        <w:rPr>
          <w:rFonts w:ascii="Times New Roman" w:hAnsi="Times New Roman"/>
          <w:color w:val="000000"/>
          <w:sz w:val="20"/>
        </w:rPr>
        <w:t xml:space="preserve"> </w:t>
      </w:r>
      <w:r>
        <w:rPr>
          <w:rFonts w:ascii="Times New Roman" w:hAnsi="Times New Roman"/>
          <w:b w:val="false"/>
          <w:color w:val="000000"/>
          <w:sz w:val="18"/>
        </w:rPr>
        <w:t>which wa</w:t>
      </w:r>
      <w:r>
        <w:rPr>
          <w:rFonts w:ascii="Times New Roman" w:hAnsi="Times New Roman"/>
          <w:b w:val="false"/>
          <w:i/>
          <w:color w:val="000000"/>
          <w:sz w:val="18"/>
        </w:rPr>
        <w:t>s filed with the Securities and Exchange Commission, or SEC, on February 28, 2023</w:t>
      </w:r>
      <w:r>
        <w:rPr>
          <w:rFonts w:ascii="Times New Roman" w:hAnsi="Times New Roman"/>
          <w:b w:val="false"/>
          <w:color w:val="000000"/>
          <w:sz w:val="18"/>
        </w:rPr>
        <w:t>.</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Overview</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We are a commercial-stage biopharmaceutical company developing and delivering novel therapies for central nervous system, or CNS, conditions that have limited treatment options. By focusing on this therapeutic area, we are addressing significant and growing markets where current treatment options are limited or inadequate. Our portfolio primarily consists of two commercial products and the development programs described below.</w:t>
      </w:r>
    </w:p>
    <w:p>
      <w:pPr>
        <w:pStyle w:val="TextBody"/>
        <w:bidi w:val="0"/>
        <w:jc w:val="left"/>
        <w:rPr>
          <w:rFonts w:ascii="Times New Roman" w:hAnsi="Times New Roman"/>
          <w:b/>
          <w:i/>
          <w:color w:val="000000"/>
          <w:sz w:val="18"/>
        </w:rPr>
      </w:pPr>
      <w:r>
        <w:rPr>
          <w:rFonts w:ascii="Times New Roman" w:hAnsi="Times New Roman"/>
          <w:b/>
          <w:i/>
          <w:color w:val="000000"/>
          <w:sz w:val="18"/>
        </w:rPr>
        <w:t>Commercial Products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1.</w:t>
      </w:r>
    </w:p>
    <w:p>
      <w:pPr>
        <w:pStyle w:val="TextBody"/>
        <w:bidi w:val="0"/>
        <w:spacing w:before="120" w:after="283"/>
        <w:jc w:val="left"/>
        <w:rPr/>
      </w:pPr>
      <w:r>
        <w:rPr>
          <w:rFonts w:ascii="Times New Roman" w:hAnsi="Times New Roman"/>
          <w:b/>
          <w:i/>
          <w:color w:val="000000"/>
          <w:sz w:val="18"/>
        </w:rPr>
        <w:t xml:space="preserve">Auvelity®. </w:t>
      </w:r>
      <w:r>
        <w:rPr>
          <w:rFonts w:ascii="Times New Roman" w:hAnsi="Times New Roman"/>
          <w:b w:val="false"/>
          <w:color w:val="000000"/>
          <w:sz w:val="18"/>
        </w:rPr>
        <w:t xml:space="preserve">Auvelity (dextromethorphan-bupropion) is a novel, oral, N-methyl-D-aspartate (NMDA) receptor antagonist with multimodal activity indicated for the treatment of major depressive disorder, also known as MDD. Auvelity was developed by the Company and approved by the U.S. Food and Drug Administration, or the FDA, for the treatment of MDD in August 2022. </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2.</w:t>
      </w:r>
    </w:p>
    <w:p>
      <w:pPr>
        <w:pStyle w:val="TextBody"/>
        <w:bidi w:val="0"/>
        <w:spacing w:before="120" w:after="283"/>
        <w:jc w:val="left"/>
        <w:rPr/>
      </w:pPr>
      <w:r>
        <w:rPr>
          <w:rFonts w:ascii="Times New Roman" w:hAnsi="Times New Roman"/>
          <w:b/>
          <w:i/>
          <w:color w:val="000000"/>
          <w:sz w:val="18"/>
        </w:rPr>
        <w:t xml:space="preserve">Sunosi®. </w:t>
      </w:r>
      <w:r>
        <w:rPr>
          <w:rFonts w:ascii="Times New Roman" w:hAnsi="Times New Roman"/>
          <w:b w:val="false"/>
          <w:color w:val="000000"/>
          <w:sz w:val="18"/>
        </w:rPr>
        <w:t>Sunosi (solriamfetol) is a novel, oral medication indicated to the treatment of excessive daytime sleepiness, also known as EDS, in patients with narcolepsy or obstructive sleep apnea. Sunosi was approved for the treatment of EDS in the United States in 2019 and by the European Commission in 2020. We acquired the U.S. rights to Sunosi from Jazz Pharmaceuticals plc, or Jazz, in May 2022 and worldwide ex-U.S. rights (excluding certain Asian markets) from Jazz in November 2022. We have been commercializing Sunosi since we completed these acquisitions. SK Biopharmaceuticals Co. Ltd., is the originator of Sunosi and retains rights in 12 Asian markets, including China, Korea, and Japan. In February 2023, we announced a licensing transaction with Pharmanovia to market Sunosi in Europe and certain countries in the Middle East and North Africa.</w:t>
      </w:r>
    </w:p>
    <w:p>
      <w:pPr>
        <w:pStyle w:val="TextBody"/>
        <w:bidi w:val="0"/>
        <w:jc w:val="left"/>
        <w:rPr>
          <w:rFonts w:ascii="Times New Roman" w:hAnsi="Times New Roman"/>
          <w:b/>
          <w:i/>
          <w:color w:val="000000"/>
          <w:sz w:val="18"/>
        </w:rPr>
      </w:pPr>
      <w:r>
        <w:rPr>
          <w:rFonts w:ascii="Times New Roman" w:hAnsi="Times New Roman"/>
          <w:b/>
          <w:i/>
          <w:color w:val="000000"/>
          <w:sz w:val="18"/>
        </w:rPr>
        <w:t>Development Programs</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When used in programs for further development, we refer to the proprietary dextromethorphan-bupropion combination contained in Auvelity as “AXS-05.” AXS-05 is a novel, oral, investigational NMDA receptor antagonist and sigma-1 receptor agonist under development for the treatment of Alzheimer’s disease agitation, or AD agitation, and smoking cessation. AXS-05 utilizes a proprietary combination and dose of dextromethorphan and bupropion, and Axsome’s metabolic inhibition technology, to modulate the delivery of the components. We have completed a Phase 2/3 trial of AXS-05 in AD agitation, which we refer to as the ADVANCE-1 trial. AXS-05 achieved the primary endpoint in the ADVANCE-1 trial. We have also completed the ACCORD trial, a Phase 3, double blind, placebo-controlled, randomized withdrawal trial in patients with AD agitation, and we are conducting an open-label long-term safety study in AD agitation. We are currently conducting the ADVANCE-2 trial, another Phase 3, double blind, placebo-controlled, randomized withdrawal trial in patients with AD agitation. A positive Phase 2 trial for the use of AXS-05 in smoking cessation has been completed under a research collaboration with Duke University.</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AXS-07 is a novel, oral, rapidly absorbed, multi-mechanistic, investigational medicine under development for the acute treatment of migraine. AXS-07 consists of MoSEIC, or Molecular Solubility Enhanced Inclusion Complex, meloxicam and rizatriptan. We have completed two Phase 3 trials of AXS-07 for the acute treatment of migraine, which we refer to as the MOMENTUM and INTERCEPT trials. AXS-07 achieved the co-primary endpoints in both the MOMENTUM and INTERCEPT trials. We have also completed an open-label, long-term, safety study of AXS-07 in patients with migraine known as the MOVEMENT trial. In the MOVEMENT trial, administration of AXS-07 resulted in rapid, and substantial relief of migraine pain and associated symptoms and was well tolerated with long term dosing. We submitted an NDA for AXS-07 in 2021, which was accepted, and received a complete response letter, or CRL, from the FDA in April 2022. The principal reasons given in the CRL relate to chemistry, manufacturing, and controls, or CMC considerations.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AXS-12, reboxetine, is a novel, oral, investigational medicine in development for the treatment of cataplexy in narcolepsy. AXS-12 is a highly selective and potent norepinephrine reuptake inhibitor. AXS-12 has been granted FDA Orphan Drug Designation for the treatment of narcolepsy. We have completed a Phase 2 trial with AXS-12, which we refer to as the CONCERT study. We are currently conducting a randomized, placebo-controlled Phase 3 trial with AXS-12 in narcolepsy, which we refer to as the SYMPHONY study, and an open-label long-term safety extension study.</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AXS-14, esreboxetine, is a novel, oral, investigational medicine in development for the treatment of fibromyalgia. AXS-14 is a highly selective and potent norepinephrine reuptake inhibitor. Esreboxetine, the SS-enantiomer of reboxetine, is more potent and selective than racemic reboxetine. We have in-licensed data from Pfizer Inc., or Pfizer, that includes a completed Phase 2 trial and Phase 3 trial in fibromyalgia, both of which were positive.</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Solriamfetol is the active ingredient in Sunosi. It is an oral, dual-acting dopamine and norepinephrine reuptake inhibitor and TAAR1 agonist. In July 2023, we initiated a Phase 3 trial of solriamfetol in adults with attention-deficit/hyperactivity disorder, or ADHD.</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Since our incorporation in January 2012, our operations to date have included organizing and staffing our company, business planning, raising capital, developing our compounds, engaging in other discovery and preclinical activities and commencing the commercialization of Sunosi and Auvelity. We have raised capital through proceeds from sales of our common stock and warrants to purchase shares of our common stock to equity investors, debt borrowings, and sales of Auvelity and Sunosi. For a further discussion, see the section entitled “Liquidity and Capital Resources” below.</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ability to become profitable depends on our ability to generate revenue. We have recently begun commercial sales of Sunosi and Auvelity, but we have limited experience with commercializing these products.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have incurred significant operating expenses and net losses since inception. We incurred net losses of $140.6 million and $125.9 million for the nine months ended September 30, 2023 and 2022, respectively. Our accumulated deficit as of September 30, 2023 was $736.9 million, and we expect to incur significant expenses and increasing operating losses for the foreseeable future. We expect to incur commercialization expenses for Sunosi and Auvelity as we look to continue to support the growth of both products. We expect to continue to incur expenses in connection with the development of our product candidates, including with respect to conducting clinical trials and seeking regulatory approval for our current product candidates and any other product candidates that we develop or in-license and advance to clinical development. As we continue to seek regulatory approval for our product candidates, we expect to incur significant expenses in order to continue to create an infrastructure and support market readiness for the commercialization of our product candidates, including manufacturing, sales, marketing, and distribution functions. Further, we have incurred and will continue to incur additional costs associated with operating as a public company. Accordingly, we may need additional financing to support our continuing operations. We may seek to fund our operations through public and/or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Year to Date and Recent Developments</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Auvelity</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In February 2023, we received a Paragraph IV Certification Notice Letter from Teva Pharmaceuticals, Inc., or Teva, providing notification to us that Teva has submitted an Abbreviated New Drug Application, or ANDA, to the FDA seeking approval to manufacture, use, or sell a generic version of Auvelity (dextromethorphan HBr-bupropion HCl). On March 24, 2023, we commenced a patent infringement action against Teva in the United States District Court for the District of New Jersey relating to its Abbreviated New Drug Application.</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Sunosi</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In February 2023, we entered into a license agreement with Atnahs Pharma UK Limited, or the Pharmanovia License Agreement, to expand commercialization and further develop Sunosi (solriamfetol) in Europe and certain countries in the Middle East and North Africa.</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In August 2023, we received a Paragraph IV Certification Notice Letter from Hikma Pharmaceuticals USA Inc., or Hikma, providing notification to us that Hikma has submitted an ANDA to the FDA seeking approval to manufacture, use, or sell a generic version of Sunosi® (solriamfetol hydrochloride). We subsequently received Paragraph IV Certification Notice Letters from five additional ANDA filers. On September 13, 2023, we commenced a patent infringement action against Hikma and the five other ANDA filers in the United States District Court for the District of New Jersey.</w:t>
      </w:r>
    </w:p>
    <w:p>
      <w:pPr>
        <w:pStyle w:val="TextBody"/>
        <w:bidi w:val="0"/>
        <w:jc w:val="left"/>
        <w:rPr/>
      </w:pPr>
      <w:r>
        <w:rPr/>
        <w:t> </w:t>
      </w:r>
    </w:p>
    <w:p>
      <w:pPr>
        <w:pStyle w:val="TextBody"/>
        <w:bidi w:val="0"/>
        <w:jc w:val="left"/>
        <w:rPr>
          <w:rFonts w:ascii="Times New Roman" w:hAnsi="Times New Roman"/>
          <w:b w:val="false"/>
          <w:i/>
          <w:color w:val="000000"/>
          <w:sz w:val="18"/>
        </w:rPr>
      </w:pPr>
      <w:r>
        <w:rPr>
          <w:rFonts w:ascii="Times New Roman" w:hAnsi="Times New Roman"/>
          <w:b w:val="false"/>
          <w:i/>
          <w:color w:val="000000"/>
          <w:sz w:val="18"/>
        </w:rPr>
        <w:t>Corporate</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In February 2023, we entered into a sublease with Advance Magazine Publishers d/b/a Conde Nast for the entirety of the twenty-second floor of One Word Trade Center in New York, NY. This space is utilized by the Company for its corporate and executive offices.</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In October 2023, Axsome announced the appointment of Susan Mahony, PhD, to its board of directors. Dr. Mahony most recently served on the board of directors of Horizon Therapeutics from 2019 until its acquisition by Amgen in October 2023. She was formerly Senior Vice President of Eli Lilly and Company and President of Lilly Oncology.</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Financial</w:t>
      </w:r>
    </w:p>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In January 2023, we entered into a Third Amendment to Loan and Security Agreement, or the Third Amendment, with Hercules Capital, Inc, or Hercules, in its capacity as administrative agent and collateral agent, and the other financial institutions or entities party thereto as lenders. The Third Amendment amends the terms of that certain Loan and Security Agreement, dated as of September 25, 2020 (as amended by that certain First Amendment to Loan and Security Agreement, dated as of October 14, 2021, and as further amended by the Second Amendment to Loan and Security Agreement, dated as of March 27, 2022), or the Loan Agreement, by and among the Company, Hercules and the lenders party thereto.</w:t>
      </w:r>
    </w:p>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In March 2023, Silicon Valley Bank (SVB) and Signature Bank were closed and taken over by the Federal Deposit Insurance Corporation (FDIC), which created significant market disruption and uncertainty with respect to the financial condition of a number of banking institutions in the U.S., in particular those with exposure to certain types of depositors and large portfolios of investment securities. At the time of these closures, we had approximately $4.0 million in cash in deposit accounts at SVB. Other Company funds were held at Citibank and on the Company’s behalf by a third-party financial institution and invested in U.S. government securities. On March 12, 2023, the U.S. Department of the Treasury announced that the FDIC will fully protect all SVB depositors. The Company has not suffered any losses in connection with the failure of SVB or any other financial institution.</w:t>
      </w:r>
    </w:p>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In May 2023, we entered into a Waiver and Fourth Amendment to Loan and Security Agreement, or the Fourth Amendment, with Hercules, in its capacity as administrative agent and collateral agent, and the other financial institutions or entities party thereto as lenders. The Fourth Amendment amends the terms of the Loan Agreement (as amended by that certain First Amendment to Loan and Security Agreement, dated as of October 14, 2021, as further amended by the Second Amendment to Loan and Security Agreement, dated as of March 27, 2022, and as further amended by the Third Amendment to Loan and Security Agreement, dated as of January 9, 2023).</w:t>
      </w:r>
    </w:p>
    <w:p>
      <w:pPr>
        <w:pStyle w:val="TextBody"/>
        <w:bidi w:val="0"/>
        <w:spacing w:before="200" w:after="283"/>
        <w:jc w:val="left"/>
        <w:rPr>
          <w:rFonts w:ascii="Times New Roman" w:hAnsi="Times New Roman"/>
          <w:b w:val="false"/>
          <w:color w:val="000000"/>
          <w:sz w:val="18"/>
        </w:rPr>
      </w:pPr>
      <w:r>
        <w:rPr>
          <w:rFonts w:ascii="Times New Roman" w:hAnsi="Times New Roman"/>
          <w:b w:val="false"/>
          <w:color w:val="000000"/>
          <w:sz w:val="18"/>
        </w:rPr>
        <w:t>In June 2023, we completed a public offering of 3,000,000 shares of common stock at the public offering price of $75.00 per share. The aggregate gross proceeds to us, before deducting underwriting discounts and commissions and offering expenses, were $225.0 million. Additionally, in connection with this public offering, in July 2023, the underwriters fully exercised their option to purchase 450,000 additional shares of the Company's common stock at a public offering price of $75.00 per share. The aggregate gross proceeds to us, before deducting underwriting discounts and commissions and offering expenses, were $33.75 million. We intend to use the proceeds from these offerings to advance our late-stage pipeline, including funding existing and potential new clinical programs, products, and product candidates, to expand commercialization efforts, and for other general corporate purposes.</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Financial Overview</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Revenue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generated $57.1 million and $131.7 million in net revenue from product sales in the three and nine months ended September 30, 2023, respectively.</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We expect that Sunosi and Auvelity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and adversely affected. If we enter into licensing or collaboration arrangements, such agreements may generate revenue in the future.</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Additionally, in the first quarter of 2023, we recorded license revenue of $65.7 million related to the Pharmanovia License Agreement. See below for more detail.</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18"/>
        </w:rPr>
      </w:pPr>
      <w:r>
        <w:rPr>
          <w:rFonts w:ascii="Times New Roman" w:hAnsi="Times New Roman"/>
          <w:b w:val="false"/>
          <w:i/>
          <w:color w:val="000000"/>
          <w:sz w:val="18"/>
        </w:rPr>
        <w:t>License Agreement with Pharmanovia</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February 2023, we entered into the Pharmanovia License Agreement to commercialize and further develop Sunosi® in Europe and certain countries in the Middle East and North Africa, or the Territory. Pharmanovia is a UK-based global life cycle management healthcare company that focuses on four core therapeutic areas – Oncology, Endocrinology, Neurology and Cardiovascular.</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received an upfront payment of €62.0 million ($65.7 million) during the first quarter of 2023 and are eligible to receive sales-based and other milestones totaling up to €94.5 million. We will receive a royalty percentage in the mid-twenties on net sales of the Licensed Products (as defined in the Pharmanovia License Agreement) in the Territory. For the three and nine months ended September 30, 2023, we recognized royalty revenue of $0.7 million and $1.6 million, respectively, related to Pharmanovia’s sales of Sunosi.</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Cost of revenue</w:t>
      </w:r>
    </w:p>
    <w:p>
      <w:pPr>
        <w:pStyle w:val="TextBody"/>
        <w:bidi w:val="0"/>
        <w:spacing w:before="216" w:after="283"/>
        <w:jc w:val="left"/>
        <w:rPr>
          <w:rFonts w:ascii="Times New Roman" w:hAnsi="Times New Roman"/>
          <w:b w:val="false"/>
          <w:color w:val="000000"/>
          <w:sz w:val="18"/>
        </w:rPr>
      </w:pPr>
      <w:r>
        <w:rPr>
          <w:rFonts w:ascii="Times New Roman" w:hAnsi="Times New Roman"/>
          <w:b w:val="false"/>
          <w:color w:val="000000"/>
          <w:sz w:val="18"/>
        </w:rPr>
        <w:t>Cost of revenue includes direct costs of formulating, manufacturing and packaging drug product, overhead costs consisting of labor, customs, stock-based compensation, shipping, outside inventory management, royalty expense, and other miscellaneous operating costs.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Research and Development Expenses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Research and development expenses primarily include preclinical studies, clinical trials, manufacturing costs, employee-related expenses including salaries, benefits, travel, and stock</w:t>
        <w:noBreakHyphen/>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Research and development activities are central to our business model. We have and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to what extent we will generate revenue from the commercialization and sale of Sunosi and Auvelity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Selling, general and administrative expenses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Selling, general and administrative expenses primarily consist of salaries and related costs for personnel in executive, commercial, finance, and operational functions, including stock-based compensation and travel expenses. Also included in selling, general and administrative expenses are marketing costs, other commercial costs, pre-commercialization costs, facility-related costs, insurance expense, professional fees for legal and accounting services, and patent filing and prosecution costs. Selling, general and administrative expenses are expensed when incurred.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Interest expense, net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Critical Accounting Policies and Significant Judgments and Estimates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There have been no material changes to the critical accounting policies disclosed in our 2022 Annual Report on Form 10-K, except for revenue recognition related to license agreements. Our critical accounting policies are described in the notes to the consolidated financial statements appearing elsewhere in this Quarterly Report on Form 10-Q.</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Results of Operations</w:t>
      </w:r>
    </w:p>
    <w:p>
      <w:pPr>
        <w:pStyle w:val="TextBody"/>
        <w:bidi w:val="0"/>
        <w:spacing w:before="216" w:after="283"/>
        <w:jc w:val="left"/>
        <w:rPr>
          <w:rFonts w:ascii="Times New Roman" w:hAnsi="Times New Roman"/>
          <w:b w:val="false"/>
          <w:color w:val="000000"/>
          <w:sz w:val="18"/>
        </w:rPr>
      </w:pPr>
      <w:r>
        <w:rPr>
          <w:rFonts w:ascii="Times New Roman" w:hAnsi="Times New Roman"/>
          <w:b w:val="false"/>
          <w:color w:val="000000"/>
          <w:sz w:val="18"/>
        </w:rPr>
        <w:t>The following table summarizes our results of operations for the periods indicated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69"/>
        <w:gridCol w:w="146"/>
        <w:gridCol w:w="211"/>
        <w:gridCol w:w="781"/>
        <w:gridCol w:w="166"/>
        <w:gridCol w:w="146"/>
        <w:gridCol w:w="211"/>
        <w:gridCol w:w="736"/>
        <w:gridCol w:w="166"/>
        <w:gridCol w:w="146"/>
        <w:gridCol w:w="211"/>
        <w:gridCol w:w="841"/>
        <w:gridCol w:w="166"/>
        <w:gridCol w:w="146"/>
        <w:gridCol w:w="211"/>
        <w:gridCol w:w="841"/>
        <w:gridCol w:w="411"/>
      </w:tblGrid>
      <w:tr>
        <w:trPr/>
        <w:tc>
          <w:tcPr>
            <w:tcW w:w="4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vAlign w:val="center"/>
          </w:tcPr>
          <w:p>
            <w:pPr>
              <w:pStyle w:val="TableContents"/>
              <w:bidi w:val="0"/>
              <w:spacing w:before="0" w:after="283"/>
              <w:jc w:val="center"/>
              <w:rPr/>
            </w:pPr>
            <w:r>
              <w:rPr/>
              <w:t> </w:t>
            </w:r>
          </w:p>
        </w:tc>
      </w:tr>
      <w:tr>
        <w:trPr/>
        <w:tc>
          <w:tcPr>
            <w:tcW w:w="46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6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Product sales,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131,713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25,666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6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License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65,735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6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Royalty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6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revenue (excluding amortization and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6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67,141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43,254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6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83,188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236,314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97,756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6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Intangible asset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145,547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(62,120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(133,551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(119,881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(62,877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(44,823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(139,302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(125,893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(140,587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(125,893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val="false"/>
          <w:i/>
          <w:color w:val="000000"/>
          <w:sz w:val="18"/>
        </w:rPr>
        <w:t xml:space="preserve">Product sales, net. </w:t>
      </w:r>
      <w:r>
        <w:rPr>
          <w:rFonts w:ascii="Times New Roman" w:hAnsi="Times New Roman"/>
          <w:b w:val="false"/>
          <w:color w:val="000000"/>
          <w:sz w:val="18"/>
        </w:rPr>
        <w:t>Auvelity was launched on October 19, 2022 and had U.S. net sales of $37.7 million and $81.0 million for the three and nine months ended September 30, 2023, respectively. No Auvelity sales were reported for both 2022 comparable periods reflecting the timing of the Auvelity approval and launch. Sales of Sunosi began in the U.S. in May 2022 and in certain international markets in November 2022. Sunosi product sales were $19.4 million and $50.7 million for the three and nine months ended September 30, 2023, respectively, and $16.8 million and $25.7 million for the three and nine months ended September 30, 2022, respectively. The increase in sales was primarily due to an increase in sales volume and the timing of the Sunosi acquisition and the launch of Auvelity.</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 xml:space="preserve">License revenue. </w:t>
      </w:r>
      <w:r>
        <w:rPr>
          <w:rFonts w:ascii="Times New Roman" w:hAnsi="Times New Roman"/>
          <w:b w:val="false"/>
          <w:color w:val="000000"/>
          <w:sz w:val="18"/>
        </w:rPr>
        <w:t>In February 2023, we entered into a license agreement with Pharmanovia to commercialize Sunosi in certain ex-U.S. markets. We recognized the upfront payment of $65.7 million from Pharmanovia as license revenue. We did not have license revenue for the comparable periods in 2022.</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Royalty revenue.</w:t>
      </w:r>
      <w:r>
        <w:rPr>
          <w:rFonts w:ascii="Times New Roman" w:hAnsi="Times New Roman"/>
          <w:color w:val="000000"/>
          <w:sz w:val="20"/>
        </w:rPr>
        <w:t xml:space="preserve"> </w:t>
      </w:r>
      <w:r>
        <w:rPr>
          <w:rFonts w:ascii="Times New Roman" w:hAnsi="Times New Roman"/>
          <w:b w:val="false"/>
          <w:color w:val="000000"/>
          <w:sz w:val="18"/>
        </w:rPr>
        <w:t>In connection with the license agreement with Pharmanovia to commercialize Sunosi in certain ex-U.S. markets, we recognized royalty revenue of $0.7 million and $1.6 million for the three and nine months ended September 30, 2023, respectively, related to sales of Sunosi by Pharmanovia. We did not have royalty revenue for the comparable periods in 2022.</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Cost of revenue.</w:t>
      </w:r>
      <w:r>
        <w:rPr>
          <w:rFonts w:ascii="Times New Roman" w:hAnsi="Times New Roman"/>
          <w:color w:val="000000"/>
          <w:sz w:val="20"/>
        </w:rPr>
        <w:t xml:space="preserve"> </w:t>
      </w:r>
      <w:r>
        <w:rPr>
          <w:rFonts w:ascii="Times New Roman" w:hAnsi="Times New Roman"/>
          <w:b w:val="false"/>
          <w:color w:val="000000"/>
          <w:sz w:val="18"/>
        </w:rPr>
        <w:t>Cost of revenue was $6.5 million and $18.7 million for the three and nine months ended September 30, 2023, respectively, as compared to $1.9 million and $2.9 million for the three and nine months ended September 30, 2022, respectively. The increase in both comparable periods is in line with the increase in sales for Sunosi, and the 2023 periods also include Auvelity as it was launched in the fourth quarter of 2022 Additionally, in the first quarter of 2023, we recognized a $5.0 million license revenue sharing expense related to the Pharmanovia agreement. In 2022, cost of revenue consisted only of cost of product sales related to Sunosi.</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i/>
          <w:color w:val="000000"/>
          <w:sz w:val="18"/>
        </w:rPr>
        <w:t>Research and development.</w:t>
      </w:r>
      <w:r>
        <w:rPr>
          <w:rFonts w:ascii="Times New Roman" w:hAnsi="Times New Roman"/>
          <w:color w:val="000000"/>
          <w:sz w:val="20"/>
        </w:rPr>
        <w:t xml:space="preserve"> </w:t>
      </w:r>
      <w:r>
        <w:rPr>
          <w:rFonts w:ascii="Times New Roman" w:hAnsi="Times New Roman"/>
          <w:b w:val="false"/>
          <w:color w:val="000000"/>
          <w:sz w:val="18"/>
        </w:rPr>
        <w:t>The following table summarizes our research and development expenses for our primary products for the three and nine months ended September 30, 2023 and 2022 (in thousands):</w:t>
      </w:r>
    </w:p>
    <w:p>
      <w:pPr>
        <w:pStyle w:val="TextBody"/>
        <w:bidi w:val="0"/>
        <w:jc w:val="left"/>
        <w:rPr/>
      </w:pPr>
      <w:r>
        <w:rPr/>
        <w:t> </w:t>
      </w:r>
    </w:p>
    <w:tbl>
      <w:tblPr>
        <w:tblW w:w="8457" w:type="dxa"/>
        <w:jc w:val="left"/>
        <w:tblInd w:w="0" w:type="dxa"/>
        <w:tblLayout w:type="fixed"/>
        <w:tblCellMar>
          <w:top w:w="28" w:type="dxa"/>
          <w:left w:w="28" w:type="dxa"/>
          <w:bottom w:w="28" w:type="dxa"/>
          <w:right w:w="28" w:type="dxa"/>
        </w:tblCellMar>
      </w:tblPr>
      <w:tblGrid>
        <w:gridCol w:w="3496"/>
        <w:gridCol w:w="146"/>
        <w:gridCol w:w="211"/>
        <w:gridCol w:w="676"/>
        <w:gridCol w:w="146"/>
        <w:gridCol w:w="146"/>
        <w:gridCol w:w="211"/>
        <w:gridCol w:w="676"/>
        <w:gridCol w:w="146"/>
        <w:gridCol w:w="146"/>
        <w:gridCol w:w="211"/>
        <w:gridCol w:w="676"/>
        <w:gridCol w:w="146"/>
        <w:gridCol w:w="146"/>
        <w:gridCol w:w="211"/>
        <w:gridCol w:w="676"/>
        <w:gridCol w:w="3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Solriamfetol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AXS-05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18,732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AXS-07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AXS-12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AXS-14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research and development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67,141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 Other research and development expenses primarily consist of employee salaries and benefits, facilities and overhead costs.</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Research and development expenses increased by $13.9 million and $23.9 million for the three and nine months ended September 30, 2023, as compared to the same periods in 2022. The increases in both comparable periods were primarily related to the FOCUS trial of solriamfetol in ADHD, the advancement of ongoing trials of AXS-05 and AXS-12, CMC costs associated with the anticipated NDAs for AXS-07 and AXS-14, post-marketing commitments for Auvelity and Sunosi, and higher personnel costs, including non-cash stock-based compensation. We expect research and development costs to increase moderately as we continue to conduct non-clinical and pre-clinical testing, conduct ongoing and planned clinical trials, and manufacture drug products in anticipation of FDA approvals for the further development of our current and future product candidates.</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Selling, general and administrative.</w:t>
      </w:r>
      <w:r>
        <w:rPr>
          <w:rFonts w:ascii="Times New Roman" w:hAnsi="Times New Roman"/>
          <w:color w:val="000000"/>
          <w:sz w:val="20"/>
        </w:rPr>
        <w:t xml:space="preserve"> </w:t>
      </w:r>
      <w:r>
        <w:rPr>
          <w:rFonts w:ascii="Times New Roman" w:hAnsi="Times New Roman"/>
          <w:b w:val="false"/>
          <w:color w:val="000000"/>
          <w:sz w:val="18"/>
        </w:rPr>
        <w:t>Selling, general and administrative expenses was $83.2 million and $236.3 million for the three and nine months ended September 30, 2023, respectively, as compared to $40.9 million and $97.8 million for the same periods in 2022. The increases in both comparable periods were primarily related to commercial activities for Auvelity and Sunosi, and higher personnel costs related to organizational growth, including non-cash stock-based compensation. We expect selling, general and administrative expenses to increase as we expand marketing, promotional, and advertising for our products and continue our increased efforts to educate physicians and expand market access.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 xml:space="preserve">Loss (Gain) in Fair Value of Contingent Consideration. </w:t>
      </w:r>
      <w:r>
        <w:rPr>
          <w:rFonts w:ascii="Times New Roman" w:hAnsi="Times New Roman"/>
          <w:b w:val="false"/>
          <w:color w:val="000000"/>
          <w:sz w:val="18"/>
        </w:rPr>
        <w:t>The gain position of $0.2 million and loss position of $5.7 million for the three and nine months ended September 30, 2023, respectively, as compared to a gain position of under $1.0 million for the same periods in 2022 is related to the change in fair value of contingent consideration which was primarily due to the change in significant unobservable inputs, including the discount rate.</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Intangible asset amortization</w:t>
      </w:r>
      <w:r>
        <w:rPr>
          <w:rFonts w:ascii="Times New Roman" w:hAnsi="Times New Roman"/>
          <w:b w:val="false"/>
          <w:color w:val="000000"/>
          <w:sz w:val="18"/>
        </w:rPr>
        <w:t>. As part of the purchase price allocation for the Sunosi acquisition that occurred on May 9, 2022, we determined the identifiable intangible asset is developed technology. We amortize the intangible asset over its useful life of 10 years. Intangible asset amortization was $1.6 million for both the three months ended September 30, 2023 and 2022, and $4.8 million and $2.5 million for the nine months ended September 30, 2023 and 2022, respectively. The year-to-date increase is related to the timing of the Sunosi acquisition.</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Interest expense, net.</w:t>
      </w:r>
      <w:r>
        <w:rPr>
          <w:rFonts w:ascii="Times New Roman" w:hAnsi="Times New Roman"/>
          <w:color w:val="000000"/>
          <w:sz w:val="20"/>
        </w:rPr>
        <w:t xml:space="preserve"> </w:t>
      </w:r>
      <w:r>
        <w:rPr>
          <w:rFonts w:ascii="Times New Roman" w:hAnsi="Times New Roman"/>
          <w:b w:val="false"/>
          <w:color w:val="000000"/>
          <w:sz w:val="18"/>
        </w:rPr>
        <w:t>Interest expense, net, was $0.8 million and $5.8 million for the three and nine months ended September 30, 2023, respectively, as compared to $2.4 million and $6.0 million for the same periods in 2022. The decreases in both comparable periods were mainly due to interest income on higher cash balances which offset the interest expense, issuance costs and fees related to the Loan Agreement with Hercules.</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Income tax benefit (expense).</w:t>
      </w:r>
      <w:r>
        <w:rPr>
          <w:rFonts w:ascii="Times New Roman" w:hAnsi="Times New Roman"/>
          <w:color w:val="000000"/>
          <w:sz w:val="20"/>
        </w:rPr>
        <w:t xml:space="preserve"> </w:t>
      </w:r>
      <w:r>
        <w:rPr>
          <w:rFonts w:ascii="Times New Roman" w:hAnsi="Times New Roman"/>
          <w:b w:val="false"/>
          <w:color w:val="000000"/>
          <w:sz w:val="18"/>
        </w:rPr>
        <w:t>We recorded a tax benefit of $0.7 million for the three months ended September 30, 2023 due to losses incurred in foreign jurisdictions during the quarter. Tax expense was $1.3 million for the nine months ended September 30, 2023 due to income earned in foreign jurisdictions in relation to the license revenue recognized from the license agreement with Pharmanovia. We did not record an income tax benefit (expense) in 2022.</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 xml:space="preserve">Net loss. </w:t>
      </w:r>
      <w:r>
        <w:rPr>
          <w:rFonts w:ascii="Times New Roman" w:hAnsi="Times New Roman"/>
          <w:b w:val="false"/>
          <w:color w:val="000000"/>
          <w:sz w:val="18"/>
        </w:rPr>
        <w:t>Net loss increased by $17.4 million and $14.7 million for the three and nine months ended September 30, 2023, respectively, as compared to same periods in 2022. The increase is primarily due to higher selling, general and administrative expenses related to commercial activities related to Sunosi and Auvelity, including sales force and marketing spend, and higher personnel costs, including non-cash stock compensation expense.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Liquidity and Capital Resources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Since our inception through September 30, 2023, we have financed our operations primarily through proceeds from equity offerings, debt borrowings and proceeds from product sales. See discussion below.</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On December 2, 2022, we filed an automatic shelf registration statement with the SEC for the issuance of common stock, preferred stock, warrants, rights, debt securities and units up to an unlimited amount, which we refer to as the 2022 Shelf Registration Statement. It was declared effective by the SEC upon filing. In the future, we may conduct additional offerings of one or more of these securities utilizing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In December 2019, we entered into a sales agreement, or the December 2019 Sales Agreement, with SVB Securities LLC (now known as Leerink Partners LLC), or Leerink, pursuant to which we may sell up to $80 million in shares of our common stock from time to time through Leerink, acting as our sales agent, in one or more at-the-market offerings utilizing an automatic shelf registration statement we filed with the SEC on December 5, 2019 for the issuance of common stock, preferred stock, warrants, rights, debt securities and units up to an unlimited amount, which we refer to as the 2019 Shelf Registration Statement. Leerink is entitled to receive a commission of 3.0% of the gross proceeds for any shares sold under the December 2019 Sales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March 2022, we entered into a sales agreement, or the March 2022 Sales Agreement with Leerink, pursuant to which we may sell up to $200 million in shares of our common stock from time to time through Leerink, acting as our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by and between the Company and Leerink. The Company exhausted sales of its shares of the Company’s common stock under its prior at-the-market offering program.</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August 2022, we filed a prospectus supplement to the 2019 Shelf Registration Statement for the issuance and sale, if any, of up to an additional $250 million in shares of our common stock. Leerink is entitled to receive a commission of up to 3.0% of the gross proceeds for any shares sold under the March 2022 Sales Agreement.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December 2022, in connection with the 2022 Shelf Registration Statement, we filed a new sales agreement prospectus to replace the prior prospectus supplement filed in August 2022 associated with the expired 2019 Shelf Registration Statement. The new sales agreement prospectus covered the issuance and sale by us of up to the same $250 million of our common stock that may be issued and sold from time to time through Leerink, as the Company’s sales agent, under the March 2022 Sales Agreement.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did not utilize the March 2022 Sales Agreement with Leerink during the nine months ended September 30, 2023.</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January 2023, we entered into the Third Amendment to the Loan Agreement with Hercules. The Third Amendment increases the size of the Term Loan Advance (as defined in the Loan Agreement) to $350.0 million, reduces the interest rate, and extends the maturity and interest-only period of the Loan Agreement. The Company recently drew down upon Tranche 1C of the Hercules Loan Facility, and as of September 30, 2023, the Company had approximately $180 million outstanding and $170 million remaining under the Hercules Loan Facility. See the “Contractual Obligations and Commitments – January 2023 Third Amendment to the Loan and Security Agreement – Hercules” section below for more information.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June 2023, we completed an underwritten public offering of our common stock and sold 3.0 million shares of our common stock at a public offering price of $75.00 per share.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our common stock, at a public offering price of $75.00 per share. The net proceeds were $31.7 million, net of underwriting discounts and commissions of $2.0 million and other minimal offering costs.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the future, we may conduct additional offerings of one or more of the securities covered by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We believe that our current available cash is sufficient to fund anticipated operations into cash flow positivity, based on the current operating plan.</w:t>
      </w:r>
      <w:r>
        <w:rPr>
          <w:rFonts w:ascii="Times New Roman" w:hAnsi="Times New Roman"/>
          <w:color w:val="000000"/>
          <w:sz w:val="20"/>
        </w:rPr>
        <w:t xml:space="preserve"> </w:t>
      </w:r>
      <w:r>
        <w:rPr>
          <w:rFonts w:ascii="Times New Roman" w:hAnsi="Times New Roman"/>
          <w:b w:val="false"/>
          <w:color w:val="000000"/>
          <w:sz w:val="18"/>
        </w:rPr>
        <w:t>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Cash Flows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following table summarizes our primary sources and uses of cash for the periods indicated (in thousands):</w:t>
      </w:r>
    </w:p>
    <w:p>
      <w:pPr>
        <w:pStyle w:val="TextBody"/>
        <w:bidi w:val="0"/>
        <w:jc w:val="left"/>
        <w:rPr/>
      </w:pPr>
      <w:r>
        <w:rPr/>
        <w:t> </w:t>
      </w:r>
    </w:p>
    <w:tbl>
      <w:tblPr>
        <w:tblW w:w="5805" w:type="dxa"/>
        <w:jc w:val="left"/>
        <w:tblInd w:w="0" w:type="dxa"/>
        <w:tblLayout w:type="fixed"/>
        <w:tblCellMar>
          <w:top w:w="28" w:type="dxa"/>
          <w:left w:w="28" w:type="dxa"/>
          <w:bottom w:w="28" w:type="dxa"/>
          <w:right w:w="28" w:type="dxa"/>
        </w:tblCellMar>
      </w:tblPr>
      <w:tblGrid>
        <w:gridCol w:w="2656"/>
        <w:gridCol w:w="146"/>
        <w:gridCol w:w="232"/>
        <w:gridCol w:w="926"/>
        <w:gridCol w:w="182"/>
        <w:gridCol w:w="160"/>
        <w:gridCol w:w="232"/>
        <w:gridCol w:w="860"/>
        <w:gridCol w:w="4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provided by:</w:t>
            </w:r>
          </w:p>
        </w:tc>
        <w:tc>
          <w:tcPr>
            <w:tcW w:w="146" w:type="dxa"/>
            <w:tcBorders/>
            <w:shd w:fill="CFF0FC" w:val="clear"/>
            <w:vAlign w:val="center"/>
          </w:tcPr>
          <w:p>
            <w:pPr>
              <w:pStyle w:val="TableContents"/>
              <w:bidi w:val="0"/>
              <w:spacing w:before="0" w:after="283"/>
              <w:jc w:val="left"/>
              <w:rPr/>
            </w:pPr>
            <w:r>
              <w:rPr/>
              <w:t> </w:t>
            </w:r>
          </w:p>
        </w:tc>
        <w:tc>
          <w:tcPr>
            <w:tcW w:w="1158" w:type="dxa"/>
            <w:gridSpan w:val="2"/>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10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6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(114,718</w:t>
            </w:r>
          </w:p>
        </w:tc>
        <w:tc>
          <w:tcPr>
            <w:tcW w:w="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(88,948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(575</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(53,521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331,015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283,516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increase (decrease) in cash</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215,722</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141,047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18"/>
        </w:rPr>
        <w:t>Operating Activities.</w:t>
      </w:r>
      <w:r>
        <w:rPr>
          <w:rFonts w:ascii="Times New Roman" w:hAnsi="Times New Roman"/>
          <w:color w:val="000000"/>
          <w:sz w:val="20"/>
        </w:rPr>
        <w:t xml:space="preserve"> </w:t>
      </w:r>
      <w:r>
        <w:rPr>
          <w:rFonts w:ascii="Times New Roman" w:hAnsi="Times New Roman"/>
          <w:b w:val="false"/>
          <w:color w:val="000000"/>
          <w:sz w:val="18"/>
        </w:rPr>
        <w:t>Cash used in operating activities for the nine months ended September 30, 2023 was $114.7 million as compared to $88.9 million for the nine months ended September 30, 2022. The overall cash used in operating activities for the nine months ended September 30, 2023 was favorably impacted by the upfront payment of $65.7 million received from Pharmanovia and net product revenues from Auvelity and Sunosi, offset by cash used in commercial and clinical activities.</w:t>
      </w:r>
    </w:p>
    <w:p>
      <w:pPr>
        <w:pStyle w:val="TextBody"/>
        <w:bidi w:val="0"/>
        <w:spacing w:before="216" w:after="283"/>
        <w:jc w:val="left"/>
        <w:rPr>
          <w:rFonts w:ascii="Times New Roman" w:hAnsi="Times New Roman"/>
          <w:sz w:val="20"/>
        </w:rPr>
      </w:pPr>
      <w:r>
        <w:rPr>
          <w:rFonts w:ascii="Times New Roman" w:hAnsi="Times New Roman"/>
          <w:b w:val="false"/>
          <w:i/>
          <w:color w:val="000000"/>
          <w:sz w:val="18"/>
        </w:rPr>
        <w:t>Investing Activities.</w:t>
      </w:r>
      <w:r>
        <w:rPr>
          <w:rFonts w:ascii="Times New Roman" w:hAnsi="Times New Roman"/>
          <w:color w:val="000000"/>
          <w:sz w:val="20"/>
        </w:rPr>
        <w:t xml:space="preserve"> </w:t>
      </w:r>
      <w:r>
        <w:rPr>
          <w:rFonts w:ascii="Times New Roman" w:hAnsi="Times New Roman"/>
          <w:b w:val="false"/>
          <w:color w:val="000000"/>
          <w:sz w:val="18"/>
        </w:rPr>
        <w:t>Cash used in investing activities for the nine months ended September 30, 2023 was $0.6 million, as compared to $53.5 million for the nine months ended September 30, 2022. In the second quarter of 2022, we made an upfront payment of $53.0 million to acquire Sunosi.</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Financing Activities.</w:t>
      </w:r>
      <w:r>
        <w:rPr>
          <w:rFonts w:ascii="Times New Roman" w:hAnsi="Times New Roman"/>
          <w:color w:val="000000"/>
          <w:sz w:val="20"/>
        </w:rPr>
        <w:t xml:space="preserve"> </w:t>
      </w:r>
      <w:r>
        <w:rPr>
          <w:rFonts w:ascii="Times New Roman" w:hAnsi="Times New Roman"/>
          <w:b w:val="false"/>
          <w:color w:val="000000"/>
          <w:sz w:val="18"/>
        </w:rPr>
        <w:t>Cash provided by financing activities was $331.0 million for the nine months ended September 30, 2023, which included net proceeds related to the June 2023 public offering of $211.3 million and additional net proceeds of $31.7 million as the underwriters fully exercised their option to purchase additional shares, net proceeds of $82.7 million related to drawing upon tranches of the Loan Agreement with Hercules, and proceeds of $11.2 million from the issuance of common stock upon the exercise of employee stock options, offset by payments of contingent consideration and tax withholdings on stock awards for a total of $6.0 million. Cash provided by financing activities was $283.5 million for the nine months ended September 30, 2022, which included net proceeds of $231.8 million from the sale of common stock through the March 2022 Sales Agreement with Leerink, net proceeds of $45.0 million from Tranche 1B Advance related to the Second Amendment to the Loan and Security Agreement with Hercules, the purchase of 152,487 shares of our common stock for a total consideration of $5.0 million by Hercules, and proceeds from the issuance of common stock upon exercise of employee stock options of $3.4 million, offset by payment of contingent consideration and tax withholdings on stock awards for a total of $1.2 million.</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Funding requirements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We have not achieved profitability since our inception, and we expect to continue to incur significant losses for the foreseeable future as we continue the development of, and seek regulatory approvals for, our product candidates, and begin to commercialize any approved products while further investing in Auvelity and Sunosi. We are subject to all of the risks pertinent to the development of new product candidates, and we may encounter unforeseen expenses, difficulties, complications, delays, and other unknown factors that may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scope, rate of progress, results, and cost of our clinical studies and other related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ability to enter into collaborative agreements for the development and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number and development requirements of any other product candidates that we pursue;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costs, timing, and outcome of regulatory reviews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costs and timing of our commercialization activities, including product manufacturing, marketing, sales, and distribution, for any of our products and our product candidates for which we receive marketing approval;</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any product liability or other lawsuits related to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expenses needed to attract and retain skilled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general and administrative expenses related to being a public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revenue, if any, received from commercial sales of our products and product candidates for which we receive marketing approval;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costs involved in preparing, filing, and prosecuting patent applications, maintaining and enforcing our intellectual property rights, and defending our intellectual property</w:t>
        <w:noBreakHyphen/>
        <w:t>related claims.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Please see “Risk Factors” for additional risks associated with our substantial capital requirements.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Contractual Obligations and Commitments</w:t>
      </w:r>
    </w:p>
    <w:p>
      <w:pPr>
        <w:pStyle w:val="TextBody"/>
        <w:bidi w:val="0"/>
        <w:spacing w:before="120" w:after="283"/>
        <w:jc w:val="left"/>
        <w:rPr>
          <w:rFonts w:ascii="Times New Roman" w:hAnsi="Times New Roman"/>
          <w:b w:val="false"/>
          <w:i/>
          <w:color w:val="000000"/>
          <w:sz w:val="18"/>
        </w:rPr>
      </w:pPr>
      <w:r>
        <w:rPr>
          <w:rFonts w:ascii="Times New Roman" w:hAnsi="Times New Roman"/>
          <w:b w:val="false"/>
          <w:i/>
          <w:color w:val="000000"/>
          <w:sz w:val="18"/>
        </w:rPr>
        <w:t>License agreement with Pfizer</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Pfizer can also receive up to $323 million upon the achievement of certain regulatory and sales milestones, and tiered mid-single to low double-digit royalties on future sales of any such approved clinical products containing compounds reboxetine esreboxetine. Pfizer will also have a right of first negotiation on any potential future strategic transactions involving AXS-12 and AXS-14.</w:t>
      </w:r>
      <w:r>
        <w:rPr>
          <w:rFonts w:ascii="Times New Roman" w:hAnsi="Times New Roman"/>
          <w:color w:val="000000"/>
          <w:sz w:val="20"/>
        </w:rPr>
        <w:t xml:space="preserve"> </w:t>
      </w:r>
    </w:p>
    <w:p>
      <w:pPr>
        <w:pStyle w:val="TextBody"/>
        <w:bidi w:val="0"/>
        <w:spacing w:before="216" w:after="283"/>
        <w:jc w:val="left"/>
        <w:rPr>
          <w:rFonts w:ascii="Times New Roman" w:hAnsi="Times New Roman"/>
          <w:b w:val="false"/>
          <w:i/>
          <w:color w:val="000000"/>
          <w:sz w:val="18"/>
        </w:rPr>
      </w:pPr>
      <w:r>
        <w:rPr>
          <w:rFonts w:ascii="Times New Roman" w:hAnsi="Times New Roman"/>
          <w:b w:val="false"/>
          <w:i/>
          <w:color w:val="000000"/>
          <w:sz w:val="18"/>
        </w:rPr>
        <w:t>License agreements with Antecip Bioventures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connection with the Loan Agreement (see below), Antecip consented to the collateral assignment of one of the license agreements, among other things, under a direct agreement with us and Hercules.</w:t>
      </w:r>
    </w:p>
    <w:p>
      <w:pPr>
        <w:pStyle w:val="TextBody"/>
        <w:bidi w:val="0"/>
        <w:jc w:val="left"/>
        <w:rPr/>
      </w:pPr>
      <w:r>
        <w:rPr/>
        <w:t> </w:t>
      </w:r>
    </w:p>
    <w:p>
      <w:pPr>
        <w:pStyle w:val="TextBody"/>
        <w:bidi w:val="0"/>
        <w:jc w:val="left"/>
        <w:rPr>
          <w:rFonts w:ascii="Times New Roman" w:hAnsi="Times New Roman"/>
          <w:b w:val="false"/>
          <w:i/>
          <w:color w:val="000000"/>
          <w:sz w:val="18"/>
        </w:rPr>
      </w:pPr>
      <w:r>
        <w:rPr>
          <w:rFonts w:ascii="Times New Roman" w:hAnsi="Times New Roman"/>
          <w:b w:val="false"/>
          <w:i/>
          <w:color w:val="000000"/>
          <w:sz w:val="18"/>
        </w:rPr>
        <w:t>May 2023 Fourth Amendment to the Loan and Security Agreement - Hercules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On May 8, 2023, we entered into the Fourth Amendment with Hercules, in its capacity as administrative agent and collateral agent, and the other financial institutions or entities party thereto as lenders. The Fourth Amendment increased the amount of Cash (as defined in the Loan Agreement) that could be held by Axsome Malta Ltd., or the Malta Subsidiary, outside of the United States from $3.0 million to $15.0 million for a 45-day period after the closing of the Fourth Amendment and to $10.0 million thereafter. The Fourth Amendment also waived any purported default with respect to the amount of cash held by the Malta Subsidiary prior to the date of the Fourth Amendment. In August 2023, Hercules granted Axsome a waiver to the Fourth Amendment, permitting the Malta Subsidiary to hold up to $12.5 million in Cash outside of the United States until December 31, 2023.</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January 2023 Third Amendment to the Loan and Security Agreement – Hercules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On January 9, 2023, we entered into the Third Amendment.</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Third Amendment amended the terms of the Loan Agreement to,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 xml:space="preserve">Extend the maturity date to January 1, 2028, unless the Company meets certain revenue targets as described in the Loan Agreement, in which case the Company can extend the maturity date to January 1, 2029;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 xml:space="preserve">Increase the aggregate principal amount under the Loan Agreement from $300.0 million to $350.0 million;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 xml:space="preserve">Subject to the terms and conditions in the Loan Agreement, change the Term Loan Advance amounts and dates available under the Tranche 1 Advance (as defined in the Loan Agreement) through Tranche 5 Advance (as defined in the Loan Agreement), including increasing the Tranche 1 Advance from one tranche of $95.0 million to five sub-tranches of $95.0 million, $55.0 million, $30.0 million, $35.0 million and $35.0 million, respectively, changing the Tranche 2 Advance (as defined in the Loan Agreement) from three sub-tranches of $35.0 million, $35.0 million and $30.0 million to one tranche of $25.0 million, changing the Tranche 3 Advance (as defined in the Loan Agreement) from two sub-tranches of $15.0 million and $5.0 million to one tranche of $75.0 million, and removing the Tranche 4 Advance (as defined in the Loan Agreement) and Tranche 5 Advance entirely;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 xml:space="preserve">Revise the interest rate applicable to extensions of credit under the Loan Agreement to equal (a) if the prime rate is greater than or equal to 7.00%, the greater of either (i) the prime rate plus 2.20%, and (ii) 9.95%, but in no event greater than 10.70%, and (b) if the prime rate is less than 7.00%, 9.70%;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 xml:space="preserve">Increase the minimum cash requirement of the Company to $30.0 million;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Require the Company to pay a facility fee equal to 0.75% of the amount of principal actually funded pursuant to the Tranche 1B Advance (as defined in the Loan Agreement), Tranche 1C Advance (as defined in the Loan Agreement), Tranche 1D Advance (as defined in the Loan Agreement), Tranche 1E Advance (as defined in the Loan Agreement), Tranche 2 Advance and Tranche 3 Advance.</w:t>
      </w:r>
    </w:p>
    <w:p>
      <w:pPr>
        <w:pStyle w:val="TextBody"/>
        <w:bidi w:val="0"/>
        <w:jc w:val="left"/>
        <w:rPr/>
      </w:pPr>
      <w:r>
        <w:rPr/>
        <w:t> </w:t>
      </w:r>
    </w:p>
    <w:p>
      <w:pPr>
        <w:pStyle w:val="TextBody"/>
        <w:bidi w:val="0"/>
        <w:jc w:val="left"/>
        <w:rPr>
          <w:rFonts w:ascii="Times New Roman" w:hAnsi="Times New Roman"/>
          <w:b w:val="false"/>
          <w:i/>
          <w:color w:val="000000"/>
          <w:sz w:val="18"/>
        </w:rPr>
      </w:pPr>
      <w:r>
        <w:rPr>
          <w:rFonts w:ascii="Times New Roman" w:hAnsi="Times New Roman"/>
          <w:b w:val="false"/>
          <w:i/>
          <w:color w:val="000000"/>
          <w:sz w:val="18"/>
        </w:rPr>
        <w:t>Royalty Agreements</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At the initial closing, we assumed all of the commitments of Jazz to SK Biopharmaceuticals Co. Ltd., or SK and Aerial Biopharma, LLC, or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$165.0 million based on revenue milestones and $1.0 million based on development milestones.</w:t>
      </w:r>
    </w:p>
    <w:p>
      <w:pPr>
        <w:pStyle w:val="TextBody"/>
        <w:bidi w:val="0"/>
        <w:jc w:val="left"/>
        <w:rPr/>
      </w:pPr>
      <w:r>
        <w:rPr/>
        <w:t> </w:t>
      </w:r>
    </w:p>
    <w:p>
      <w:pPr>
        <w:pStyle w:val="TextBody"/>
        <w:bidi w:val="0"/>
        <w:jc w:val="left"/>
        <w:rPr>
          <w:rFonts w:ascii="Times New Roman" w:hAnsi="Times New Roman"/>
          <w:b w:val="false"/>
          <w:i/>
          <w:color w:val="000000"/>
          <w:sz w:val="18"/>
        </w:rPr>
      </w:pPr>
      <w:r>
        <w:rPr>
          <w:rFonts w:ascii="Times New Roman" w:hAnsi="Times New Roman"/>
          <w:b w:val="false"/>
          <w:i/>
          <w:color w:val="000000"/>
          <w:sz w:val="18"/>
        </w:rPr>
        <w:t>World Trade Center Lease</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On February 21, 2023, we entered into a Sublease with Advance Magazine Publishers d/b/a Conde Nast for the entirety of the twenty-second floor of One Word Trade Center in New York, NY, or the Sublease. This space is utilized by the Company for its corporate and executive offices. The Sublease commenced on April 7, 2023 and will run for ten (10) years. The Company has a one-time option to terminate the Sublease on its fifth anniversary upon the payment of a fee to the sublandlord. The Company is responsible for base rent under the Sublease and certain additional customary variable costs such as an allocable portion of building taxes and operating expenses. In connection with the Sublease, the Company received certain rent and work concessions from the sublandlord.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Employees and Human Capital Management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As of October 31, 2023, we had 502 full</w:t>
        <w:noBreakHyphen/>
        <w:t>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commercialization or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took proactive steps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Off-Balance Sheet Arrangements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did not have during the periods presented, and we do not currently have, any off-balance sheet arrangements, as defined by applicable SEC regulations.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Recent Accounting Pronouncements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Refer to Note 2 – Summary of Significant Accounting Policies to our consolidated financial statements included in Part I, Financial Information, Item 1, Financial Statements, of this Quarterly Report on Form 10-Q for a discussion of recently issued accounting pronouncements.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color w:val="000000"/>
          <w:sz w:val="18"/>
        </w:rPr>
      </w:pPr>
      <w:bookmarkStart w:id="7" w:name="item_3_quantitative_qualitative_disclosu"/>
      <w:bookmarkEnd w:id="7"/>
      <w:r>
        <w:rPr>
          <w:rFonts w:ascii="Times New Roman" w:hAnsi="Times New Roman"/>
          <w:b/>
          <w:color w:val="000000"/>
          <w:sz w:val="18"/>
        </w:rPr>
        <w:t>ITEM 3. QUANTITATIVE AND QUALITATIVE DISCLOSURE ABOUT MARKET RISK</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Interest Rate Risk</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are exposed to market risks in the ordinary course of our business and from changes in the interest rate on our debt borrowings. These market risks are principally limited to interest rate fluctuations. We had cash of $416.6 million and $200.8 million as of September 30, 2023 and December 31, 2022, respectively. The primary objective of our investment activities is to preserve principal and liquidity while maximizing income without significantly increasing risk. We do not enter into investments for trading or speculative purposes. Due to the short-term nature of our investment portfolio and debt agreement,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Foreign Currency Exchange Risk</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contract with vendors and third-party manufactures located in Europe and certain invoices are denominated in foreign currencies.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do not believe a 10% change in these currencies on September 30, 2023 would have had a material effect on our results of operations or financial condition.</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Inflation Risk</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Inflation generally affects us by increasing our cost of labor and pricing of contracts. We do not believe that inflation has had a material effect on our business, financial condition, or results of operations during the nine months ended September 30, 2023.</w:t>
      </w:r>
    </w:p>
    <w:p>
      <w:pPr>
        <w:pStyle w:val="TextBody"/>
        <w:bidi w:val="0"/>
        <w:jc w:val="left"/>
        <w:rPr/>
      </w:pPr>
      <w:r>
        <w:rPr/>
        <w:t> </w:t>
      </w:r>
    </w:p>
    <w:p>
      <w:pPr>
        <w:pStyle w:val="TextBody"/>
        <w:bidi w:val="0"/>
        <w:jc w:val="left"/>
        <w:rPr>
          <w:rFonts w:ascii="Times New Roman" w:hAnsi="Times New Roman"/>
          <w:sz w:val="20"/>
        </w:rPr>
      </w:pPr>
      <w:bookmarkStart w:id="8" w:name="item_4_controls_procedures"/>
      <w:bookmarkEnd w:id="8"/>
      <w:r>
        <w:rPr>
          <w:rFonts w:ascii="Times New Roman" w:hAnsi="Times New Roman"/>
          <w:b/>
          <w:color w:val="000000"/>
          <w:sz w:val="18"/>
        </w:rPr>
        <w:t>ITEM 4.</w:t>
      </w:r>
      <w:r>
        <w:rPr>
          <w:rFonts w:ascii="Times New Roman" w:hAnsi="Times New Roman"/>
          <w:color w:val="000000"/>
          <w:sz w:val="20"/>
        </w:rPr>
        <w:t xml:space="preserve"> </w:t>
      </w:r>
      <w:r>
        <w:rPr>
          <w:rFonts w:ascii="Times New Roman" w:hAnsi="Times New Roman"/>
          <w:b/>
          <w:color w:val="000000"/>
          <w:sz w:val="18"/>
        </w:rPr>
        <w:t>CONTROLS</w:t>
      </w:r>
      <w:r>
        <w:rPr>
          <w:rFonts w:ascii="Times New Roman" w:hAnsi="Times New Roman"/>
          <w:color w:val="000000"/>
          <w:sz w:val="20"/>
        </w:rPr>
        <w:t xml:space="preserve"> </w:t>
      </w:r>
      <w:r>
        <w:rPr>
          <w:rFonts w:ascii="Times New Roman" w:hAnsi="Times New Roman"/>
          <w:b/>
          <w:color w:val="000000"/>
          <w:sz w:val="18"/>
        </w:rPr>
        <w:t>AND PROCEDURES</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Disclosure Controls and Procedures.</w:t>
      </w:r>
      <w:r>
        <w:rPr>
          <w:rFonts w:ascii="Times New Roman" w:hAnsi="Times New Roman"/>
          <w:color w:val="000000"/>
          <w:sz w:val="20"/>
        </w:rPr>
        <w:t xml:space="preserve"> </w:t>
      </w:r>
      <w:r>
        <w:rPr>
          <w:rFonts w:ascii="Times New Roman" w:hAnsi="Times New Roman"/>
          <w:b w:val="false"/>
          <w:color w:val="000000"/>
          <w:sz w:val="18"/>
        </w:rPr>
        <w:t>Our management, with the participation of our principal executive officer and our principal financial 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18"/>
        </w:rPr>
        <w:t>Changes in Internal Control over Financial Reporting.</w:t>
      </w:r>
      <w:r>
        <w:rPr>
          <w:rFonts w:ascii="Times New Roman" w:hAnsi="Times New Roman"/>
          <w:color w:val="000000"/>
          <w:sz w:val="20"/>
        </w:rPr>
        <w:t xml:space="preserve"> </w:t>
      </w:r>
      <w:r>
        <w:rPr>
          <w:rFonts w:ascii="Times New Roman" w:hAnsi="Times New Roman"/>
          <w:b w:val="false"/>
          <w:color w:val="000000"/>
          <w:sz w:val="18"/>
        </w:rPr>
        <w:t>During the quarter ended September 30, 2023, there have been no changes in internal controls over financial reporting that have materially affected, or are reasonably likely to materially affect, our internal control over financial reporting.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jc w:val="center"/>
        <w:rPr>
          <w:rFonts w:ascii="Times New Roman" w:hAnsi="Times New Roman"/>
          <w:b/>
          <w:color w:val="000000"/>
          <w:sz w:val="18"/>
        </w:rPr>
      </w:pPr>
      <w:bookmarkStart w:id="9" w:name="part_ii_or_information"/>
      <w:bookmarkEnd w:id="9"/>
      <w:r>
        <w:rPr>
          <w:rFonts w:ascii="Times New Roman" w:hAnsi="Times New Roman"/>
          <w:b/>
          <w:color w:val="000000"/>
          <w:sz w:val="18"/>
        </w:rPr>
        <w:t>PART II. OTHER INFORMATION</w:t>
      </w:r>
    </w:p>
    <w:p>
      <w:pPr>
        <w:pStyle w:val="TextBody"/>
        <w:bidi w:val="0"/>
        <w:spacing w:before="240" w:after="283"/>
        <w:jc w:val="left"/>
        <w:rPr>
          <w:rFonts w:ascii="Times New Roman" w:hAnsi="Times New Roman"/>
          <w:b/>
          <w:color w:val="000000"/>
          <w:sz w:val="18"/>
        </w:rPr>
      </w:pPr>
      <w:bookmarkStart w:id="10" w:name="item_1_legal_proceedings"/>
      <w:bookmarkEnd w:id="10"/>
      <w:r>
        <w:rPr>
          <w:rFonts w:ascii="Times New Roman" w:hAnsi="Times New Roman"/>
          <w:b/>
          <w:color w:val="000000"/>
          <w:sz w:val="18"/>
        </w:rPr>
        <w:t>ITEM 1. LEGAL PROCEEDINGS.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Except as described herein, we, and our subsidiaries, are currently not a party to, and our property is not currently the subject of, any material pending legal proceedings; however, we may also become involved in various claims and legal actions arising in the ordinary course of business.</w:t>
        <w:br/>
      </w:r>
      <w:r>
        <w:rPr>
          <w:rFonts w:ascii="Times New Roman" w:hAnsi="Times New Roman"/>
          <w:color w:val="000000"/>
          <w:sz w:val="20"/>
        </w:rPr>
        <w:t> </w:t>
      </w:r>
    </w:p>
    <w:p>
      <w:pPr>
        <w:pStyle w:val="TextBody"/>
        <w:bidi w:val="0"/>
        <w:jc w:val="both"/>
        <w:rPr>
          <w:rFonts w:ascii="Times New Roman" w:hAnsi="Times New Roman"/>
          <w:sz w:val="20"/>
        </w:rPr>
      </w:pPr>
      <w:r>
        <w:rPr>
          <w:rFonts w:ascii="Times New Roman" w:hAnsi="Times New Roman"/>
          <w:b w:val="false"/>
          <w:i/>
          <w:color w:val="000000"/>
          <w:sz w:val="18"/>
        </w:rPr>
        <w:t>Securities Class Action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On May 13, 2022, Evy Gru filed a putative class action complaint captioned Gru v. Axsome Therapeutics, Inc., et al. in the U.S. District Court for the Southern District of New York against the Company and certain of its current and former officers and one director, or the Securities Class Action. The complaint asserts claims under Sections 10(b) and 20(a) of the Exchange Act and Rule 10b-5 promulgated thereunder, and alleges, among other things, that the defendants made false statements and omissions concerning the Company’s Chemistry Manufacturing and Controls practices, and its New Drug Application with the FDA, with respect to one of its product candidates, AXS-07. The plaintiff sought unspecified damages, fees, interest, and costs. On August 11, 2022, the District Court appointed co-lead plaintiffs in the Securities Class Action, one of whom later withdrew. On October 7, 2022, the Securities Class Action plaintiffs filed an amended complaint, which contained substantially similar allegations as in the initial complaint. On September 25, 2023, the Court granted defendants’ motion to dismiss the amended complaint. On October 13, 2023, plaintiff’s counsel filed a letter seeking leave to file an amended complaint, which defendants opposed.</w:t>
        <w:br/>
        <w:br/>
      </w:r>
      <w:r>
        <w:rPr>
          <w:rFonts w:ascii="Times New Roman" w:hAnsi="Times New Roman"/>
          <w:b w:val="false"/>
          <w:i/>
          <w:color w:val="000000"/>
          <w:sz w:val="18"/>
        </w:rPr>
        <w:t>Shareholder Derivative Action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On July 21, 2022, Daniel Engel filed a stockholder derivative complaint captioned Engel v. Herriot Tabuteau, et. al. in the U.S. District Court for the Southern District of New York against the Company’s current directors, certain of the Company’s current and former officers, and the Company (as nominal defendant). On January 27, 2023, Kyle Guterba filed a stockholder derivative complaint captioned Guterba v. Tabuteau, et al. in the U.S. District Court for the Southern District of New York against the Company’s current directors, certain of the Company’s current and former officers, and the Company (as nominal defendant). The derivative complaints arise out of similar allegations as those made in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are currently stayed pending further proceedings in the Securities Class Action.</w:t>
        <w:br/>
        <w:br/>
      </w:r>
      <w:r>
        <w:rPr>
          <w:rFonts w:ascii="Times New Roman" w:hAnsi="Times New Roman"/>
          <w:b w:val="false"/>
          <w:i/>
          <w:color w:val="000000"/>
          <w:sz w:val="18"/>
        </w:rPr>
        <w:t>Auvelity Paragraph IV Litigation</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 xml:space="preserve">On March 24, 2023, we commenced a patent infringement action against Teva relating to Teva's Abbreviated New Drug Application for Auvelity. This action is captioned Axsome Therapeutics, Inc. and Antecip Bioventures II LLC v. Teva Pharmaceuticals, Inc. No. 2:23-CV-01695 in the United States District Court for the District of New Jersey. This action is currently pending. </w:t>
        <w:br/>
        <w:br/>
      </w:r>
      <w:r>
        <w:rPr>
          <w:rFonts w:ascii="Times New Roman" w:hAnsi="Times New Roman"/>
          <w:b w:val="false"/>
          <w:i/>
          <w:color w:val="000000"/>
          <w:sz w:val="18"/>
        </w:rPr>
        <w:t>Sunosi Paragraph IV Litigation</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On September 13, 2023, we commenced a patent infringement action against Hikma and five other drug companies relating to each defendant's ANDA for Sunosi. This action is captioned Axsome Malta Ltd. &amp; Axsome Therapeutics, Inc. v. Alkem Laboratories Ltd., et al.. No. 2:23-CV-20354 in the United States District Court for the District of New Jersey. This action is currently pending.</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bookmarkStart w:id="11" w:name="item1a_risk_factors"/>
      <w:bookmarkEnd w:id="11"/>
      <w:r>
        <w:rPr>
          <w:rFonts w:ascii="Times New Roman" w:hAnsi="Times New Roman"/>
          <w:b/>
          <w:color w:val="000000"/>
          <w:sz w:val="18"/>
        </w:rPr>
        <w:t>ITEM 1A. RISK FACTORS.</w:t>
      </w:r>
    </w:p>
    <w:p>
      <w:pPr>
        <w:pStyle w:val="TextBody"/>
        <w:bidi w:val="0"/>
        <w:spacing w:before="240" w:after="283"/>
        <w:jc w:val="left"/>
        <w:rPr>
          <w:rFonts w:ascii="Times New Roman" w:hAnsi="Times New Roman"/>
          <w:b w:val="false"/>
          <w:i/>
          <w:color w:val="000000"/>
          <w:sz w:val="18"/>
        </w:rPr>
      </w:pPr>
      <w:r>
        <w:rPr>
          <w:rFonts w:ascii="Times New Roman" w:hAnsi="Times New Roman"/>
          <w:b w:val="false"/>
          <w:i/>
          <w:color w:val="000000"/>
          <w:sz w:val="18"/>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We have restated and revised our risk factors for material updates for this quarter, where appropriate, from those included in our Annual Report on Form 10-K dated February 27, 2023 and filed with the SEC on February 28, 2023. Investors should carefully consider all of the information set forth in this Quarterly Report on Form 10-Q, including the following risk factors, before deciding to invest in any of the Company’s securities.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Risk Factors Summary</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Our business is subject to a number of risks and uncertainties, including those risks discussed at length below. These risks include, among others,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incurred significant losses since our inception, anticipate that we will continue to have losses, and may never achieve or maintain profitability.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a limited operating history and history of commercializing products, which may make it difficult to evaluate our business and prospects.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are substantially dependent on the success of our products and cannot guarantee that any of our product candidates will successfully complete any planned or ongoing clinical trials, receive regulatory approval, or be successfully commercialized.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face significant competition from other pharmaceutical and biotechnology companies, academic institutions, government agencies, and other research organizations. Our operating results will suffer if we fail to compete effectively.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we are unable to establish effective marketing, sales and distribution capabilities or enter into agreements with third parties to market, sell and distribute our products, we may be unable to generate substantial product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any of our products do not achieve broad market acceptance, the revenues that we generate from their sales will be limited.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Patent reform legislation could increase the uncertainties and costs surrounding the prosecution of our patent applications and the enforcement or defense of our issued patents.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principal stockholders and management own a significant percentage of our stock and may be able to exert significant control over matters subject to stockholder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The use of our net operating loss carryforwards and research tax credits may be limited.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RISKS RELATED TO OUR FINANCIAL CONDITION AND CAPITAL REQUIREMENTS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incurred significant losses since our inception, anticipate that we will continue to have losses, and may never achieve or maintain profitability;</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We are a biopharmaceutical company with a limited operating history. For the last several years, we have focused our efforts primarily on developing CNS product candidates, AXS-05, AXS-07, AXS-12, and AXS-14, with the goal of achieving regulatory approval and commercialization. Since inception, we have incurred significant operating losses. Our net loss was $140.6 million for the nine months ended September 30, 2023 and $187.1 million for the year ended December 31, 2022. As of September 30, 2023, we had an accumulated deficit of $736.9 million. In 2022, we commenced the commercial sale of Auvelity in the United States and Sunosi in the United States and select global markets. Apart from Sunosi and Auvelity, we have no other products which have received regulatory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expect to continue to incur substantial expenses and operating losses as we continue to develop our current and future product candidates. In addition, we expect to incur significant sales, marketing, and manufacturing expenses related to the commercialization of Sunosi, Auvelity, and any other product candidate which may be approved or which we may in-license. We anticipate that our expenses will increase substantially as we: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seek regulatory approval for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hire additional commercial, clinical, medical, quality, regulatory, and scientific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add operational, financial, and management information systems and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 xml:space="preserve">expand our sales, marketing, and distribution infrastructure;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expand external manufacturing capabilities and production to commercialize any additional products for which we may obtain regulatory approval and that we choose not to license to a third-party;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undertake additional manufacturing activities of our product candidates to satisfy FDA requirements for marketing application submissions;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conduct our clinical trials with AXS</w:t>
        <w:noBreakHyphen/>
        <w:t>05 in AD agitation;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conduct our clinical trials with AXS-12 in narcolepsy;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continue to evaluate, plan for, and conduct, clinical trials for AXS-05 as an aid to smoking cessation treatment and other CNS disorders;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conduct our clinical trials for solriamfetol in attention-deficit/hyperactivity disorder (ADHD);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continue to evaluate, plan for, and potentially submit an NDA for AXS-14 in fibromyalgia;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 xml:space="preserve">continue to expand commercial sales of Sunosi and Auvelity;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develop, in</w:t>
        <w:noBreakHyphen/>
        <w:t>license, or acquire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conduct late</w:t>
        <w:noBreakHyphen/>
        <w:t>stage clinical trials for any product candidates that successfully complete early</w:t>
        <w:noBreakHyphen/>
        <w:t>stage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conduct additional non</w:t>
        <w:noBreakHyphen/>
        <w:t>clinical studies with any product candidates;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maintain, expand, and protect our intellectual property portfolio.</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Conducting clinical trials, pursuing regulatory approvals, establishing outsourced manufacturing relationships, and successfully manufacturing and commercializing our product candidates is a time</w:t>
        <w:noBreakHyphen/>
        <w:t>consuming, expensive, and uncertain process that takes years to complete. We may need to raise additional capital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fund our future clinical trials for our current product candidates, especially if we encounter any unforeseen delays or difficulties in our planned development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fund our operations and continue to commercialize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qualify and outsource the commercial</w:t>
        <w:noBreakHyphen/>
        <w:t>scale manufacturing of our products under current good manufacturing practices, or cGMP;</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develop additional product candidates;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w:t>
        <w:noBreakHyphen/>
        <w:t>license other product candidates.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rate of progress and costs related to the development of our product candidates, including the costs of preparing filings for regulatory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costs associated with conducting additional clinical and non-clinical studies with any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potential for delays in our efforts to seek regulatory approval for our product candidates, and any costs associated with such delays;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costs associated with selling, marketing, and distributing our approved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costs of filing, prosecuting, defending, and enforcing any patent claims and other intellectual property rights associated with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cost and timing of manufacturing, or having third parties manufacture, sufficient supplies of our product candidates in preparation for commercialization;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effect of competing technological and market developments;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revenues from commercial sales of our approved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terms and timing of any collaborative, licensing, co</w:t>
        <w:noBreakHyphen/>
        <w:t>promotion, or other arrangements that we may establish;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success of the commercialization of any of our current products and, if approved, any of our product candidates.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September 2020, we entered into a Loan and Security Agreement, or the Loan Agreement, for a term loan,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In October 2021, we entered into a First Amendment to the Loan Agreement to, among other things, increase the size of the 2020 Term Loan. In March 2022, we entered into a Second Amendment to the Loan Agreement that, among other things, changed the terms of the Term Loan Advances (as defined in the Loan Agreement) upon the consummation of the Acquisition (as defined in the Loan Agreement). In January 2023, we entered into a Third Amendment to the Loan Agreement that amended the terms of the Loan Agreement to, among other things, increase the size of the aggregate principal amount under the 2020 Term Loan from $300.0 million to $350.0 million, reduce the interest rate, and extend the maturity and interest-only period of the Loan Agreement. In May 2023, we entered into a Waiver and Fourth Amendment to the Loan Agreement that increased the amount of cash that could be held by the Malta Subsidiary outside of the United States and waived any purported default with respect to the amount of cash held by the Malta Subsidiary prior to the date of the Fourth Amendment. In August 2023, Hercules granted Axsome a waiver to the Fourth Amendment, increasing the amount of cash that could be held by the Malta Subsidiary outside of the United States until December 31,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covenants under the Loan Agreement also require maintaining a minimum amount of cash in an account or accounts in which the Lenders have a first priority security interest.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a limited operating history of commercializing products, which may make it difficult to evaluate our business and prospects.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are an early-stage commercial company. Prior to our commercialization of Auvelity and Sunosi in 2022, we had not obtained marketing approvals for any product candidates, manufactured products on a commercial scale or arranged for a third-party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capable of undertaking commercial activities. We may encounter unforeseen expenses, difficulties, complications and delays, and may not be successful in such a transition.</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are currently operating in a period of economic uncertainty and capital markets disruption, which has been significantly impacted by geopolitical instability. Our business, financial condition and results of operations could be materially adversely affected by any negative impact on the global economy and capital markets resulting from geopolitical tensions.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Additionally, the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addition, on October 7, 2023, Hamas militants and members of other terrorist organizations infiltrated Israel’s southern border from the Gaza Strip and conducted a series of terror attacks on civilian and military targets. Shortly following the attack, Israel’s security cabinet declared war against Hamas, and Israel launched an aerial bombardment of various targets within the Gaza Strip and has now also begun ground operations in the Gaza Strip. It is possible that other terrorist and/or regional organizations will join the hostilities as well, resulting in a widening of the conflict, which could negatively impact the global economy.</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Furthermore, because of current geopolitical tensions, the Biden administration has recently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Any additional executive orders regarding or potential sanctions on China could materially impact our current manufacturing partners.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Although our business has not been materially impacted by these geopolitical issues to date, it is impossible to predict the extent to which our operations, or those of our suppliers and manufacturers, will be impacted in the short and long term, or the ways in which the conflict may impact our business. The extent and duration of the military action, sanctions and resulting market disruptions are impossible to predict, but could be substantial. Any such disruptions may also magnify the impact of other risks described herein.</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Climate change or legal, regulatory or market measures to address climate change may negatively affect our business, results of operations, cash flows and prospects.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RISKS RELATED TO OUR BUSINESS AND THE DEVELOPMENT OF OUR PRODUCT CANDIDATES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are substantially dependent on the success of our products and cannot guarantee that any of our product candidates will successfully complete any planned or ongoing clinical trials, receive regulatory approval, or be successfully commercialized.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currently have two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Sunosi and Auvelity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product candidates will require additional clinical and non-clinical development, regulatory approval, commercial manufacturing arrangements, significant marketing efforts, and further investment before we generate any revenues from the sale of such product candidates. A Phase 3 trial with AXS-05 in AD agitation, a Phase 3 trial with AXS-12 in narcolepsy, and a Phase 3 trial with solriamfetol in ADHD are ongoing. As a result of one or more risks discussed in this section, we cannot assure you that we will meet projected timelines related to these trials.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18"/>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Although we submitted NDAs to the FDA for Auvelity (which was approved) and for AXS-07 for the acute treatment of migraines (which received a CRL),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If approved for marketing by applicable regulatory authorities, our ability to generate revenues from our product candidates depend on our ability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create market demand for our product candidates through our own marketing and sales activities, and any other arrangements to promote these product candidates that we may otherwise establish;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receive regulatory approval for claims that are necessary or desirable for successful marketing;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hire, train, and deploy a sales force to commercialize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manufacture (or have manufactured by third parties) our product candidates in sufficient quantities and at acceptable quality and manufacturing cost to meet commercial demand at launch and thereafter;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establish and maintain agreements with wholesalers, distributors, and group purchasing organizations on commercially reasonable terms;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 xml:space="preserve">create partnerships with, or offer licenses to, third parties to promote and sell our product candidates in foreign markets where we receive marketing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maintain patent and trade secret protection and regulatory exclusivity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launch commercial sales of our product candidates, whether alone or in collaboration with others;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achieve market acceptance of our product candidates by patients, the medical community, and government and private third</w:t>
        <w:noBreakHyphen/>
        <w:t>party payors;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achieve appropriate reimbursement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effectively compete with other therapies;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maintain a continued acceptable safety profile of our product candidates following launch.</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Potential conflicts of interest exist with respect to the intellectual property rights that we license from an entity owned by our Chief Executive Officer and Chairman of the Board, and it is possible that our interests and their interests may diverge.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ADHD, AXS-05 for the treatment of agitation associated with AD, and smoking cessation, AXS-07 for the acute treatment of migraines,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future growth may depend on our ability to identify and develop product candidates and if we do not successfully identify and develop product candidates or integrate them into our operations, we may have limited growth opportunities.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difficulty or inability to secure financing to fund business activities for such development;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disruption of our business and diversion of our management’s time and attention;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higher than expected development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exposure to unknown liabilities;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difficulty in managing multiple product development programs;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inability to successfully develop new products or clinical failure.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For instance, our prior efforts have resulted in our decision not to further develop certain product candidates that, at one time, appeared to be promising. Likewise, we received a CRL from the FDA relating to the Company’s AXS-07 portfolio product in 2022 (we intend to resubmit the NDA for AXS-07). We have limited resources to identify and execute the development of products.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the United States, we currently plan to, at least initially, seek approval of some of our product candidates using the 505(b)(2) pathway. These 505(b)(2) product candidates include AXS-05 and AXS-07.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noBreakHyphen/>
        <w:t>wide warnings. For instance, antidepressants, including Auvelity, include a class</w:t>
        <w:noBreakHyphen/>
        <w:t>wide black box warning regarding the increased risk of suicidal thoughts and behavior.</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addition, because we plan to file certain product candidates under an NDA submitted pursuant to 505(b)(2), we will rely, at least in part, upon a reference drug and published literature. For example, we intend to rely on third-party studies in the published literature as well as FDA findings of safety and efficacy for approved drug products containing the same active molecules in AXS-05 and AXS-07.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NDAs for AXS-05 and AXS-07 pursuant to the 505(b)(2) process, we have not conducted certain additional clinical trials for these product candidates and, as such, we will have less experience with actual testing of these product candidates.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An NDA submitted under Section 505(b)(2) subjects us to the risk that we may be subject to a patent infringement lawsuit or regulatory actions that would delay or prevent the review or approval of our product candidates.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Under the Hatch-Waxman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months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To date, we have submitted two NDAs to the FDA and have obtained regulatory approval for one of our product candidates, Auvelity. It is possible that none of our other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w:t>
        <w:noBreakHyphen/>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noBreakHyphen/>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regulators or IRBs may not authorize us or our investigators to commence a clinical trial or conduct a clinical trial at a prospective trial site or amend trial protocols;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experience delays in reaching, or fail to reach, agreement on acceptable clinical trial contracts or clinical trial protocols with prospective trial sites and our CROs;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third</w:t>
        <w:noBreakHyphen/>
        <w:t>party contractors may fail to comply with regulatory requirements or the clinical trial protocol, or meet their contractual obligations to us in a timely manner, or at all, or we may be required to engage in additional clinical trial site monitoring;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changes in marketing approval policies during the development period rendering our data insufficient to obtain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changes in or the enactment of additional statutes or regulations;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changes in regulatory review for each submitted product application;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cost of clinical trials of our product candidates may be greater than we anticipate, or we may have insufficient funds for a clinical trial or to pay the substantial user fees required by the FDA upon the filing of an NDA;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supply or quality of our product candidates or other materials necessary to conduct clinical trials of our product candidates may be insufficient or inadequate;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Phase 2 CONCERT trial and ongoing SYMPHONY trial to support an NDA for AXS-12 for the treatment of cataplexy and narcolepsy and the completed Phase 2 trial and Phase 3 trial to support an NDA for AXS-14 for the management of fibromyalgia, the FDA could still require additional studies to support the approval of an NDA for these product candidates. The outcome of our studies may further necessitate additional clinical or preclinical work;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fail to reach an agreement with regulators regarding the scope or design of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have delays in adding new investigators or clinical trial sites, or we may experience a withdrawal of clinical trial sites;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experience delays in our clinical trials due to the ongoing COVID-19 pandemic;</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there may be regulatory questions regarding interpretations of data and results, or new information may emerge regarding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 xml:space="preserve">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FDA or comparable foreign regulatory authorities may not accept data from studies with clinical trial sites in foreign countries;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FDA or comparable foreign regulatory authorities may disagree with our intended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FDA or comparable foreign regulatory authorities may fail to approve or subsequently find fault with the manufacturing processes or our manufacturing facilities for clinical and future commercial supplies;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connection with the chemistry, manufacturing, and controls (CMC) data necessary for our NDA filing and approval, we will need to conduct stability studies and provide stability data to establish appropriate retest or expiration dating periods 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 our product candidates may not demonstrate sufficient long-term stability to support an NDA filing or obtain approval, or the product shelf life may be limited by stability results;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there may be delays in the FDA’s ability to conduct necessary Pre-Approval Inspections, or PAIs, due to the COVID-19 pandemic or for other reasons, and more generally the FDA or comparable foreign regulatory authorities may take longer than we anticipate to make a decision on our product candidates;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not be able to demonstrate that a product candidate provides an advantage over current standards of care or current or future competitive therapies in development.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Moreover, if we are required to conduct additional clinical trials or other testing of our product candidates beyond that which we currently contemplate, if we are unable to successfully complete clinical trials or other testing of our product candidates, if the results of these trials or tests are not positive, or are only modestly positive or if there are safety concerns, we may: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be delayed in obtaining marketing approval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not obtain marketing approval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obtain approval for indications or patient populations that are not as broad as intended or desired or are not covered by our intellectual property;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 xml:space="preserve">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be subject to additional post</w:t>
        <w:noBreakHyphen/>
        <w:t>marketing testing and surveillance requirements, including REMS;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have the product removed from the market after obtaining marketing approval.</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CRL with respect to our NDA for AXS-07, the FDA noted the need for additional CMC data.</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pStyle w:val="TextBody"/>
        <w:bidi w:val="0"/>
        <w:spacing w:before="240" w:after="283"/>
        <w:jc w:val="left"/>
        <w:rPr>
          <w:rFonts w:ascii="Times New Roman" w:hAnsi="Times New Roman"/>
          <w:sz w:val="20"/>
        </w:rPr>
      </w:pPr>
      <w:r>
        <w:rPr>
          <w:rFonts w:ascii="Times New Roman" w:hAnsi="Times New Roman"/>
          <w:b/>
          <w:i/>
          <w:color w:val="000000"/>
          <w:sz w:val="18"/>
        </w:rPr>
        <w:t>If we cannot demonstrate an acceptable safety and toxicity profile for our product candidates, we will not be able to continue our clinical trials of or obtain approval for those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 xml:space="preserve">our preclinical or nonclinical testing may produce inconclusive or negative safety results, which may require us to conduct additional nonclinical testing or to abandon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product candidates may have unfavorable pharmacology or toxicity characteristics or suggest possible drug-drug interaction;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product candidates may cause undesirable side effects;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FDA or other regulatory authorities may determine that additional safety testing is required.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Any such events would increase our costs and could delay or prevent our ability to commercialize our product candidates, which could adversely impact our business, financial condition and results of operation.</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The FDA may determine that any of our current or future product candidates have undesirable side effects that could delay or prevent their regulatory approval or commercialization.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noBreakHyphen/>
        <w:t>marketing testing and surveillance, or other requirements, including REMS, to monitor the safety or efficacy of the products, and in turn prevent us from commercializing and generating revenues from the sale of any of our current or future product candidates.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Based on the side effects disclosed in FDA product labeling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noBreakHyphen/>
        <w:t>containing or rizatriptan-containing products including Anjeso, Vivlodex, Mobic, and Maxalt.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Based on the side effects disclosed in the EMA required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Known side effects for Auvelity and Sunosi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noBreakHyphen/>
        <w:t>benefit perspective. The drug</w:t>
        <w:noBreakHyphen/>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we experience delays or difficulties in the enrollment of patients in clinical trials, our receipt of necessary regulatory approvals could be delayed or prevented.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size and nature of the patient population;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severity of the disease under investigation;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eligibility criteria for, and design of, the clinical trial in question, including factors such as frequency of required assessments, length of the study, and ongoing monitoring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perceived risks and benefits of the product candidate under study, including the potential advantages or disadvantages of the product candidate being studied in relation to other available therapies;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competition in recruiting and enrolling patients in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efforts to facilitate timely enrollment in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patient referral practices of physicians;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effectiveness of publicity created by clinical trial sites regarding the trial;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patients’ ability to comply with the specific instructions related to the trial protocol, proper documentation, and use of the drug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inability to obtain or maintain patient informed consents;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risk that enrolled patients will drop out before completion;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ability to identify patients for enrollment and maintain a sufficient level of patient participants in our clinical studies due to the ongoing COVID-19 pandemic;</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ability to monitor patients adequately during and after treatment;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proximity and availability of clinical trial sites for prospective patients.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Development of combination product candidates may present more or different challenges than development of single agent product candidates.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Certain product candidates of ours, including AXS-05 and AXS-07,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Changes in product candidate manufacturing or formulation may result in additional costs or delay.</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As product candidates are developed through preclinical studies to late 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Failure to obtain marketing approval in international jurisdictions would prevent our products from being marketed abroad.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order to market and sell our products in the European Union, or EU, and many other jurisdictions, we or our third</w:t>
        <w:noBreakHyphen/>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We have received a Fast Track product designation for AXS-05 for both the treatment of TRD as well as for the treatment of AD agitation, and we may seek Fast Track designation for other of our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noBreakHyphen/>
        <w:t>label” uses, resulting in damage to our reputation and business.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and any of our collaborators, must comply with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noBreakHyphen/>
        <w:t>label uses, and our business may be adversely affected. We further must be able to sufficiently substantiate any claims that we make for our products including claims comparing our products to other companies’ products.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noBreakHyphen/>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noBreakHyphen/>
        <w:t>label use.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noBreakHyphen/>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noBreakHyphen/>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the United States, engaging in the impermissible promotion of our products, following approval, for off</w:t>
        <w:noBreakHyphen/>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noBreakHyphen/>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Our product(s) are subject to extensive and ongoing requirements of and review by the FDA and other regulatory authorities, including requirements related to the manufacturing processes, post approval clinical data, labeling, packaging, distribution, adverse event reporting, storage, recordkeeping, export, import, advertising, marketing, and promotional activities.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restrictions on manufacturing or distribution, or marketing of such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restrictions on the labeling, including required additional warnings, such as black box warnings, contraindications, precautions, and restrictions on the approved indication or use;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modifications to promotional pieces;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requirements to conduct post</w:t>
        <w:noBreakHyphen/>
        <w:t>marketing studies or clinical trials; clinical holds or termination of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changes to the way the drug is administered;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liability for harm caused to patients or subjects;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reputational harm;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drug becoming less competitive;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warning or untitled letters;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suspension of marketing or withdrawal of the products from the market;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regulatory authority issuance of safety alerts, Dear Healthcare Provider letters, press releases, or other communications containing warnings or other safety information about the drug;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refusal to approve pending applications or supplements to approved applications that we submit;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recall of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fines, damages, restitution, or disgorgement of profits or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suspension or withdrawal of marketing approvals;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refusal to permit the import or export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product seizure or detention;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FDA debarment, debarment from government contracts, and refusal of future orders under existing contracts, exclusion from federal healthcare programs, consent decrees, or corporate integrity agreements;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injunctions or the imposition of civil or criminal penalties, including imprisonment.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Any of these events could prevent us from achieving or maintaining market acceptance of the particular products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Should any of the above actions take place, they could adversely affect our ability to achieve or sustain profitability. Further, the cost of compliance with post</w:t>
        <w:noBreakHyphen/>
        <w:t>approval regulations may have a negative effect on our operating results and financial condition.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Timelines for the review of our regulatory submissions by the FDA and other regulatory agencies are subject to change and uncertainty, which may delay the potential approval of any product candidates we seek to develop or commercialize.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cannot predict the timeline for review of submissions to any regulatory authorities or when any of our product candidates will receive marketing approval, if at all. The timeline for regulatory approval can be affected by a variety of factors, including disruptive effects of the COVID-19 pandemic, budget and funding levels, agency staffing, and statutory, regulatory and policy changes. Delays or uncertainty in the timing of regulatory action in response to our submissions could adversely impact our development and commercialization efforts and our business prospects.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 variety of risks associated with international operations could materially adversely affect our business.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are,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different regulatory requirements for approval of drugs in foreign countries;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potential for so</w:t>
        <w:noBreakHyphen/>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unexpected changes in tariffs, trade barriers, and regulatory requirements and in the health care policies of foreign jurisdictions;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economic weakness, including inflation, or political instability in particular foreign economies and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compliance with tax, employment, immigration, and labor laws for employees living or traveling abroad;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foreign taxes, including withholding of payroll taxes;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foreign currency fluctuations, which could result in increased operating expenses and reduced revenues, and other obligations incident to doing business in another country;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difficulties staffing and managing foreign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workforce uncertainty in countries where labor unrest is more common than in the United States and worker rights tend to be stronger;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costs of compliance with U.S. laws and regulations for foreign operations, including the Foreign Corrupt Practices Act or comparable foreign regulations, and the risks and costs of noncompliance;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production shortages resulting from any events affecting raw material supply or manufacturing capabilities abroad;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business interruptions resulting from geopolitical actions, including war and terrorism, or natural disasters including earthquakes, typhoons, floods, and fires.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These and other risks associated with our international operations may materially adversely affect our ability to attain or maintain profitable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will need to obtain FDA approval (and that of comparable foreign regulatory authorities) of any proposed product names, and any failure or delay associated with such approval may adversely affect our business.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RISKS RELATED TO THE COMMERCIALIZATION OF OUR PRODUCTS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face significant competition from other pharmaceutical and biotechnology companies, academic institutions, government agencies, and other research organizations. Our operating results will suffer if we fail to compete effectively.</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Eli Lilly and Company; H. Lundbeck A/S; Harmony Biosciences; Intra-Cellular Therapies, Inc.; Janssen; Jazz Pharmaceuticals plc; Otsuka Pharmaceutical Co. Ltd.; Pfizer Inc.; Relmada Therapeutics, Inc.; Sage Therapeutics, Inc.; and Takeda Pharmaceutical Company Limited.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noBreakHyphen/>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Generic forms of the active ingredients of our product candidates, including dextromethorphan, bupropion, meloxicam, rizatriptan, and reboxetine, are available in the United States and/or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Pharmaceuticals, Inc., or Teva, providing notification to the Company that Teva has submitted an ANDA to the FDA seeking approval to manufacture, use, or sell a generic version of Auvelity. Additionally, beginning in August 2023, we received paragraph IV certification notice letters from six other pharmaceutical companies providing notification to the Company that each such filer has submitted an ANDA to the FDA seeking approval to manufacture, use, or sell a generic version of Sunosi.</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noBreakHyphen/>
        <w:t>party payors. Thus, following the introduction of a generic drug, a significant percentage of the sales of any branded product or reference listed drug is typically lost to the generic product.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Further, if we do not file a patent infringement lawsuit against a generic manufacturer within 45 days of receiving notice of its paragraph IV certification, the ANDA or 505(b)(2) applicant may not be subject to a 30</w:t>
        <w:noBreakHyphen/>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AXS-12 received Orphan Drug Designation from FDA for the treatment of narcolepsy. We may also seek Orphan Drug Designation for our other products, as appropriate.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FDA or the EMA may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If another sponsor receives EMA approval for a reboxetine containing product for the treatment of narcolepsy before we obtain EMA approval for AXS-12 for the treatment of narcolepsy, we would be prevented from launching our product in the EU for this indication for a period of at least 10 to 12 years.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we are unable to establish effective marketing, sales and distribution capabilities or enter into agreements with third parties to market, sell and distribute our products, we may be unable to generate substantial product revenues.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We recently expanded our commercial infrastructure for the marketing, sale, and distribution of pharmaceutical products, which included the creation of a sales force to launch our commercial stage products throughout the United States. This requires additional compliance with a range of federal and state laws. Additionally, we currently commercialize Sunosi outside the United States. Each global market we commercialize Sunosi in has its own set of applicable laws.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inability to recruit, train, manage, and retain adequate numbers of effective sales and marketing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inability of sales personnel to obtain access to physicians or persuade adequate numbers of physicians to prescribe any of our current or future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inability to effectively oversee a geographically dispersed sales and marketing team;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application of federal and state drug distribution and supply chain requirements to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costs associated with training sales and marketing personnel on legal and regulatory compliance matters and monitoring their 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an inability to secure adequate coverage and reimbursement by government and private health plans;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clinical indications and labeled claims for which the product is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limitations or warnings, including distribution or use restrictions, contained in the product’s approved labeling;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any distribution and use restrictions imposed by the FDA or to which we agree as part of a mandatory REMS or voluntary risk management plan;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liability for sales or marketing personnel who fail to comply with the applicable legal and regulatory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lack of complementary products to be offered by sales personnel, which may put us at a competitive disadvantage relative to companies with more extensive product lines;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unforeseen costs and expenses associated with creating an independent sales and marketing organization or engaging a contract sales organization.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any of our products do not achieve broad market acceptance, the revenues that we generate from their sales will be limited.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products, and, if approved, our product candidates, may not gain acceptance among physicians, patients, third-party payors, and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third-party payors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Efforts to educate the medical community and third-party payors on the benefits of our products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products will depend on a number of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efficacy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prevalence and severity of adverse events associated with such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clinical indications for which the product is approved and the approved claims that we may make for the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limitations or warnings contained in the product’s FDA</w:t>
        <w:noBreakHyphen/>
        <w:t>approved labeling, including potential limitations or warnings for such product candidate, that may be more restrictive than other competitive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changes in the standard of care for the targeted indications for such product candidate, which could reduce the marketing impact of any claims that we could make following FDA approval, if obtained;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relative convenience and ease of administration of such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cost of treatment versus economic and clinical benefit in relation to alternative treatments or therapies;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availability of adequate coverage or reimbursement by third parties, such as insurance companies and other healthcare payors, and by government healthcare programs, including Medicare and Medicaid;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willingness of third-party payors to prefer similar but less expensive products even if not approved for our product’s indication;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extent and strength of our marketing and distribution of such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safety, efficacy, and other potential advantages over, and availability of, alternative treatments already used or that may later be approved for any of our intended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distribution and use restrictions imposed by the FDA with respect to such product or to which we agree as part of a mandatory risk evaluation and mitigation strategy or voluntary risk management plan;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timing of market introduction of such product, as well as competitive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ability to offer such product candidate for sale at competitive prices, including prices that are competitive with generic products;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willingness of the target patient population to try new therapies and of physicians to prescribe these therapies;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extent and strength of our third</w:t>
        <w:noBreakHyphen/>
        <w:t>party manufacturer and supplier support;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approval of other new products for the same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adverse publicity about the product or favorable publicity about competitive products;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potential product liability claims.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efforts to educate the medical community and third</w:t>
        <w:noBreakHyphen/>
        <w:t>party payors on the benefits of our products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potential market opportunities for our products and/or product candidates are difficult to precisely estimate. Our estimates of the potential market opportunities are predicated on many assumptions including industry knowledge and publications, third</w:t>
        <w:noBreakHyphen/>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face potential product liability exposure, and if successful claims are brought against us, we may incur substantial liability and may have to limit our products’ commercialization.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from including from: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decreased demand for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impairment of our business reputation or financial stability;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costs of related litigation;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substantial monetary awards to patients or other claimants;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diversion of management attention;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loss of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withdrawal of clinical trial participants and potential termination of clinical trial sites or entire clinical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inability to commercialize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significant negative media attention;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decrease in our stock price;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initiation of investigations and enforcement actions by regulators;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product recalls, withdrawals, or labeling, marketing, or promotional restrictions.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products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which could have a material adverse effect on our business, results of operations, financial condition and growth prospects.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RISKS RELATED TO OUR DEPENDENCE ON THIRD PARTIES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rely on third</w:t>
        <w:noBreakHyphen/>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addition, when we submit an NDA for review, we are required to report certain financial interests of our third</w:t>
        <w:noBreakHyphen/>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If any of our relationships with these third parties terminates,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noBreakHyphen/>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noBreakHyphen/>
        <w:t>party manufacturers may breach, terminate, or not renew these agreements.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Any problems or delays we experience in preparing for commercial</w:t>
        <w:noBreakHyphen/>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have a limited number of contract manufacturers for our products. At times we may have only one manufacturer for a product. In addition, we do not have any long</w:t>
        <w:noBreakHyphen/>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18"/>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have retained third</w:t>
        <w:noBreakHyphen/>
        <w:t>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w:t>
        <w:noBreakHyphen/>
        <w:t>party providers that perform services for us, including entrusting our inventories of products to their care and handling. If these third</w:t>
        <w:noBreakHyphen/>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Additionally, if a third-party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Any collaboration arrangements that we are a party to or may enter into in the future may not be successful, which could adversely affect our ability to develop and commercialize our product candidates.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collaborators may not perform their obligations as expected;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collaborators could fail to make timely regulatory submissions for a product candidate;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collaborators may not comply with all applicable regulatory requirements or may fail to report safety data in accordance with all applicable regulatory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 collaborator with marketing and distribution rights to one or more of our product candidates that achieve regulatory approval may not commit sufficient resources to the marketing and distribution of such product candidate or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collaborators may infringe the intellectual property rights of third parties, which may expose us to litigation and potential liability.</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RISKS RELATED TO INTELLECTUAL PROPERTY</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It is difficult and costly to protect our proprietary rights, and, as a result, we may not be able to ensure their protection. In addition, patents have a limited lifespan and will eventually expire.</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Market exclusivity awarded by the FDA upon the approval of an NDA is limited in scope and duration. For example, our New Chemical Entity exclusivity for Sunosi expires on June 17, 2024 with an Orphan Drug Exclusivity relating to the product’s narcolepsy indication expiring on June 17, 2026. For Auvelity, the New Product Exclusivity expires on August 18, 2025. Neither of these expiry dates take into account the effect of the statutory 30-month stay should we timely commence litigation against any generic filer. A generic filer may be permitted to launch a generic version of either of our products following expiry of these exclusivities if our patents do not preclude a generic launch. Patent litigation is inherently uncertain, and we cannot guarantee the outcome of any such proceedings or that we would succeed in stopping the “at risk” launch of a generic version of either of our currently commercialized products during the pendency of litigation following expiry of the 30-month stay. Such a generic launch could materially impact our commercial success.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seek to protect intellectual property relating to our products and portfolio products by prosecuting patents in the United States and elsewhere. 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noBreakHyphen/>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not have been the first to conceive of and reduce to practice the inventions covered by each of our pending patent applications and issued patents;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not have been the first to file patent applications for these inventions;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others may independently develop similar or alternative technologies or duplicate any of our product candidates or technologies;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it is possible that none of the pending patent applications will result in issued patents;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issued patents may not cover commercially viable active products, may not provide us with any competitive advantages, or may be successfully challenged by third parties;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not develop additional proprietary technologies that are patentable;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patents of others may have an adverse effect on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Patents have a limited lifespan. In most countries, including the United States, the expiration of a patent is typically 20 years from the date that the application for the patent is filed or 20 years from the earliest non-provisional filing date to which priority is claimed if the patent is granted from a continuing application (e.g., continuation, divisional, or continuation-in-part).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 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Patent reform legislation could increase the uncertainties and costs surrounding the prosecution of our patent applications and the enforcement or defense of our issued patents.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Future patent reform legislation in the U.S. and/or in jurisdictions outside the U.S. could potentially further increase the uncertainties and costs surrounding the prosecution of our patent applications and the enforcement or defense of our issued patents.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noBreakHyphen/>
        <w:t>U.S. patent agencies for the patents and patent applications we own and those that we in</w:t>
        <w:noBreakHyphen/>
        <w:t>license. We also employ reputable law firms and other professionals to help us comply with the various documentary and other procedural requirements with respect to the patents and patent applications that we own and those that we in</w:t>
        <w:noBreakHyphen/>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we or any future collaboration partner are sued for infringing intellectual property rights of third parties, it will be costly and time consuming, and an unfavorable outcome in any litigation would harm our business.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ability to develop, manufacture, market, and sell any of our current and future products depends upon our ability to avoid infringing the proprietary rights of third parties, and our commercial success depends upon our ability, and the ability of our collaborators, to develop, manufacture, market, and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If a third-party claims that we infringe their intellectual property rights, we could face a number of issues,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infringement and other intellectual property claims which, whether meritorious or not, can be expensive and time consuming to litigate and can divert management’s attention from our core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substantial damages for past infringement which we may have to pay if a court decides that our product infringes on a competitor’s patent;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 court prohibiting us from selling or licensing our product unless the patent holder licenses the patent to us, which it would not be required to do;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if a license is available from a patent holder, we may have to pay substantial royalties or grant cross licenses to our patents;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redesigning our products and processes so they do not infringe, which may not be possible or could require substantial funds and time.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If we are found to infringe a third-party’s intellectual property rights, we could be required to obtain a license from such third-party to continue developing and marketing our products and technology. However, we may not be able to obtain any required license on commercially reasonable terms, or at all. Even if we were able to obtain a license, it could be non</w:t>
        <w:noBreakHyphen/>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may be involved in lawsuits to protect or enforce our patents or the patents of our licensors, which could be expensive, time consuming, and unsuccessful.</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Competitors may infringe our issued patents, our in-licensed patents, or other intellectual property that we own or in-license. Under the terms of our license agreements with Antecip, if we believe a third-party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and/or to challenge the validity of the asserted patent(s) before a court or the USPTO (e.g., in post-grant proceedings such as Inter Partes Review before the Patent Trial and Appeal Board (PTAB) of the USPTO). In addition, in a patent infringement or validity proceeding, a decision maker (e.g., a court or the PTAB)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or related proceeding at the USPTO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 or related proceeding.</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products to market.</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noBreakHyphen/>
        <w:t>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connection with the acquisition of Sunosi,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may be subject to claims that our employees, independent contractors, or consultants have wrongfully used or disclosed alleged trade secrets of their former employers or other third parties.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may be unable to adequately prevent disclosure of trade secrets and other proprietary information.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rely on trade secrets to protect our proprietary technological advances and know</w:t>
        <w:noBreakHyphen/>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noBreakHyphen/>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or our licensors may not be able to protect our intellectual property rights throughout the world.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Filing, prosecuting,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RISKS RELATED TO LEGAL AND COMPLIANCE MATTERS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As a pharmaceutical company, we are subject to many federal and state healthcare laws, including those described in the “Business—Government Regulation and Product Approval” section of the filed Annual Report on Form 10</w:t>
        <w:noBreakHyphen/>
        <w:t>K, such as the federal Anti-Kickback Statute, the federal civil and criminal False Claims Act, the civil monetary penalties statute, the Medicaid Drug Rebate statute and other price reporting requirements, the Veterans Health Care Act of 1992, the Physician Payments Sunshine Act, the Foreign Corrupt Practices Act of 1977, the Patient Protection and Affordable Care Act of 2010, and similar state and foreign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are subject to healthcare fraud and abuse laws by both the federal government and the states in which we conduct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18"/>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enacted legislation – the California Consumer Privacy Act, or CCPA – which went into effect in January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In addition, 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If we or our operations are found to be in violation of any federal or state healthcare, data or information privacy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both domestic and foreign markets, sales of our products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There is significant uncertainty related to third-party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our products to the satisfaction of hospitals and other target customers and their third-party payors. Such studies might require us to commit a significant amount of management time and financial and other resources. Our products might not ultimately be considered cost effective. Adequate third-party coverage and reimbursement might not be available to enable us to maintain price levels sufficient to realize an appropriate return on investment in product development.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are subject to new legislation, regulatory proposals, and healthcare payor initiatives that may increase our costs of compliance, and adversely affect our ability to market our products, obtain collaborators, and raise capital.</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the United States and some foreign jurisdictions, there have been a number of legislative and regulatory changes and proposed changes regarding the healthcare system that could prevent or delay marketing approval of our product candidates, restrict or regulate post</w:t>
        <w:noBreakHyphen/>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It is unclear how regulations and sub-regulatory policy, which fluctuate continually, may affect interpretation and further implementation of the Patient Protection and Affordable Care Act, or the ACA, and its practical effects on our business. 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Inflation Reduction Act, or the IRA, was recently signed into law by President Biden, which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it would permit certain exemptions and exclusions, and enforcement discretion on certain aspects due to the COVID-19 pandemic, although this situation may continue to evolve. The distribution of product samples continues to be regulated under the PDMA, and some states also impose regulations on drug sample distribution.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Governments outside the United States tend to impose strict price controls, which may adversely affect our revenues, if any.</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noBreakHyphen/>
        <w:t>effectiveness of our product candidate to other available therapies. There can be no assurance that our products will be considered cost</w:t>
        <w:noBreakHyphen/>
        <w:t>effective by third</w:t>
        <w:noBreakHyphen/>
        <w:t>party payors, that an adequate level of reimbursement will be available, or that the third</w:t>
        <w:noBreakHyphen/>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third</w:t>
        <w:noBreakHyphen/>
        <w:t>party manufacturers may use hazardous materials in the production of our products and if so, they must comply with environmental laws and regulations, which can be expensive and restrict how we or they do business.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Manufacturing activities for the production of our products involve the controlled storage, use, and disposal of hazardous materials, including the components of our products, and other hazardous compounds. Our third</w:t>
        <w:noBreakHyphen/>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noBreakHyphen/>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RISKS RELATED TO OUR BUSINESS OPERATIONS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As of October 31, 2023, we had 502 full</w:t>
        <w:noBreakHyphen/>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continue the hiring and training of personnel for an effective commercial organization, and maintain appropriate systems, policies and infrastructure to support that organization;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ensure that our consultants and other service providers successfully carry out their contractual obligations, provide high quality results, and meet expected deadlines;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continue to carry out our own contractual obligations to our licensors and other third parties;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continue to improve our operational, financial, and management controls, reporting systems, and procedures.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be unable to successfully implement these tasks on a larger scale and, accordingly, may not achieve our development and commercialization goals.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continued growth could strain our personnel resources and infrastructure, and if we are unable to implement appropriate controls and procedures to manage our growth, we will not be able to implement our business plan successfully.</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may acquire businesses or products, or form strategic alliances in the future, and we may not realize the benefits of such acquisitions or alliances.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may not be able to manage our business effectively if we are unable to attract and retain key personnel.</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18"/>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the Nasdaq Global Market,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disclosure controls and procedures may not prevent or detect all errors or acts of fraud.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business and operations would suffer in the event of system failures.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Environmental, social and governance matters may impact our business and reputation.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its ESG performance, we risk negative stockholder reaction, including from proxy advisory services, as well as damage to its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its investors, customers and other stakeholders, we could experience reduced demand for its products, loss of customers, and other negative impacts on our business and results of operations.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RISKS RELATED TO OWNERSHIP OF OUR COMMON STOCK</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An active trading market for our common stock may not be sustained.</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The market price of our common stock may be highly volatile.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trading price of our common stock is likely to be highly volatile. For example, in 2019, we experienced an extraordinary level of appreciation in our stock price. Such levels of gain are unlikely to continue in the future. Throughout the course of fiscal years 2020, 2021, and 2022, we saw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commercial success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delays in the commencement, enrollment, and ultimate completion, of our planned and ongoing Phase 3 clinical trials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any delay or refusal on the part of the FDA in approving an NDA for any of our current and future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operating and stock price performance of other companies that investors deem comparable to ours;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recommendations by securities analysts;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news relating to our industry as a whole and news relating to trends in our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results of clinical trials of any of our current and future product candidates or those of our competitors;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actual or anticipated variations in quarterly or annual operating results;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failure to meet or exceed financial projections we provide to the public,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failure to meet or exceed the estimates and projections of the investment community, including securities analysts;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introduction of competitive products or technologies;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changes or developments in laws or regulations applicable to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perception of the pharmaceutical industry by the public, legislatures, regulators, and the investment community;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general economic and market conditions and overall fluctuations in U.S. equity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data or security breaches;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developments concerning our sources of manufacturing supply, warehousing, and inventory control;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disputes or other developments relating to patents or other proprietary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additions or departures of key scientific or management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announcements of investigations or regulatory scrutiny of our operations or lawsuits filed against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capital commitments;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investors’ general perception of our company and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announcements and expectations of additional financing efforts, including the issuance of debt, equity or convertible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sales of our common stock, including sales by our directors and officers or significant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changes in the market valuations of companies similar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announcements by us or our competitors of significant acquisitions, strategic partnerships, or divestitures;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general conditions or trends in our industry;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other factors described in this “Risk Factors” section.</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If equity research analysts do not publish research or reports, or publish unfavorable research or reports, about us, our business, or our market, our stock price and trading volume could decline.</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quarterly operating results may fluctuate significantly.</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expect our operating results to be subject to quarterly fluctuations. Our net loss and other operating results will be affected by numerous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commercial success of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whether the FDA requires us to complete additional, unanticipated studies, tests, or other activities prior to approving any of our current and future product candidates, which may delay any such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ability to identify and enter into third</w:t>
        <w:noBreakHyphen/>
        <w:t>party manufacturing arrangements capable of manufacturing any of our current or future product candidates in commercial quantities;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execution of other collaborative, licensing, or similar arrangements and the timing of payments we may make or receive under these arrangements;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variations in the level of expenses related to our future development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any product liability or intellectual property infringement lawsuit in which we may become involved;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regulatory developments affecting our current products, or the products of our competitors;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 level of underlying demand for our products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Raising additional funds by issuing securities may cause dilution to existing stockholders and raising funds through lending and licensing arrangements may restrict our operations or require us to relinquish proprietary rights.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principal stockholders and management own a significant percentage of our stock and may be able to exert significant control over matters subject to stockholder approval.</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As of October 31, 2023, our executive officers, directors, and 5% stockholders and their affiliates beneficially owned an aggregate of approximately 40%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Sales of a substantial number of shares of our common stock in the public market by our existing stockholders could cause our stock price to fall.</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As of October 31, 2023, we have outstanding 47,319,547 shares of common stock and 9,263,967 shares of common stock equivalents that would increase the number of common stock outstanding if these instruments were exercised or converted, including stock options to purchase common stock-based on vesting requirements and warrants to purchase common stock, as well as outstanding restricted stock units. Of our currently outstanding shares of common stock, 39,318,618 are freely tradable. The remainder of the outstanding shares of common stock are held by our affiliates and may be considered “control securities” for purposes of Rule 144 under the Securities Act.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addition, we have filed one or more registration statements on Form S</w:t>
        <w:noBreakHyphen/>
        <w:t>8 registering the issuance of an aggregate of 13,705,956 shares of common stock subject to options or other equity awards issued or reserved for future issuance under our 2015 Omnibus Incentive Compensation Plan, or the Plan, and an additional 1,100,000 shares of common stock reserved for future issuance under our 2023 Employee Stock Purchase Plan. Shares registered under registration statements on Form S</w:t>
        <w:noBreakHyphen/>
        <w:t>8 will be available for sale in the public market subject to vesting arrangements and exercise of options, the lock</w:t>
        <w:noBreakHyphen/>
        <w:t>up agreements described above and the restrictions of Rule 144 in the case of our affiliates.</w:t>
      </w:r>
    </w:p>
    <w:p>
      <w:pPr>
        <w:pStyle w:val="TextBody"/>
        <w:bidi w:val="0"/>
        <w:spacing w:before="240" w:after="283"/>
        <w:jc w:val="left"/>
        <w:rPr>
          <w:rFonts w:ascii="Times New Roman" w:hAnsi="Times New Roman"/>
          <w:sz w:val="20"/>
        </w:rPr>
      </w:pPr>
      <w:r>
        <w:rPr>
          <w:rFonts w:ascii="Times New Roman" w:hAnsi="Times New Roman"/>
          <w:b/>
          <w:i/>
          <w:color w:val="000000"/>
          <w:sz w:val="18"/>
        </w:rPr>
        <w:t>Our management will have broad discretion in the use of the net proceeds from our capital raises, including the proceeds from sales pursuant to our Sales Agreement, and may not use them effectively.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Our management will have broad discretion in the application of the net proceeds from our capital raises, which we refer to as our Capital Raises, including the proceeds from sales pursuant to our March 2022 “at-the-market” sales agreement with SVB Securities LLC (now known as Leerink Partners LLC), or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The use of our net operating loss carryforwards and research tax credits may be limited.</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Our net operating loss carryforwards and any future research and development tax credits may expire and not be used. As of December 31, 2022, we had U.S. federal net operating loss, NOL, carryforwards of approximately $458 million and foreign NOL carryforwards of $7.8 million. U.S. federal net operating loss carry forwards amounting to $60 million generated before the 2018 tax year will start expiring beginning 2032, if we have not used them prior to that time, and the U.S. federal net operating losses of approximately $398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Because we do not intend to pay dividends on our common stock, returns for our stockholders will be limited to any increase in the value of our stock.</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There are provisions in our amended and restated certificate of incorporation and amended and restated bylaws that may make it difficult for a third-party to acquire, or attempt to acquire, control of our company, even if a change in control was considered favorable by you and other stockholders. For example, our board of directors will have the authority to issue up to 10.0 million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In addition, we are subject to the anti</w:t>
        <w:noBreakHyphen/>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2" w:name="item_5_other_information"/>
      <w:bookmarkEnd w:id="12"/>
      <w:r>
        <w:rPr>
          <w:rFonts w:ascii="Times New Roman" w:hAnsi="Times New Roman"/>
          <w:b/>
          <w:color w:val="000000"/>
          <w:sz w:val="18"/>
        </w:rPr>
        <w:t>ITEM 5.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During the third quarter of 2023, the following Rule 10b5-1 trading arrangements (as defined in Item 408(a)(1)(i) of Regulation S-K) and non-Rule 10b5-1 trading arrangements (as defined in Item 408(c) of Regulation S-K) intended to satisfy the affirmative defense of Rule 10b5-1(c) of the Exchange Act were adopted or terminated by our directors and/or executive officers:</w:t>
      </w:r>
    </w:p>
    <w:tbl>
      <w:tblPr>
        <w:tblW w:w="10205" w:type="dxa"/>
        <w:jc w:val="left"/>
        <w:tblInd w:w="0" w:type="dxa"/>
        <w:tblLayout w:type="fixed"/>
        <w:tblCellMar>
          <w:top w:w="28" w:type="dxa"/>
          <w:left w:w="28" w:type="dxa"/>
          <w:bottom w:w="28" w:type="dxa"/>
          <w:right w:w="28" w:type="dxa"/>
        </w:tblCellMar>
      </w:tblPr>
      <w:tblGrid>
        <w:gridCol w:w="891"/>
        <w:gridCol w:w="1062"/>
        <w:gridCol w:w="2031"/>
        <w:gridCol w:w="2291"/>
        <w:gridCol w:w="3930"/>
      </w:tblGrid>
      <w:tr>
        <w:trPr/>
        <w:tc>
          <w:tcPr>
            <w:tcW w:w="89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3930" w:type="dxa"/>
            <w:tcBorders/>
            <w:vAlign w:val="center"/>
          </w:tcPr>
          <w:p>
            <w:pPr>
              <w:pStyle w:val="TableContents"/>
              <w:bidi w:val="0"/>
              <w:spacing w:before="0" w:after="283"/>
              <w:jc w:val="left"/>
              <w:rPr>
                <w:sz w:val="4"/>
                <w:szCs w:val="4"/>
              </w:rPr>
            </w:pPr>
            <w:r>
              <w:rPr>
                <w:sz w:val="4"/>
                <w:szCs w:val="4"/>
              </w:rPr>
            </w:r>
          </w:p>
        </w:tc>
      </w:tr>
      <w:tr>
        <w:trPr/>
        <w:tc>
          <w:tcPr>
            <w:tcW w:w="891" w:type="dxa"/>
            <w:tcBorders>
              <w:top w:val="single" w:sz="8" w:space="0" w:color="000000"/>
              <w:left w:val="single" w:sz="8" w:space="0" w:color="000000"/>
              <w:bottom w:val="single" w:sz="8" w:space="0" w:color="000000"/>
              <w:right w:val="single" w:sz="8"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062"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Title</w:t>
            </w:r>
          </w:p>
        </w:tc>
        <w:tc>
          <w:tcPr>
            <w:tcW w:w="2031"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Date of Adoption of Rule 10b5-1 Trading Arrangement</w:t>
            </w:r>
            <w:r>
              <w:rPr>
                <w:rFonts w:ascii="Times New Roman" w:hAnsi="Times New Roman"/>
                <w:b/>
                <w:color w:val="000000"/>
                <w:sz w:val="12"/>
              </w:rPr>
              <w:t>(1)</w:t>
            </w:r>
          </w:p>
        </w:tc>
        <w:tc>
          <w:tcPr>
            <w:tcW w:w="2291"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Scheduled Expiration</w:t>
            </w:r>
            <w:r>
              <w:rPr>
                <w:rFonts w:ascii="Times New Roman" w:hAnsi="Times New Roman"/>
                <w:color w:val="000000"/>
                <w:sz w:val="20"/>
              </w:rPr>
              <w:t> </w:t>
            </w:r>
            <w:r>
              <w:rPr>
                <w:rFonts w:ascii="Times New Roman" w:hAnsi="Times New Roman"/>
                <w:b/>
                <w:color w:val="000000"/>
                <w:sz w:val="18"/>
              </w:rPr>
              <w:t>Date of Rule 10b5-1 Trading Arrangement</w:t>
            </w:r>
          </w:p>
        </w:tc>
        <w:tc>
          <w:tcPr>
            <w:tcW w:w="3930"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Aggregate Number of Securities to Be Sold</w:t>
            </w:r>
          </w:p>
        </w:tc>
      </w:tr>
      <w:tr>
        <w:trPr/>
        <w:tc>
          <w:tcPr>
            <w:tcW w:w="891"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Mark Jacobson</w:t>
            </w:r>
          </w:p>
        </w:tc>
        <w:tc>
          <w:tcPr>
            <w:tcW w:w="1062"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Chief Operating Officer</w:t>
            </w:r>
          </w:p>
        </w:tc>
        <w:tc>
          <w:tcPr>
            <w:tcW w:w="2031"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August 15, 2023</w:t>
            </w:r>
            <w:r>
              <w:rPr>
                <w:rFonts w:ascii="Times New Roman" w:hAnsi="Times New Roman"/>
                <w:b w:val="false"/>
                <w:color w:val="000000"/>
                <w:sz w:val="12"/>
              </w:rPr>
              <w:t>(2)</w:t>
            </w:r>
          </w:p>
        </w:tc>
        <w:tc>
          <w:tcPr>
            <w:tcW w:w="2291"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December 29, 2024</w:t>
            </w:r>
          </w:p>
        </w:tc>
        <w:tc>
          <w:tcPr>
            <w:tcW w:w="3930"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8"/>
              </w:rPr>
              <w:t>Up to 86,094</w:t>
            </w:r>
            <w:r>
              <w:rPr>
                <w:rFonts w:ascii="Times New Roman" w:hAnsi="Times New Roman"/>
                <w:color w:val="000000"/>
                <w:sz w:val="20"/>
              </w:rPr>
              <w:t> </w:t>
            </w:r>
            <w:r>
              <w:rPr>
                <w:rFonts w:ascii="Times New Roman" w:hAnsi="Times New Roman"/>
                <w:b w:val="false"/>
                <w:color w:val="000000"/>
                <w:sz w:val="18"/>
              </w:rPr>
              <w:t>shares of common stock pursuant to the exercise of non-qualified stock options immediately prior to the 10-year</w:t>
            </w:r>
            <w:r>
              <w:rPr>
                <w:rFonts w:ascii="Times New Roman" w:hAnsi="Times New Roman"/>
                <w:color w:val="000000"/>
                <w:sz w:val="20"/>
              </w:rPr>
              <w:t> </w:t>
            </w:r>
            <w:r>
              <w:rPr>
                <w:rFonts w:ascii="Times New Roman" w:hAnsi="Times New Roman"/>
                <w:b w:val="false"/>
                <w:color w:val="000000"/>
                <w:sz w:val="18"/>
              </w:rPr>
              <w:t>expiration dates of such options in 2024</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16"/>
        </w:rPr>
        <w:t>(1) Date of adoption of Rule 10b5-1 trading arrangements is in accordance with both the Company’s insider trading policy and applicable SEC rules and regulations.</w:t>
      </w:r>
      <w:r>
        <w:rPr>
          <w:rFonts w:ascii="Times New Roman" w:hAnsi="Times New Roman"/>
          <w:color w:val="000000"/>
          <w:sz w:val="20"/>
        </w:rPr>
        <w:t xml:space="preserve"> </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(2) The first trade pursuant to the Rule 10b5-1 trading arrangement will be, in accordance with both the Company’s insider trading policy and applicable SEC rules and regulations, on a date after the date of adoption of the Rule 10b5-1 trading arrangement.</w:t>
      </w:r>
    </w:p>
    <w:p>
      <w:pPr>
        <w:pStyle w:val="TextBody"/>
        <w:bidi w:val="0"/>
        <w:spacing w:before="240" w:after="283"/>
        <w:jc w:val="left"/>
        <w:rPr>
          <w:rFonts w:ascii="Times New Roman" w:hAnsi="Times New Roman"/>
          <w:sz w:val="20"/>
        </w:rPr>
      </w:pPr>
      <w:r>
        <w:rPr>
          <w:rFonts w:ascii="Times New Roman" w:hAnsi="Times New Roman"/>
          <w:b w:val="false"/>
          <w:color w:val="000000"/>
          <w:sz w:val="18"/>
        </w:rPr>
        <w:t>During the third quarter of 2023, the Company did not adopt</w:t>
      </w:r>
      <w:r>
        <w:rPr>
          <w:rFonts w:ascii="Times New Roman" w:hAnsi="Times New Roman"/>
          <w:color w:val="000000"/>
          <w:sz w:val="20"/>
        </w:rPr>
        <w:t xml:space="preserve"> </w:t>
      </w:r>
      <w:r>
        <w:rPr>
          <w:rFonts w:ascii="Times New Roman" w:hAnsi="Times New Roman"/>
          <w:b w:val="false"/>
          <w:color w:val="000000"/>
          <w:sz w:val="18"/>
        </w:rPr>
        <w:t>or terminate</w:t>
      </w:r>
      <w:r>
        <w:rPr>
          <w:rFonts w:ascii="Times New Roman" w:hAnsi="Times New Roman"/>
          <w:color w:val="000000"/>
          <w:sz w:val="20"/>
        </w:rPr>
        <w:t xml:space="preserve"> </w:t>
      </w:r>
      <w:r>
        <w:rPr>
          <w:rFonts w:ascii="Times New Roman" w:hAnsi="Times New Roman"/>
          <w:b w:val="false"/>
          <w:color w:val="000000"/>
          <w:sz w:val="18"/>
        </w:rPr>
        <w:t>a Rule 10b5-1 trading arrangement (as defined in Item 408(a)(1)(i) of Regulation S-K).</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jc w:val="left"/>
        <w:rPr>
          <w:rFonts w:ascii="Times New Roman" w:hAnsi="Times New Roman"/>
          <w:b/>
          <w:color w:val="000000"/>
          <w:sz w:val="18"/>
        </w:rPr>
      </w:pPr>
      <w:bookmarkStart w:id="13" w:name="item_6_exhibits"/>
      <w:bookmarkEnd w:id="13"/>
      <w:r>
        <w:rPr>
          <w:rFonts w:ascii="Times New Roman" w:hAnsi="Times New Roman"/>
          <w:b/>
          <w:color w:val="000000"/>
          <w:sz w:val="18"/>
        </w:rPr>
        <w:t>ITEM 6. EXHIBITS.</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The exhibits filed as part of this Quarterly Report on Form 10-Q are set forth on the Exhibit Index, which is incorporated herein by reference.</w:t>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INDEX OF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7"/>
        <w:gridCol w:w="146"/>
        <w:gridCol w:w="9322"/>
      </w:tblGrid>
      <w:tr>
        <w:trPr/>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2" w:type="dxa"/>
            <w:tcBorders/>
            <w:vAlign w:val="center"/>
          </w:tcPr>
          <w:p>
            <w:pPr>
              <w:pStyle w:val="TableContents"/>
              <w:bidi w:val="0"/>
              <w:spacing w:before="0" w:after="283"/>
              <w:jc w:val="left"/>
              <w:rPr>
                <w:sz w:val="4"/>
                <w:szCs w:val="4"/>
              </w:rPr>
            </w:pPr>
            <w:r>
              <w:rPr>
                <w:sz w:val="4"/>
                <w:szCs w:val="4"/>
              </w:rPr>
            </w:r>
          </w:p>
        </w:tc>
      </w:tr>
      <w:tr>
        <w:trPr/>
        <w:tc>
          <w:tcPr>
            <w:tcW w:w="737"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br/>
              <w:t>Number</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2"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Description</w:t>
            </w:r>
          </w:p>
        </w:tc>
      </w:tr>
      <w:tr>
        <w:trPr/>
        <w:tc>
          <w:tcPr>
            <w:tcW w:w="73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31.1**</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hyperlink w:anchor="axsm-ex31_1.htm">
              <w:r>
                <w:rPr>
                  <w:rStyle w:val="InternetLink"/>
                  <w:rFonts w:ascii="Times New Roman" w:hAnsi="Times New Roman"/>
                  <w:b w:val="false"/>
                  <w:color w:val="0000FF"/>
                  <w:sz w:val="18"/>
                  <w:u w:val="single"/>
                </w:rPr>
                <w:t>Certification of Principal Executive Officer pursuant to Rule 13a-14(a)/15d-14(a), as adopted pursuant to Section 302 of the Sarbanes-Oxley Act of 2002.</w:t>
              </w:r>
            </w:hyperlink>
          </w:p>
        </w:tc>
      </w:tr>
      <w:tr>
        <w:trPr/>
        <w:tc>
          <w:tcPr>
            <w:tcW w:w="73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31.2**</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hyperlink w:anchor="axsm-ex31_2.htm">
              <w:r>
                <w:rPr>
                  <w:rStyle w:val="InternetLink"/>
                  <w:rFonts w:ascii="Times New Roman" w:hAnsi="Times New Roman"/>
                  <w:b w:val="false"/>
                  <w:color w:val="0000FF"/>
                  <w:sz w:val="18"/>
                  <w:u w:val="single"/>
                </w:rPr>
                <w:t>Certification of Principal Financial Officer pursuant to Rule 13a-14(a)/15d-14(a), as adopted pursuant to Section 302 of the Sarbanes-Oxley Act of 2002.</w:t>
              </w:r>
            </w:hyperlink>
          </w:p>
        </w:tc>
      </w:tr>
      <w:tr>
        <w:trPr/>
        <w:tc>
          <w:tcPr>
            <w:tcW w:w="73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32.1**</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hyperlink w:anchor="axsm-ex32_1.htm">
              <w:r>
                <w:rPr>
                  <w:rStyle w:val="InternetLink"/>
                  <w:rFonts w:ascii="Times New Roman" w:hAnsi="Times New Roman"/>
                  <w:b w:val="false"/>
                  <w:color w:val="0000FF"/>
                  <w:sz w:val="18"/>
                  <w:u w:val="single"/>
                </w:rPr>
                <w:t>Certification of Principal Executive Officer pursuant to 18 U.S.C. §1350, as adopted pursuant to Section 906 of the Sarbanes-Oxley Act of 2002 (furnished herewith).</w:t>
              </w:r>
            </w:hyperlink>
          </w:p>
        </w:tc>
      </w:tr>
      <w:tr>
        <w:trPr/>
        <w:tc>
          <w:tcPr>
            <w:tcW w:w="73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32.2**</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hyperlink w:anchor="axsm-ex32_2.htm">
              <w:r>
                <w:rPr>
                  <w:rStyle w:val="InternetLink"/>
                  <w:rFonts w:ascii="Times New Roman" w:hAnsi="Times New Roman"/>
                  <w:b w:val="false"/>
                  <w:color w:val="0000FF"/>
                  <w:sz w:val="18"/>
                  <w:u w:val="single"/>
                </w:rPr>
                <w:t>Certification of Principal Financial Officer pursuant to 18 U.S.C. §1350, as adopted pursuant to Section 906 of the Sarbanes-Oxley Act of 2002 (furnished herewith).</w:t>
              </w:r>
            </w:hyperlink>
          </w:p>
        </w:tc>
      </w:tr>
      <w:tr>
        <w:trPr/>
        <w:tc>
          <w:tcPr>
            <w:tcW w:w="73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101.INS</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Instance Document (the instance document does not appear in the Interactive Data File because its XBRL tags are embedded within the Inline XBRL document)</w:t>
            </w:r>
          </w:p>
        </w:tc>
      </w:tr>
      <w:tr>
        <w:trPr/>
        <w:tc>
          <w:tcPr>
            <w:tcW w:w="73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101.SCH</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Taxonomy Extension Schema Document</w:t>
            </w:r>
          </w:p>
        </w:tc>
      </w:tr>
      <w:tr>
        <w:trPr/>
        <w:tc>
          <w:tcPr>
            <w:tcW w:w="73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101.CAL</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Taxonomy Extension Calculation Database Document</w:t>
            </w:r>
          </w:p>
        </w:tc>
      </w:tr>
      <w:tr>
        <w:trPr/>
        <w:tc>
          <w:tcPr>
            <w:tcW w:w="73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101.DEF</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Taxonomy Extension Definition Linkbase Document</w:t>
            </w:r>
          </w:p>
        </w:tc>
      </w:tr>
      <w:tr>
        <w:trPr/>
        <w:tc>
          <w:tcPr>
            <w:tcW w:w="73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101.LAB</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Taxonomy Extension Label Linkbase Document</w:t>
            </w:r>
          </w:p>
        </w:tc>
      </w:tr>
      <w:tr>
        <w:trPr/>
        <w:tc>
          <w:tcPr>
            <w:tcW w:w="73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101.PRE</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Taxonomy Extension Presentation Linkbase Document</w:t>
            </w:r>
          </w:p>
        </w:tc>
      </w:tr>
      <w:tr>
        <w:trPr/>
        <w:tc>
          <w:tcPr>
            <w:tcW w:w="73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r>
              <w:rPr/>
              <w:t> </w:t>
            </w:r>
          </w:p>
        </w:tc>
      </w:tr>
      <w:tr>
        <w:trPr/>
        <w:tc>
          <w:tcPr>
            <w:tcW w:w="737"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104</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Cover Page Interactive Data File (formatted as inline XBRL with applicable taxonomy extension information contained in Exhibits 101.)</w:t>
            </w:r>
          </w:p>
        </w:tc>
      </w:tr>
      <w:tr>
        <w:trPr/>
        <w:tc>
          <w:tcPr>
            <w:tcW w:w="73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322"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**Filed herewith.</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able_contents">
        <w:r>
          <w:rPr>
            <w:rStyle w:val="InternetLink"/>
            <w:rFonts w:ascii="Times New Roman" w:hAnsi="Times New Roman"/>
            <w:b w:val="false"/>
            <w:color w:val="0563C1"/>
            <w:sz w:val="18"/>
            <w:u w:val="single"/>
          </w:rPr>
          <w:t>Table of Contents</w:t>
        </w:r>
      </w:hyperlink>
    </w:p>
    <w:p>
      <w:pPr>
        <w:pStyle w:val="TextBody"/>
        <w:bidi w:val="0"/>
        <w:jc w:val="center"/>
        <w:rPr>
          <w:rFonts w:ascii="Times New Roman" w:hAnsi="Times New Roman"/>
          <w:b/>
          <w:color w:val="000000"/>
          <w:sz w:val="18"/>
        </w:rPr>
      </w:pPr>
      <w:bookmarkStart w:id="14" w:name="signatures"/>
      <w:bookmarkEnd w:id="14"/>
      <w:r>
        <w:rPr>
          <w:rFonts w:ascii="Times New Roman" w:hAnsi="Times New Roman"/>
          <w:b/>
          <w:color w:val="000000"/>
          <w:sz w:val="18"/>
        </w:rPr>
        <w:t>SIGNATURES</w:t>
      </w:r>
    </w:p>
    <w:p>
      <w:pPr>
        <w:pStyle w:val="TextBody"/>
        <w:bidi w:val="0"/>
        <w:spacing w:before="240" w:after="283"/>
        <w:jc w:val="left"/>
        <w:rPr>
          <w:rFonts w:ascii="Times New Roman" w:hAnsi="Times New Roman"/>
          <w:b w:val="false"/>
          <w:color w:val="000000"/>
          <w:sz w:val="18"/>
        </w:rPr>
      </w:pPr>
      <w:r>
        <w:rPr>
          <w:rFonts w:ascii="Times New Roman" w:hAnsi="Times New Roman"/>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553" w:type="dxa"/>
        <w:jc w:val="left"/>
        <w:tblInd w:w="0" w:type="dxa"/>
        <w:tblLayout w:type="fixed"/>
        <w:tblCellMar>
          <w:top w:w="28" w:type="dxa"/>
          <w:left w:w="28" w:type="dxa"/>
          <w:bottom w:w="28" w:type="dxa"/>
          <w:right w:w="28" w:type="dxa"/>
        </w:tblCellMar>
      </w:tblPr>
      <w:tblGrid>
        <w:gridCol w:w="1921"/>
        <w:gridCol w:w="316"/>
        <w:gridCol w:w="3316"/>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pPr>
            <w:r>
              <w:rPr/>
              <w:t> </w:t>
            </w:r>
          </w:p>
        </w:tc>
        <w:tc>
          <w:tcPr>
            <w:tcW w:w="3632" w:type="dxa"/>
            <w:gridSpan w:val="2"/>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AXSOME THERAPEUTICS, INC.</w:t>
            </w:r>
          </w:p>
        </w:tc>
      </w:tr>
      <w:tr>
        <w:trPr/>
        <w:tc>
          <w:tcPr>
            <w:tcW w:w="192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pPr>
            <w:r>
              <w:rPr/>
              <w:t> </w:t>
            </w:r>
          </w:p>
        </w:tc>
      </w:tr>
      <w:tr>
        <w:trPr/>
        <w:tc>
          <w:tcPr>
            <w:tcW w:w="192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Date: November 6, 2023</w:t>
            </w:r>
          </w:p>
        </w:tc>
        <w:tc>
          <w:tcPr>
            <w:tcW w:w="31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By</w:t>
            </w:r>
          </w:p>
        </w:tc>
        <w:tc>
          <w:tcPr>
            <w:tcW w:w="331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 Herriot Tabuteau, M.D.</w:t>
            </w:r>
          </w:p>
        </w:tc>
      </w:tr>
      <w:tr>
        <w:trPr/>
        <w:tc>
          <w:tcPr>
            <w:tcW w:w="192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Herriot Tabuteau, M.D.</w:t>
            </w:r>
          </w:p>
        </w:tc>
      </w:tr>
      <w:tr>
        <w:trPr/>
        <w:tc>
          <w:tcPr>
            <w:tcW w:w="192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President and Chief Executive Officer</w:t>
            </w:r>
          </w:p>
        </w:tc>
      </w:tr>
      <w:tr>
        <w:trPr/>
        <w:tc>
          <w:tcPr>
            <w:tcW w:w="192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(Principal Executive Officer)</w:t>
            </w:r>
          </w:p>
        </w:tc>
      </w:tr>
      <w:tr>
        <w:trPr/>
        <w:tc>
          <w:tcPr>
            <w:tcW w:w="192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pPr>
            <w:r>
              <w:rPr/>
              <w:t> </w:t>
            </w:r>
          </w:p>
        </w:tc>
      </w:tr>
      <w:tr>
        <w:trPr/>
        <w:tc>
          <w:tcPr>
            <w:tcW w:w="192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pPr>
            <w:r>
              <w:rPr/>
              <w:t> </w:t>
            </w:r>
          </w:p>
        </w:tc>
      </w:tr>
      <w:tr>
        <w:trPr/>
        <w:tc>
          <w:tcPr>
            <w:tcW w:w="1921" w:type="dxa"/>
            <w:tcBorders/>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Date: November 6, 2023</w:t>
            </w:r>
            <w:r>
              <w:rPr>
                <w:rFonts w:ascii="Times New Roman" w:hAnsi="Times New Roman"/>
                <w:color w:val="000000"/>
                <w:sz w:val="18"/>
              </w:rPr>
              <w:t xml:space="preserve"> </w:t>
            </w:r>
          </w:p>
        </w:tc>
        <w:tc>
          <w:tcPr>
            <w:tcW w:w="31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By</w:t>
            </w:r>
          </w:p>
        </w:tc>
        <w:tc>
          <w:tcPr>
            <w:tcW w:w="331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 Nick Pizzie</w:t>
            </w:r>
          </w:p>
        </w:tc>
      </w:tr>
      <w:tr>
        <w:trPr/>
        <w:tc>
          <w:tcPr>
            <w:tcW w:w="192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Nick Pizzie</w:t>
            </w:r>
          </w:p>
        </w:tc>
      </w:tr>
      <w:tr>
        <w:trPr/>
        <w:tc>
          <w:tcPr>
            <w:tcW w:w="192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Chief Financial Officer</w:t>
            </w:r>
          </w:p>
        </w:tc>
      </w:tr>
      <w:tr>
        <w:trPr/>
        <w:tc>
          <w:tcPr>
            <w:tcW w:w="192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bookmarkStart w:id="15" w:name="axsm-ex31_1.htm"/>
      <w:bookmarkStart w:id="16" w:name="ksaxsmex31_1"/>
      <w:bookmarkEnd w:id="15"/>
      <w:bookmarkEnd w:id="16"/>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31.1</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OF PERIODIC REPORT</w:t>
      </w:r>
    </w:p>
    <w:p>
      <w:pPr>
        <w:pStyle w:val="TextBody"/>
        <w:bidi w:val="0"/>
        <w:jc w:val="center"/>
        <w:rPr>
          <w:rFonts w:ascii="Times New Roman" w:hAnsi="Times New Roman"/>
          <w:b/>
          <w:color w:val="000000"/>
          <w:sz w:val="18"/>
        </w:rPr>
      </w:pPr>
      <w:r>
        <w:rPr>
          <w:rFonts w:ascii="Times New Roman" w:hAnsi="Times New Roman"/>
          <w:b/>
          <w:color w:val="000000"/>
          <w:sz w:val="18"/>
        </w:rPr>
        <w:t>PURSUANT TO SECTION 302 OF THE SARBANES-OXLEY ACT OF 2002</w:t>
      </w:r>
    </w:p>
    <w:p>
      <w:pPr>
        <w:pStyle w:val="TextBody"/>
        <w:bidi w:val="0"/>
        <w:jc w:val="center"/>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I, Herriot Tabuteau, M.D., certify that:</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1. I have reviewed this quarterly report on Form 10-Q of Axsome Therapeutics, Inc.;</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067" w:type="dxa"/>
        <w:jc w:val="left"/>
        <w:tblInd w:w="0" w:type="dxa"/>
        <w:tblLayout w:type="fixed"/>
        <w:tblCellMar>
          <w:top w:w="28" w:type="dxa"/>
          <w:left w:w="28" w:type="dxa"/>
          <w:bottom w:w="28" w:type="dxa"/>
          <w:right w:w="28" w:type="dxa"/>
        </w:tblCellMar>
      </w:tblPr>
      <w:tblGrid>
        <w:gridCol w:w="1876"/>
        <w:gridCol w:w="2191"/>
      </w:tblGrid>
      <w:tr>
        <w:trPr/>
        <w:tc>
          <w:tcPr>
            <w:tcW w:w="187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left"/>
              <w:rPr/>
            </w:pPr>
            <w:r>
              <w:rPr/>
              <w:t> </w:t>
            </w:r>
          </w:p>
        </w:tc>
      </w:tr>
      <w:tr>
        <w:trPr/>
        <w:tc>
          <w:tcPr>
            <w:tcW w:w="187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Date: November 6, 2023</w:t>
            </w:r>
          </w:p>
        </w:tc>
        <w:tc>
          <w:tcPr>
            <w:tcW w:w="21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 Herriot Tabuteau, M.D.</w:t>
            </w:r>
          </w:p>
        </w:tc>
      </w:tr>
      <w:tr>
        <w:trPr/>
        <w:tc>
          <w:tcPr>
            <w:tcW w:w="1876"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Herriot Tabuteau, M.D.</w:t>
            </w:r>
          </w:p>
        </w:tc>
      </w:tr>
      <w:tr>
        <w:trPr/>
        <w:tc>
          <w:tcPr>
            <w:tcW w:w="1876"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Chief Executive Officer</w:t>
            </w:r>
            <w:r>
              <w:rPr>
                <w:rFonts w:ascii="Times New Roman" w:hAnsi="Times New Roman"/>
                <w:color w:val="000000"/>
                <w:sz w:val="18"/>
              </w:rPr>
              <w:t xml:space="preserve"> </w:t>
            </w:r>
          </w:p>
        </w:tc>
      </w:tr>
      <w:tr>
        <w:trPr/>
        <w:tc>
          <w:tcPr>
            <w:tcW w:w="1876"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(Principal Executive Officer)</w:t>
            </w:r>
          </w:p>
        </w:tc>
      </w:tr>
    </w:tbl>
    <w:p>
      <w:pPr>
        <w:pStyle w:val="TextBody"/>
        <w:bidi w:val="0"/>
        <w:jc w:val="left"/>
        <w:rPr/>
      </w:pPr>
      <w:r>
        <w:rPr/>
        <w:t> </w:t>
      </w:r>
    </w:p>
    <w:p>
      <w:pPr>
        <w:pStyle w:val="TextBody"/>
        <w:bidi w:val="0"/>
        <w:spacing w:before="5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7" w:name="axsm-ex31_2.htm"/>
      <w:bookmarkStart w:id="18" w:name="ksaxsmex31_2"/>
      <w:bookmarkEnd w:id="17"/>
      <w:bookmarkEnd w:id="18"/>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31.2</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OF PERIODIC REPORT</w:t>
      </w:r>
    </w:p>
    <w:p>
      <w:pPr>
        <w:pStyle w:val="TextBody"/>
        <w:bidi w:val="0"/>
        <w:jc w:val="center"/>
        <w:rPr>
          <w:rFonts w:ascii="Times New Roman" w:hAnsi="Times New Roman"/>
          <w:b/>
          <w:color w:val="000000"/>
          <w:sz w:val="18"/>
        </w:rPr>
      </w:pPr>
      <w:r>
        <w:rPr>
          <w:rFonts w:ascii="Times New Roman" w:hAnsi="Times New Roman"/>
          <w:b/>
          <w:color w:val="000000"/>
          <w:sz w:val="18"/>
        </w:rPr>
        <w:t>PURSUANT TO SECTION 302 OF THE SARBANES-OXLEY ACT OF 2002</w:t>
      </w:r>
    </w:p>
    <w:p>
      <w:pPr>
        <w:pStyle w:val="TextBody"/>
        <w:bidi w:val="0"/>
        <w:jc w:val="center"/>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I, Nick Pizzie, certify that:</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1. I have reviewed this quarterly report on Form 10-Q of Axsome Therapeutics, Inc.;</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92" w:type="dxa"/>
        <w:jc w:val="left"/>
        <w:tblInd w:w="0" w:type="dxa"/>
        <w:tblLayout w:type="fixed"/>
        <w:tblCellMar>
          <w:top w:w="28" w:type="dxa"/>
          <w:left w:w="28" w:type="dxa"/>
          <w:bottom w:w="28" w:type="dxa"/>
          <w:right w:w="28" w:type="dxa"/>
        </w:tblCellMar>
      </w:tblPr>
      <w:tblGrid>
        <w:gridCol w:w="1876"/>
        <w:gridCol w:w="3316"/>
      </w:tblGrid>
      <w:tr>
        <w:trPr/>
        <w:tc>
          <w:tcPr>
            <w:tcW w:w="187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pPr>
            <w:r>
              <w:rPr/>
              <w:t> </w:t>
            </w:r>
          </w:p>
        </w:tc>
      </w:tr>
      <w:tr>
        <w:trPr/>
        <w:tc>
          <w:tcPr>
            <w:tcW w:w="187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Date: November 6, 2023</w:t>
            </w:r>
          </w:p>
        </w:tc>
        <w:tc>
          <w:tcPr>
            <w:tcW w:w="331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 Nick Pizzie</w:t>
            </w:r>
          </w:p>
        </w:tc>
      </w:tr>
      <w:tr>
        <w:trPr/>
        <w:tc>
          <w:tcPr>
            <w:tcW w:w="187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Nick Pizzie</w:t>
            </w:r>
          </w:p>
        </w:tc>
      </w:tr>
      <w:tr>
        <w:trPr/>
        <w:tc>
          <w:tcPr>
            <w:tcW w:w="187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Chief Financial Officer</w:t>
            </w:r>
          </w:p>
        </w:tc>
      </w:tr>
      <w:tr>
        <w:trPr/>
        <w:tc>
          <w:tcPr>
            <w:tcW w:w="187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(Principal Financial and Accounting Officer)</w:t>
            </w:r>
          </w:p>
        </w:tc>
      </w:tr>
    </w:tbl>
    <w:p>
      <w:pPr>
        <w:pStyle w:val="TextBody"/>
        <w:bidi w:val="0"/>
        <w:jc w:val="left"/>
        <w:rPr/>
      </w:pPr>
      <w:r>
        <w:rPr/>
        <w:t> </w:t>
      </w:r>
    </w:p>
    <w:p>
      <w:pPr>
        <w:pStyle w:val="TextBody"/>
        <w:bidi w:val="0"/>
        <w:spacing w:before="5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9" w:name="axsm-ex32_1.htm"/>
      <w:bookmarkStart w:id="20" w:name="ksaxsmex32_1"/>
      <w:bookmarkEnd w:id="19"/>
      <w:bookmarkEnd w:id="20"/>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32.1</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STATEMENT OF PRINCIPAL EXECUTIVE OFFICER OF</w:t>
        <w:br/>
        <w:t>AXSOME THERAPEUTICS, INC.</w:t>
        <w:br/>
        <w:t>PURSUANT TO 18 U.S.C. SECTION 1350,</w:t>
        <w:br/>
        <w:t>AS ADOPTED PURSUANT TO</w:t>
        <w:br/>
        <w:t>SECTION 906 OF THE SARBANES-OXLEY ACT OF 2002</w:t>
      </w:r>
    </w:p>
    <w:p>
      <w:pPr>
        <w:pStyle w:val="TextBody"/>
        <w:bidi w:val="0"/>
        <w:jc w:val="center"/>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In connection with the quarterly report of Axsome Therapeutics, Inc. (the “Company”) on Form 10-Q for the quarter ended September 30, 2023 as filed with the Securities and Exchange Commission (the “Report”), I, Herriot Tabuteau, M.D., Chief Executive Officer of the Company, certify, pursuant to 18 U.S.C. §1350, as adopted pursuant to §906 of the Sarbanes-Oxley Act of 2002, that, based on my knowledge:</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1) The Report fully complies with the requirements of Section 13(a) or 15(d) of the Securities Exchange Act of 1934, as amended; and</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2) The information contained in the Report fairly presents, in all material respects, the financial condition and results of operations of the Company.</w:t>
      </w:r>
    </w:p>
    <w:p>
      <w:pPr>
        <w:pStyle w:val="TextBody"/>
        <w:bidi w:val="0"/>
        <w:jc w:val="left"/>
        <w:rPr/>
      </w:pPr>
      <w:r>
        <w:rPr/>
        <w:t> </w:t>
      </w:r>
    </w:p>
    <w:tbl>
      <w:tblPr>
        <w:tblW w:w="4067" w:type="dxa"/>
        <w:jc w:val="left"/>
        <w:tblInd w:w="0" w:type="dxa"/>
        <w:tblLayout w:type="fixed"/>
        <w:tblCellMar>
          <w:top w:w="28" w:type="dxa"/>
          <w:left w:w="28" w:type="dxa"/>
          <w:bottom w:w="28" w:type="dxa"/>
          <w:right w:w="28" w:type="dxa"/>
        </w:tblCellMar>
      </w:tblPr>
      <w:tblGrid>
        <w:gridCol w:w="1876"/>
        <w:gridCol w:w="2191"/>
      </w:tblGrid>
      <w:tr>
        <w:trPr/>
        <w:tc>
          <w:tcPr>
            <w:tcW w:w="187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left"/>
              <w:rPr/>
            </w:pPr>
            <w:r>
              <w:rPr/>
              <w:t> </w:t>
            </w:r>
          </w:p>
        </w:tc>
      </w:tr>
      <w:tr>
        <w:trPr/>
        <w:tc>
          <w:tcPr>
            <w:tcW w:w="187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Date: November 6, 2023</w:t>
            </w:r>
          </w:p>
        </w:tc>
        <w:tc>
          <w:tcPr>
            <w:tcW w:w="2191"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 Herriot Tabuteau, M.D.</w:t>
            </w:r>
          </w:p>
        </w:tc>
      </w:tr>
      <w:tr>
        <w:trPr/>
        <w:tc>
          <w:tcPr>
            <w:tcW w:w="1876" w:type="dxa"/>
            <w:tcBorders/>
            <w:vAlign w:val="center"/>
          </w:tcPr>
          <w:p>
            <w:pPr>
              <w:pStyle w:val="TableContents"/>
              <w:bidi w:val="0"/>
              <w:spacing w:before="0" w:after="283"/>
              <w:jc w:val="left"/>
              <w:rPr/>
            </w:pPr>
            <w:r>
              <w:rPr/>
              <w:t> </w:t>
            </w:r>
          </w:p>
        </w:tc>
        <w:tc>
          <w:tcPr>
            <w:tcW w:w="219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Herriot Tabuteau, M.D.</w:t>
              <w:br/>
              <w:t>Chief Executive Officer</w:t>
              <w:br/>
              <w:t>(Principal Executive Officer)</w:t>
            </w:r>
          </w:p>
        </w:tc>
      </w:tr>
    </w:tbl>
    <w:p>
      <w:pPr>
        <w:pStyle w:val="TextBody"/>
        <w:bidi w:val="0"/>
        <w:jc w:val="left"/>
        <w:rPr/>
      </w:pPr>
      <w:r>
        <w:rPr/>
        <w:t> </w:t>
      </w:r>
    </w:p>
    <w:p>
      <w:pPr>
        <w:pStyle w:val="TextBody"/>
        <w:bidi w:val="0"/>
        <w:spacing w:before="54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axsm-ex32_2.htm"/>
      <w:bookmarkStart w:id="22" w:name="ksaxsmex32_2"/>
      <w:bookmarkEnd w:id="21"/>
      <w:bookmarkEnd w:id="22"/>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32.2</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STATEMENT OF PRINCIPAL FINANCIAL OFFICER OF</w:t>
        <w:br/>
        <w:t>AXSOME THERAPEUTICS, INC.</w:t>
        <w:br/>
        <w:t>PURSUANT TO 18 U.S.C. SECTION 1350,</w:t>
        <w:br/>
        <w:t>AS ADOPTED PURSUANT TO</w:t>
        <w:br/>
        <w:t>SECTION 906 OF THE SARBANES-OXLEY ACT OF 2002</w:t>
      </w:r>
    </w:p>
    <w:p>
      <w:pPr>
        <w:pStyle w:val="TextBody"/>
        <w:bidi w:val="0"/>
        <w:jc w:val="center"/>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In connection with the quarterly report of Axsome Therapeutics, Inc. (the “Company”) on Form 10-Q for the quarter ended September 30, 2023 as filed with the Securities and Exchange Commission (the “Report”), I, Nick Pizzie, Chief Financial Officer of the Company, certify, pursuant to 18 U.S.C. §1350, as adopted pursuant to §906 of the Sarbanes-Oxley Act of 2002, that, based on my knowledge:</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1) The Report fully complies with the requirements of Section 13(a) or 15(d) of the Securities Exchange Act of 1934, as amended; and</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2) The information contained in the Report fairly presents, in all material respects, the financial condition and results of operations of the Company.</w:t>
      </w:r>
    </w:p>
    <w:p>
      <w:pPr>
        <w:pStyle w:val="TextBody"/>
        <w:bidi w:val="0"/>
        <w:jc w:val="left"/>
        <w:rPr/>
      </w:pPr>
      <w:r>
        <w:rPr/>
        <w:t> </w:t>
      </w:r>
    </w:p>
    <w:tbl>
      <w:tblPr>
        <w:tblW w:w="5192" w:type="dxa"/>
        <w:jc w:val="left"/>
        <w:tblInd w:w="0" w:type="dxa"/>
        <w:tblLayout w:type="fixed"/>
        <w:tblCellMar>
          <w:top w:w="28" w:type="dxa"/>
          <w:left w:w="28" w:type="dxa"/>
          <w:bottom w:w="28" w:type="dxa"/>
          <w:right w:w="28" w:type="dxa"/>
        </w:tblCellMar>
      </w:tblPr>
      <w:tblGrid>
        <w:gridCol w:w="1876"/>
        <w:gridCol w:w="3316"/>
      </w:tblGrid>
      <w:tr>
        <w:trPr/>
        <w:tc>
          <w:tcPr>
            <w:tcW w:w="187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pPr>
            <w:r>
              <w:rPr/>
              <w:t> </w:t>
            </w:r>
          </w:p>
        </w:tc>
      </w:tr>
      <w:tr>
        <w:trPr/>
        <w:tc>
          <w:tcPr>
            <w:tcW w:w="187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Date: November 6, 2023</w:t>
            </w:r>
          </w:p>
        </w:tc>
        <w:tc>
          <w:tcPr>
            <w:tcW w:w="331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 Nick Pizzie</w:t>
            </w:r>
          </w:p>
        </w:tc>
      </w:tr>
      <w:tr>
        <w:trPr/>
        <w:tc>
          <w:tcPr>
            <w:tcW w:w="187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Nick Pizzie</w:t>
              <w:br/>
              <w:t>Chief Financial Officer</w:t>
              <w:br/>
              <w:t>(Principal Financial and Accounting Officer)</w:t>
            </w:r>
          </w:p>
        </w:tc>
      </w:tr>
    </w:tbl>
    <w:p>
      <w:pPr>
        <w:pStyle w:val="TextBody"/>
        <w:bidi w:val="0"/>
        <w:jc w:val="left"/>
        <w:rPr/>
      </w:pPr>
      <w:r>
        <w:rPr/>
        <w:t> </w:t>
      </w:r>
    </w:p>
    <w:p>
      <w:pPr>
        <w:pStyle w:val="TextBody"/>
        <w:bidi w:val="0"/>
        <w:spacing w:before="54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64407</Words>
  <Characters>357561</Characters>
  <CharactersWithSpaces>422035</CharactersWithSpaces>
  <Paragraphs>6182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