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serif" w:hAnsi="Times New Roman;serif"/>
          <w:b/>
          <w:sz w:val="18"/>
        </w:rPr>
      </w:pPr>
      <w:bookmarkStart w:id="0" w:name="s-8_2023.htm"/>
      <w:bookmarkStart w:id="1" w:name="kss8_2023"/>
      <w:bookmarkEnd w:id="0"/>
      <w:bookmarkEnd w:id="1"/>
      <w:r>
        <w:rPr>
          <w:rFonts w:ascii="Times New Roman;serif" w:hAnsi="Times New Roman;serif"/>
          <w:b/>
          <w:sz w:val="18"/>
        </w:rPr>
        <w:t>As filed with the Securities and Exchange Commission on May 8, 2023</w:t>
      </w:r>
    </w:p>
    <w:p>
      <w:pPr>
        <w:pStyle w:val="TextBody"/>
        <w:spacing w:before="0" w:after="0"/>
        <w:jc w:val="right"/>
        <w:rPr>
          <w:rFonts w:ascii="Times New Roman" w:hAnsi="Times New Roman"/>
          <w:sz w:val="20"/>
        </w:rPr>
      </w:pPr>
      <w:r>
        <w:rPr>
          <w:rFonts w:ascii="Times New Roman;serif" w:hAnsi="Times New Roman;serif"/>
          <w:b/>
          <w:sz w:val="18"/>
        </w:rPr>
        <w:t>Registration No. 333-</w:t>
      </w:r>
      <w:r>
        <w:rPr>
          <w:rFonts w:ascii="Times New Roman" w:hAnsi="Times New Roman"/>
          <w:sz w:val="20"/>
        </w:rPr>
        <w:t xml:space="preserve"> </w:t>
      </w:r>
    </w:p>
    <w:p>
      <w:pPr>
        <w:pStyle w:val="TextBody"/>
        <w:spacing w:before="0" w:after="0"/>
        <w:jc w:val="right"/>
        <w:rPr/>
      </w:pPr>
      <w:r>
        <w:rPr/>
        <w:t> </w:t>
      </w:r>
    </w:p>
    <w:p>
      <w:pPr>
        <w:pStyle w:val="TextBody"/>
        <w:spacing w:before="0" w:after="0"/>
        <w:jc w:val="center"/>
        <w:rPr>
          <w:rFonts w:ascii="Times New Roman;serif" w:hAnsi="Times New Roman;serif"/>
          <w:b/>
          <w:sz w:val="34"/>
        </w:rPr>
      </w:pPr>
      <w:r>
        <w:rPr>
          <w:rFonts w:ascii="Times New Roman;serif" w:hAnsi="Times New Roman;serif"/>
          <w:b/>
          <w:sz w:val="34"/>
        </w:rPr>
        <w:t>SECURITIES AND EXCHANGE COMMISSION</w:t>
      </w:r>
    </w:p>
    <w:p>
      <w:pPr>
        <w:pStyle w:val="TextBody"/>
        <w:spacing w:before="0" w:after="0"/>
        <w:jc w:val="center"/>
        <w:rPr>
          <w:rFonts w:ascii="Times New Roman;serif" w:hAnsi="Times New Roman;serif"/>
          <w:b/>
          <w:sz w:val="18"/>
        </w:rPr>
      </w:pPr>
      <w:r>
        <w:rPr>
          <w:rFonts w:ascii="Times New Roman;serif" w:hAnsi="Times New Roman;serif"/>
          <w:b/>
          <w:sz w:val="18"/>
        </w:rPr>
        <w:t>Washington, D.C. 20549</w:t>
      </w:r>
    </w:p>
    <w:p>
      <w:pPr>
        <w:pStyle w:val="TextBody"/>
        <w:spacing w:before="0" w:after="0"/>
        <w:jc w:val="center"/>
        <w:rPr>
          <w:rFonts w:ascii="Times New Roman;serif" w:hAnsi="Times New Roman;serif"/>
          <w:b/>
          <w:sz w:val="34"/>
        </w:rPr>
      </w:pPr>
      <w:r>
        <w:rPr>
          <w:rFonts w:ascii="Times New Roman;serif" w:hAnsi="Times New Roman;serif"/>
          <w:b/>
          <w:sz w:val="34"/>
        </w:rPr>
        <w:t>FORM S-8</w:t>
      </w:r>
    </w:p>
    <w:p>
      <w:pPr>
        <w:pStyle w:val="TextBody"/>
        <w:spacing w:before="0" w:after="0"/>
        <w:jc w:val="center"/>
        <w:rPr>
          <w:rFonts w:ascii="Times New Roman;serif" w:hAnsi="Times New Roman;serif"/>
          <w:b/>
          <w:sz w:val="22"/>
        </w:rPr>
      </w:pPr>
      <w:r>
        <w:rPr>
          <w:rFonts w:ascii="Times New Roman;serif" w:hAnsi="Times New Roman;serif"/>
          <w:b/>
          <w:sz w:val="22"/>
        </w:rPr>
        <w:t>REGISTRATION STATEMENT</w:t>
      </w:r>
    </w:p>
    <w:p>
      <w:pPr>
        <w:pStyle w:val="TextBody"/>
        <w:spacing w:before="0" w:after="0"/>
        <w:jc w:val="center"/>
        <w:rPr>
          <w:rFonts w:ascii="Times New Roman;serif" w:hAnsi="Times New Roman;serif"/>
          <w:b/>
          <w:sz w:val="22"/>
        </w:rPr>
      </w:pPr>
      <w:r>
        <w:rPr>
          <w:rFonts w:ascii="Times New Roman;serif" w:hAnsi="Times New Roman;serif"/>
          <w:b/>
          <w:sz w:val="22"/>
        </w:rPr>
        <w:t>Under</w:t>
      </w:r>
    </w:p>
    <w:p>
      <w:pPr>
        <w:pStyle w:val="TextBody"/>
        <w:spacing w:before="0" w:after="0"/>
        <w:jc w:val="center"/>
        <w:rPr>
          <w:rFonts w:ascii="Times New Roman;serif" w:hAnsi="Times New Roman;serif"/>
          <w:b/>
          <w:sz w:val="22"/>
        </w:rPr>
      </w:pPr>
      <w:r>
        <w:rPr>
          <w:rFonts w:ascii="Times New Roman;serif" w:hAnsi="Times New Roman;serif"/>
          <w:b/>
          <w:sz w:val="22"/>
        </w:rPr>
        <w:t>The Securities Act of 1933</w:t>
      </w:r>
    </w:p>
    <w:p>
      <w:pPr>
        <w:pStyle w:val="TextBody"/>
        <w:spacing w:before="0" w:after="0"/>
        <w:jc w:val="center"/>
        <w:rPr>
          <w:rFonts w:ascii="Times New Roman;serif" w:hAnsi="Times New Roman;serif"/>
          <w:b/>
          <w:sz w:val="34"/>
        </w:rPr>
      </w:pPr>
      <w:r>
        <w:rPr>
          <w:rFonts w:ascii="Times New Roman;serif" w:hAnsi="Times New Roman;serif"/>
          <w:b/>
          <w:sz w:val="34"/>
        </w:rPr>
        <w:t>AXSOME THERAPEUTICS, INC.</w:t>
      </w:r>
    </w:p>
    <w:p>
      <w:pPr>
        <w:pStyle w:val="TextBody"/>
        <w:spacing w:before="0" w:after="0"/>
        <w:jc w:val="center"/>
        <w:rPr>
          <w:rFonts w:ascii="Times New Roman;serif" w:hAnsi="Times New Roman;serif"/>
          <w:b w:val="false"/>
          <w:sz w:val="18"/>
        </w:rPr>
      </w:pPr>
      <w:r>
        <w:rPr>
          <w:rFonts w:ascii="Times New Roman;serif" w:hAnsi="Times New Roman;serif"/>
          <w:b w:val="false"/>
          <w:sz w:val="18"/>
        </w:rPr>
        <w:t>(Exact name of registrant as specified in its charter)</w:t>
      </w:r>
    </w:p>
    <w:tbl>
      <w:tblPr>
        <w:tblW w:w="5158" w:type="dxa"/>
        <w:jc w:val="left"/>
        <w:tblInd w:w="0" w:type="dxa"/>
        <w:tblCellMar>
          <w:top w:w="28" w:type="dxa"/>
          <w:left w:w="28" w:type="dxa"/>
          <w:bottom w:w="28" w:type="dxa"/>
          <w:right w:w="28" w:type="dxa"/>
        </w:tblCellMar>
      </w:tblPr>
      <w:tblGrid>
        <w:gridCol w:w="2431"/>
        <w:gridCol w:w="146"/>
        <w:gridCol w:w="2581"/>
      </w:tblGrid>
      <w:tr>
        <w:trPr/>
        <w:tc>
          <w:tcPr>
            <w:tcW w:w="24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1" w:type="dxa"/>
            <w:tcBorders/>
            <w:shd w:fill="auto" w:val="clear"/>
            <w:vAlign w:val="center"/>
          </w:tcPr>
          <w:p>
            <w:pPr>
              <w:pStyle w:val="TableContents"/>
              <w:spacing w:before="0" w:after="283"/>
              <w:rPr>
                <w:sz w:val="4"/>
                <w:szCs w:val="4"/>
              </w:rPr>
            </w:pPr>
            <w:r>
              <w:rPr>
                <w:sz w:val="4"/>
                <w:szCs w:val="4"/>
              </w:rPr>
            </w:r>
          </w:p>
        </w:tc>
      </w:tr>
      <w:tr>
        <w:trPr/>
        <w:tc>
          <w:tcPr>
            <w:tcW w:w="24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Delaware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8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45-4241907</w:t>
            </w:r>
          </w:p>
        </w:tc>
      </w:tr>
      <w:tr>
        <w:trPr/>
        <w:tc>
          <w:tcPr>
            <w:tcW w:w="24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(State or other jurisdiction</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8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(IRS Employer Identification No.)</w:t>
            </w:r>
          </w:p>
        </w:tc>
      </w:tr>
      <w:tr>
        <w:trPr/>
        <w:tc>
          <w:tcPr>
            <w:tcW w:w="24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of incorporation or organization)</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8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sz w:val="18"/>
        </w:rPr>
      </w:pPr>
      <w:r>
        <w:rPr>
          <w:rFonts w:ascii="Times New Roman;serif" w:hAnsi="Times New Roman;serif"/>
          <w:b/>
          <w:sz w:val="18"/>
        </w:rPr>
        <w:t>One World Trade Center</w:t>
      </w:r>
    </w:p>
    <w:p>
      <w:pPr>
        <w:pStyle w:val="TextBody"/>
        <w:spacing w:before="0" w:after="0"/>
        <w:jc w:val="center"/>
        <w:rPr>
          <w:rFonts w:ascii="Times New Roman;serif" w:hAnsi="Times New Roman;serif"/>
          <w:b/>
          <w:sz w:val="18"/>
        </w:rPr>
      </w:pPr>
      <w:r>
        <w:rPr>
          <w:rFonts w:ascii="Times New Roman;serif" w:hAnsi="Times New Roman;serif"/>
          <w:b/>
          <w:sz w:val="18"/>
        </w:rPr>
        <w:t>22nd Floor</w:t>
      </w:r>
    </w:p>
    <w:p>
      <w:pPr>
        <w:pStyle w:val="TextBody"/>
        <w:spacing w:before="0" w:after="0"/>
        <w:jc w:val="center"/>
        <w:rPr>
          <w:rFonts w:ascii="Times New Roman;serif" w:hAnsi="Times New Roman;serif"/>
          <w:b/>
          <w:sz w:val="18"/>
        </w:rPr>
      </w:pPr>
      <w:r>
        <w:rPr>
          <w:rFonts w:ascii="Times New Roman;serif" w:hAnsi="Times New Roman;serif"/>
          <w:b/>
          <w:sz w:val="18"/>
        </w:rPr>
        <w:t>New York, New York 10007</w:t>
      </w:r>
    </w:p>
    <w:p>
      <w:pPr>
        <w:pStyle w:val="TextBody"/>
        <w:spacing w:before="0" w:after="0"/>
        <w:jc w:val="center"/>
        <w:rPr>
          <w:rFonts w:ascii="Times New Roman;serif" w:hAnsi="Times New Roman;serif"/>
          <w:b w:val="false"/>
          <w:sz w:val="18"/>
        </w:rPr>
      </w:pPr>
      <w:r>
        <w:rPr>
          <w:rFonts w:ascii="Times New Roman;serif" w:hAnsi="Times New Roman;serif"/>
          <w:b w:val="false"/>
          <w:sz w:val="18"/>
        </w:rPr>
        <w:t>(Address of principal executive offices) (Zip Code)</w:t>
      </w:r>
    </w:p>
    <w:p>
      <w:pPr>
        <w:pStyle w:val="TextBody"/>
        <w:spacing w:before="0" w:after="0"/>
        <w:jc w:val="center"/>
        <w:rPr/>
      </w:pPr>
      <w:r>
        <w:rPr/>
        <w:t> </w:t>
      </w:r>
    </w:p>
    <w:p>
      <w:pPr>
        <w:pStyle w:val="TextBody"/>
        <w:spacing w:before="0" w:after="0"/>
        <w:jc w:val="center"/>
        <w:rPr>
          <w:rFonts w:ascii="Times New Roman;serif" w:hAnsi="Times New Roman;serif"/>
          <w:b/>
          <w:sz w:val="18"/>
        </w:rPr>
      </w:pPr>
      <w:r>
        <w:rPr>
          <w:rFonts w:ascii="Times New Roman;serif" w:hAnsi="Times New Roman;serif"/>
          <w:b/>
          <w:sz w:val="18"/>
        </w:rPr>
        <w:t>Axsome Therapeutics, Inc. Amended and Restated 2015 Omnibus Incentive Compensation Plan</w:t>
      </w:r>
    </w:p>
    <w:p>
      <w:pPr>
        <w:pStyle w:val="TextBody"/>
        <w:spacing w:before="0" w:after="0"/>
        <w:jc w:val="center"/>
        <w:rPr>
          <w:rFonts w:ascii="Times New Roman;serif" w:hAnsi="Times New Roman;serif"/>
          <w:b w:val="false"/>
          <w:sz w:val="18"/>
        </w:rPr>
      </w:pPr>
      <w:r>
        <w:rPr>
          <w:rFonts w:ascii="Times New Roman;serif" w:hAnsi="Times New Roman;serif"/>
          <w:b w:val="false"/>
          <w:sz w:val="18"/>
        </w:rPr>
        <w:t>(Full title of the Plans)</w:t>
      </w:r>
    </w:p>
    <w:p>
      <w:pPr>
        <w:pStyle w:val="TextBody"/>
        <w:spacing w:before="0" w:after="0"/>
        <w:jc w:val="center"/>
        <w:rPr/>
      </w:pPr>
      <w:r>
        <w:rPr/>
        <w:t> </w:t>
      </w:r>
    </w:p>
    <w:p>
      <w:pPr>
        <w:pStyle w:val="TextBody"/>
        <w:spacing w:before="0" w:after="0"/>
        <w:jc w:val="center"/>
        <w:rPr>
          <w:rFonts w:ascii="Times New Roman;serif" w:hAnsi="Times New Roman;serif"/>
          <w:b/>
          <w:sz w:val="18"/>
        </w:rPr>
      </w:pPr>
      <w:r>
        <w:rPr>
          <w:rFonts w:ascii="Times New Roman;serif" w:hAnsi="Times New Roman;serif"/>
          <w:b/>
          <w:sz w:val="18"/>
        </w:rPr>
        <w:t xml:space="preserve">Herriot Tabuteau, M.D. </w:t>
        <w:br/>
        <w:t xml:space="preserve">President and Chief Executive Officer </w:t>
        <w:br/>
        <w:t xml:space="preserve">Axsome Therapeutics, Inc. </w:t>
        <w:br/>
        <w:t>One World Trade Center</w:t>
        <w:br/>
        <w:t>22nd Floor</w:t>
      </w:r>
    </w:p>
    <w:p>
      <w:pPr>
        <w:pStyle w:val="TextBody"/>
        <w:spacing w:before="0" w:after="0"/>
        <w:jc w:val="center"/>
        <w:rPr>
          <w:rFonts w:ascii="Times New Roman;serif" w:hAnsi="Times New Roman;serif"/>
          <w:b/>
          <w:sz w:val="18"/>
        </w:rPr>
      </w:pPr>
      <w:r>
        <w:rPr>
          <w:rFonts w:ascii="Times New Roman;serif" w:hAnsi="Times New Roman;serif"/>
          <w:b/>
          <w:sz w:val="18"/>
        </w:rPr>
        <w:t>New York, New York 10007</w:t>
      </w:r>
    </w:p>
    <w:p>
      <w:pPr>
        <w:pStyle w:val="TextBody"/>
        <w:spacing w:before="0" w:after="0"/>
        <w:jc w:val="center"/>
        <w:rPr>
          <w:rFonts w:ascii="Times New Roman;serif" w:hAnsi="Times New Roman;serif"/>
          <w:b w:val="false"/>
          <w:sz w:val="18"/>
        </w:rPr>
      </w:pPr>
      <w:r>
        <w:rPr>
          <w:rFonts w:ascii="Times New Roman;serif" w:hAnsi="Times New Roman;serif"/>
          <w:b w:val="false"/>
          <w:sz w:val="18"/>
        </w:rPr>
        <w:t>(Name and address of agent for service)</w:t>
      </w:r>
    </w:p>
    <w:p>
      <w:pPr>
        <w:pStyle w:val="TextBody"/>
        <w:spacing w:before="0" w:after="0"/>
        <w:jc w:val="center"/>
        <w:rPr>
          <w:rFonts w:ascii="Times New Roman;serif" w:hAnsi="Times New Roman;serif"/>
          <w:b/>
          <w:sz w:val="18"/>
        </w:rPr>
      </w:pPr>
      <w:r>
        <w:rPr>
          <w:rFonts w:ascii="Times New Roman;serif" w:hAnsi="Times New Roman;serif"/>
          <w:b/>
          <w:sz w:val="18"/>
        </w:rPr>
        <w:t>(212) 332-3241</w:t>
      </w:r>
    </w:p>
    <w:p>
      <w:pPr>
        <w:pStyle w:val="TextBody"/>
        <w:spacing w:before="0" w:after="0"/>
        <w:jc w:val="center"/>
        <w:rPr>
          <w:rFonts w:ascii="Times New Roman;serif" w:hAnsi="Times New Roman;serif"/>
          <w:b w:val="false"/>
          <w:sz w:val="18"/>
        </w:rPr>
      </w:pPr>
      <w:r>
        <w:rPr>
          <w:rFonts w:ascii="Times New Roman;serif" w:hAnsi="Times New Roman;serif"/>
          <w:b w:val="false"/>
          <w:sz w:val="18"/>
        </w:rPr>
        <w:t>(Telephone number, including area code, of agent for service)</w:t>
      </w:r>
    </w:p>
    <w:p>
      <w:pPr>
        <w:pStyle w:val="TextBody"/>
        <w:spacing w:before="0" w:after="0"/>
        <w:jc w:val="center"/>
        <w:rPr/>
      </w:pPr>
      <w:r>
        <w:rPr/>
        <w:t> </w:t>
      </w:r>
    </w:p>
    <w:p>
      <w:pPr>
        <w:pStyle w:val="TextBody"/>
        <w:spacing w:before="0" w:after="0"/>
        <w:jc w:val="center"/>
        <w:rPr>
          <w:rFonts w:ascii="Times New Roman;serif" w:hAnsi="Times New Roman;serif"/>
          <w:b/>
          <w:sz w:val="18"/>
        </w:rPr>
      </w:pPr>
      <w:r>
        <w:rPr>
          <w:rFonts w:ascii="Times New Roman;serif" w:hAnsi="Times New Roman;serif"/>
          <w:b/>
          <w:sz w:val="18"/>
        </w:rPr>
        <w:t>Copies to:</w:t>
      </w:r>
    </w:p>
    <w:p>
      <w:pPr>
        <w:pStyle w:val="TextBody"/>
        <w:spacing w:before="0" w:after="0"/>
        <w:jc w:val="center"/>
        <w:rPr/>
      </w:pPr>
      <w:r>
        <w:rPr/>
        <w:t> </w:t>
      </w:r>
    </w:p>
    <w:tbl>
      <w:tblPr>
        <w:tblW w:w="6482" w:type="dxa"/>
        <w:jc w:val="left"/>
        <w:tblInd w:w="0" w:type="dxa"/>
        <w:tblCellMar>
          <w:top w:w="28" w:type="dxa"/>
          <w:left w:w="28" w:type="dxa"/>
          <w:bottom w:w="28" w:type="dxa"/>
          <w:right w:w="28" w:type="dxa"/>
        </w:tblCellMar>
      </w:tblPr>
      <w:tblGrid>
        <w:gridCol w:w="3061"/>
        <w:gridCol w:w="3421"/>
      </w:tblGrid>
      <w:tr>
        <w:trPr/>
        <w:tc>
          <w:tcPr>
            <w:tcW w:w="3061" w:type="dxa"/>
            <w:tcBorders/>
            <w:shd w:fill="auto" w:val="clear"/>
            <w:vAlign w:val="center"/>
          </w:tcPr>
          <w:p>
            <w:pPr>
              <w:pStyle w:val="TableContents"/>
              <w:spacing w:before="0" w:after="283"/>
              <w:rPr>
                <w:sz w:val="4"/>
                <w:szCs w:val="4"/>
              </w:rPr>
            </w:pPr>
            <w:r>
              <w:rPr>
                <w:sz w:val="4"/>
                <w:szCs w:val="4"/>
              </w:rPr>
            </w:r>
          </w:p>
        </w:tc>
        <w:tc>
          <w:tcPr>
            <w:tcW w:w="3421" w:type="dxa"/>
            <w:tcBorders/>
            <w:shd w:fill="auto" w:val="clear"/>
            <w:vAlign w:val="center"/>
          </w:tcPr>
          <w:p>
            <w:pPr>
              <w:pStyle w:val="TableContents"/>
              <w:spacing w:before="0" w:after="283"/>
              <w:rPr>
                <w:sz w:val="4"/>
                <w:szCs w:val="4"/>
              </w:rPr>
            </w:pPr>
            <w:r>
              <w:rPr>
                <w:sz w:val="4"/>
                <w:szCs w:val="4"/>
              </w:rPr>
            </w:r>
          </w:p>
        </w:tc>
      </w:tr>
      <w:tr>
        <w:trPr/>
        <w:tc>
          <w:tcPr>
            <w:tcW w:w="306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p>
            <w:pPr>
              <w:pStyle w:val="TableContents"/>
              <w:spacing w:before="0" w:after="0"/>
              <w:ind w:left="0" w:right="0" w:hanging="0"/>
              <w:jc w:val="left"/>
              <w:rPr>
                <w:rFonts w:ascii="Times New Roman" w:hAnsi="Times New Roman"/>
                <w:sz w:val="18"/>
              </w:rPr>
            </w:pPr>
            <w:r>
              <w:rPr>
                <w:rFonts w:ascii="Times New Roman;serif" w:hAnsi="Times New Roman;serif"/>
                <w:b/>
                <w:sz w:val="18"/>
              </w:rPr>
              <w:t>Emilio Ragosa</w:t>
            </w:r>
            <w:r>
              <w:rPr>
                <w:rFonts w:ascii="Times New Roman" w:hAnsi="Times New Roman"/>
                <w:sz w:val="18"/>
              </w:rPr>
              <w:t xml:space="preserve"> </w:t>
            </w:r>
          </w:p>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DLA Piper LLP (US)</w:t>
            </w:r>
          </w:p>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51 John F. Kennedy Parkway, Suite 120</w:t>
            </w:r>
            <w:r>
              <w:rPr>
                <w:rFonts w:ascii="Times New Roman" w:hAnsi="Times New Roman"/>
                <w:sz w:val="18"/>
              </w:rPr>
              <w:t xml:space="preserve"> </w:t>
            </w:r>
          </w:p>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Short Hills, New Jersey 07078</w:t>
            </w:r>
          </w:p>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Telephone: (973) 520-2550</w:t>
            </w:r>
          </w:p>
        </w:tc>
        <w:tc>
          <w:tcPr>
            <w:tcW w:w="342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r>
              <w:rPr>
                <w:rFonts w:ascii="Times New Roman;serif" w:hAnsi="Times New Roman;serif"/>
                <w:b/>
                <w:sz w:val="18"/>
              </w:rPr>
              <w:t>Hunter Murdock</w:t>
            </w:r>
          </w:p>
          <w:p>
            <w:pPr>
              <w:pStyle w:val="TableContents"/>
              <w:spacing w:before="0" w:after="0"/>
              <w:ind w:left="0" w:right="0" w:hanging="0"/>
              <w:jc w:val="center"/>
              <w:rPr/>
            </w:pPr>
            <w:r>
              <w:rPr/>
              <w:t>    </w:t>
            </w:r>
            <w:r>
              <w:rPr>
                <w:rFonts w:ascii="Times New Roman;serif" w:hAnsi="Times New Roman;serif"/>
                <w:b w:val="false"/>
                <w:sz w:val="18"/>
              </w:rPr>
              <w:t>General Counsel</w:t>
            </w:r>
          </w:p>
          <w:p>
            <w:pPr>
              <w:pStyle w:val="TableContents"/>
              <w:spacing w:before="0" w:after="0"/>
              <w:ind w:left="0" w:right="0" w:hanging="0"/>
              <w:jc w:val="center"/>
              <w:rPr/>
            </w:pPr>
            <w:r>
              <w:rPr/>
              <w:t>                    </w:t>
            </w:r>
            <w:r>
              <w:rPr>
                <w:rFonts w:ascii="Times New Roman;serif" w:hAnsi="Times New Roman;serif"/>
                <w:b w:val="false"/>
                <w:sz w:val="18"/>
              </w:rPr>
              <w:t>Axsome Therapeutics, Inc.</w:t>
            </w:r>
          </w:p>
          <w:p>
            <w:pPr>
              <w:pStyle w:val="TableContents"/>
              <w:spacing w:before="0" w:after="0"/>
              <w:ind w:left="0" w:right="0" w:hanging="0"/>
              <w:jc w:val="center"/>
              <w:rPr/>
            </w:pPr>
            <w:r>
              <w:rPr/>
              <w:t>                 </w:t>
            </w:r>
            <w:r>
              <w:rPr>
                <w:rFonts w:ascii="Times New Roman;serif" w:hAnsi="Times New Roman;serif"/>
                <w:b w:val="false"/>
                <w:sz w:val="18"/>
              </w:rPr>
              <w:t>One World Trade Center</w:t>
            </w:r>
          </w:p>
          <w:p>
            <w:pPr>
              <w:pStyle w:val="TableContents"/>
              <w:spacing w:before="0" w:after="0"/>
              <w:ind w:left="0" w:right="0" w:hanging="0"/>
              <w:jc w:val="left"/>
              <w:rPr/>
            </w:pPr>
            <w:r>
              <w:rPr/>
              <w:t>                                        </w:t>
            </w:r>
            <w:r>
              <w:rPr>
                <w:rFonts w:ascii="Times New Roman;serif" w:hAnsi="Times New Roman;serif"/>
                <w:b w:val="false"/>
                <w:sz w:val="18"/>
              </w:rPr>
              <w:t>22nd Floor</w:t>
            </w:r>
          </w:p>
          <w:p>
            <w:pPr>
              <w:pStyle w:val="TableContents"/>
              <w:spacing w:before="0" w:after="0"/>
              <w:ind w:left="0" w:right="0" w:hanging="0"/>
              <w:jc w:val="center"/>
              <w:rPr/>
            </w:pPr>
            <w:r>
              <w:rPr/>
              <w:t>             </w:t>
            </w:r>
            <w:r>
              <w:rPr>
                <w:rFonts w:ascii="Times New Roman;serif" w:hAnsi="Times New Roman;serif"/>
                <w:b w:val="false"/>
                <w:sz w:val="18"/>
              </w:rPr>
              <w:t>New York, NY 10007</w:t>
            </w:r>
          </w:p>
          <w:p>
            <w:pPr>
              <w:pStyle w:val="TableContents"/>
              <w:spacing w:before="0" w:after="0"/>
              <w:ind w:left="0" w:right="0" w:hanging="0"/>
              <w:jc w:val="center"/>
              <w:rPr/>
            </w:pPr>
            <w:r>
              <w:rPr/>
              <w:t>                      </w:t>
            </w:r>
            <w:r>
              <w:rPr>
                <w:rFonts w:ascii="Times New Roman;serif" w:hAnsi="Times New Roman;serif"/>
                <w:b w:val="false"/>
                <w:sz w:val="18"/>
              </w:rPr>
              <w:t>Telephone: (212) 332-3241</w:t>
            </w:r>
          </w:p>
          <w:p>
            <w:pPr>
              <w:pStyle w:val="TableContents"/>
              <w:spacing w:before="0" w:after="0"/>
              <w:ind w:left="0" w:right="0" w:hanging="0"/>
              <w:jc w:val="center"/>
              <w:rPr/>
            </w:pPr>
            <w:r>
              <w:rPr/>
              <w:t> </w:t>
            </w:r>
          </w:p>
        </w:tc>
      </w:tr>
    </w:tbl>
    <w:p>
      <w:pPr>
        <w:pStyle w:val="TextBody"/>
        <w:spacing w:before="0" w:after="0"/>
        <w:jc w:val="center"/>
        <w:rPr/>
      </w:pPr>
      <w:r>
        <w:rPr/>
        <w:t> </w:t>
      </w:r>
    </w:p>
    <w:p>
      <w:pPr>
        <w:pStyle w:val="TextBody"/>
        <w:spacing w:before="0" w:after="0"/>
        <w:jc w:val="center"/>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318" w:type="dxa"/>
        <w:jc w:val="left"/>
        <w:tblInd w:w="0" w:type="dxa"/>
        <w:tblCellMar>
          <w:top w:w="28" w:type="dxa"/>
          <w:left w:w="28" w:type="dxa"/>
          <w:bottom w:w="28" w:type="dxa"/>
          <w:right w:w="28" w:type="dxa"/>
        </w:tblCellMar>
      </w:tblPr>
      <w:tblGrid>
        <w:gridCol w:w="1876"/>
        <w:gridCol w:w="146"/>
        <w:gridCol w:w="2296"/>
      </w:tblGrid>
      <w:tr>
        <w:trPr/>
        <w:tc>
          <w:tcPr>
            <w:tcW w:w="18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6" w:type="dxa"/>
            <w:tcBorders/>
            <w:shd w:fill="auto" w:val="clear"/>
            <w:vAlign w:val="center"/>
          </w:tcPr>
          <w:p>
            <w:pPr>
              <w:pStyle w:val="TableContents"/>
              <w:spacing w:before="0" w:after="283"/>
              <w:rPr>
                <w:sz w:val="4"/>
                <w:szCs w:val="4"/>
              </w:rPr>
            </w:pPr>
            <w:r>
              <w:rPr>
                <w:sz w:val="4"/>
                <w:szCs w:val="4"/>
              </w:rPr>
            </w:r>
          </w:p>
        </w:tc>
      </w:tr>
      <w:tr>
        <w:trPr/>
        <w:tc>
          <w:tcPr>
            <w:tcW w:w="187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18"/>
              </w:rPr>
            </w:pPr>
            <w:r>
              <w:rPr>
                <w:rFonts w:ascii="Times New Roman;serif" w:hAnsi="Times New Roman;serif"/>
                <w:b w:val="false"/>
                <w:sz w:val="18"/>
              </w:rPr>
              <w:t xml:space="preserve">Large accelerated filer </w:t>
            </w:r>
            <w:r>
              <w:rPr>
                <w:rFonts w:ascii="Times New Roman" w:hAnsi="Times New Roman"/>
                <w:sz w:val="18"/>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2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18"/>
              </w:rPr>
            </w:pPr>
            <w:r>
              <w:rPr>
                <w:rFonts w:ascii="Times New Roman;serif" w:hAnsi="Times New Roman;serif"/>
                <w:b w:val="false"/>
                <w:sz w:val="18"/>
              </w:rPr>
              <w:t xml:space="preserve">Accelerated filer </w:t>
            </w:r>
            <w:r>
              <w:rPr>
                <w:rFonts w:ascii="Times New Roman" w:hAnsi="Times New Roman"/>
                <w:sz w:val="18"/>
              </w:rPr>
              <w:t>☐</w:t>
            </w:r>
          </w:p>
        </w:tc>
      </w:tr>
      <w:tr>
        <w:trPr/>
        <w:tc>
          <w:tcPr>
            <w:tcW w:w="187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18"/>
              </w:rPr>
            </w:pPr>
            <w:r>
              <w:rPr>
                <w:rFonts w:ascii="Times New Roman;serif" w:hAnsi="Times New Roman;serif"/>
                <w:b w:val="false"/>
                <w:sz w:val="18"/>
              </w:rPr>
              <w:t xml:space="preserve">Non-accelerated filer </w:t>
            </w:r>
            <w:r>
              <w:rPr>
                <w:rFonts w:ascii="Times New Roman" w:hAnsi="Times New Roman"/>
                <w:sz w:val="18"/>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2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18"/>
              </w:rPr>
            </w:pPr>
            <w:r>
              <w:rPr>
                <w:rFonts w:ascii="Times New Roman;serif" w:hAnsi="Times New Roman;serif"/>
                <w:b w:val="false"/>
                <w:sz w:val="18"/>
              </w:rPr>
              <w:t xml:space="preserve">Smaller reporting company </w:t>
            </w:r>
            <w:r>
              <w:rPr>
                <w:rFonts w:ascii="Times New Roman" w:hAnsi="Times New Roman"/>
                <w:sz w:val="18"/>
              </w:rPr>
              <w:t>☐</w:t>
            </w:r>
          </w:p>
        </w:tc>
      </w:tr>
      <w:tr>
        <w:trPr/>
        <w:tc>
          <w:tcPr>
            <w:tcW w:w="187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2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18"/>
              </w:rPr>
            </w:pPr>
            <w:r>
              <w:rPr>
                <w:rFonts w:ascii="Times New Roman;serif" w:hAnsi="Times New Roman;serif"/>
                <w:b w:val="false"/>
                <w:sz w:val="18"/>
              </w:rPr>
              <w:t xml:space="preserve">Emerging growth company </w:t>
            </w:r>
            <w:r>
              <w:rPr>
                <w:rFonts w:ascii="Times New Roman" w:hAnsi="Times New Roman"/>
                <w:sz w:val="18"/>
              </w:rPr>
              <w:t>☐</w:t>
            </w:r>
          </w:p>
        </w:tc>
      </w:tr>
    </w:tbl>
    <w:p>
      <w:pPr>
        <w:pStyle w:val="TextBody"/>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w:hAnsi="Times New Roman"/>
          <w:sz w:val="20"/>
        </w:rPr>
        <w:t>☐</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PART II</w:t>
      </w:r>
    </w:p>
    <w:p>
      <w:pPr>
        <w:pStyle w:val="TextBody"/>
        <w:spacing w:before="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Information Required in the Registration Statement</w:t>
      </w:r>
    </w:p>
    <w:p>
      <w:pPr>
        <w:pStyle w:val="TextBody"/>
        <w:spacing w:before="0" w:after="0"/>
        <w:jc w:val="center"/>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This Registration Statement relates to the registration of an additional 1,739,944 shares (the “Shares”) of the common stock, par value $0.0001 per share, of Axsome Therapeutics, Inc. (the “Registrant”). The Shares are securities of the same class and relate to the same employee benefit plan, the 2015 Omnibus Incentive Compensation Plan, as those registered pursuant to the Registrant’s registration statements on Form S-8, previously filed with the Securities and Exchange Commission on December 16, 2015, March 29, 2017, August 13, 2018, March 15, 2019, May 11, 2020, May 11, 2021 and May 2, 2022. In accordance with General Instruction E of Form S-8, the contents of the Registrant’s registration statements on Form S-8 (File Nos. 333-208579, 333-217002, 333-226824, 333-230296, 333-238174, 333-256019, and 333-264621) filed with the Securities and Exchange Commission on December 16, 2015, March 29, 2017, August 13, 2018, March 15, 2019, May 11, 2020, May 11, 2021 and May 2, 2022 are incorporated herein by reference and the information required by Part II is omitted, except as supplemented by the information set forth below.</w:t>
      </w:r>
    </w:p>
    <w:p>
      <w:pPr>
        <w:pStyle w:val="TextBody"/>
        <w:spacing w:before="0" w:after="0"/>
        <w:jc w:val="left"/>
        <w:rPr/>
      </w:pPr>
      <w:r>
        <w:rPr/>
        <w:t> </w:t>
      </w:r>
    </w:p>
    <w:p>
      <w:pPr>
        <w:pStyle w:val="TextBody"/>
        <w:spacing w:before="0" w:after="120"/>
        <w:jc w:val="left"/>
        <w:rPr>
          <w:rFonts w:ascii="Times New Roman" w:hAnsi="Times New Roman"/>
          <w:sz w:val="20"/>
        </w:rPr>
      </w:pPr>
      <w:r>
        <w:rPr>
          <w:rFonts w:ascii="Times New Roman;serif" w:hAnsi="Times New Roman;serif"/>
          <w:b w:val="false"/>
          <w:sz w:val="20"/>
        </w:rPr>
        <w:t xml:space="preserve">Item 8. </w:t>
      </w:r>
      <w:r>
        <w:rPr>
          <w:rFonts w:ascii="Times New Roman;serif" w:hAnsi="Times New Roman;serif"/>
          <w:b w:val="false"/>
          <w:sz w:val="20"/>
          <w:u w:val="single"/>
        </w:rPr>
        <w:t>Exhibits</w:t>
      </w:r>
    </w:p>
    <w:tbl>
      <w:tblPr>
        <w:tblW w:w="10205" w:type="dxa"/>
        <w:jc w:val="left"/>
        <w:tblInd w:w="0" w:type="dxa"/>
        <w:tblCellMar>
          <w:top w:w="28" w:type="dxa"/>
          <w:left w:w="28" w:type="dxa"/>
          <w:bottom w:w="28" w:type="dxa"/>
          <w:right w:w="28" w:type="dxa"/>
        </w:tblCellMar>
      </w:tblPr>
      <w:tblGrid>
        <w:gridCol w:w="811"/>
        <w:gridCol w:w="146"/>
        <w:gridCol w:w="9248"/>
      </w:tblGrid>
      <w:tr>
        <w:trPr/>
        <w:tc>
          <w:tcPr>
            <w:tcW w:w="8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48" w:type="dxa"/>
            <w:tcBorders/>
            <w:shd w:fill="auto" w:val="clear"/>
            <w:vAlign w:val="center"/>
          </w:tcPr>
          <w:p>
            <w:pPr>
              <w:pStyle w:val="TableContents"/>
              <w:spacing w:before="0" w:after="283"/>
              <w:rPr>
                <w:sz w:val="4"/>
                <w:szCs w:val="4"/>
              </w:rPr>
            </w:pPr>
            <w:r>
              <w:rPr>
                <w:sz w:val="4"/>
                <w:szCs w:val="4"/>
              </w:rPr>
            </w:r>
          </w:p>
        </w:tc>
      </w:tr>
      <w:tr>
        <w:trPr/>
        <w:tc>
          <w:tcPr>
            <w:tcW w:w="81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Exhibit</w:t>
              <w:br/>
              <w:t>Number</w:t>
            </w:r>
          </w:p>
        </w:tc>
        <w:tc>
          <w:tcPr>
            <w:tcW w:w="14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8"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Exhibit</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5.1*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axsm-ex5_1.htm">
              <w:r>
                <w:rPr>
                  <w:rStyle w:val="InternetLink"/>
                  <w:rFonts w:ascii="Times New Roman;serif" w:hAnsi="Times New Roman;serif"/>
                  <w:b w:val="false"/>
                  <w:sz w:val="20"/>
                  <w:u w:val="single"/>
                </w:rPr>
                <w:t>Opinion and Consent of DLA Piper LLP (US).</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23.1*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axsm-ex5_1.htm">
              <w:r>
                <w:rPr>
                  <w:rStyle w:val="InternetLink"/>
                  <w:rFonts w:ascii="Times New Roman;serif" w:hAnsi="Times New Roman;serif"/>
                  <w:b w:val="false"/>
                  <w:sz w:val="20"/>
                  <w:u w:val="single"/>
                </w:rPr>
                <w:t>Consent of DLA Piper LLP (US) is contained in Exhibit 5.1.</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23.2*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axsm-ex23_2.htm">
              <w:r>
                <w:rPr>
                  <w:rStyle w:val="InternetLink"/>
                  <w:rFonts w:ascii="Times New Roman;serif" w:hAnsi="Times New Roman;serif"/>
                  <w:b w:val="false"/>
                  <w:sz w:val="20"/>
                  <w:u w:val="single"/>
                </w:rPr>
                <w:t>Consent of Ernst &amp; Young LLP, Independent Registered Public Accounting Firm.</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24.1*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ower_attorney">
              <w:r>
                <w:rPr>
                  <w:rStyle w:val="InternetLink"/>
                  <w:rFonts w:ascii="Times New Roman;serif" w:hAnsi="Times New Roman;serif"/>
                  <w:b w:val="false"/>
                  <w:sz w:val="20"/>
                  <w:u w:val="single"/>
                </w:rPr>
                <w:t>Power of Attorney. Reference is made to page 4 of this Registration Statement.</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99.1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
              <w:r>
                <w:rPr>
                  <w:rStyle w:val="InternetLink"/>
                  <w:rFonts w:ascii="Times New Roman;serif" w:hAnsi="Times New Roman;serif"/>
                  <w:b w:val="false"/>
                  <w:sz w:val="20"/>
                  <w:u w:val="single"/>
                </w:rPr>
                <w:t>Axsome Therapeutics, Inc. Amended and Restated 2015 Omnibus Incentive Compensation Plan (Incorporated by reference, Exhibit 10.2 to Registrant’s Quarterly Report on Form 10-Q, filed on August 10, 2020).</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99.2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
              <w:r>
                <w:rPr>
                  <w:rStyle w:val="InternetLink"/>
                  <w:rFonts w:ascii="Times New Roman;serif" w:hAnsi="Times New Roman;serif"/>
                  <w:b w:val="false"/>
                  <w:sz w:val="20"/>
                  <w:u w:val="single"/>
                </w:rPr>
                <w:t>Axsome Therapeutics, Inc. Form of Stock Option Agreement pursuant to the Amended and Restated 2015 Omnibus Incentive Compensation Plan (Incorporated by reference, Exhibit 99.2 to Registrant’s Registration Statement on Form S-8, File No. 333-208579, filed December 16, 2015).</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99.3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4">
              <w:r>
                <w:rPr>
                  <w:rStyle w:val="InternetLink"/>
                  <w:rFonts w:ascii="Times New Roman;serif" w:hAnsi="Times New Roman;serif"/>
                  <w:b w:val="false"/>
                  <w:sz w:val="20"/>
                  <w:u w:val="single"/>
                </w:rPr>
                <w:t>Axsome Therapeutics, Inc. Form of Restricted Stock Unit Agreement (Non-Executives) pursuant to the Amended and Restated 2015 Omnibus Incentive Compensation Plan (Incorporated by reference, Exhibit 99.3 to the Company’s Registration Statement on Form S-8 (File No. 333-238174), filed May 11, 2020).</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99.4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5">
              <w:r>
                <w:rPr>
                  <w:rStyle w:val="InternetLink"/>
                  <w:rFonts w:ascii="Times New Roman;serif" w:hAnsi="Times New Roman;serif"/>
                  <w:b w:val="false"/>
                  <w:sz w:val="20"/>
                  <w:u w:val="single"/>
                </w:rPr>
                <w:t>Axsome Therapeutics, Inc. Form of Restricted Stock Unit Agreement (Executives and Non-Employee Directors) pursuant to the Amended and Restated 2015 Omnibus Incentive Compensation Plan (Incorporated by reference, Exhibit 99.4 to the Company’s Registration Statement on Form S-8 (File No. 333-238174), filed May 11, 2020).</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107*</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axsm-exfiling_fees.htm">
              <w:r>
                <w:rPr>
                  <w:rStyle w:val="InternetLink"/>
                  <w:rFonts w:ascii="Times New Roman;serif" w:hAnsi="Times New Roman;serif"/>
                  <w:b w:val="false"/>
                  <w:sz w:val="20"/>
                  <w:u w:val="single"/>
                </w:rPr>
                <w:t>Filing Fee Table.</w:t>
              </w:r>
            </w:hyperlink>
            <w:hyperlink w:anchor="axsm-exfiling_fees.htm">
              <w:r>
                <w:rPr>
                  <w:rStyle w:val="InternetLink"/>
                  <w:rFonts w:ascii="Times New Roman" w:hAnsi="Times New Roman"/>
                  <w:sz w:val="24"/>
                </w:rPr>
                <w:t xml:space="preserve"> </w:t>
              </w:r>
            </w:hyperlink>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 Filed herewith</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SIGNATURES</w:t>
      </w:r>
    </w:p>
    <w:p>
      <w:pPr>
        <w:pStyle w:val="TextBody"/>
        <w:spacing w:before="0" w:after="0"/>
        <w:jc w:val="left"/>
        <w:rPr>
          <w:rFonts w:ascii="Times New Roman" w:hAnsi="Times New Roman"/>
          <w:sz w:val="20"/>
        </w:rPr>
      </w:pPr>
      <w:r>
        <w:rPr>
          <w:rFonts w:ascii="Times New Roman;serif" w:hAnsi="Times New Roman;serif"/>
          <w:b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8</w:t>
      </w:r>
      <w:r>
        <w:rPr>
          <w:rFonts w:ascii="Times New Roman;serif" w:hAnsi="Times New Roman;serif"/>
          <w:b w:val="false"/>
          <w:sz w:val="13"/>
        </w:rPr>
        <w:t>th</w:t>
      </w:r>
      <w:r>
        <w:rPr>
          <w:rFonts w:ascii="Times New Roman" w:hAnsi="Times New Roman"/>
          <w:sz w:val="20"/>
        </w:rPr>
        <w:t xml:space="preserve"> </w:t>
      </w:r>
      <w:r>
        <w:rPr>
          <w:rFonts w:ascii="Times New Roman;serif" w:hAnsi="Times New Roman;serif"/>
          <w:b w:val="false"/>
          <w:sz w:val="20"/>
        </w:rPr>
        <w:t>day of May, 2023.</w:t>
      </w:r>
    </w:p>
    <w:tbl>
      <w:tblPr>
        <w:tblW w:w="3206" w:type="dxa"/>
        <w:jc w:val="left"/>
        <w:tblInd w:w="0" w:type="dxa"/>
        <w:tblCellMar>
          <w:top w:w="28" w:type="dxa"/>
          <w:left w:w="28" w:type="dxa"/>
          <w:bottom w:w="28" w:type="dxa"/>
          <w:right w:w="28" w:type="dxa"/>
        </w:tblCellMar>
      </w:tblPr>
      <w:tblGrid>
        <w:gridCol w:w="161"/>
        <w:gridCol w:w="403"/>
        <w:gridCol w:w="2642"/>
      </w:tblGrid>
      <w:tr>
        <w:trPr/>
        <w:tc>
          <w:tcPr>
            <w:tcW w:w="161"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2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045"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AXSOME THERAPEUTICS, INC.</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64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642" w:type="dxa"/>
            <w:tcBorders>
              <w:bottom w:val="single" w:sz="8" w:space="0" w:color="000000"/>
            </w:tcBorders>
            <w:shd w:fill="auto" w:val="clear"/>
            <w:tcMar>
              <w:top w:w="0" w:type="dxa"/>
              <w:left w:w="0" w:type="dxa"/>
              <w:bottom w:w="3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Herriot Tabuteau, M.D.</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Herriot Tabuteau, M.D.</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Chief Executive Officer</w:t>
            </w:r>
          </w:p>
          <w:p>
            <w:pPr>
              <w:pStyle w:val="TableContents"/>
              <w:spacing w:before="0" w:after="0"/>
              <w:ind w:left="0" w:right="0" w:hanging="0"/>
              <w:jc w:val="left"/>
              <w:rPr/>
            </w:pPr>
            <w:r>
              <w:rPr/>
              <w:t> </w:t>
            </w:r>
          </w:p>
        </w:tc>
      </w:tr>
    </w:tbl>
    <w:p>
      <w:pPr>
        <w:pStyle w:val="TextBody"/>
        <w:spacing w:before="0" w:after="0"/>
        <w:jc w:val="center"/>
        <w:rPr>
          <w:rFonts w:ascii="Times New Roman;serif" w:hAnsi="Times New Roman;serif"/>
          <w:b/>
          <w:sz w:val="20"/>
          <w:u w:val="single"/>
        </w:rPr>
      </w:pPr>
      <w:bookmarkStart w:id="2" w:name="power_attorney"/>
      <w:bookmarkEnd w:id="2"/>
      <w:r>
        <w:rPr>
          <w:rFonts w:ascii="Times New Roman;serif" w:hAnsi="Times New Roman;serif"/>
          <w:b/>
          <w:sz w:val="20"/>
          <w:u w:val="single"/>
        </w:rPr>
        <w:t>POWER OF ATTORNEY</w:t>
      </w:r>
    </w:p>
    <w:p>
      <w:pPr>
        <w:pStyle w:val="TextBody"/>
        <w:spacing w:before="0" w:after="0"/>
        <w:jc w:val="center"/>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KNOW ALL PERSONS BY THESE PRESENTS: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That each person whose signature appears below constitutes and appoints Herriot Tabuteau, M.D., Chief Executive Officer, and Nick Pizzie, Chief Financial Officer, and each of them, as such person’s true and lawful attorneys-in-fact and agents, with full power of substitution and resubstitution, for such person and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or any of them, or their or his or her substitutes, may lawfully do or cause to be done by virtue thereof.</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Pursuant to the requirements of the Securities Act of 1933, as amended, this Registration Statement has been signed below by the following persons on behalf of the Registrant and in the capacities and on the dates indicated.</w:t>
      </w:r>
    </w:p>
    <w:tbl>
      <w:tblPr>
        <w:tblW w:w="10205" w:type="dxa"/>
        <w:jc w:val="left"/>
        <w:tblInd w:w="0" w:type="dxa"/>
        <w:tblCellMar>
          <w:top w:w="28" w:type="dxa"/>
          <w:left w:w="28" w:type="dxa"/>
          <w:bottom w:w="28" w:type="dxa"/>
          <w:right w:w="28" w:type="dxa"/>
        </w:tblCellMar>
      </w:tblPr>
      <w:tblGrid>
        <w:gridCol w:w="2260"/>
        <w:gridCol w:w="146"/>
        <w:gridCol w:w="6484"/>
        <w:gridCol w:w="146"/>
        <w:gridCol w:w="1169"/>
      </w:tblGrid>
      <w:tr>
        <w:trPr/>
        <w:tc>
          <w:tcPr>
            <w:tcW w:w="22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r>
      <w:tr>
        <w:trPr/>
        <w:tc>
          <w:tcPr>
            <w:tcW w:w="2260" w:type="dxa"/>
            <w:tcBorders>
              <w:bottom w:val="single" w:sz="8" w:space="0" w:color="000000"/>
            </w:tcBorders>
            <w:shd w:fill="auto" w:val="clear"/>
            <w:tcMar>
              <w:top w:w="0" w:type="dxa"/>
              <w:left w:w="0" w:type="dxa"/>
              <w:bottom w:w="3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Signature</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484" w:type="dxa"/>
            <w:tcBorders>
              <w:bottom w:val="single" w:sz="8" w:space="0" w:color="000000"/>
            </w:tcBorders>
            <w:shd w:fill="auto" w:val="clear"/>
            <w:tcMar>
              <w:top w:w="0" w:type="dxa"/>
              <w:left w:w="0" w:type="dxa"/>
              <w:bottom w:w="3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69" w:type="dxa"/>
            <w:tcBorders>
              <w:bottom w:val="single" w:sz="8" w:space="0" w:color="000000"/>
            </w:tcBorders>
            <w:shd w:fill="auto" w:val="clear"/>
            <w:tcMar>
              <w:top w:w="0" w:type="dxa"/>
              <w:left w:w="0" w:type="dxa"/>
              <w:bottom w:w="3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Date</w:t>
            </w:r>
          </w:p>
        </w:tc>
      </w:tr>
      <w:tr>
        <w:trPr/>
        <w:tc>
          <w:tcPr>
            <w:tcW w:w="226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69"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2260" w:type="dxa"/>
            <w:tcBorders>
              <w:bottom w:val="single" w:sz="8" w:space="0" w:color="000000"/>
            </w:tcBorders>
            <w:shd w:fill="auto" w:val="clear"/>
            <w:tcMar>
              <w:top w:w="0" w:type="dxa"/>
              <w:left w:w="0" w:type="dxa"/>
              <w:bottom w:w="3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Herriot Tabuteau, M.D.</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84" w:type="dxa"/>
            <w:vMerge w:val="restart"/>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and Chairman of the Board (Principal Executive Officer)</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9"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May 8, 2023</w:t>
            </w:r>
          </w:p>
        </w:tc>
      </w:tr>
      <w:tr>
        <w:trPr/>
        <w:tc>
          <w:tcPr>
            <w:tcW w:w="226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Herriot Tabuteau, M.D.</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4" w:type="dxa"/>
            <w:vMerge w:val="continue"/>
            <w:tcBorders>
              <w:bottom w:val="single" w:sz="8" w:space="0" w:color="000000"/>
            </w:tcBorders>
            <w:shd w:fill="auto" w:val="clear"/>
            <w:tcMar>
              <w:top w:w="0" w:type="dxa"/>
              <w:left w:w="0" w:type="dxa"/>
              <w:right w:w="0" w:type="dxa"/>
            </w:tcMar>
            <w:vAlign w:val="center"/>
          </w:tcPr>
          <w:p>
            <w:pPr>
              <w:pStyle w:val="Normal"/>
              <w:rPr/>
            </w:pPr>
            <w:r>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6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26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6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260" w:type="dxa"/>
            <w:tcBorders>
              <w:bottom w:val="single" w:sz="8" w:space="0" w:color="000000"/>
            </w:tcBorders>
            <w:shd w:fill="auto" w:val="clear"/>
            <w:tcMar>
              <w:top w:w="0" w:type="dxa"/>
              <w:left w:w="0" w:type="dxa"/>
              <w:bottom w:w="3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Nick Pizzie, CPA, MBA</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84"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9"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May 8, 2023</w:t>
            </w:r>
          </w:p>
        </w:tc>
      </w:tr>
      <w:tr>
        <w:trPr/>
        <w:tc>
          <w:tcPr>
            <w:tcW w:w="226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Nick Pizzie, CPA, MBA</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6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26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6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260" w:type="dxa"/>
            <w:tcBorders>
              <w:bottom w:val="single" w:sz="8" w:space="0" w:color="000000"/>
            </w:tcBorders>
            <w:shd w:fill="auto" w:val="clear"/>
            <w:tcMar>
              <w:top w:w="0" w:type="dxa"/>
              <w:left w:w="0" w:type="dxa"/>
              <w:bottom w:w="3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Mark Coleman, M.D.</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84"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9"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May 8, 2023</w:t>
            </w:r>
          </w:p>
        </w:tc>
      </w:tr>
      <w:tr>
        <w:trPr/>
        <w:tc>
          <w:tcPr>
            <w:tcW w:w="226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Mark Coleman, M.D.</w:t>
            </w:r>
          </w:p>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6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26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6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260" w:type="dxa"/>
            <w:tcBorders>
              <w:bottom w:val="single" w:sz="8" w:space="0" w:color="000000"/>
            </w:tcBorders>
            <w:shd w:fill="auto" w:val="clear"/>
            <w:tcMar>
              <w:top w:w="0" w:type="dxa"/>
              <w:left w:w="0" w:type="dxa"/>
              <w:bottom w:w="3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Roger Jeffs, Ph.D.</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84"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9"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May 8, 2023</w:t>
            </w:r>
          </w:p>
        </w:tc>
      </w:tr>
      <w:tr>
        <w:trPr/>
        <w:tc>
          <w:tcPr>
            <w:tcW w:w="226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Roger Jeffs, Ph.D.</w:t>
            </w:r>
          </w:p>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6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26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6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260" w:type="dxa"/>
            <w:tcBorders>
              <w:bottom w:val="single" w:sz="8" w:space="0" w:color="000000"/>
            </w:tcBorders>
            <w:shd w:fill="auto" w:val="clear"/>
            <w:tcMar>
              <w:top w:w="0" w:type="dxa"/>
              <w:left w:w="0" w:type="dxa"/>
              <w:bottom w:w="3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Mark Saad</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84"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9"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May 8, 2023</w:t>
            </w:r>
          </w:p>
        </w:tc>
      </w:tr>
      <w:tr>
        <w:trPr/>
        <w:tc>
          <w:tcPr>
            <w:tcW w:w="2260"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Mark Saad</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6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3" w:name="axsm-ex5_1.htm"/>
      <w:bookmarkStart w:id="4" w:name="ksaxsmex5_1"/>
      <w:bookmarkEnd w:id="3"/>
      <w:bookmarkEnd w:id="4"/>
      <w:r>
        <w:rPr>
          <w:rFonts w:ascii="Times New Roman;serif" w:hAnsi="Times New Roman;serif"/>
          <w:b/>
          <w:sz w:val="20"/>
        </w:rPr>
        <w:t>Exhibit 5.1</w:t>
      </w:r>
    </w:p>
    <w:p>
      <w:pPr>
        <w:pStyle w:val="TextBody"/>
        <w:spacing w:before="0" w:after="0"/>
        <w:jc w:val="right"/>
        <w:rPr/>
      </w:pPr>
      <w:r>
        <w:rPr/>
        <w:t> </w:t>
      </w:r>
    </w:p>
    <w:p>
      <w:pPr>
        <w:pStyle w:val="TextBody"/>
        <w:spacing w:before="0" w:after="0"/>
        <w:jc w:val="right"/>
        <w:rPr>
          <w:rFonts w:ascii="Times New Roman;serif" w:hAnsi="Times New Roman;serif"/>
          <w:b w:val="false"/>
          <w:sz w:val="20"/>
        </w:rPr>
      </w:pPr>
      <w:r>
        <w:rPr>
          <w:rFonts w:ascii="Times New Roman;serif" w:hAnsi="Times New Roman;serif"/>
          <w:b w:val="false"/>
          <w:sz w:val="20"/>
        </w:rPr>
        <w:t>DLA Piper LLP (US)</w:t>
      </w:r>
    </w:p>
    <w:p>
      <w:pPr>
        <w:pStyle w:val="TextBody"/>
        <w:spacing w:before="0" w:after="0"/>
        <w:jc w:val="right"/>
        <w:rPr>
          <w:rFonts w:ascii="Times New Roman;serif" w:hAnsi="Times New Roman;serif"/>
          <w:b w:val="false"/>
          <w:sz w:val="20"/>
        </w:rPr>
      </w:pPr>
      <w:r>
        <w:rPr>
          <w:rFonts w:ascii="Times New Roman;serif" w:hAnsi="Times New Roman;serif"/>
          <w:b w:val="false"/>
          <w:sz w:val="20"/>
        </w:rPr>
        <w:t>51 John F. Kennedy Parkway, Suite 120</w:t>
      </w:r>
    </w:p>
    <w:p>
      <w:pPr>
        <w:pStyle w:val="TextBody"/>
        <w:spacing w:before="0" w:after="0"/>
        <w:jc w:val="right"/>
        <w:rPr>
          <w:rFonts w:ascii="Times New Roman;serif" w:hAnsi="Times New Roman;serif"/>
          <w:b w:val="false"/>
          <w:sz w:val="20"/>
        </w:rPr>
      </w:pPr>
      <w:r>
        <w:rPr>
          <w:rFonts w:ascii="Times New Roman;serif" w:hAnsi="Times New Roman;serif"/>
          <w:b w:val="false"/>
          <w:sz w:val="20"/>
        </w:rPr>
        <w:t>Short Hills, New Jersey 07078</w:t>
      </w:r>
    </w:p>
    <w:p>
      <w:pPr>
        <w:pStyle w:val="TextBody"/>
        <w:spacing w:before="0" w:after="0"/>
        <w:jc w:val="right"/>
        <w:rPr>
          <w:rFonts w:ascii="Times New Roman;serif" w:hAnsi="Times New Roman;serif"/>
          <w:b w:val="false"/>
          <w:sz w:val="20"/>
        </w:rPr>
      </w:pPr>
      <w:r>
        <w:rPr>
          <w:rFonts w:ascii="Times New Roman;serif" w:hAnsi="Times New Roman;serif"/>
          <w:b w:val="false"/>
          <w:sz w:val="20"/>
        </w:rPr>
        <w:t>www.dlapiper.com</w:t>
      </w:r>
    </w:p>
    <w:p>
      <w:pPr>
        <w:pStyle w:val="TextBody"/>
        <w:spacing w:before="0" w:after="0"/>
        <w:jc w:val="right"/>
        <w:rPr>
          <w:rFonts w:ascii="Times New Roman;serif" w:hAnsi="Times New Roman;serif"/>
          <w:b w:val="false"/>
          <w:sz w:val="20"/>
        </w:rPr>
      </w:pPr>
      <w:r>
        <w:rPr>
          <w:rFonts w:ascii="Times New Roman;serif" w:hAnsi="Times New Roman;serif"/>
          <w:b w:val="false"/>
          <w:sz w:val="20"/>
        </w:rPr>
        <w:t>T: 973-520-2550</w:t>
      </w:r>
    </w:p>
    <w:p>
      <w:pPr>
        <w:pStyle w:val="TextBody"/>
        <w:spacing w:before="0" w:after="0"/>
        <w:jc w:val="right"/>
        <w:rPr>
          <w:rFonts w:ascii="Times New Roman;serif" w:hAnsi="Times New Roman;serif"/>
          <w:b w:val="false"/>
          <w:sz w:val="20"/>
        </w:rPr>
      </w:pPr>
      <w:r>
        <w:rPr>
          <w:rFonts w:ascii="Times New Roman;serif" w:hAnsi="Times New Roman;serif"/>
          <w:b w:val="false"/>
          <w:sz w:val="20"/>
        </w:rPr>
        <w:t>F: 973-520-2551</w:t>
      </w:r>
    </w:p>
    <w:p>
      <w:pPr>
        <w:pStyle w:val="TextBody"/>
        <w:spacing w:before="0" w:after="0"/>
        <w:jc w:val="right"/>
        <w:rPr>
          <w:rFonts w:ascii="Times New Roman;serif" w:hAnsi="Times New Roman;serif"/>
          <w:b w:val="false"/>
          <w:sz w:val="20"/>
        </w:rPr>
      </w:pPr>
      <w:r>
        <w:rPr>
          <w:rFonts w:ascii="Times New Roman;serif" w:hAnsi="Times New Roman;serif"/>
          <w:b w:val="false"/>
          <w:sz w:val="20"/>
        </w:rPr>
        <w:t>Attorney Responsible for Short Hills Office:</w:t>
      </w:r>
    </w:p>
    <w:p>
      <w:pPr>
        <w:pStyle w:val="TextBody"/>
        <w:spacing w:before="0" w:after="0"/>
        <w:jc w:val="right"/>
        <w:rPr>
          <w:rFonts w:ascii="Times New Roman;serif" w:hAnsi="Times New Roman;serif"/>
          <w:b w:val="false"/>
          <w:sz w:val="20"/>
        </w:rPr>
      </w:pPr>
      <w:r>
        <w:rPr>
          <w:rFonts w:ascii="Times New Roman;serif" w:hAnsi="Times New Roman;serif"/>
          <w:b w:val="false"/>
          <w:sz w:val="20"/>
        </w:rPr>
        <w:t>Emilio Ragosa</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May 8, 2023</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Axsome Therapeutics, Inc.</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One World Trade Center, 22nd Floor</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New York, New York 10007</w:t>
      </w:r>
    </w:p>
    <w:p>
      <w:pPr>
        <w:pStyle w:val="TextBody"/>
        <w:spacing w:before="0" w:after="0"/>
        <w:jc w:val="both"/>
        <w:rPr/>
      </w:pPr>
      <w:r>
        <w:rPr/>
        <w:t> </w:t>
      </w:r>
    </w:p>
    <w:tbl>
      <w:tblPr>
        <w:tblW w:w="5792" w:type="dxa"/>
        <w:jc w:val="left"/>
        <w:tblInd w:w="0" w:type="dxa"/>
        <w:tblCellMar>
          <w:top w:w="28" w:type="dxa"/>
          <w:left w:w="28" w:type="dxa"/>
          <w:bottom w:w="28" w:type="dxa"/>
          <w:right w:w="28" w:type="dxa"/>
        </w:tblCellMar>
      </w:tblPr>
      <w:tblGrid>
        <w:gridCol w:w="406"/>
        <w:gridCol w:w="5386"/>
      </w:tblGrid>
      <w:tr>
        <w:trPr/>
        <w:tc>
          <w:tcPr>
            <w:tcW w:w="406" w:type="dxa"/>
            <w:tcBorders/>
            <w:shd w:fill="auto" w:val="clear"/>
            <w:vAlign w:val="center"/>
          </w:tcPr>
          <w:p>
            <w:pPr>
              <w:pStyle w:val="TableContents"/>
              <w:spacing w:before="0" w:after="283"/>
              <w:rPr>
                <w:sz w:val="4"/>
                <w:szCs w:val="4"/>
              </w:rPr>
            </w:pPr>
            <w:r>
              <w:rPr>
                <w:sz w:val="4"/>
                <w:szCs w:val="4"/>
              </w:rPr>
            </w:r>
          </w:p>
        </w:tc>
        <w:tc>
          <w:tcPr>
            <w:tcW w:w="5386"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Re:</w:t>
            </w:r>
          </w:p>
        </w:tc>
        <w:tc>
          <w:tcPr>
            <w:tcW w:w="5386" w:type="dxa"/>
            <w:tcBorders/>
            <w:shd w:fill="auto" w:val="clear"/>
            <w:tcMar>
              <w:top w:w="0" w:type="dxa"/>
              <w:left w:w="0" w:type="dxa"/>
              <w:bottom w:w="0" w:type="dxa"/>
              <w:right w:w="0" w:type="dxa"/>
            </w:tcMar>
            <w:vAlign w:val="center"/>
          </w:tcPr>
          <w:p>
            <w:pPr>
              <w:pStyle w:val="TableContents"/>
              <w:pBdr>
                <w:bottom w:val="single" w:sz="8" w:space="1" w:color="000000"/>
              </w:pBdr>
              <w:spacing w:before="0" w:after="0"/>
              <w:ind w:left="0" w:right="0" w:hanging="0"/>
              <w:jc w:val="both"/>
              <w:rPr>
                <w:rFonts w:ascii="Times New Roman" w:hAnsi="Times New Roman"/>
                <w:sz w:val="20"/>
              </w:rPr>
            </w:pPr>
            <w:r>
              <w:rPr>
                <w:rFonts w:ascii="Times New Roman;serif" w:hAnsi="Times New Roman;serif"/>
                <w:b w:val="false"/>
                <w:sz w:val="20"/>
              </w:rPr>
              <w:t>Axsome Therapeutics, Inc. - Registration Statement on Form S-8</w:t>
            </w:r>
            <w:r>
              <w:rPr>
                <w:rFonts w:ascii="Times New Roman" w:hAnsi="Times New Roman"/>
                <w:sz w:val="20"/>
              </w:rPr>
              <w:t xml:space="preserve"> </w:t>
            </w:r>
          </w:p>
        </w:tc>
      </w:tr>
    </w:tbl>
    <w:p>
      <w:pPr>
        <w:pStyle w:val="TextBody"/>
        <w:spacing w:before="120" w:after="0"/>
        <w:jc w:val="both"/>
        <w:rPr>
          <w:rFonts w:ascii="Times New Roman" w:hAnsi="Times New Roman"/>
          <w:sz w:val="20"/>
        </w:rPr>
      </w:pPr>
      <w:r>
        <w:rPr>
          <w:rFonts w:ascii="Times New Roman;serif" w:hAnsi="Times New Roman;serif"/>
          <w:b w:val="false"/>
          <w:sz w:val="20"/>
        </w:rPr>
        <w:t>Dear Ladies and Gentlemen:</w:t>
      </w:r>
      <w:r>
        <w:rPr>
          <w:rFonts w:ascii="Times New Roman" w:hAnsi="Times New Roman"/>
          <w:sz w:val="20"/>
        </w:rPr>
        <w:t xml:space="preserve"> </w:t>
      </w:r>
    </w:p>
    <w:p>
      <w:pPr>
        <w:pStyle w:val="TextBody"/>
        <w:spacing w:before="60" w:after="0"/>
        <w:jc w:val="both"/>
        <w:rPr>
          <w:rFonts w:ascii="Times New Roman;serif" w:hAnsi="Times New Roman;serif"/>
          <w:b w:val="false"/>
          <w:sz w:val="20"/>
        </w:rPr>
      </w:pPr>
      <w:r>
        <w:rPr>
          <w:rFonts w:ascii="Times New Roman;serif" w:hAnsi="Times New Roman;serif"/>
          <w:b w:val="false"/>
          <w:sz w:val="20"/>
        </w:rPr>
        <w:t>We have acted as counsel to Axsome Therapeutics, Inc., a Delaware corporation (the “Company”), in connection with the preparation of a Registration Statement on Form S-8 (the “Registration Statement”) under the Securities Act of 1933, as amended (the “Act”). The Registration Statement relates to the registration of 1,739,944 shares (the “Plan Shares”) of the Company’s common stock, par value $0.0001 per share (the “Common Stock”), issuable under the Axsome Therapeutics, Inc. Amended and Restated 2015 Omnibus Incentive Compensation Plan (the “Plan”), as referenced in the Registration Statement.</w:t>
      </w:r>
    </w:p>
    <w:p>
      <w:pPr>
        <w:pStyle w:val="TextBody"/>
        <w:spacing w:before="120" w:after="0"/>
        <w:jc w:val="both"/>
        <w:rPr>
          <w:rFonts w:ascii="Times New Roman" w:hAnsi="Times New Roman"/>
          <w:sz w:val="20"/>
        </w:rPr>
      </w:pPr>
      <w:r>
        <w:rPr>
          <w:rFonts w:ascii="Times New Roman;serif" w:hAnsi="Times New Roman;serif"/>
          <w:b w:val="false"/>
          <w:sz w:val="20"/>
        </w:rPr>
        <w:t>In connection with this opinion letter, we have examined the Registration Statement and originals, or copies certified or otherwise identified to our satisfaction, of the Amended and Restated Certificate of Incorporation and the Amended and Restated Bylaws of the Company and such other documents, records and other instruments as we have deemed appropriate for purposes of the opinion set forth herein.</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Based upon the foregoing, we are of the opinion that the Plan Shares have been duly authorized and, when and to the extent issued in accordance with the terms of the Plan and any award agreement entered into under the Plan, the Plan Shares will be validly issued, fully paid and nonassessable.</w:t>
      </w:r>
    </w:p>
    <w:p>
      <w:pPr>
        <w:pStyle w:val="TextBody"/>
        <w:spacing w:before="120" w:after="0"/>
        <w:jc w:val="both"/>
        <w:rPr>
          <w:rFonts w:ascii="Times New Roman" w:hAnsi="Times New Roman"/>
          <w:sz w:val="20"/>
        </w:rPr>
      </w:pPr>
      <w:r>
        <w:rPr>
          <w:rFonts w:ascii="Times New Roman;serif" w:hAnsi="Times New Roman;serif"/>
          <w:b w:val="false"/>
          <w:sz w:val="20"/>
        </w:rPr>
        <w:t>The opinion expressed herein is limited to the Delaware General Corporation Law.</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hereby consent to the use of this opinion as Exhibit 5.1 to the Registration Statement. In giving such consent, we do not hereby admit that we are acting within the category of persons whose consent is required under Section 7 of the Act or the rules or regulations of the U.S. Securities and Exchange Commission thereunder.</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Very truly yours,</w:t>
      </w:r>
      <w:r>
        <w:rPr>
          <w:rFonts w:ascii="Times New Roman" w:hAnsi="Times New Roman"/>
          <w:sz w:val="20"/>
        </w:rPr>
        <w:t xml:space="preserve"> </w:t>
      </w:r>
    </w:p>
    <w:p>
      <w:pPr>
        <w:pStyle w:val="TextBody"/>
        <w:spacing w:before="120" w:after="0"/>
        <w:jc w:val="left"/>
        <w:rPr>
          <w:rFonts w:ascii="Times New Roman;serif" w:hAnsi="Times New Roman;serif"/>
          <w:b/>
          <w:sz w:val="20"/>
        </w:rPr>
      </w:pPr>
      <w:r>
        <w:rPr>
          <w:rFonts w:ascii="Times New Roman;serif" w:hAnsi="Times New Roman;serif"/>
          <w:b/>
          <w:sz w:val="20"/>
        </w:rPr>
        <w:t>/s/ DLA Piper LLP (US)</w:t>
      </w:r>
    </w:p>
    <w:p>
      <w:pPr>
        <w:pStyle w:val="HorizontalLine"/>
        <w:rPr/>
      </w:pPr>
      <w:r>
        <w:rPr/>
      </w:r>
      <w:r>
        <w:br w:type="page"/>
      </w:r>
    </w:p>
    <w:p>
      <w:pPr>
        <w:pStyle w:val="TextBody"/>
        <w:spacing w:before="0" w:after="160"/>
        <w:jc w:val="right"/>
        <w:rPr>
          <w:rFonts w:ascii="Times New Roman;serif" w:hAnsi="Times New Roman;serif"/>
          <w:b/>
          <w:sz w:val="24"/>
        </w:rPr>
      </w:pPr>
      <w:bookmarkStart w:id="5" w:name="axsm-ex23_2.htm"/>
      <w:bookmarkStart w:id="6" w:name="ksaxsmex23_2"/>
      <w:bookmarkEnd w:id="5"/>
      <w:bookmarkEnd w:id="6"/>
      <w:r>
        <w:rPr>
          <w:rFonts w:ascii="Times New Roman;serif" w:hAnsi="Times New Roman;serif"/>
          <w:b/>
          <w:sz w:val="24"/>
        </w:rPr>
        <w:t>Exhibit 23.2</w:t>
      </w:r>
    </w:p>
    <w:p>
      <w:pPr>
        <w:pStyle w:val="TextBody"/>
        <w:spacing w:before="0" w:after="160"/>
        <w:jc w:val="center"/>
        <w:rPr>
          <w:rFonts w:ascii="Times New Roman;serif" w:hAnsi="Times New Roman;serif"/>
          <w:b/>
          <w:sz w:val="24"/>
        </w:rPr>
      </w:pPr>
      <w:r>
        <w:rPr>
          <w:rFonts w:ascii="Times New Roman;serif" w:hAnsi="Times New Roman;serif"/>
          <w:b/>
          <w:sz w:val="24"/>
        </w:rPr>
        <w:t>Consent of Independent Registered Public Accounting Firm</w:t>
      </w:r>
    </w:p>
    <w:p>
      <w:pPr>
        <w:pStyle w:val="TextBody"/>
        <w:spacing w:before="0" w:after="160"/>
        <w:jc w:val="both"/>
        <w:rPr>
          <w:rFonts w:ascii="Times New Roman" w:hAnsi="Times New Roman"/>
          <w:sz w:val="20"/>
        </w:rPr>
      </w:pPr>
      <w:r>
        <w:rPr>
          <w:rFonts w:ascii="Times New Roman;serif" w:hAnsi="Times New Roman;serif"/>
          <w:b w:val="false"/>
          <w:sz w:val="21"/>
        </w:rPr>
        <w:t>We consent to the incorporation by reference in the Registration Statement (Form S-8) pertaining to the Axsome Therapeutics, Inc. 2015 Omnibus Incentive Compensation Plan of our reports dated February 27, 2023, with respect to the consolidated financial statements of Axsome Therapeutics, Inc. and the effectiveness of internal control over financial reporting of Axsome Therapeutics, Inc. included in its Annual Report (Form 10-K) for the year ended December 31, 2022, filed with the Securities and Exchange Commission.</w:t>
      </w:r>
      <w:r>
        <w:rPr>
          <w:rFonts w:ascii="Times New Roman" w:hAnsi="Times New Roman"/>
          <w:sz w:val="20"/>
        </w:rPr>
        <w:t xml:space="preserve"> </w:t>
      </w:r>
    </w:p>
    <w:p>
      <w:pPr>
        <w:pStyle w:val="TextBody"/>
        <w:spacing w:before="0" w:after="160"/>
        <w:jc w:val="both"/>
        <w:rPr/>
      </w:pPr>
      <w:r>
        <w:rPr/>
        <w:t> </w:t>
      </w:r>
    </w:p>
    <w:p>
      <w:pPr>
        <w:pStyle w:val="TextBody"/>
        <w:spacing w:before="0" w:after="160"/>
        <w:jc w:val="left"/>
        <w:rPr>
          <w:rFonts w:ascii="Times New Roman;serif" w:hAnsi="Times New Roman;serif"/>
          <w:b w:val="false"/>
          <w:sz w:val="24"/>
        </w:rPr>
      </w:pPr>
      <w:r>
        <w:rPr>
          <w:rFonts w:ascii="Times New Roman;serif" w:hAnsi="Times New Roman;serif"/>
          <w:b w:val="false"/>
          <w:sz w:val="24"/>
        </w:rPr>
        <w:t>/s/ Ernst &amp; Young LLP</w:t>
        <w:br/>
        <w:t>New York, NY</w:t>
        <w:br/>
        <w:t>May 8, 2023</w:t>
      </w:r>
    </w:p>
    <w:p>
      <w:pPr>
        <w:pStyle w:val="TextBody"/>
        <w:spacing w:before="0" w:after="160"/>
        <w:jc w:val="both"/>
        <w:rPr/>
      </w:pPr>
      <w:r>
        <w:rPr/>
        <w:t> </w:t>
      </w:r>
    </w:p>
    <w:p>
      <w:pPr>
        <w:pStyle w:val="HorizontalLine"/>
        <w:rPr/>
      </w:pPr>
      <w:r>
        <w:rPr/>
      </w:r>
      <w:r>
        <w:br w:type="page"/>
      </w:r>
    </w:p>
    <w:p>
      <w:pPr>
        <w:pStyle w:val="TextBody"/>
        <w:spacing w:before="0" w:after="0"/>
        <w:jc w:val="right"/>
        <w:rPr>
          <w:rFonts w:ascii="Times New Roman;serif" w:hAnsi="Times New Roman;serif"/>
          <w:b/>
          <w:caps/>
          <w:sz w:val="20"/>
        </w:rPr>
      </w:pPr>
      <w:bookmarkStart w:id="7" w:name="axsm-exfiling_fees.htm"/>
      <w:bookmarkStart w:id="8" w:name="ksaxsmexfiling_fees"/>
      <w:bookmarkEnd w:id="7"/>
      <w:bookmarkEnd w:id="8"/>
      <w:r>
        <w:rPr>
          <w:rFonts w:ascii="Times New Roman;serif" w:hAnsi="Times New Roman;serif"/>
          <w:b/>
          <w:caps/>
          <w:sz w:val="20"/>
        </w:rPr>
        <w:t>Exhibit 107</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Calculation Of Filing Fee Tables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Form S-8</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(Form Type)</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Axsome Therapeutics, Inc.</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(Exact Name of Registrant as Specified in its Charter)</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Table 1: Newly Registered Securities</w:t>
      </w:r>
    </w:p>
    <w:p>
      <w:pPr>
        <w:pStyle w:val="TextBody"/>
        <w:spacing w:before="0" w:after="0"/>
        <w:jc w:val="center"/>
        <w:rPr/>
      </w:pPr>
      <w:r>
        <w:rPr/>
        <w:t> </w:t>
      </w:r>
    </w:p>
    <w:tbl>
      <w:tblPr>
        <w:tblW w:w="10363" w:type="dxa"/>
        <w:jc w:val="left"/>
        <w:tblInd w:w="0" w:type="dxa"/>
        <w:tblCellMar>
          <w:top w:w="28" w:type="dxa"/>
          <w:left w:w="28" w:type="dxa"/>
          <w:bottom w:w="28" w:type="dxa"/>
          <w:right w:w="28" w:type="dxa"/>
        </w:tblCellMar>
      </w:tblPr>
      <w:tblGrid>
        <w:gridCol w:w="796"/>
        <w:gridCol w:w="146"/>
        <w:gridCol w:w="856"/>
        <w:gridCol w:w="146"/>
        <w:gridCol w:w="1066"/>
        <w:gridCol w:w="146"/>
        <w:gridCol w:w="146"/>
        <w:gridCol w:w="931"/>
        <w:gridCol w:w="226"/>
        <w:gridCol w:w="146"/>
        <w:gridCol w:w="255"/>
        <w:gridCol w:w="691"/>
        <w:gridCol w:w="226"/>
        <w:gridCol w:w="146"/>
        <w:gridCol w:w="211"/>
        <w:gridCol w:w="1141"/>
        <w:gridCol w:w="146"/>
        <w:gridCol w:w="146"/>
        <w:gridCol w:w="211"/>
        <w:gridCol w:w="991"/>
        <w:gridCol w:w="146"/>
        <w:gridCol w:w="146"/>
        <w:gridCol w:w="264"/>
        <w:gridCol w:w="847"/>
        <w:gridCol w:w="191"/>
      </w:tblGrid>
      <w:tr>
        <w:trPr/>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79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Security Type</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Security Class</w:t>
              <w:br/>
              <w:t>Title</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Fee</w:t>
              <w:br/>
              <w:t>Calculation</w:t>
              <w:br/>
              <w:t>Rule</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7"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Amount</w:t>
              <w:br/>
              <w:t>Registered</w:t>
            </w:r>
            <w:r>
              <w:rPr>
                <w:rFonts w:ascii="Times New Roman;serif" w:hAnsi="Times New Roman;serif"/>
                <w:b w:val="false"/>
                <w:sz w:val="13"/>
              </w:rPr>
              <w:t>(1)</w:t>
            </w:r>
          </w:p>
        </w:tc>
        <w:tc>
          <w:tcPr>
            <w:tcW w:w="22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6"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Proposed</w:t>
              <w:br/>
              <w:t>Maximum</w:t>
              <w:br/>
              <w:t>Offering</w:t>
              <w:br/>
              <w:t>Price Per</w:t>
              <w:br/>
              <w:t>Unit</w:t>
            </w:r>
          </w:p>
        </w:tc>
        <w:tc>
          <w:tcPr>
            <w:tcW w:w="22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352"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Maximum</w:t>
              <w:br/>
              <w:t>Aggregate</w:t>
              <w:br/>
              <w:t>Offering Price</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02"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Fee Rate</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111"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Amount of</w:t>
              <w:br/>
              <w:t>Registration</w:t>
              <w:br/>
              <w:t>Fee</w:t>
            </w:r>
          </w:p>
        </w:tc>
        <w:tc>
          <w:tcPr>
            <w:tcW w:w="19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Equity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$0.0001 par value per share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Rule 457(c) and Rule 457(h)</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1,739,944</w:t>
            </w:r>
          </w:p>
        </w:tc>
        <w:tc>
          <w:tcPr>
            <w:tcW w:w="2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70.36</w:t>
            </w:r>
          </w:p>
        </w:tc>
        <w:tc>
          <w:tcPr>
            <w:tcW w:w="2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122,422,460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0.0001102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64"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7"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13,491</w:t>
            </w:r>
          </w:p>
        </w:tc>
        <w:tc>
          <w:tcPr>
            <w:tcW w:w="19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33" w:type="dxa"/>
            <w:gridSpan w:val="8"/>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 Offering Amounts</w:t>
            </w:r>
          </w:p>
        </w:tc>
        <w:tc>
          <w:tcPr>
            <w:tcW w:w="2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13,491</w:t>
            </w:r>
          </w:p>
        </w:tc>
        <w:tc>
          <w:tcPr>
            <w:tcW w:w="191" w:type="dxa"/>
            <w:tcBorders/>
            <w:shd w:fill="auto" w:val="clear"/>
            <w:vAlign w:val="center"/>
          </w:tcPr>
          <w:p>
            <w:pPr>
              <w:pStyle w:val="TableContents"/>
              <w:spacing w:before="0" w:after="0"/>
              <w:ind w:left="0" w:right="0" w:hanging="0"/>
              <w:jc w:val="left"/>
              <w:rPr/>
            </w:pPr>
            <w:r>
              <w:rPr/>
              <w:t> </w:t>
            </w:r>
          </w:p>
        </w:tc>
      </w:tr>
      <w:tr>
        <w:trPr/>
        <w:tc>
          <w:tcPr>
            <w:tcW w:w="4233" w:type="dxa"/>
            <w:gridSpan w:val="8"/>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 Fee Offsets</w:t>
            </w:r>
          </w:p>
        </w:tc>
        <w:tc>
          <w:tcPr>
            <w:tcW w:w="2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2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64"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7"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33" w:type="dxa"/>
            <w:gridSpan w:val="8"/>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Net Fee Due</w:t>
            </w:r>
          </w:p>
        </w:tc>
        <w:tc>
          <w:tcPr>
            <w:tcW w:w="2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 </w:t>
            </w:r>
          </w:p>
        </w:tc>
        <w:tc>
          <w:tcPr>
            <w:tcW w:w="2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64"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7"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13,491</w:t>
            </w:r>
          </w:p>
        </w:tc>
        <w:tc>
          <w:tcPr>
            <w:tcW w:w="19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81"/>
        <w:gridCol w:w="9763"/>
      </w:tblGrid>
      <w:tr>
        <w:trPr/>
        <w:tc>
          <w:tcPr>
            <w:tcW w:w="16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9763"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9763" w:type="dxa"/>
            <w:tcBorders/>
            <w:shd w:fill="auto" w:val="clear"/>
            <w:vAlign w:val="center"/>
          </w:tcPr>
          <w:p>
            <w:pPr>
              <w:pStyle w:val="TableContents"/>
              <w:spacing w:before="0" w:after="0"/>
              <w:ind w:left="0" w:right="0" w:hanging="0"/>
              <w:jc w:val="left"/>
              <w:rPr/>
            </w:pPr>
            <w:r>
              <w:rPr/>
              <w:t> </w:t>
            </w:r>
          </w:p>
        </w:tc>
      </w:tr>
      <w:tr>
        <w:trPr/>
        <w:tc>
          <w:tcPr>
            <w:tcW w:w="161"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w:t>
            </w:r>
          </w:p>
        </w:tc>
        <w:tc>
          <w:tcPr>
            <w:tcW w:w="97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Pursuant to Rule 416(a) under the Securities Act of 1933, as amended (the “Securities Act”), this registration statement (the “Registration Statement”) shall also cover any additional shares of the Registrant’s common stock, $0.0001 par value per share (the “Common Stock”) that becomes issuable under the Registrant’s Amended and Restated 2015 Omnibus Incentive Compensation Plan (the “Plan”) by reason of any stock dividend, stock split, recapitalization or other similar transaction effected without the receipt of consideration that increases the number of the Registrant’s outstanding shares of Common Stock.</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325"/>
        <w:gridCol w:w="9719"/>
      </w:tblGrid>
      <w:tr>
        <w:trPr/>
        <w:tc>
          <w:tcPr>
            <w:tcW w:w="161"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9719"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c>
          <w:tcPr>
            <w:tcW w:w="9719"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This Registration Statement covers 1,739,944 shares of the Registrant’s Common Stock, which are issuable pursuant to the Plan.</w:t>
            </w:r>
            <w:r>
              <w:rPr>
                <w:rFonts w:ascii="Times New Roman" w:hAnsi="Times New Roman"/>
                <w:sz w:val="20"/>
              </w:rPr>
              <w:t xml:space="preserve"> </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94"/>
        <w:gridCol w:w="9750"/>
      </w:tblGrid>
      <w:tr>
        <w:trPr/>
        <w:tc>
          <w:tcPr>
            <w:tcW w:w="16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9750"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w:t>
            </w:r>
          </w:p>
        </w:tc>
        <w:tc>
          <w:tcPr>
            <w:tcW w:w="97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Estimated in accordance with Rule 457(c) and (h) under the Securities Act solely for the purpose of calculating the registration fee on the basis of $70.36, the average of the high and low prices of the Registrant’s common stock as reported on The Nasdaq Global Market on May 4, 2023.</w:t>
            </w:r>
          </w:p>
        </w:tc>
      </w:tr>
    </w:tbl>
    <w:p>
      <w:pPr>
        <w:pStyle w:val="TextBody"/>
        <w:spacing w:before="24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79428/000155837020010231/axsm-20200630xex10d2.htm" TargetMode="External"/><Relationship Id="rId3" Type="http://schemas.openxmlformats.org/officeDocument/2006/relationships/hyperlink" Target="https://www.sec.gov/Archives/edgar/data/1579428/000110465915085196/a15-24973_1ex99d2.htm" TargetMode="External"/><Relationship Id="rId4" Type="http://schemas.openxmlformats.org/officeDocument/2006/relationships/hyperlink" Target="https://www.sec.gov/Archives/edgar/data/1579428/000155837020006307/axsm-20200508xex99d3.htm" TargetMode="External"/><Relationship Id="rId5" Type="http://schemas.openxmlformats.org/officeDocument/2006/relationships/hyperlink" Target="https://www.sec.gov/Archives/edgar/data/1579428/000155837020006307/axsm-20200508xex99d4.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1805</Words>
  <CharactersWithSpaces>11865</CharactersWithSpaces>
  <Paragraphs>395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