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22"/>
          <w:szCs w:val="22"/>
          <w:b w:val="1"/>
          <w:bCs w:val="1"/>
          <w:u w:val="single" w:color="auto"/>
          <w:color w:val="auto"/>
        </w:rPr>
        <w:t>ASHINGTON, D.C. 205</w:t>
      </w:r>
      <w:r>
        <w:rPr>
          <w:rFonts w:ascii="Arial" w:cs="Arial" w:eastAsia="Arial" w:hAnsi="Arial"/>
          <w:sz w:val="22"/>
          <w:szCs w:val="22"/>
          <w:b w:val="1"/>
          <w:bCs w:val="1"/>
          <w:color w:val="auto"/>
        </w:rPr>
        <w:t>49</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32385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4" w:lineRule="exact"/>
        <w:rPr>
          <w:sz w:val="24"/>
          <w:szCs w:val="24"/>
          <w:color w:val="auto"/>
        </w:rPr>
      </w:pPr>
    </w:p>
    <w:p>
      <w:pPr>
        <w:ind w:left="2980"/>
        <w:spacing w:after="0"/>
        <w:rPr>
          <w:sz w:val="20"/>
          <w:szCs w:val="20"/>
          <w:color w:val="auto"/>
        </w:rPr>
      </w:pPr>
      <w:r>
        <w:rPr>
          <w:rFonts w:ascii="Arial" w:cs="Arial" w:eastAsia="Arial" w:hAnsi="Arial"/>
          <w:sz w:val="18"/>
          <w:szCs w:val="18"/>
          <w:b w:val="1"/>
          <w:bCs w:val="1"/>
          <w:color w:val="auto"/>
        </w:rPr>
        <w:t>Date of Report (Date of earliest event reported): September 08,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Axsome Therapeutics,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67" w:lineRule="exact"/>
        <w:rPr>
          <w:sz w:val="24"/>
          <w:szCs w:val="24"/>
          <w:color w:val="auto"/>
        </w:rPr>
      </w:pPr>
    </w:p>
    <w:tbl>
      <w:tblPr>
        <w:tblLayout w:type="fixed"/>
        <w:tblInd w:w="1180" w:type="dxa"/>
        <w:tblCellMar>
          <w:top w:w="0" w:type="dxa"/>
          <w:left w:w="0" w:type="dxa"/>
          <w:bottom w:w="0" w:type="dxa"/>
          <w:right w:w="0" w:type="dxa"/>
        </w:tblCellMar>
      </w:tblPr>
      <w:tr>
        <w:trPr>
          <w:trHeight w:val="190"/>
        </w:trPr>
        <w:tc>
          <w:tcPr>
            <w:tcW w:w="3320" w:type="dxa"/>
            <w:vAlign w:val="bottom"/>
          </w:tcPr>
          <w:p>
            <w:pPr>
              <w:jc w:val="center"/>
              <w:ind w:right="841"/>
              <w:spacing w:after="0" w:line="189" w:lineRule="exact"/>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jc w:val="right"/>
              <w:ind w:right="541"/>
              <w:spacing w:after="0" w:line="189" w:lineRule="exact"/>
              <w:rPr>
                <w:sz w:val="20"/>
                <w:szCs w:val="20"/>
                <w:color w:val="auto"/>
              </w:rPr>
            </w:pPr>
            <w:r>
              <w:rPr>
                <w:rFonts w:ascii="Arial" w:cs="Arial" w:eastAsia="Arial" w:hAnsi="Arial"/>
                <w:sz w:val="18"/>
                <w:szCs w:val="18"/>
                <w:b w:val="1"/>
                <w:bCs w:val="1"/>
                <w:color w:val="auto"/>
              </w:rPr>
              <w:t>001-37635</w:t>
            </w:r>
          </w:p>
        </w:tc>
        <w:tc>
          <w:tcPr>
            <w:tcW w:w="2780" w:type="dxa"/>
            <w:vAlign w:val="bottom"/>
          </w:tcPr>
          <w:p>
            <w:pPr>
              <w:jc w:val="right"/>
              <w:ind w:right="24"/>
              <w:spacing w:after="0" w:line="189" w:lineRule="exact"/>
              <w:rPr>
                <w:sz w:val="20"/>
                <w:szCs w:val="20"/>
                <w:color w:val="auto"/>
              </w:rPr>
            </w:pPr>
            <w:r>
              <w:rPr>
                <w:rFonts w:ascii="Arial" w:cs="Arial" w:eastAsia="Arial" w:hAnsi="Arial"/>
                <w:sz w:val="18"/>
                <w:szCs w:val="18"/>
                <w:b w:val="1"/>
                <w:bCs w:val="1"/>
                <w:color w:val="auto"/>
              </w:rPr>
              <w:t>45-4241907</w:t>
            </w:r>
          </w:p>
        </w:tc>
      </w:tr>
      <w:tr>
        <w:trPr>
          <w:trHeight w:val="135"/>
        </w:trPr>
        <w:tc>
          <w:tcPr>
            <w:tcW w:w="3320" w:type="dxa"/>
            <w:vAlign w:val="bottom"/>
          </w:tcPr>
          <w:p>
            <w:pPr>
              <w:jc w:val="center"/>
              <w:ind w:right="841"/>
              <w:spacing w:after="0" w:line="135" w:lineRule="exact"/>
              <w:rPr>
                <w:sz w:val="20"/>
                <w:szCs w:val="20"/>
                <w:color w:val="auto"/>
              </w:rPr>
            </w:pPr>
            <w:r>
              <w:rPr>
                <w:rFonts w:ascii="Arial" w:cs="Arial" w:eastAsia="Arial" w:hAnsi="Arial"/>
                <w:sz w:val="13"/>
                <w:szCs w:val="13"/>
                <w:b w:val="1"/>
                <w:bCs w:val="1"/>
                <w:color w:val="auto"/>
                <w:w w:val="95"/>
              </w:rPr>
              <w:t>(State or Other Jurisdiction</w:t>
            </w:r>
          </w:p>
        </w:tc>
        <w:tc>
          <w:tcPr>
            <w:tcW w:w="2240" w:type="dxa"/>
            <w:vAlign w:val="bottom"/>
          </w:tcPr>
          <w:p>
            <w:pPr>
              <w:jc w:val="center"/>
              <w:ind w:left="161"/>
              <w:spacing w:after="0" w:line="135" w:lineRule="exact"/>
              <w:rPr>
                <w:sz w:val="20"/>
                <w:szCs w:val="20"/>
                <w:color w:val="auto"/>
              </w:rPr>
            </w:pPr>
            <w:r>
              <w:rPr>
                <w:rFonts w:ascii="Arial" w:cs="Arial" w:eastAsia="Arial" w:hAnsi="Arial"/>
                <w:sz w:val="13"/>
                <w:szCs w:val="13"/>
                <w:b w:val="1"/>
                <w:bCs w:val="1"/>
                <w:color w:val="auto"/>
                <w:w w:val="94"/>
              </w:rPr>
              <w:t>(Commission File Number)</w:t>
            </w:r>
          </w:p>
        </w:tc>
        <w:tc>
          <w:tcPr>
            <w:tcW w:w="2780" w:type="dxa"/>
            <w:vAlign w:val="bottom"/>
          </w:tcPr>
          <w:p>
            <w:pPr>
              <w:jc w:val="center"/>
              <w:ind w:left="1624"/>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74"/>
        </w:trPr>
        <w:tc>
          <w:tcPr>
            <w:tcW w:w="3320" w:type="dxa"/>
            <w:vAlign w:val="bottom"/>
          </w:tcPr>
          <w:p>
            <w:pPr>
              <w:jc w:val="center"/>
              <w:ind w:right="841"/>
              <w:spacing w:after="0"/>
              <w:rPr>
                <w:sz w:val="20"/>
                <w:szCs w:val="20"/>
                <w:color w:val="auto"/>
              </w:rPr>
            </w:pPr>
            <w:r>
              <w:rPr>
                <w:rFonts w:ascii="Arial" w:cs="Arial" w:eastAsia="Arial" w:hAnsi="Arial"/>
                <w:sz w:val="13"/>
                <w:szCs w:val="13"/>
                <w:b w:val="1"/>
                <w:bCs w:val="1"/>
                <w:color w:val="auto"/>
                <w:w w:val="96"/>
              </w:rPr>
              <w:t>of Incorporation)</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Arial" w:cs="Arial" w:eastAsia="Arial" w:hAnsi="Arial"/>
                <w:sz w:val="13"/>
                <w:szCs w:val="13"/>
                <w:b w:val="1"/>
                <w:bCs w:val="1"/>
                <w:color w:val="auto"/>
                <w:w w:val="96"/>
              </w:rPr>
              <w:t>Identification No.)</w:t>
            </w:r>
          </w:p>
        </w:tc>
      </w:tr>
      <w:tr>
        <w:trPr>
          <w:trHeight w:val="387"/>
        </w:trPr>
        <w:tc>
          <w:tcPr>
            <w:tcW w:w="3320" w:type="dxa"/>
            <w:vAlign w:val="bottom"/>
          </w:tcPr>
          <w:p>
            <w:pPr>
              <w:jc w:val="center"/>
              <w:ind w:right="861"/>
              <w:spacing w:after="0"/>
              <w:rPr>
                <w:sz w:val="20"/>
                <w:szCs w:val="20"/>
                <w:color w:val="auto"/>
              </w:rPr>
            </w:pPr>
            <w:r>
              <w:rPr>
                <w:rFonts w:ascii="Arial" w:cs="Arial" w:eastAsia="Arial" w:hAnsi="Arial"/>
                <w:sz w:val="18"/>
                <w:szCs w:val="18"/>
                <w:b w:val="1"/>
                <w:bCs w:val="1"/>
                <w:color w:val="auto"/>
                <w:w w:val="92"/>
              </w:rPr>
              <w:t>22 Cortlandt Street, 16th Floor</w:t>
            </w:r>
          </w:p>
        </w:tc>
        <w:tc>
          <w:tcPr>
            <w:tcW w:w="22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8"/>
        </w:trPr>
        <w:tc>
          <w:tcPr>
            <w:tcW w:w="3320" w:type="dxa"/>
            <w:vAlign w:val="bottom"/>
          </w:tcPr>
          <w:p>
            <w:pPr>
              <w:jc w:val="center"/>
              <w:ind w:right="861"/>
              <w:spacing w:after="0"/>
              <w:rPr>
                <w:sz w:val="20"/>
                <w:szCs w:val="20"/>
                <w:color w:val="auto"/>
              </w:rPr>
            </w:pPr>
            <w:r>
              <w:rPr>
                <w:rFonts w:ascii="Arial" w:cs="Arial" w:eastAsia="Arial" w:hAnsi="Arial"/>
                <w:sz w:val="18"/>
                <w:szCs w:val="18"/>
                <w:b w:val="1"/>
                <w:bCs w:val="1"/>
                <w:color w:val="auto"/>
                <w:w w:val="93"/>
              </w:rPr>
              <w:t>New York, New York</w:t>
            </w:r>
          </w:p>
        </w:tc>
        <w:tc>
          <w:tcPr>
            <w:tcW w:w="2240" w:type="dxa"/>
            <w:vAlign w:val="bottom"/>
          </w:tcPr>
          <w:p>
            <w:pPr>
              <w:spacing w:after="0"/>
              <w:rPr>
                <w:sz w:val="18"/>
                <w:szCs w:val="18"/>
                <w:color w:val="auto"/>
              </w:rPr>
            </w:pPr>
          </w:p>
        </w:tc>
        <w:tc>
          <w:tcPr>
            <w:tcW w:w="2780" w:type="dxa"/>
            <w:vAlign w:val="bottom"/>
          </w:tcPr>
          <w:p>
            <w:pPr>
              <w:jc w:val="right"/>
              <w:ind w:right="224"/>
              <w:spacing w:after="0"/>
              <w:rPr>
                <w:sz w:val="20"/>
                <w:szCs w:val="20"/>
                <w:color w:val="auto"/>
              </w:rPr>
            </w:pPr>
            <w:r>
              <w:rPr>
                <w:rFonts w:ascii="Arial" w:cs="Arial" w:eastAsia="Arial" w:hAnsi="Arial"/>
                <w:sz w:val="18"/>
                <w:szCs w:val="18"/>
                <w:b w:val="1"/>
                <w:bCs w:val="1"/>
                <w:color w:val="auto"/>
              </w:rPr>
              <w:t>10007</w:t>
            </w:r>
          </w:p>
        </w:tc>
      </w:tr>
      <w:tr>
        <w:trPr>
          <w:trHeight w:val="174"/>
        </w:trPr>
        <w:tc>
          <w:tcPr>
            <w:tcW w:w="3320" w:type="dxa"/>
            <w:vAlign w:val="bottom"/>
          </w:tcPr>
          <w:p>
            <w:pPr>
              <w:jc w:val="center"/>
              <w:ind w:right="84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Arial" w:cs="Arial" w:eastAsia="Arial" w:hAnsi="Arial"/>
                <w:sz w:val="13"/>
                <w:szCs w:val="13"/>
                <w:b w:val="1"/>
                <w:bCs w:val="1"/>
                <w:color w:val="auto"/>
                <w:w w:val="96"/>
              </w:rPr>
              <w:t>(Zip Code)</w:t>
            </w:r>
          </w:p>
        </w:tc>
      </w:tr>
    </w:tbl>
    <w:p>
      <w:pPr>
        <w:spacing w:after="0" w:line="18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(212) 332-3241</w:t>
      </w:r>
    </w:p>
    <w:p>
      <w:pPr>
        <w:spacing w:after="0" w:line="37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118745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03"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4"/>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NASDAQ Global Market</w:t>
            </w:r>
          </w:p>
        </w:tc>
      </w:tr>
    </w:tbl>
    <w:p>
      <w:pPr>
        <w:spacing w:after="0" w:line="174" w:lineRule="exact"/>
        <w:rPr>
          <w:sz w:val="24"/>
          <w:szCs w:val="24"/>
          <w:color w:val="auto"/>
        </w:rPr>
      </w:pPr>
    </w:p>
    <w:p>
      <w:pPr>
        <w:ind w:right="48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jc w:val="both"/>
        <w:ind w:right="220" w:firstLine="749"/>
        <w:spacing w:after="0" w:line="248" w:lineRule="auto"/>
        <w:rPr>
          <w:sz w:val="20"/>
          <w:szCs w:val="20"/>
          <w:color w:val="auto"/>
        </w:rPr>
      </w:pPr>
      <w:r>
        <w:rPr>
          <w:rFonts w:ascii="Arial" w:cs="Arial" w:eastAsia="Arial" w:hAnsi="Arial"/>
          <w:sz w:val="18"/>
          <w:szCs w:val="18"/>
          <w:color w:val="auto"/>
        </w:rPr>
        <w:t>On September 8, 2022, Axsome Therapeutics, Inc. (the “Company”) issued a press release announcing the enrollment of the first patient in the Company’s ADVANCE-2 (Addressing Dementia via Agitation-Centered Evaluation-2) Phase 3 trial of AXS-05 for the treatment of agitation associated with Alzheimer's disease.</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760" w:type="dxa"/>
            <w:vAlign w:val="bottom"/>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6520" w:type="dxa"/>
            <w:vAlign w:val="bottom"/>
            <w:tcBorders>
              <w:bottom w:val="single" w:sz="8" w:color="auto"/>
            </w:tcBorders>
          </w:tcPr>
          <w:p>
            <w:pPr>
              <w:ind w:left="1380"/>
              <w:spacing w:after="0"/>
              <w:rPr>
                <w:sz w:val="20"/>
                <w:szCs w:val="20"/>
                <w:color w:val="auto"/>
              </w:rPr>
            </w:pPr>
            <w:r>
              <w:rPr>
                <w:rFonts w:ascii="Arial" w:cs="Arial" w:eastAsia="Arial" w:hAnsi="Arial"/>
                <w:sz w:val="18"/>
                <w:szCs w:val="18"/>
                <w:b w:val="1"/>
                <w:bCs w:val="1"/>
                <w:color w:val="auto"/>
              </w:rPr>
              <w:t>Description</w:t>
            </w:r>
          </w:p>
        </w:tc>
      </w:tr>
      <w:tr>
        <w:trPr>
          <w:trHeight w:val="358"/>
        </w:trPr>
        <w:tc>
          <w:tcPr>
            <w:tcW w:w="1080" w:type="dxa"/>
            <w:vAlign w:val="bottom"/>
          </w:tcPr>
          <w:p>
            <w:pPr>
              <w:ind w:left="20"/>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0000FF"/>
              </w:rPr>
              <w:t>Press Release dated September 8, 2022.</w:t>
            </w:r>
          </w:p>
        </w:tc>
      </w:tr>
      <w:tr>
        <w:trPr>
          <w:trHeight w:val="20"/>
        </w:trPr>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Borders>
              <w:right w:val="single" w:sz="8" w:color="0000EE"/>
            </w:tcBorders>
            <w:shd w:val="clear" w:color="auto" w:fill="0000FF"/>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26"/>
        </w:trPr>
        <w:tc>
          <w:tcPr>
            <w:tcW w:w="1080" w:type="dxa"/>
            <w:vAlign w:val="bottom"/>
          </w:tcPr>
          <w:p>
            <w:pPr>
              <w:ind w:left="20"/>
              <w:spacing w:after="0"/>
              <w:rPr>
                <w:sz w:val="20"/>
                <w:szCs w:val="20"/>
                <w:color w:val="auto"/>
              </w:rPr>
            </w:pPr>
            <w:r>
              <w:rPr>
                <w:rFonts w:ascii="Arial" w:cs="Arial" w:eastAsia="Arial" w:hAnsi="Arial"/>
                <w:sz w:val="18"/>
                <w:szCs w:val="18"/>
                <w:color w:val="auto"/>
              </w:rPr>
              <w:t>104</w:t>
            </w:r>
          </w:p>
        </w:tc>
        <w:tc>
          <w:tcPr>
            <w:tcW w:w="76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736"/>
        </w:trPr>
        <w:tc>
          <w:tcPr>
            <w:tcW w:w="10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6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Axsome Therapeutics, Inc.</w:t>
            </w:r>
          </w:p>
        </w:tc>
      </w:tr>
      <w:tr>
        <w:trPr>
          <w:trHeight w:val="553"/>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3300" w:type="dxa"/>
            <w:vAlign w:val="bottom"/>
          </w:tcPr>
          <w:p>
            <w:pPr>
              <w:ind w:left="140"/>
              <w:spacing w:after="0"/>
              <w:rPr>
                <w:sz w:val="20"/>
                <w:szCs w:val="20"/>
                <w:color w:val="auto"/>
              </w:rPr>
            </w:pPr>
            <w:r>
              <w:rPr>
                <w:rFonts w:ascii="Arial" w:cs="Arial" w:eastAsia="Arial" w:hAnsi="Arial"/>
                <w:sz w:val="18"/>
                <w:szCs w:val="18"/>
                <w:color w:val="auto"/>
              </w:rPr>
              <w:t>September 8, 2022</w:t>
            </w:r>
          </w:p>
        </w:tc>
        <w:tc>
          <w:tcPr>
            <w:tcW w:w="2440" w:type="dxa"/>
            <w:vAlign w:val="bottom"/>
          </w:tcPr>
          <w:p>
            <w:pPr>
              <w:ind w:left="18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Herriot Tabuteau, M.D.</w:t>
            </w:r>
          </w:p>
        </w:tc>
      </w:tr>
      <w:tr>
        <w:trPr>
          <w:trHeight w:val="155"/>
        </w:trPr>
        <w:tc>
          <w:tcPr>
            <w:tcW w:w="5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440" w:type="dxa"/>
            <w:vAlign w:val="bottom"/>
          </w:tcPr>
          <w:p>
            <w:pPr>
              <w:ind w:left="1800"/>
              <w:spacing w:after="0" w:line="156" w:lineRule="exact"/>
              <w:rPr>
                <w:sz w:val="20"/>
                <w:szCs w:val="20"/>
                <w:color w:val="auto"/>
              </w:rPr>
            </w:pPr>
            <w:r>
              <w:rPr>
                <w:rFonts w:ascii="Arial" w:cs="Arial" w:eastAsia="Arial" w:hAnsi="Arial"/>
                <w:sz w:val="18"/>
                <w:szCs w:val="18"/>
                <w:color w:val="auto"/>
              </w:rPr>
              <w:t>Name:</w:t>
            </w:r>
          </w:p>
        </w:tc>
        <w:tc>
          <w:tcPr>
            <w:tcW w:w="4940" w:type="dxa"/>
            <w:vAlign w:val="bottom"/>
          </w:tcPr>
          <w:p>
            <w:pPr>
              <w:ind w:left="20"/>
              <w:spacing w:after="0" w:line="156" w:lineRule="exact"/>
              <w:rPr>
                <w:sz w:val="20"/>
                <w:szCs w:val="20"/>
                <w:color w:val="auto"/>
              </w:rPr>
            </w:pPr>
            <w:r>
              <w:rPr>
                <w:rFonts w:ascii="Arial" w:cs="Arial" w:eastAsia="Arial" w:hAnsi="Arial"/>
                <w:sz w:val="18"/>
                <w:szCs w:val="18"/>
                <w:color w:val="auto"/>
              </w:rPr>
              <w:t>Herriot Tabuteau, M.D.</w:t>
            </w:r>
          </w:p>
        </w:tc>
      </w:tr>
      <w:tr>
        <w:trPr>
          <w:trHeight w:val="243"/>
        </w:trPr>
        <w:tc>
          <w:tcPr>
            <w:tcW w:w="56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440" w:type="dxa"/>
            <w:vAlign w:val="bottom"/>
          </w:tcPr>
          <w:p>
            <w:pPr>
              <w:ind w:left="1800"/>
              <w:spacing w:after="0"/>
              <w:rPr>
                <w:sz w:val="20"/>
                <w:szCs w:val="20"/>
                <w:color w:val="auto"/>
              </w:rPr>
            </w:pPr>
            <w:r>
              <w:rPr>
                <w:rFonts w:ascii="Arial" w:cs="Arial" w:eastAsia="Arial" w:hAnsi="Arial"/>
                <w:sz w:val="18"/>
                <w:szCs w:val="18"/>
                <w:color w:val="auto"/>
              </w:rPr>
              <w:t>Title:</w:t>
            </w:r>
          </w:p>
        </w:tc>
        <w:tc>
          <w:tcPr>
            <w:tcW w:w="49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884"/>
        </w:trPr>
        <w:tc>
          <w:tcPr>
            <w:tcW w:w="56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268730" cy="711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6873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Initiates ADVANCE-2 Phase 3 Trial of AXS-05 in Alzheimer’s Disease Agitation</w:t>
      </w: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NEW YORK, Sept. 08, 2022 (GLOBE NEWSWIRE) -- Axsome Therapeutics, Inc. (NASDAQ: AXSM), a biopharmaceutical company developing and delivering novel therapies for the management of central nervous system (CNS) disorders, announced that it has enrolled the first patient in the ADVANCE-2 trial of AXS-05, an investigational treatment for Alzheimer’s disease (AD) agitation.</w:t>
      </w:r>
    </w:p>
    <w:p>
      <w:pPr>
        <w:spacing w:after="0" w:line="8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ADVANCE-2 (Addressing Dementia via Agitation-Centered Evaluation-2) is a Phase 3, randomized, double-blind, placebo-controlled, multicenter, trial to assess the efficacy and safety of AXS-05 for the treatment of agitation associated with AD. Approximately 350 patients will be randomized in a 1:1 ratio to receive AXS-05 or placebo for 5 weeks. The primary efficacy measure is the Cohen-Mansfield Agitation Inventory (CMAI).</w:t>
      </w:r>
    </w:p>
    <w:p>
      <w:pPr>
        <w:spacing w:after="0" w:line="9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AXS-05 has been granted U.S. Food and Drug Administration (FDA) Breakthrough Therapy designation for the treatment of Alzheimer's disease agitation.</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Alzheimer’s Disease (AD) Agitation</w:t>
      </w:r>
    </w:p>
    <w:p>
      <w:pPr>
        <w:spacing w:after="0" w:line="139"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Alzheimer’s disease (AD) is a progressive neurodegenerative disorder characterized by cognitive decline, and behavioral and psychological symptoms including agitation. AD is the most common form of dementia and afflicts an estimated 6 million individuals in the United States, a number that is anticipated to increase to approximately 14 million by 2050</w:t>
      </w:r>
      <w:r>
        <w:rPr>
          <w:rFonts w:ascii="Arial" w:cs="Arial" w:eastAsia="Arial" w:hAnsi="Arial"/>
          <w:sz w:val="24"/>
          <w:szCs w:val="24"/>
          <w:color w:val="auto"/>
          <w:vertAlign w:val="superscript"/>
        </w:rPr>
        <w:t>1</w:t>
      </w:r>
      <w:r>
        <w:rPr>
          <w:rFonts w:ascii="Arial" w:cs="Arial" w:eastAsia="Arial" w:hAnsi="Arial"/>
          <w:sz w:val="18"/>
          <w:szCs w:val="18"/>
          <w:color w:val="auto"/>
        </w:rPr>
        <w:t>. Agitation is reported in up to 70% of patients with AD and is</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characterized by emotional distress, aggressive behaviors, disruptive irritability, and disinhibition</w:t>
      </w:r>
      <w:r>
        <w:rPr>
          <w:rFonts w:ascii="Arial" w:cs="Arial" w:eastAsia="Arial" w:hAnsi="Arial"/>
          <w:sz w:val="24"/>
          <w:szCs w:val="24"/>
          <w:color w:val="auto"/>
          <w:vertAlign w:val="superscript"/>
        </w:rPr>
        <w:t>2</w:t>
      </w:r>
      <w:r>
        <w:rPr>
          <w:rFonts w:ascii="Arial" w:cs="Arial" w:eastAsia="Arial" w:hAnsi="Arial"/>
          <w:sz w:val="18"/>
          <w:szCs w:val="18"/>
          <w:color w:val="auto"/>
        </w:rPr>
        <w:t>. Agitation in patients with AD has been associated with increased caregiver burden, decreased functioning, accelerated cognitive decline, earlier nursing home placement, and increased mortality</w:t>
      </w:r>
      <w:r>
        <w:rPr>
          <w:rFonts w:ascii="Arial" w:cs="Arial" w:eastAsia="Arial" w:hAnsi="Arial"/>
          <w:sz w:val="24"/>
          <w:szCs w:val="24"/>
          <w:color w:val="auto"/>
          <w:vertAlign w:val="superscript"/>
        </w:rPr>
        <w:t>2-4</w:t>
      </w:r>
      <w:r>
        <w:rPr>
          <w:rFonts w:ascii="Arial" w:cs="Arial" w:eastAsia="Arial" w:hAnsi="Arial"/>
          <w:sz w:val="18"/>
          <w:szCs w:val="18"/>
          <w:color w:val="auto"/>
        </w:rPr>
        <w:t>. There are currently no therapies approved by the FDA for the treatment of agitation in patients with AD.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AXS-05</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AXS-05 (dextromethorphan-bupropion) is a novel, oral, patent protected, investigational N-methyl-D-aspartate (NMDA) receptor antagonist with multimodal activity under development for the treatment of Alzheimer’s disease (AD) agitation and other central nervous system (CNS) disorders. AXS-05 utilizes a proprietary formulation and dose of dextromethorphan and bupropion, and Axsome’s metabolic inhibition technology, to modulate the delivery of the components. The dextromethorphan component of AXS-05 is an uncompetitive NMDA receptor antagonist, also known as a glutamate receptor modulator, and a sigma-1 receptor agonist. The bupropion component of AXS-05 serves to increase the bioavailability of dextromethorphan, and is a norepinephrine and dopamine reuptake inhibitor. AXS-05 is covered by a robust patent estate extending out at least to 2037-2040. AXS-05 has been granted FDA Breakthrough Therapy designation for the treatment of Alzheimer’s disease agitation. AXS-05 is not approved by the FDA for the treatment of AD agitation.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2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Axsome Therapeutics, Inc. is a biopharmaceutical company developing and delivering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 Looking Statements</w:t>
      </w:r>
    </w:p>
    <w:p>
      <w:pPr>
        <w:spacing w:after="0" w:line="1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Sunosi® product and the success of our efforts to obtain any additional indication(s) with respect to Sunosi; the commercial success of our Auvelity™ product and the success of our efforts to obtain any additional indication(s) with respect to AXS-05,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amount of capital required for the successful commercialization of Sunosi and Auvelity and for the Company’s commercial launch of its other product candidates,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4" w:lineRule="auto"/>
        <w:rPr>
          <w:sz w:val="20"/>
          <w:szCs w:val="20"/>
          <w:color w:val="auto"/>
        </w:rPr>
      </w:pPr>
      <w:r>
        <w:rPr>
          <w:rFonts w:ascii="Arial" w:cs="Arial" w:eastAsia="Arial" w:hAnsi="Arial"/>
          <w:sz w:val="18"/>
          <w:szCs w:val="18"/>
          <w:color w:val="auto"/>
        </w:rPr>
        <w:t>Chief Operating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22 Cortlandt Street, 16th Floor</w:t>
      </w:r>
    </w:p>
    <w:p>
      <w:pPr>
        <w:spacing w:after="0" w:line="234" w:lineRule="auto"/>
        <w:rPr>
          <w:sz w:val="20"/>
          <w:szCs w:val="20"/>
          <w:color w:val="auto"/>
        </w:rPr>
      </w:pPr>
      <w:r>
        <w:rPr>
          <w:rFonts w:ascii="Arial" w:cs="Arial" w:eastAsia="Arial" w:hAnsi="Arial"/>
          <w:sz w:val="18"/>
          <w:szCs w:val="18"/>
          <w:color w:val="auto"/>
        </w:rPr>
        <w:t>New York, NY 10007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rPr>
          <w:sz w:val="20"/>
          <w:szCs w:val="20"/>
          <w:color w:val="auto"/>
        </w:rPr>
      </w:pPr>
      <w:r>
        <w:rPr>
          <w:rFonts w:ascii="Arial" w:cs="Arial" w:eastAsia="Arial" w:hAnsi="Arial"/>
          <w:sz w:val="18"/>
          <w:szCs w:val="18"/>
          <w:color w:val="auto"/>
        </w:rPr>
        <w:t>www.axsome.com</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References</w:t>
      </w:r>
    </w:p>
    <w:p>
      <w:pPr>
        <w:spacing w:after="0" w:line="139" w:lineRule="exact"/>
        <w:rPr>
          <w:sz w:val="20"/>
          <w:szCs w:val="20"/>
          <w:color w:val="auto"/>
        </w:rPr>
      </w:pPr>
    </w:p>
    <w:p>
      <w:pPr>
        <w:ind w:left="760" w:hanging="378"/>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Alzheimer’s Association. 2020 Alzheimer’s Disease Facts and Figures. Alzheimers Dement 2020;16(3):391+.</w:t>
      </w:r>
    </w:p>
    <w:p>
      <w:pPr>
        <w:spacing w:after="0" w:line="103" w:lineRule="exact"/>
        <w:rPr>
          <w:rFonts w:ascii="Arial" w:cs="Arial" w:eastAsia="Arial" w:hAnsi="Arial"/>
          <w:sz w:val="18"/>
          <w:szCs w:val="18"/>
          <w:color w:val="auto"/>
        </w:rPr>
      </w:pPr>
    </w:p>
    <w:p>
      <w:pPr>
        <w:ind w:left="760" w:hanging="378"/>
        <w:spacing w:after="0" w:line="246"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Tractenberg RE, Weiner MF, Thal LJ. Estimating the prevalence of agitation in community-dwelling persons with Alzheimer’s disease. J Neuropsychiatry Clin Neurosci. 2002;14:11-18.</w:t>
      </w:r>
    </w:p>
    <w:p>
      <w:pPr>
        <w:spacing w:after="0" w:line="102" w:lineRule="exact"/>
        <w:rPr>
          <w:rFonts w:ascii="Arial" w:cs="Arial" w:eastAsia="Arial" w:hAnsi="Arial"/>
          <w:sz w:val="18"/>
          <w:szCs w:val="18"/>
          <w:color w:val="auto"/>
        </w:rPr>
      </w:pPr>
    </w:p>
    <w:p>
      <w:pPr>
        <w:ind w:left="760" w:right="20" w:hanging="378"/>
        <w:spacing w:after="0" w:line="246"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Porsteinsson AP, Antonsdottir IM. An update on the advancements in the treatment of agitation in Alzheimer’s disease. Expert Opin Pharmacother. 2017;18:611-620.</w:t>
      </w:r>
    </w:p>
    <w:p>
      <w:pPr>
        <w:spacing w:after="0" w:line="88"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Rabins PV, Schwartz S, Black BS, Corcoran C, Fauth E, Mielke M, Christensen J, Lyketsos C, Tschanz J. Predictors of progression to severe Alzheimer's disease in an incidence sample. Alzheimers Dement. 2013;9:204-207.</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2022-09-08T15:15:17Z</dcterms:created>
  <dcterms:modified xsi:type="dcterms:W3CDTF">2022-09-08T15:15:17Z</dcterms:modified>
</cp:coreProperties>
</file>