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July 25, 2017</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60"/>
          </w:cols>
          <w:pgMar w:left="240" w:top="544" w:right="2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40"/>
          </w:cols>
          <w:pgMar w:left="240" w:top="544" w:right="299" w:bottom="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25 Broadway, 9th Floor</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10004</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40"/>
          </w:cols>
          <w:pgMar w:left="240" w:top="544" w:right="299" w:bottom="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4"/>
          <w:szCs w:val="24"/>
          <w:color w:val="auto"/>
        </w:rPr>
      </w:pPr>
    </w:p>
    <w:p>
      <w:pPr>
        <w:ind w:right="140" w:firstLine="972"/>
        <w:spacing w:after="0" w:line="259" w:lineRule="auto"/>
        <w:rPr>
          <w:sz w:val="20"/>
          <w:szCs w:val="20"/>
          <w:color w:val="auto"/>
        </w:rPr>
      </w:pPr>
      <w:r>
        <w:rPr>
          <w:rFonts w:ascii="Arial" w:cs="Arial" w:eastAsia="Arial" w:hAnsi="Arial"/>
          <w:sz w:val="18"/>
          <w:szCs w:val="18"/>
          <w:color w:val="auto"/>
        </w:rPr>
        <w:t>On July 25, 2017, Axsome Therapeutics, Inc. (the “Company”) issued a press release announcing topline clinical trial results from a Phase 1 pharmacokinetic study of AXS-06, a novel, oral, non-opioid, fixed-dose combination of meloxicam and esomeprazole being developed for the treatment of osteoarthritis and rheumatoid arthritis. The Company also announced that it had received, from the U.S. Food and Drug Administration, Pre-Investigational New Drug Application written guidance on a proposed clinical developmental plan for AXS-06.</w:t>
      </w:r>
    </w:p>
    <w:p>
      <w:pPr>
        <w:spacing w:after="0" w:line="187" w:lineRule="exact"/>
        <w:rPr>
          <w:sz w:val="24"/>
          <w:szCs w:val="24"/>
          <w:color w:val="auto"/>
        </w:rPr>
      </w:pPr>
    </w:p>
    <w:p>
      <w:pPr>
        <w:ind w:left="980"/>
        <w:spacing w:after="0"/>
        <w:rPr>
          <w:sz w:val="20"/>
          <w:szCs w:val="20"/>
          <w:color w:val="auto"/>
        </w:rPr>
      </w:pPr>
      <w:r>
        <w:rPr>
          <w:rFonts w:ascii="Arial" w:cs="Arial" w:eastAsia="Arial" w:hAnsi="Arial"/>
          <w:sz w:val="18"/>
          <w:szCs w:val="18"/>
          <w:color w:val="auto"/>
        </w:rPr>
        <w:t>The full text of the press release is filed as Exhibit 99.1 hereto and is incorporated herein by reference.</w:t>
      </w:r>
    </w:p>
    <w:p>
      <w:pPr>
        <w:sectPr>
          <w:pgSz w:w="11900" w:h="16838" w:orient="portrait"/>
          <w:cols w:equalWidth="0" w:num="1">
            <w:col w:w="11360"/>
          </w:cols>
          <w:pgMar w:left="240" w:top="544" w:right="29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280" w:type="dxa"/>
            <w:vAlign w:val="bottom"/>
            <w:vMerge w:val="restart"/>
          </w:tcPr>
          <w:p>
            <w:pPr>
              <w:jc w:val="right"/>
              <w:ind w:right="4419"/>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2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360" w:type="dxa"/>
            <w:vAlign w:val="bottom"/>
            <w:tcBorders>
              <w:top w:val="single" w:sz="8" w:color="auto"/>
            </w:tcBorders>
          </w:tcPr>
          <w:p>
            <w:pPr>
              <w:jc w:val="right"/>
              <w:ind w:right="430"/>
              <w:spacing w:after="0" w:line="170"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4"/>
                <w:szCs w:val="14"/>
                <w:color w:val="auto"/>
              </w:rPr>
            </w:pPr>
          </w:p>
        </w:tc>
        <w:tc>
          <w:tcPr>
            <w:tcW w:w="9700" w:type="dxa"/>
            <w:vAlign w:val="bottom"/>
            <w:tcBorders>
              <w:top w:val="single" w:sz="8" w:color="auto"/>
            </w:tcBorders>
            <w:gridSpan w:val="2"/>
          </w:tcPr>
          <w:p>
            <w:pPr>
              <w:jc w:val="right"/>
              <w:ind w:right="7199"/>
              <w:spacing w:after="0" w:line="170"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Press release dated July 25, 2017.</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20" w:type="dxa"/>
            <w:vAlign w:val="bottom"/>
            <w:tcBorders>
              <w:top w:val="single" w:sz="8" w:color="0000EE"/>
            </w:tcBorders>
          </w:tcPr>
          <w:p>
            <w:pPr>
              <w:spacing w:after="0"/>
              <w:rPr>
                <w:sz w:val="24"/>
                <w:szCs w:val="24"/>
                <w:color w:val="auto"/>
              </w:rPr>
            </w:pPr>
          </w:p>
        </w:tc>
        <w:tc>
          <w:tcPr>
            <w:tcW w:w="7280" w:type="dxa"/>
            <w:vAlign w:val="bottom"/>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420" w:type="dxa"/>
            <w:vAlign w:val="bottom"/>
            <w:tcBorders>
              <w:bottom w:val="single" w:sz="8" w:color="808080"/>
            </w:tcBorders>
          </w:tcPr>
          <w:p>
            <w:pPr>
              <w:spacing w:after="0"/>
              <w:rPr>
                <w:sz w:val="11"/>
                <w:szCs w:val="11"/>
                <w:color w:val="auto"/>
              </w:rPr>
            </w:pPr>
          </w:p>
        </w:tc>
        <w:tc>
          <w:tcPr>
            <w:tcW w:w="7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840" w:type="dxa"/>
            <w:vAlign w:val="bottom"/>
            <w:gridSpan w:val="2"/>
          </w:tcPr>
          <w:p>
            <w:pPr>
              <w:ind w:left="2140"/>
              <w:spacing w:after="0"/>
              <w:rPr>
                <w:sz w:val="20"/>
                <w:szCs w:val="20"/>
                <w:color w:val="auto"/>
              </w:rPr>
            </w:pPr>
            <w:r>
              <w:rPr>
                <w:rFonts w:ascii="Arial" w:cs="Arial" w:eastAsia="Arial" w:hAnsi="Arial"/>
                <w:sz w:val="18"/>
                <w:szCs w:val="18"/>
                <w:b w:val="1"/>
                <w:bCs w:val="1"/>
                <w:color w:val="auto"/>
              </w:rPr>
              <w:t>Axsome Therapeutics, Inc.</w:t>
            </w:r>
          </w:p>
        </w:tc>
        <w:tc>
          <w:tcPr>
            <w:tcW w:w="40" w:type="dxa"/>
            <w:vAlign w:val="bottom"/>
          </w:tcPr>
          <w:p>
            <w:pPr>
              <w:spacing w:after="0"/>
              <w:rPr>
                <w:sz w:val="20"/>
                <w:szCs w:val="20"/>
                <w:color w:val="auto"/>
              </w:rPr>
            </w:pPr>
          </w:p>
        </w:tc>
      </w:tr>
      <w:tr>
        <w:trPr>
          <w:trHeight w:val="648"/>
        </w:trPr>
        <w:tc>
          <w:tcPr>
            <w:tcW w:w="3580" w:type="dxa"/>
            <w:vAlign w:val="bottom"/>
          </w:tcPr>
          <w:p>
            <w:pPr>
              <w:spacing w:after="0"/>
              <w:rPr>
                <w:sz w:val="20"/>
                <w:szCs w:val="20"/>
                <w:color w:val="auto"/>
              </w:rPr>
            </w:pPr>
            <w:r>
              <w:rPr>
                <w:rFonts w:ascii="Arial" w:cs="Arial" w:eastAsia="Arial" w:hAnsi="Arial"/>
                <w:sz w:val="18"/>
                <w:szCs w:val="18"/>
                <w:color w:val="auto"/>
              </w:rPr>
              <w:t>Dated: July 26, 2017</w:t>
            </w:r>
          </w:p>
        </w:tc>
        <w:tc>
          <w:tcPr>
            <w:tcW w:w="2860" w:type="dxa"/>
            <w:vAlign w:val="bottom"/>
          </w:tcPr>
          <w:p>
            <w:pPr>
              <w:ind w:left="214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c>
          <w:tcPr>
            <w:tcW w:w="40" w:type="dxa"/>
            <w:vAlign w:val="bottom"/>
          </w:tcPr>
          <w:p>
            <w:pPr>
              <w:spacing w:after="0"/>
              <w:rPr>
                <w:sz w:val="24"/>
                <w:szCs w:val="24"/>
                <w:color w:val="auto"/>
              </w:rPr>
            </w:pPr>
          </w:p>
        </w:tc>
      </w:tr>
      <w:tr>
        <w:trPr>
          <w:trHeight w:val="195"/>
        </w:trPr>
        <w:tc>
          <w:tcPr>
            <w:tcW w:w="3580" w:type="dxa"/>
            <w:vAlign w:val="bottom"/>
          </w:tcPr>
          <w:p>
            <w:pPr>
              <w:spacing w:after="0"/>
              <w:rPr>
                <w:sz w:val="16"/>
                <w:szCs w:val="16"/>
                <w:color w:val="auto"/>
              </w:rPr>
            </w:pPr>
          </w:p>
        </w:tc>
        <w:tc>
          <w:tcPr>
            <w:tcW w:w="286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Herriot Tabuteau, M.D.</w:t>
            </w:r>
          </w:p>
        </w:tc>
        <w:tc>
          <w:tcPr>
            <w:tcW w:w="40" w:type="dxa"/>
            <w:vAlign w:val="bottom"/>
          </w:tcPr>
          <w:p>
            <w:pPr>
              <w:spacing w:after="0"/>
              <w:rPr>
                <w:sz w:val="16"/>
                <w:szCs w:val="16"/>
                <w:color w:val="auto"/>
              </w:rPr>
            </w:pPr>
          </w:p>
        </w:tc>
      </w:tr>
      <w:tr>
        <w:trPr>
          <w:trHeight w:val="230"/>
        </w:trPr>
        <w:tc>
          <w:tcPr>
            <w:tcW w:w="3580" w:type="dxa"/>
            <w:vAlign w:val="bottom"/>
          </w:tcPr>
          <w:p>
            <w:pPr>
              <w:spacing w:after="0"/>
              <w:rPr>
                <w:sz w:val="20"/>
                <w:szCs w:val="20"/>
                <w:color w:val="auto"/>
              </w:rPr>
            </w:pPr>
          </w:p>
        </w:tc>
        <w:tc>
          <w:tcPr>
            <w:tcW w:w="2860" w:type="dxa"/>
            <w:vAlign w:val="bottom"/>
          </w:tcPr>
          <w:p>
            <w:pPr>
              <w:ind w:left="2140"/>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432"/>
        </w:trPr>
        <w:tc>
          <w:tcPr>
            <w:tcW w:w="3580" w:type="dxa"/>
            <w:vAlign w:val="bottom"/>
          </w:tcPr>
          <w:p>
            <w:pPr>
              <w:spacing w:after="0"/>
              <w:rPr>
                <w:sz w:val="24"/>
                <w:szCs w:val="24"/>
                <w:color w:val="auto"/>
              </w:rPr>
            </w:pPr>
          </w:p>
        </w:tc>
        <w:tc>
          <w:tcPr>
            <w:tcW w:w="2860" w:type="dxa"/>
            <w:vAlign w:val="bottom"/>
          </w:tcPr>
          <w:p>
            <w:pPr>
              <w:ind w:left="2080"/>
              <w:spacing w:after="0"/>
              <w:rPr>
                <w:sz w:val="20"/>
                <w:szCs w:val="20"/>
                <w:color w:val="auto"/>
              </w:rPr>
            </w:pPr>
            <w:r>
              <w:rPr>
                <w:rFonts w:ascii="Arial" w:cs="Arial" w:eastAsia="Arial" w:hAnsi="Arial"/>
                <w:sz w:val="18"/>
                <w:szCs w:val="18"/>
                <w:color w:val="auto"/>
              </w:rPr>
              <w:t>3</w:t>
            </w:r>
          </w:p>
        </w:tc>
        <w:tc>
          <w:tcPr>
            <w:tcW w:w="4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80" w:type="dxa"/>
            <w:vAlign w:val="bottom"/>
            <w:tcBorders>
              <w:bottom w:val="single" w:sz="8" w:color="808080"/>
            </w:tcBorders>
          </w:tcPr>
          <w:p>
            <w:pPr>
              <w:spacing w:after="0"/>
              <w:rPr>
                <w:sz w:val="11"/>
                <w:szCs w:val="11"/>
                <w:color w:val="auto"/>
              </w:rPr>
            </w:pPr>
          </w:p>
        </w:tc>
        <w:tc>
          <w:tcPr>
            <w:tcW w:w="2860" w:type="dxa"/>
            <w:vAlign w:val="bottom"/>
            <w:tcBorders>
              <w:bottom w:val="single" w:sz="8" w:color="808080"/>
            </w:tcBorders>
          </w:tcPr>
          <w:p>
            <w:pPr>
              <w:spacing w:after="0"/>
              <w:rPr>
                <w:sz w:val="11"/>
                <w:szCs w:val="11"/>
                <w:color w:val="auto"/>
              </w:rPr>
            </w:pPr>
          </w:p>
        </w:tc>
        <w:tc>
          <w:tcPr>
            <w:tcW w:w="49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40815"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8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Announces AXS-06 (MoSEIC™ Meloxicam and Esomeprazole) Meets PrimaryEndpoint in Phase 1 Clinical Trial</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AXS-06 is an oral, rapidly-absorbed, once-daily, non-opioid, COX-2 preferential pain therapeutic with agastroprotectant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Primary endpoint met with 9 times faster time to maximum plasma concentration (Tmax) of meloxicam versusMobic® (p&lt;0.0001)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Therapeutic plasma levels of meloxicam achieved within 15 minutes of oral dosing of AXS-06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Gastroprotective concentrations of esomeprazole achieved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Phase 3-ready based on FDA Pre-IND guidance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AXS-06 utilizes Axsome’s MoSEIC™ delivery technology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AXS-06 to complement commercialization of AXS-02 in development for complex regional pain syndrome</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NEW YORK, July 25, 2017 (Globe Newswire) — Axsome Therapeutics, Inc. (NASDAQ: AXSM), a clinical-stage biopharmaceutical company developing novel therapies for the management of central nervous system (CNS) disorders, today announced positive topline clinical trial results from a Phase 1 pharmacokinetic study of AXS-06, a novel, oral, non-opioid, fixed-dose combination of meloxicam and esomeprazole being developed for the treatment of osteoarthritis and rheumatoid arthritis. Axsome has received, from the U.S. Food and Drug Administration (FDA), Pre-Investigational New Drug Application (Pre-IND) written guidance on a proposed clinical developmental plan for AXS-06. Based on this guidance, Axsome believes that AXS-06 is Phase 3-ready. AXS-06 is now Axsome’s third product candidate in clinical development and its second differentiated oral, non-opioid product candidate for the management of chronic pain.</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clinical trial results demonstrated, for the first time, rapid achievement of peak plasma levels of meloxicam after oral administration. Meloxicam is a long-acting nonsteroidal anti-inflammatory drug (NSAID) with COX-2 preferential inhibition and potent pain relieving efficacy. However standard meloxicam has an extended time to maximum plasma concentration (T</w:t>
      </w:r>
      <w:r>
        <w:rPr>
          <w:rFonts w:ascii="Arial" w:cs="Arial" w:eastAsia="Arial" w:hAnsi="Arial"/>
          <w:sz w:val="11"/>
          <w:szCs w:val="11"/>
          <w:color w:val="auto"/>
        </w:rPr>
        <w:t>max</w:t>
      </w:r>
      <w:r>
        <w:rPr>
          <w:rFonts w:ascii="Arial" w:cs="Arial" w:eastAsia="Arial" w:hAnsi="Arial"/>
          <w:sz w:val="18"/>
          <w:szCs w:val="18"/>
          <w:color w:val="auto"/>
        </w:rPr>
        <w:t>) which delays its onset of action. AXS-06 utilizes Axsome’s proprietary MoSEIC™ (Molecular Solubility Enhanced Inclusion Complex) technology to substantially increase the solubility and speed the absorption of meloxicam while maintaining durability of action. AXS-06 also incorporates esomeprazole, a proton pump inhibitor, to reduce the risk of NSAID-associated gastrointestinal ulcers which can occur with chronic NSAID use.</w:t>
      </w:r>
    </w:p>
    <w:p>
      <w:pPr>
        <w:spacing w:after="0" w:line="19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“AXS-06 provides the benefits of oral administration and demonstrates a more rapid meloxicam T</w:t>
      </w:r>
      <w:r>
        <w:rPr>
          <w:rFonts w:ascii="Arial" w:cs="Arial" w:eastAsia="Arial" w:hAnsi="Arial"/>
          <w:sz w:val="11"/>
          <w:szCs w:val="11"/>
          <w:color w:val="auto"/>
        </w:rPr>
        <w:t>max</w:t>
      </w:r>
      <w:r>
        <w:rPr>
          <w:rFonts w:ascii="Arial" w:cs="Arial" w:eastAsia="Arial" w:hAnsi="Arial"/>
          <w:sz w:val="18"/>
          <w:szCs w:val="18"/>
          <w:color w:val="auto"/>
        </w:rPr>
        <w:t xml:space="preserve"> than that reported with intramuscular administration, highlighting the potential for faster pain relief. In addition, AXS-06 maintains the long half-life of meloxicam which enables once-daily dosing and sustained effect,” said Herriot Tabuteau, M.D., Chief Executive Officer of Axsome. “These results indicate that AXS-06 has a potentially best-in-class NSAID profile based on the differentiated pharmacokinetic profile of MoSEIC™ meloxicam and the potentially enhanced gastrointestinal safety from the esomeprazole component. The potential efficacy and safety advantages of AXS-06 as compared to currently available NSAIDs could provide significant benefit to patients.”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study compared the pharmacokinetics of meloxicam and esomeprazole after oral administration of AXS-06 tablets (meloxicam 15 mg, esomeprazole 40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mg), and commercially available Mobic® tablets (15 mg meloxicam) and Nexium® capsules (40 mg esomeprazole) in healthy volunteers. The median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w:t>
      </w:r>
      <w:r>
        <w:rPr>
          <w:rFonts w:ascii="Arial" w:cs="Arial" w:eastAsia="Arial" w:hAnsi="Arial"/>
          <w:sz w:val="10"/>
          <w:szCs w:val="10"/>
          <w:color w:val="auto"/>
        </w:rPr>
        <w:t>max</w:t>
      </w:r>
      <w:r>
        <w:rPr>
          <w:rFonts w:ascii="Arial" w:cs="Arial" w:eastAsia="Arial" w:hAnsi="Arial"/>
          <w:sz w:val="16"/>
          <w:szCs w:val="16"/>
          <w:color w:val="auto"/>
        </w:rPr>
        <w:t xml:space="preserve"> for meloxicam, the trial’s primary endpoint, was 9 times faster for AXS-06 as compared to Mobic® (0.5 hour versus 4.5 hours for AXS-06 and Mobic,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respectively, p&lt;0.0001). AXS-06 also demonstrated higher mean maximum plasma concentration (C</w:t>
      </w:r>
      <w:r>
        <w:rPr>
          <w:rFonts w:ascii="Arial" w:cs="Arial" w:eastAsia="Arial" w:hAnsi="Arial"/>
          <w:sz w:val="11"/>
          <w:szCs w:val="11"/>
          <w:color w:val="auto"/>
        </w:rPr>
        <w:t>max</w:t>
      </w:r>
      <w:r>
        <w:rPr>
          <w:rFonts w:ascii="Arial" w:cs="Arial" w:eastAsia="Arial" w:hAnsi="Arial"/>
          <w:sz w:val="17"/>
          <w:szCs w:val="17"/>
          <w:color w:val="auto"/>
        </w:rPr>
        <w:t>) (p=0.0018), faster time to therapeutic plasma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concentration (p&lt;0.0001), and time to half-maximal plasma concentration (p&lt;0.0001) as compared to Mobic®. Terminal half-lives for meloxicam were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similar for AXS-06 and Mobic® at approximately 20 and 22 hours, respectively. Plasma concentrations and terminal half-lives of esomeprazole after AXS-06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Nexium® administration were comparable. AXS-06 was well tolerated 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reported adverse events being similar across the three treatment arms. There were no serious adverse events in the study.</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“With its differentiated profile and Phase 3-ready status, AXS-06 complements AXS-02 which is currently in Phase 3 trials in complex regional pain syndrome and knee osteoarthritis,” continued Dr. Tabuteau. “The overlapping patient and physician audiences for AXS-02 and AXS-06 should allow Axsome to leverage our commercialization efforts. We look forward to the further development of AXS-06 and to a data readout for AXS-02 in complex regional pain syndrome anticipated in the fourth quarter.”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1 Trial Design</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study was a randomized, parallel group trial to evaluate the pharmacokinetics and safety of meloxicam and esomeprazole after single and multiple dose administration of AXS-06 in healthy volunteers. A total of 30 subjects were randomly assigned in a 1:1:1 ratio to treatment with AXS-06 tablets (15 mg meloxicam, 40 mg esomeprazole), Mobic® tablets (15 mg meloxicam), or Nexium® capsules (40 mg esomeprazole), once daily for 6 days under fasting conditions. The primary endpoint was the T</w:t>
      </w:r>
      <w:r>
        <w:rPr>
          <w:rFonts w:ascii="Arial" w:cs="Arial" w:eastAsia="Arial" w:hAnsi="Arial"/>
          <w:sz w:val="11"/>
          <w:szCs w:val="11"/>
          <w:color w:val="auto"/>
        </w:rPr>
        <w:t>max</w:t>
      </w:r>
      <w:r>
        <w:rPr>
          <w:rFonts w:ascii="Arial" w:cs="Arial" w:eastAsia="Arial" w:hAnsi="Arial"/>
          <w:sz w:val="18"/>
          <w:szCs w:val="18"/>
          <w:color w:val="auto"/>
        </w:rPr>
        <w:t xml:space="preserve"> of meloxicam. Secondary endpoints included C</w:t>
      </w:r>
      <w:r>
        <w:rPr>
          <w:rFonts w:ascii="Arial" w:cs="Arial" w:eastAsia="Arial" w:hAnsi="Arial"/>
          <w:sz w:val="11"/>
          <w:szCs w:val="11"/>
          <w:color w:val="auto"/>
        </w:rPr>
        <w:t>max</w:t>
      </w:r>
      <w:r>
        <w:rPr>
          <w:rFonts w:ascii="Arial" w:cs="Arial" w:eastAsia="Arial" w:hAnsi="Arial"/>
          <w:sz w:val="18"/>
          <w:szCs w:val="18"/>
          <w:color w:val="auto"/>
        </w:rPr>
        <w:t>, time to half maximum concentration, and time to therapeutic concentration.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NSAID Market</w:t>
      </w:r>
    </w:p>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Nonsteroidal anti-inflammatory drugs (NSAIDs) are widely used for the treatment of pain and arthritis. Approximately 120 million prescriptions were written for NSAIDs overall in the U.S. in 2016, of which approximately 25% were written for meloxicam. Chronic use of NSAIDs has been reported to be associated</w:t>
      </w:r>
    </w:p>
    <w:p>
      <w:pPr>
        <w:sectPr>
          <w:pgSz w:w="11900" w:h="16838" w:orient="portrait"/>
          <w:cols w:equalWidth="0" w:num="1">
            <w:col w:w="11420"/>
          </w:cols>
          <w:pgMar w:left="240" w:top="121"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with the development of gastrointestinal ulcers in as many as 25% of patients.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AXS-06</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AXS-06 is an oral, non-opioid, fixed-dose combination of MoSEIC™ meloxicam and esomeprazole which is being developed for the treatment of chronic pain. Meloxicam is a long-acting nonsteroidal anti-inflammatory drug (NSAID) with COX-2 preferential inhibition and potent pain-relieving efficacy. AXS-06 utilizes Axsome’s proprietary MoSEIC™ (Molecular Solubility Enhanced Inclusion Complex) technology to substantially increase the solubility and speed the absorption of meloxicam while maintaining durability of action. Esomeprazole is a proton pump inhibitor which lowers stomach acidity and which has been shown to reduce the occurrence of NSAID-induced gastrointestinal ulcers. AXS-06 is designed to provide rapid, effective pain relief, and to reduce the risk of NSAID-induced ulcers, with convenient once-daily dosing.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Axsome Therapeutics, Inc. is a clinical-stage biopharmaceutical company developing novel therapies for the management of central nervous system (CNS) disorders for which there are limited treatment options. Axsome’s product candidate portfolio includes three clinical-stage candidates, AXS-02, AXS-05, and AXS-06. AXS-05 is currently in a Phase 3 trial in treatment resistant depression (TRD) and a Phase 2/3 trial in agitation in patients with Alzheimer’s disease (AD). AXS-02 is currently in Phase 3 trials in complex regional pain syndrome (CRPS) and knee osteoarthritis (OA) associated with bone marrow lesions (BMLs) with an additional Phase 3 trial planned in chronic low back pain (CLBP) associated with Modic changes (MCs). A Phase 1 trial of AXS-06 has been completed. AXS-02, AXS-05, and AXS-06 are investigational drug products not approved by the FDA. For more information, please visit the company website at www.axsome.com. The company may occasionally disseminate material, nonpublic information on the company website.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and</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completion of the trials, futility analyses and receipt of interim results; the timing of and our ability to obtain and maintain U.S. Food and Drug Administration or other regulatory authority approval of, or other action with respect to, our product candidates;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05" w:lineRule="auto"/>
        <w:rPr>
          <w:sz w:val="20"/>
          <w:szCs w:val="20"/>
          <w:color w:val="auto"/>
        </w:rPr>
      </w:pPr>
      <w:r>
        <w:rPr>
          <w:rFonts w:ascii="Arial" w:cs="Arial" w:eastAsia="Arial" w:hAnsi="Arial"/>
          <w:sz w:val="18"/>
          <w:szCs w:val="18"/>
          <w:color w:val="auto"/>
        </w:rPr>
        <w:t>25 Broadway,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1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2019-12-29T06:18:20Z</dcterms:created>
  <dcterms:modified xsi:type="dcterms:W3CDTF">2019-12-29T06:18:20Z</dcterms:modified>
</cp:coreProperties>
</file>