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563C1"/>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256540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9"/>
          <w:szCs w:val="19"/>
          <w:b w:val="1"/>
          <w:bCs w:val="1"/>
          <w:color w:val="auto"/>
        </w:rPr>
        <w:t>UNITED STATES</w:t>
      </w:r>
    </w:p>
    <w:p>
      <w:pPr>
        <w:spacing w:after="0" w:line="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9"/>
          <w:szCs w:val="19"/>
          <w:b w:val="1"/>
          <w:bCs w:val="1"/>
          <w:color w:val="auto"/>
        </w:rPr>
        <w:t>SECURITIES AND EXCHANGE COMMISSION</w:t>
      </w:r>
    </w:p>
    <w:p>
      <w:pPr>
        <w:ind w:left="4780"/>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5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SCHEDULE 14A</w:t>
      </w:r>
    </w:p>
    <w:p>
      <w:pPr>
        <w:spacing w:after="0" w:line="8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6"/>
          <w:szCs w:val="16"/>
          <w:color w:val="auto"/>
        </w:rPr>
        <w:t>Proxy Statement Pursuant to Section 14(a) of</w:t>
      </w:r>
    </w:p>
    <w:p>
      <w:pPr>
        <w:spacing w:after="0" w:line="1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6"/>
          <w:szCs w:val="16"/>
          <w:color w:val="auto"/>
        </w:rPr>
        <w:t>the Securities Exchange Act of 1934 (Amendment No.)</w:t>
      </w:r>
    </w:p>
    <w:p>
      <w:pPr>
        <w:spacing w:after="0" w:line="42"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Filed by the Registrant </w:t>
      </w:r>
      <w:r>
        <w:rPr>
          <w:rFonts w:ascii="MS PGothic" w:cs="MS PGothic" w:eastAsia="MS PGothic" w:hAnsi="MS PGothic"/>
          <w:sz w:val="16"/>
          <w:szCs w:val="16"/>
          <w:color w:val="auto"/>
        </w:rPr>
        <w:t>☒</w:t>
      </w:r>
    </w:p>
    <w:p>
      <w:pPr>
        <w:spacing w:after="0" w:line="73"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9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w:t>
      </w:r>
    </w:p>
    <w:p>
      <w:pPr>
        <w:spacing w:after="0" w:line="86" w:lineRule="exact"/>
        <w:rPr>
          <w:sz w:val="24"/>
          <w:szCs w:val="24"/>
          <w:color w:val="auto"/>
        </w:rPr>
      </w:pPr>
    </w:p>
    <w:p>
      <w:pPr>
        <w:ind w:left="820" w:hanging="799"/>
        <w:spacing w:after="0"/>
        <w:tabs>
          <w:tab w:leader="none" w:pos="8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Preliminary Proxy Statement</w:t>
      </w:r>
    </w:p>
    <w:p>
      <w:pPr>
        <w:spacing w:after="0" w:line="70" w:lineRule="exact"/>
        <w:rPr>
          <w:rFonts w:ascii="MS PGothic" w:cs="MS PGothic" w:eastAsia="MS PGothic" w:hAnsi="MS PGothic"/>
          <w:sz w:val="16"/>
          <w:szCs w:val="16"/>
          <w:color w:val="auto"/>
        </w:rPr>
      </w:pPr>
    </w:p>
    <w:p>
      <w:pPr>
        <w:ind w:left="820" w:hanging="799"/>
        <w:spacing w:after="0"/>
        <w:tabs>
          <w:tab w:leader="none" w:pos="8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Confidential, for Use of the Commission Only (as permitted by Rule 14a-6(e)(2))</w:t>
      </w:r>
    </w:p>
    <w:p>
      <w:pPr>
        <w:spacing w:after="0" w:line="70" w:lineRule="exact"/>
        <w:rPr>
          <w:sz w:val="24"/>
          <w:szCs w:val="24"/>
          <w:color w:val="auto"/>
        </w:rPr>
      </w:pPr>
    </w:p>
    <w:p>
      <w:pPr>
        <w:ind w:left="820" w:hanging="799"/>
        <w:spacing w:after="0"/>
        <w:tabs>
          <w:tab w:leader="none" w:pos="8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68" w:lineRule="exact"/>
        <w:rPr>
          <w:sz w:val="24"/>
          <w:szCs w:val="24"/>
          <w:color w:val="auto"/>
        </w:rPr>
      </w:pPr>
    </w:p>
    <w:p>
      <w:pPr>
        <w:ind w:left="820" w:hanging="799"/>
        <w:spacing w:after="0"/>
        <w:tabs>
          <w:tab w:leader="none" w:pos="82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Definitive Additional Materials</w:t>
      </w:r>
    </w:p>
    <w:p>
      <w:pPr>
        <w:spacing w:after="0" w:line="72" w:lineRule="exact"/>
        <w:rPr>
          <w:rFonts w:ascii="MS PGothic" w:cs="MS PGothic" w:eastAsia="MS PGothic" w:hAnsi="MS PGothic"/>
          <w:sz w:val="16"/>
          <w:szCs w:val="16"/>
          <w:color w:val="auto"/>
        </w:rPr>
      </w:pPr>
    </w:p>
    <w:p>
      <w:pPr>
        <w:ind w:left="820" w:hanging="799"/>
        <w:spacing w:after="0"/>
        <w:tabs>
          <w:tab w:leader="none" w:pos="82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under §240.14a-12</w:t>
      </w:r>
    </w:p>
    <w:p>
      <w:pPr>
        <w:spacing w:after="0" w:line="14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AXSOME THERAPEUTICS, INC.</w:t>
      </w:r>
    </w:p>
    <w:p>
      <w:pPr>
        <w:spacing w:after="0" w:line="5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6"/>
          <w:szCs w:val="16"/>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88" w:lineRule="exact"/>
        <w:rPr>
          <w:sz w:val="24"/>
          <w:szCs w:val="24"/>
          <w:color w:val="auto"/>
        </w:rPr>
      </w:pPr>
    </w:p>
    <w:p>
      <w:pPr>
        <w:jc w:val="right"/>
        <w:ind w:right="479"/>
        <w:spacing w:after="0"/>
        <w:rPr>
          <w:sz w:val="20"/>
          <w:szCs w:val="20"/>
          <w:color w:val="auto"/>
        </w:rPr>
      </w:pPr>
      <w:r>
        <w:rPr>
          <w:rFonts w:ascii="Times New Roman" w:cs="Times New Roman" w:eastAsia="Times New Roman" w:hAnsi="Times New Roman"/>
          <w:sz w:val="16"/>
          <w:szCs w:val="16"/>
          <w:color w:val="auto"/>
        </w:rPr>
        <w:t>(Name of Person(s) Filing Proxy Statement, if other than the Registrant) Payment of Filing Fee (Check the appropriate box):</w:t>
      </w:r>
    </w:p>
    <w:p>
      <w:pPr>
        <w:spacing w:after="0" w:line="149" w:lineRule="exact"/>
        <w:rPr>
          <w:sz w:val="24"/>
          <w:szCs w:val="24"/>
          <w:color w:val="auto"/>
        </w:rPr>
      </w:pPr>
    </w:p>
    <w:p>
      <w:pPr>
        <w:ind w:left="820" w:hanging="799"/>
        <w:spacing w:after="0"/>
        <w:tabs>
          <w:tab w:leader="none" w:pos="82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68" w:lineRule="exact"/>
        <w:rPr>
          <w:sz w:val="24"/>
          <w:szCs w:val="24"/>
          <w:color w:val="auto"/>
        </w:rPr>
      </w:pPr>
    </w:p>
    <w:p>
      <w:pPr>
        <w:ind w:left="820" w:hanging="799"/>
        <w:spacing w:after="0"/>
        <w:tabs>
          <w:tab w:leader="none" w:pos="820" w:val="left"/>
        </w:tabs>
        <w:numPr>
          <w:ilvl w:val="0"/>
          <w:numId w:val="5"/>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Fee paid previously with preliminary materials.</w:t>
      </w:r>
    </w:p>
    <w:p>
      <w:pPr>
        <w:spacing w:after="0" w:line="72" w:lineRule="exact"/>
        <w:rPr>
          <w:rFonts w:ascii="MS PGothic" w:cs="MS PGothic" w:eastAsia="MS PGothic" w:hAnsi="MS PGothic"/>
          <w:sz w:val="16"/>
          <w:szCs w:val="16"/>
          <w:color w:val="auto"/>
        </w:rPr>
      </w:pPr>
    </w:p>
    <w:p>
      <w:pPr>
        <w:ind w:left="820" w:hanging="799"/>
        <w:spacing w:after="0"/>
        <w:tabs>
          <w:tab w:leader="none" w:pos="820" w:val="left"/>
        </w:tabs>
        <w:numPr>
          <w:ilvl w:val="0"/>
          <w:numId w:val="5"/>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Fee computed on table below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223"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16541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654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April 22, 2022</w:t>
      </w:r>
    </w:p>
    <w:p>
      <w:pPr>
        <w:spacing w:after="0" w:line="113" w:lineRule="exact"/>
        <w:rPr>
          <w:sz w:val="20"/>
          <w:szCs w:val="20"/>
          <w:color w:val="auto"/>
        </w:rPr>
      </w:pPr>
    </w:p>
    <w:p>
      <w:pPr>
        <w:ind w:firstLine="374"/>
        <w:spacing w:after="0" w:line="249" w:lineRule="auto"/>
        <w:rPr>
          <w:sz w:val="20"/>
          <w:szCs w:val="20"/>
          <w:color w:val="auto"/>
        </w:rPr>
      </w:pPr>
      <w:r>
        <w:rPr>
          <w:rFonts w:ascii="Times New Roman" w:cs="Times New Roman" w:eastAsia="Times New Roman" w:hAnsi="Times New Roman"/>
          <w:sz w:val="16"/>
          <w:szCs w:val="16"/>
          <w:color w:val="auto"/>
        </w:rPr>
        <w:t>You are cordially invited to attend the 2022 Annual Meeting of Stockholders of Axsome Therapeutics, Inc. (the “Annual Meeting”) that will be held on Friday, June 3, 2022 at 9:00 a.m. local time. The Annual Meeting will be held virtually via means of remote communication in order to protect the health and well-being of our stockholders and employees. Stockholders will be able to attend the Annual Meeting, and submit questions, and vote their shares during the Annual Meeting, from any location that has internet connectivity. There will be no physical in-person meeting. To register and receive access to the virtual meeting, registered stockholders and beneficial stockholders (those holding shares through a stock brokerage account or by a bank or other holder of record) will need to follow the instructions applicable to them provided in the enclosed Proxy statement.</w:t>
      </w:r>
    </w:p>
    <w:p>
      <w:pPr>
        <w:spacing w:after="0" w:line="83" w:lineRule="exact"/>
        <w:rPr>
          <w:sz w:val="20"/>
          <w:szCs w:val="20"/>
          <w:color w:val="auto"/>
        </w:rPr>
      </w:pPr>
    </w:p>
    <w:p>
      <w:pPr>
        <w:ind w:right="80" w:firstLine="374"/>
        <w:spacing w:after="0" w:line="252" w:lineRule="auto"/>
        <w:rPr>
          <w:sz w:val="20"/>
          <w:szCs w:val="20"/>
          <w:color w:val="auto"/>
        </w:rPr>
      </w:pPr>
      <w:r>
        <w:rPr>
          <w:rFonts w:ascii="Times New Roman" w:cs="Times New Roman" w:eastAsia="Times New Roman" w:hAnsi="Times New Roman"/>
          <w:sz w:val="16"/>
          <w:szCs w:val="16"/>
          <w:color w:val="auto"/>
        </w:rPr>
        <w:t>In accordance with the Securities and Exchange Commission rules allowing companies to furnish proxy materials to their stockholders over the Internet, we have sent stockholders of record at the close of business on April 11, 2022 a Notice of Internet Availability of Proxy Materials. The notice contains instructions on how to access our Proxy statement and Annual Report and vote online. If you would like to receive a printed copy of our proxy materials from us instead of downloading a printable version from the Internet, please follow the instructions for requesting such materials included in the notice, as well as in the attached Proxy statement.</w:t>
      </w:r>
    </w:p>
    <w:p>
      <w:pPr>
        <w:spacing w:after="0" w:line="7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Attached to this letter are a Notice of Annual Meeting of Stockholders and Proxy statement, which describe the business to be conducted at the meeting.</w:t>
      </w:r>
    </w:p>
    <w:p>
      <w:pPr>
        <w:spacing w:after="0" w:line="113"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6"/>
          <w:szCs w:val="16"/>
          <w:color w:val="auto"/>
        </w:rPr>
        <w:t>Your vote is important to us. Please act as soon as possible to vote your shares. It is important that your shares be represented at the meeting whether or not you plan to attend the annual meeting. Please vote electronically over the Internet, by telephone, or if you receive a paper copy of the proxy card by mail, by returning your signed proxy card in the envelope provided. We encourage you to vote by proxy so that your shares will be represented and voted at the meeting, whether or not you can attend.</w:t>
      </w:r>
    </w:p>
    <w:p>
      <w:pPr>
        <w:spacing w:after="0" w:line="7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Thank you for your ongoing support of Axsome.</w:t>
      </w:r>
    </w:p>
    <w:p>
      <w:pPr>
        <w:spacing w:after="0" w:line="11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Very truly yours,</w:t>
      </w:r>
    </w:p>
    <w:p>
      <w:pPr>
        <w:spacing w:after="0" w:line="20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/s/ HERRIOT TABUTEAU, M.D.</w:t>
      </w:r>
    </w:p>
    <w:p>
      <w:pPr>
        <w:spacing w:after="0" w:line="3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Herriot Tabuteau,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-116205</wp:posOffset>
            </wp:positionV>
            <wp:extent cx="3566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i w:val="1"/>
          <w:iCs w:val="1"/>
          <w:color w:val="auto"/>
        </w:rPr>
        <w:t>Chief Executive Officer, President, and Chairman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208915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0563C1"/>
        </w:rPr>
        <w:t>TABLE OF CONTENTS</w:t>
      </w:r>
    </w:p>
    <w:p>
      <w:pPr>
        <w:spacing w:after="0" w:line="119"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7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440" w:type="dxa"/>
            <w:vAlign w:val="bottom"/>
            <w:gridSpan w:val="5"/>
          </w:tcPr>
          <w:p>
            <w:pPr>
              <w:jc w:val="center"/>
              <w:ind w:right="1800"/>
              <w:spacing w:after="0"/>
              <w:rPr>
                <w:sz w:val="20"/>
                <w:szCs w:val="20"/>
                <w:color w:val="auto"/>
              </w:rPr>
            </w:pPr>
            <w:r>
              <w:rPr>
                <w:rFonts w:ascii="Times New Roman" w:cs="Times New Roman" w:eastAsia="Times New Roman" w:hAnsi="Times New Roman"/>
                <w:sz w:val="16"/>
                <w:szCs w:val="16"/>
                <w:b w:val="1"/>
                <w:bCs w:val="1"/>
                <w:color w:val="auto"/>
              </w:rPr>
              <w:t>AXSOME THERAPEUTICS, INC.</w:t>
            </w:r>
          </w:p>
        </w:tc>
        <w:tc>
          <w:tcPr>
            <w:tcW w:w="0" w:type="dxa"/>
            <w:vAlign w:val="bottom"/>
          </w:tcPr>
          <w:p>
            <w:pPr>
              <w:spacing w:after="0"/>
              <w:rPr>
                <w:sz w:val="1"/>
                <w:szCs w:val="1"/>
                <w:color w:val="auto"/>
              </w:rPr>
            </w:pPr>
          </w:p>
        </w:tc>
      </w:tr>
      <w:tr>
        <w:trPr>
          <w:trHeight w:val="212"/>
        </w:trPr>
        <w:tc>
          <w:tcPr>
            <w:tcW w:w="7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440" w:type="dxa"/>
            <w:vAlign w:val="bottom"/>
            <w:gridSpan w:val="5"/>
          </w:tcPr>
          <w:p>
            <w:pPr>
              <w:jc w:val="center"/>
              <w:ind w:right="1800"/>
              <w:spacing w:after="0"/>
              <w:rPr>
                <w:sz w:val="20"/>
                <w:szCs w:val="20"/>
                <w:color w:val="auto"/>
              </w:rPr>
            </w:pPr>
            <w:r>
              <w:rPr>
                <w:rFonts w:ascii="Times New Roman" w:cs="Times New Roman" w:eastAsia="Times New Roman" w:hAnsi="Times New Roman"/>
                <w:sz w:val="16"/>
                <w:szCs w:val="16"/>
                <w:b w:val="1"/>
                <w:bCs w:val="1"/>
                <w:color w:val="auto"/>
              </w:rPr>
              <w:t>22 Cortlandt Street, 16</w:t>
            </w:r>
            <w:r>
              <w:rPr>
                <w:rFonts w:ascii="Times New Roman" w:cs="Times New Roman" w:eastAsia="Times New Roman" w:hAnsi="Times New Roman"/>
                <w:sz w:val="10"/>
                <w:szCs w:val="10"/>
                <w:b w:val="1"/>
                <w:bCs w:val="1"/>
                <w:color w:val="auto"/>
              </w:rPr>
              <w:t>th</w:t>
            </w:r>
            <w:r>
              <w:rPr>
                <w:rFonts w:ascii="Times New Roman" w:cs="Times New Roman" w:eastAsia="Times New Roman" w:hAnsi="Times New Roman"/>
                <w:sz w:val="16"/>
                <w:szCs w:val="16"/>
                <w:b w:val="1"/>
                <w:bCs w:val="1"/>
                <w:color w:val="auto"/>
              </w:rPr>
              <w:t xml:space="preserve"> Floor New York, New York 10007</w:t>
            </w:r>
          </w:p>
        </w:tc>
        <w:tc>
          <w:tcPr>
            <w:tcW w:w="0" w:type="dxa"/>
            <w:vAlign w:val="bottom"/>
          </w:tcPr>
          <w:p>
            <w:pPr>
              <w:spacing w:after="0"/>
              <w:rPr>
                <w:sz w:val="1"/>
                <w:szCs w:val="1"/>
                <w:color w:val="auto"/>
              </w:rPr>
            </w:pPr>
          </w:p>
        </w:tc>
      </w:tr>
      <w:tr>
        <w:trPr>
          <w:trHeight w:val="490"/>
        </w:trPr>
        <w:tc>
          <w:tcPr>
            <w:tcW w:w="7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440" w:type="dxa"/>
            <w:vAlign w:val="bottom"/>
            <w:gridSpan w:val="5"/>
          </w:tcPr>
          <w:p>
            <w:pPr>
              <w:jc w:val="center"/>
              <w:ind w:right="1780"/>
              <w:spacing w:after="0"/>
              <w:rPr>
                <w:sz w:val="20"/>
                <w:szCs w:val="20"/>
                <w:color w:val="auto"/>
              </w:rPr>
            </w:pPr>
            <w:r>
              <w:rPr>
                <w:rFonts w:ascii="Times New Roman" w:cs="Times New Roman" w:eastAsia="Times New Roman" w:hAnsi="Times New Roman"/>
                <w:sz w:val="16"/>
                <w:szCs w:val="16"/>
                <w:b w:val="1"/>
                <w:bCs w:val="1"/>
                <w:color w:val="auto"/>
              </w:rPr>
              <w:t>NOTICE OF</w:t>
            </w:r>
          </w:p>
        </w:tc>
        <w:tc>
          <w:tcPr>
            <w:tcW w:w="0" w:type="dxa"/>
            <w:vAlign w:val="bottom"/>
          </w:tcPr>
          <w:p>
            <w:pPr>
              <w:spacing w:after="0"/>
              <w:rPr>
                <w:sz w:val="1"/>
                <w:szCs w:val="1"/>
                <w:color w:val="auto"/>
              </w:rPr>
            </w:pPr>
          </w:p>
        </w:tc>
      </w:tr>
      <w:tr>
        <w:trPr>
          <w:trHeight w:val="212"/>
        </w:trPr>
        <w:tc>
          <w:tcPr>
            <w:tcW w:w="7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440" w:type="dxa"/>
            <w:vAlign w:val="bottom"/>
            <w:gridSpan w:val="5"/>
          </w:tcPr>
          <w:p>
            <w:pPr>
              <w:jc w:val="center"/>
              <w:ind w:right="1780"/>
              <w:spacing w:after="0"/>
              <w:rPr>
                <w:sz w:val="20"/>
                <w:szCs w:val="20"/>
                <w:color w:val="auto"/>
              </w:rPr>
            </w:pPr>
            <w:r>
              <w:rPr>
                <w:rFonts w:ascii="Times New Roman" w:cs="Times New Roman" w:eastAsia="Times New Roman" w:hAnsi="Times New Roman"/>
                <w:sz w:val="16"/>
                <w:szCs w:val="16"/>
                <w:b w:val="1"/>
                <w:bCs w:val="1"/>
                <w:color w:val="auto"/>
              </w:rPr>
              <w:t>2022 ANNUAL MEETING OF STOCKHOLDERS</w:t>
            </w:r>
          </w:p>
        </w:tc>
        <w:tc>
          <w:tcPr>
            <w:tcW w:w="0" w:type="dxa"/>
            <w:vAlign w:val="bottom"/>
          </w:tcPr>
          <w:p>
            <w:pPr>
              <w:spacing w:after="0"/>
              <w:rPr>
                <w:sz w:val="1"/>
                <w:szCs w:val="1"/>
                <w:color w:val="auto"/>
              </w:rPr>
            </w:pPr>
          </w:p>
        </w:tc>
      </w:tr>
      <w:tr>
        <w:trPr>
          <w:trHeight w:val="141"/>
        </w:trPr>
        <w:tc>
          <w:tcPr>
            <w:tcW w:w="740" w:type="dxa"/>
            <w:vAlign w:val="bottom"/>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35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340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17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Time and Date:</w:t>
            </w:r>
          </w:p>
        </w:tc>
        <w:tc>
          <w:tcPr>
            <w:tcW w:w="9440" w:type="dxa"/>
            <w:vAlign w:val="bottom"/>
            <w:gridSpan w:val="5"/>
          </w:tcPr>
          <w:p>
            <w:pPr>
              <w:ind w:left="460"/>
              <w:spacing w:after="0"/>
              <w:rPr>
                <w:sz w:val="20"/>
                <w:szCs w:val="20"/>
                <w:color w:val="auto"/>
              </w:rPr>
            </w:pPr>
            <w:r>
              <w:rPr>
                <w:rFonts w:ascii="Times New Roman" w:cs="Times New Roman" w:eastAsia="Times New Roman" w:hAnsi="Times New Roman"/>
                <w:sz w:val="16"/>
                <w:szCs w:val="16"/>
                <w:color w:val="auto"/>
              </w:rPr>
              <w:t>Friday, June 3, 2022 at 9:00 a.m. local time.</w:t>
            </w:r>
          </w:p>
        </w:tc>
        <w:tc>
          <w:tcPr>
            <w:tcW w:w="0" w:type="dxa"/>
            <w:vAlign w:val="bottom"/>
          </w:tcPr>
          <w:p>
            <w:pPr>
              <w:spacing w:after="0"/>
              <w:rPr>
                <w:sz w:val="1"/>
                <w:szCs w:val="1"/>
                <w:color w:val="auto"/>
              </w:rPr>
            </w:pPr>
          </w:p>
        </w:tc>
      </w:tr>
      <w:tr>
        <w:trPr>
          <w:trHeight w:val="276"/>
        </w:trPr>
        <w:tc>
          <w:tcPr>
            <w:tcW w:w="17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Place:</w:t>
            </w:r>
          </w:p>
        </w:tc>
        <w:tc>
          <w:tcPr>
            <w:tcW w:w="9440" w:type="dxa"/>
            <w:vAlign w:val="bottom"/>
            <w:gridSpan w:val="5"/>
          </w:tcPr>
          <w:p>
            <w:pPr>
              <w:ind w:left="460"/>
              <w:spacing w:after="0"/>
              <w:rPr>
                <w:sz w:val="20"/>
                <w:szCs w:val="20"/>
                <w:color w:val="auto"/>
              </w:rPr>
            </w:pPr>
            <w:r>
              <w:rPr>
                <w:rFonts w:ascii="Times New Roman" w:cs="Times New Roman" w:eastAsia="Times New Roman" w:hAnsi="Times New Roman"/>
                <w:sz w:val="16"/>
                <w:szCs w:val="16"/>
                <w:color w:val="auto"/>
              </w:rPr>
              <w:t>The Annual Meeting will be completely virtual. You may attend the virtual meeting, submit questions, and vote your shares electronically</w:t>
            </w:r>
          </w:p>
        </w:tc>
        <w:tc>
          <w:tcPr>
            <w:tcW w:w="0" w:type="dxa"/>
            <w:vAlign w:val="bottom"/>
          </w:tcPr>
          <w:p>
            <w:pPr>
              <w:spacing w:after="0"/>
              <w:rPr>
                <w:sz w:val="1"/>
                <w:szCs w:val="1"/>
                <w:color w:val="auto"/>
              </w:rPr>
            </w:pPr>
          </w:p>
        </w:tc>
      </w:tr>
      <w:tr>
        <w:trPr>
          <w:trHeight w:val="176"/>
        </w:trPr>
        <w:tc>
          <w:tcPr>
            <w:tcW w:w="7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440" w:type="dxa"/>
            <w:vAlign w:val="bottom"/>
            <w:gridSpan w:val="5"/>
          </w:tcPr>
          <w:p>
            <w:pPr>
              <w:ind w:left="460"/>
              <w:spacing w:after="0" w:line="176" w:lineRule="exact"/>
              <w:rPr>
                <w:sz w:val="20"/>
                <w:szCs w:val="20"/>
                <w:color w:val="auto"/>
              </w:rPr>
            </w:pPr>
            <w:r>
              <w:rPr>
                <w:rFonts w:ascii="Times New Roman" w:cs="Times New Roman" w:eastAsia="Times New Roman" w:hAnsi="Times New Roman"/>
                <w:sz w:val="16"/>
                <w:szCs w:val="16"/>
                <w:color w:val="auto"/>
              </w:rPr>
              <w:t>during the meeting via live webcast by visiting https://www.virtualshareholdermeeting.com/AXSM2022.</w:t>
            </w:r>
          </w:p>
        </w:tc>
        <w:tc>
          <w:tcPr>
            <w:tcW w:w="0" w:type="dxa"/>
            <w:vAlign w:val="bottom"/>
          </w:tcPr>
          <w:p>
            <w:pPr>
              <w:spacing w:after="0"/>
              <w:rPr>
                <w:sz w:val="1"/>
                <w:szCs w:val="1"/>
                <w:color w:val="auto"/>
              </w:rPr>
            </w:pPr>
          </w:p>
        </w:tc>
      </w:tr>
      <w:tr>
        <w:trPr>
          <w:trHeight w:val="20"/>
        </w:trPr>
        <w:tc>
          <w:tcPr>
            <w:tcW w:w="17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Items of Business:</w:t>
            </w:r>
          </w:p>
        </w:tc>
        <w:tc>
          <w:tcPr>
            <w:tcW w:w="3540" w:type="dxa"/>
            <w:vAlign w:val="bottom"/>
          </w:tcPr>
          <w:p>
            <w:pPr>
              <w:spacing w:after="0" w:line="20" w:lineRule="exact"/>
              <w:rPr>
                <w:sz w:val="1"/>
                <w:szCs w:val="1"/>
                <w:color w:val="auto"/>
              </w:rPr>
            </w:pPr>
          </w:p>
        </w:tc>
        <w:tc>
          <w:tcPr>
            <w:tcW w:w="3680" w:type="dxa"/>
            <w:vAlign w:val="bottom"/>
            <w:gridSpan w:val="2"/>
            <w:shd w:val="clear" w:color="auto" w:fill="000000"/>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780" w:type="dxa"/>
            <w:vAlign w:val="bottom"/>
            <w:gridSpan w:val="2"/>
            <w:vMerge w:val="continue"/>
          </w:tcPr>
          <w:p>
            <w:pPr>
              <w:spacing w:after="0"/>
              <w:rPr>
                <w:sz w:val="24"/>
                <w:szCs w:val="24"/>
                <w:color w:val="auto"/>
              </w:rPr>
            </w:pPr>
          </w:p>
        </w:tc>
        <w:tc>
          <w:tcPr>
            <w:tcW w:w="9440" w:type="dxa"/>
            <w:vAlign w:val="bottom"/>
            <w:gridSpan w:val="5"/>
          </w:tcPr>
          <w:p>
            <w:pPr>
              <w:ind w:left="460"/>
              <w:spacing w:after="0"/>
              <w:rPr>
                <w:sz w:val="20"/>
                <w:szCs w:val="20"/>
                <w:color w:val="auto"/>
              </w:rPr>
            </w:pPr>
            <w:r>
              <w:rPr>
                <w:rFonts w:ascii="Times New Roman" w:cs="Times New Roman" w:eastAsia="Times New Roman" w:hAnsi="Times New Roman"/>
                <w:sz w:val="16"/>
                <w:szCs w:val="16"/>
                <w:color w:val="auto"/>
              </w:rPr>
              <w:t>(1)  To elect one director named in the proxy statement accompanying this notice to serve as a Class I director until the annual meeting</w:t>
            </w:r>
          </w:p>
        </w:tc>
        <w:tc>
          <w:tcPr>
            <w:tcW w:w="0" w:type="dxa"/>
            <w:vAlign w:val="bottom"/>
          </w:tcPr>
          <w:p>
            <w:pPr>
              <w:spacing w:after="0"/>
              <w:rPr>
                <w:sz w:val="1"/>
                <w:szCs w:val="1"/>
                <w:color w:val="auto"/>
              </w:rPr>
            </w:pPr>
          </w:p>
        </w:tc>
      </w:tr>
      <w:tr>
        <w:trPr>
          <w:trHeight w:val="210"/>
        </w:trPr>
        <w:tc>
          <w:tcPr>
            <w:tcW w:w="7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440" w:type="dxa"/>
            <w:vAlign w:val="bottom"/>
            <w:gridSpan w:val="5"/>
          </w:tcPr>
          <w:p>
            <w:pPr>
              <w:ind w:left="780"/>
              <w:spacing w:after="0"/>
              <w:rPr>
                <w:sz w:val="20"/>
                <w:szCs w:val="20"/>
                <w:color w:val="auto"/>
              </w:rPr>
            </w:pPr>
            <w:r>
              <w:rPr>
                <w:rFonts w:ascii="Times New Roman" w:cs="Times New Roman" w:eastAsia="Times New Roman" w:hAnsi="Times New Roman"/>
                <w:sz w:val="16"/>
                <w:szCs w:val="16"/>
                <w:color w:val="auto"/>
              </w:rPr>
              <w:t>held in 2025 and until their successor is duly elected and qualified.</w:t>
            </w:r>
          </w:p>
        </w:tc>
        <w:tc>
          <w:tcPr>
            <w:tcW w:w="0" w:type="dxa"/>
            <w:vAlign w:val="bottom"/>
          </w:tcPr>
          <w:p>
            <w:pPr>
              <w:spacing w:after="0"/>
              <w:rPr>
                <w:sz w:val="1"/>
                <w:szCs w:val="1"/>
                <w:color w:val="auto"/>
              </w:rPr>
            </w:pPr>
          </w:p>
        </w:tc>
      </w:tr>
      <w:tr>
        <w:trPr>
          <w:trHeight w:val="276"/>
        </w:trPr>
        <w:tc>
          <w:tcPr>
            <w:tcW w:w="7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9440" w:type="dxa"/>
            <w:vAlign w:val="bottom"/>
            <w:gridSpan w:val="5"/>
          </w:tcPr>
          <w:p>
            <w:pPr>
              <w:ind w:left="460"/>
              <w:spacing w:after="0"/>
              <w:rPr>
                <w:sz w:val="20"/>
                <w:szCs w:val="20"/>
                <w:color w:val="auto"/>
              </w:rPr>
            </w:pPr>
            <w:r>
              <w:rPr>
                <w:rFonts w:ascii="Times New Roman" w:cs="Times New Roman" w:eastAsia="Times New Roman" w:hAnsi="Times New Roman"/>
                <w:sz w:val="16"/>
                <w:szCs w:val="16"/>
                <w:color w:val="auto"/>
              </w:rPr>
              <w:t>(2)  To ratify the appointment of Ernst &amp; Young LLP as Axsome Therapeutics, Inc.’s independent registered public accounting firm for</w:t>
            </w:r>
          </w:p>
        </w:tc>
        <w:tc>
          <w:tcPr>
            <w:tcW w:w="0" w:type="dxa"/>
            <w:vAlign w:val="bottom"/>
          </w:tcPr>
          <w:p>
            <w:pPr>
              <w:spacing w:after="0"/>
              <w:rPr>
                <w:sz w:val="1"/>
                <w:szCs w:val="1"/>
                <w:color w:val="auto"/>
              </w:rPr>
            </w:pPr>
          </w:p>
        </w:tc>
      </w:tr>
      <w:tr>
        <w:trPr>
          <w:trHeight w:val="210"/>
        </w:trPr>
        <w:tc>
          <w:tcPr>
            <w:tcW w:w="7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440" w:type="dxa"/>
            <w:vAlign w:val="bottom"/>
            <w:gridSpan w:val="5"/>
          </w:tcPr>
          <w:p>
            <w:pPr>
              <w:ind w:left="780"/>
              <w:spacing w:after="0"/>
              <w:rPr>
                <w:sz w:val="20"/>
                <w:szCs w:val="20"/>
                <w:color w:val="auto"/>
              </w:rPr>
            </w:pPr>
            <w:r>
              <w:rPr>
                <w:rFonts w:ascii="Times New Roman" w:cs="Times New Roman" w:eastAsia="Times New Roman" w:hAnsi="Times New Roman"/>
                <w:sz w:val="16"/>
                <w:szCs w:val="16"/>
                <w:color w:val="auto"/>
              </w:rPr>
              <w:t>the year ending December 31, 2022.</w:t>
            </w:r>
          </w:p>
        </w:tc>
        <w:tc>
          <w:tcPr>
            <w:tcW w:w="0" w:type="dxa"/>
            <w:vAlign w:val="bottom"/>
          </w:tcPr>
          <w:p>
            <w:pPr>
              <w:spacing w:after="0"/>
              <w:rPr>
                <w:sz w:val="1"/>
                <w:szCs w:val="1"/>
                <w:color w:val="auto"/>
              </w:rPr>
            </w:pPr>
          </w:p>
        </w:tc>
      </w:tr>
      <w:tr>
        <w:trPr>
          <w:trHeight w:val="324"/>
        </w:trPr>
        <w:tc>
          <w:tcPr>
            <w:tcW w:w="7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440" w:type="dxa"/>
            <w:vAlign w:val="bottom"/>
            <w:gridSpan w:val="5"/>
          </w:tcPr>
          <w:p>
            <w:pPr>
              <w:ind w:left="460"/>
              <w:spacing w:after="0"/>
              <w:rPr>
                <w:sz w:val="20"/>
                <w:szCs w:val="20"/>
                <w:color w:val="auto"/>
              </w:rPr>
            </w:pPr>
            <w:r>
              <w:rPr>
                <w:rFonts w:ascii="Times New Roman" w:cs="Times New Roman" w:eastAsia="Times New Roman" w:hAnsi="Times New Roman"/>
                <w:sz w:val="16"/>
                <w:szCs w:val="16"/>
                <w:color w:val="auto"/>
              </w:rPr>
              <w:t>(3)  To approve, by non-binding advisory vote, the compensation of our named executive officers.</w:t>
            </w:r>
          </w:p>
        </w:tc>
        <w:tc>
          <w:tcPr>
            <w:tcW w:w="0" w:type="dxa"/>
            <w:vAlign w:val="bottom"/>
          </w:tcPr>
          <w:p>
            <w:pPr>
              <w:spacing w:after="0"/>
              <w:rPr>
                <w:sz w:val="1"/>
                <w:szCs w:val="1"/>
                <w:color w:val="auto"/>
              </w:rPr>
            </w:pPr>
          </w:p>
        </w:tc>
      </w:tr>
      <w:tr>
        <w:trPr>
          <w:trHeight w:val="311"/>
        </w:trPr>
        <w:tc>
          <w:tcPr>
            <w:tcW w:w="7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440" w:type="dxa"/>
            <w:vAlign w:val="bottom"/>
            <w:gridSpan w:val="5"/>
          </w:tcPr>
          <w:p>
            <w:pPr>
              <w:ind w:left="460"/>
              <w:spacing w:after="0"/>
              <w:rPr>
                <w:sz w:val="20"/>
                <w:szCs w:val="20"/>
                <w:color w:val="auto"/>
              </w:rPr>
            </w:pPr>
            <w:r>
              <w:rPr>
                <w:rFonts w:ascii="Times New Roman" w:cs="Times New Roman" w:eastAsia="Times New Roman" w:hAnsi="Times New Roman"/>
                <w:sz w:val="16"/>
                <w:szCs w:val="16"/>
                <w:color w:val="auto"/>
              </w:rPr>
              <w:t>(4)  To transact such other business as may properly come before the annual meeting or any adjournment thereof.</w:t>
            </w:r>
          </w:p>
        </w:tc>
        <w:tc>
          <w:tcPr>
            <w:tcW w:w="0" w:type="dxa"/>
            <w:vAlign w:val="bottom"/>
          </w:tcPr>
          <w:p>
            <w:pPr>
              <w:spacing w:after="0"/>
              <w:rPr>
                <w:sz w:val="1"/>
                <w:szCs w:val="1"/>
                <w:color w:val="auto"/>
              </w:rPr>
            </w:pPr>
          </w:p>
        </w:tc>
      </w:tr>
      <w:tr>
        <w:trPr>
          <w:trHeight w:val="297"/>
        </w:trPr>
        <w:tc>
          <w:tcPr>
            <w:tcW w:w="7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440" w:type="dxa"/>
            <w:vAlign w:val="bottom"/>
            <w:gridSpan w:val="5"/>
          </w:tcPr>
          <w:p>
            <w:pPr>
              <w:ind w:left="460"/>
              <w:spacing w:after="0"/>
              <w:rPr>
                <w:sz w:val="20"/>
                <w:szCs w:val="20"/>
                <w:color w:val="auto"/>
              </w:rPr>
            </w:pPr>
            <w:r>
              <w:rPr>
                <w:rFonts w:ascii="Times New Roman" w:cs="Times New Roman" w:eastAsia="Times New Roman" w:hAnsi="Times New Roman"/>
                <w:sz w:val="16"/>
                <w:szCs w:val="16"/>
                <w:color w:val="auto"/>
              </w:rPr>
              <w:t>These items of business are more fully described in the proxy statement accompanying this notice.</w:t>
            </w:r>
          </w:p>
        </w:tc>
        <w:tc>
          <w:tcPr>
            <w:tcW w:w="0" w:type="dxa"/>
            <w:vAlign w:val="bottom"/>
          </w:tcPr>
          <w:p>
            <w:pPr>
              <w:spacing w:after="0"/>
              <w:rPr>
                <w:sz w:val="1"/>
                <w:szCs w:val="1"/>
                <w:color w:val="auto"/>
              </w:rPr>
            </w:pPr>
          </w:p>
        </w:tc>
      </w:tr>
      <w:tr>
        <w:trPr>
          <w:trHeight w:val="409"/>
        </w:trPr>
        <w:tc>
          <w:tcPr>
            <w:tcW w:w="17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Adjournments and</w:t>
            </w:r>
          </w:p>
        </w:tc>
        <w:tc>
          <w:tcPr>
            <w:tcW w:w="9440" w:type="dxa"/>
            <w:vAlign w:val="bottom"/>
            <w:gridSpan w:val="5"/>
          </w:tcPr>
          <w:p>
            <w:pPr>
              <w:ind w:left="460"/>
              <w:spacing w:after="0"/>
              <w:rPr>
                <w:sz w:val="20"/>
                <w:szCs w:val="20"/>
                <w:color w:val="auto"/>
              </w:rPr>
            </w:pPr>
            <w:r>
              <w:rPr>
                <w:rFonts w:ascii="Times New Roman" w:cs="Times New Roman" w:eastAsia="Times New Roman" w:hAnsi="Times New Roman"/>
                <w:sz w:val="16"/>
                <w:szCs w:val="16"/>
                <w:color w:val="auto"/>
              </w:rPr>
              <w:t>Any action on the items of business described above may be considered at the annual meeting at the time and on the date specified above</w:t>
            </w:r>
          </w:p>
        </w:tc>
        <w:tc>
          <w:tcPr>
            <w:tcW w:w="0" w:type="dxa"/>
            <w:vAlign w:val="bottom"/>
          </w:tcPr>
          <w:p>
            <w:pPr>
              <w:spacing w:after="0"/>
              <w:rPr>
                <w:sz w:val="1"/>
                <w:szCs w:val="1"/>
                <w:color w:val="auto"/>
              </w:rPr>
            </w:pPr>
          </w:p>
        </w:tc>
      </w:tr>
      <w:tr>
        <w:trPr>
          <w:trHeight w:val="212"/>
        </w:trPr>
        <w:tc>
          <w:tcPr>
            <w:tcW w:w="17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Postponements:</w:t>
            </w:r>
          </w:p>
        </w:tc>
        <w:tc>
          <w:tcPr>
            <w:tcW w:w="9440" w:type="dxa"/>
            <w:vAlign w:val="bottom"/>
            <w:gridSpan w:val="5"/>
          </w:tcPr>
          <w:p>
            <w:pPr>
              <w:ind w:left="460"/>
              <w:spacing w:after="0"/>
              <w:rPr>
                <w:sz w:val="20"/>
                <w:szCs w:val="20"/>
                <w:color w:val="auto"/>
              </w:rPr>
            </w:pPr>
            <w:r>
              <w:rPr>
                <w:rFonts w:ascii="Times New Roman" w:cs="Times New Roman" w:eastAsia="Times New Roman" w:hAnsi="Times New Roman"/>
                <w:sz w:val="16"/>
                <w:szCs w:val="16"/>
                <w:color w:val="auto"/>
              </w:rPr>
              <w:t>or at any time and date to which the annual meeting may be properly adjourned or postponed.</w:t>
            </w:r>
          </w:p>
        </w:tc>
        <w:tc>
          <w:tcPr>
            <w:tcW w:w="0" w:type="dxa"/>
            <w:vAlign w:val="bottom"/>
          </w:tcPr>
          <w:p>
            <w:pPr>
              <w:spacing w:after="0"/>
              <w:rPr>
                <w:sz w:val="1"/>
                <w:szCs w:val="1"/>
                <w:color w:val="auto"/>
              </w:rPr>
            </w:pPr>
          </w:p>
        </w:tc>
      </w:tr>
      <w:tr>
        <w:trPr>
          <w:trHeight w:val="297"/>
        </w:trPr>
        <w:tc>
          <w:tcPr>
            <w:tcW w:w="17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Record Date:</w:t>
            </w:r>
          </w:p>
        </w:tc>
        <w:tc>
          <w:tcPr>
            <w:tcW w:w="9440" w:type="dxa"/>
            <w:vAlign w:val="bottom"/>
            <w:gridSpan w:val="5"/>
          </w:tcPr>
          <w:p>
            <w:pPr>
              <w:ind w:left="460"/>
              <w:spacing w:after="0"/>
              <w:rPr>
                <w:sz w:val="20"/>
                <w:szCs w:val="20"/>
                <w:color w:val="auto"/>
              </w:rPr>
            </w:pPr>
            <w:r>
              <w:rPr>
                <w:rFonts w:ascii="Times New Roman" w:cs="Times New Roman" w:eastAsia="Times New Roman" w:hAnsi="Times New Roman"/>
                <w:sz w:val="16"/>
                <w:szCs w:val="16"/>
                <w:color w:val="auto"/>
              </w:rPr>
              <w:t>You are entitled to vote if you were a stockholder of record as of the close of business on April 11, 2022.</w:t>
            </w:r>
          </w:p>
        </w:tc>
        <w:tc>
          <w:tcPr>
            <w:tcW w:w="0" w:type="dxa"/>
            <w:vAlign w:val="bottom"/>
          </w:tcPr>
          <w:p>
            <w:pPr>
              <w:spacing w:after="0"/>
              <w:rPr>
                <w:sz w:val="1"/>
                <w:szCs w:val="1"/>
                <w:color w:val="auto"/>
              </w:rPr>
            </w:pPr>
          </w:p>
        </w:tc>
      </w:tr>
      <w:tr>
        <w:trPr>
          <w:trHeight w:val="276"/>
        </w:trPr>
        <w:tc>
          <w:tcPr>
            <w:tcW w:w="17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Voting:</w:t>
            </w:r>
          </w:p>
        </w:tc>
        <w:tc>
          <w:tcPr>
            <w:tcW w:w="9440" w:type="dxa"/>
            <w:vAlign w:val="bottom"/>
            <w:gridSpan w:val="5"/>
          </w:tcPr>
          <w:p>
            <w:pPr>
              <w:ind w:left="460"/>
              <w:spacing w:after="0"/>
              <w:rPr>
                <w:sz w:val="20"/>
                <w:szCs w:val="20"/>
                <w:color w:val="auto"/>
              </w:rPr>
            </w:pPr>
            <w:r>
              <w:rPr>
                <w:rFonts w:ascii="Times New Roman" w:cs="Times New Roman" w:eastAsia="Times New Roman" w:hAnsi="Times New Roman"/>
                <w:sz w:val="16"/>
                <w:szCs w:val="16"/>
                <w:color w:val="auto"/>
              </w:rPr>
              <w:t>Your vote is very important. Whether or not you plan to attend the annual meeting, we encourage you to read the proxy statement and</w:t>
            </w:r>
          </w:p>
        </w:tc>
        <w:tc>
          <w:tcPr>
            <w:tcW w:w="0" w:type="dxa"/>
            <w:vAlign w:val="bottom"/>
          </w:tcPr>
          <w:p>
            <w:pPr>
              <w:spacing w:after="0"/>
              <w:rPr>
                <w:sz w:val="1"/>
                <w:szCs w:val="1"/>
                <w:color w:val="auto"/>
              </w:rPr>
            </w:pPr>
          </w:p>
        </w:tc>
      </w:tr>
      <w:tr>
        <w:trPr>
          <w:trHeight w:val="162"/>
        </w:trPr>
        <w:tc>
          <w:tcPr>
            <w:tcW w:w="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40" w:type="dxa"/>
            <w:vAlign w:val="bottom"/>
            <w:gridSpan w:val="5"/>
          </w:tcPr>
          <w:p>
            <w:pPr>
              <w:ind w:left="460"/>
              <w:spacing w:after="0" w:line="162" w:lineRule="exact"/>
              <w:rPr>
                <w:sz w:val="20"/>
                <w:szCs w:val="20"/>
                <w:color w:val="auto"/>
              </w:rPr>
            </w:pPr>
            <w:r>
              <w:rPr>
                <w:rFonts w:ascii="Times New Roman" w:cs="Times New Roman" w:eastAsia="Times New Roman" w:hAnsi="Times New Roman"/>
                <w:sz w:val="16"/>
                <w:szCs w:val="16"/>
                <w:color w:val="auto"/>
              </w:rPr>
              <w:t>vote on the Internet or by telephone or submit your proxy card, if you have requested one, as soon as possible. For specific instructions on</w:t>
            </w:r>
          </w:p>
        </w:tc>
        <w:tc>
          <w:tcPr>
            <w:tcW w:w="0" w:type="dxa"/>
            <w:vAlign w:val="bottom"/>
          </w:tcPr>
          <w:p>
            <w:pPr>
              <w:spacing w:after="0"/>
              <w:rPr>
                <w:sz w:val="1"/>
                <w:szCs w:val="1"/>
                <w:color w:val="auto"/>
              </w:rPr>
            </w:pPr>
          </w:p>
        </w:tc>
      </w:tr>
      <w:tr>
        <w:trPr>
          <w:trHeight w:val="210"/>
        </w:trPr>
        <w:tc>
          <w:tcPr>
            <w:tcW w:w="7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440" w:type="dxa"/>
            <w:vAlign w:val="bottom"/>
            <w:gridSpan w:val="5"/>
          </w:tcPr>
          <w:p>
            <w:pPr>
              <w:ind w:left="460"/>
              <w:spacing w:after="0"/>
              <w:rPr>
                <w:sz w:val="20"/>
                <w:szCs w:val="20"/>
                <w:color w:val="auto"/>
              </w:rPr>
            </w:pPr>
            <w:r>
              <w:rPr>
                <w:rFonts w:ascii="Times New Roman" w:cs="Times New Roman" w:eastAsia="Times New Roman" w:hAnsi="Times New Roman"/>
                <w:sz w:val="16"/>
                <w:szCs w:val="16"/>
                <w:color w:val="auto"/>
              </w:rPr>
              <w:t>how to vote your shares, please refer to the section herein entitled “Questions and Answers About Procedural Matters.”</w:t>
            </w:r>
          </w:p>
        </w:tc>
        <w:tc>
          <w:tcPr>
            <w:tcW w:w="0" w:type="dxa"/>
            <w:vAlign w:val="bottom"/>
          </w:tcPr>
          <w:p>
            <w:pPr>
              <w:spacing w:after="0"/>
              <w:rPr>
                <w:sz w:val="1"/>
                <w:szCs w:val="1"/>
                <w:color w:val="auto"/>
              </w:rPr>
            </w:pPr>
          </w:p>
        </w:tc>
      </w:tr>
      <w:tr>
        <w:trPr>
          <w:trHeight w:val="324"/>
        </w:trPr>
        <w:tc>
          <w:tcPr>
            <w:tcW w:w="7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By order of the board of directors,</w:t>
            </w:r>
          </w:p>
        </w:tc>
        <w:tc>
          <w:tcPr>
            <w:tcW w:w="0" w:type="dxa"/>
            <w:vAlign w:val="bottom"/>
          </w:tcPr>
          <w:p>
            <w:pPr>
              <w:spacing w:after="0"/>
              <w:rPr>
                <w:sz w:val="1"/>
                <w:szCs w:val="1"/>
                <w:color w:val="auto"/>
              </w:rPr>
            </w:pPr>
          </w:p>
        </w:tc>
      </w:tr>
      <w:tr>
        <w:trPr>
          <w:trHeight w:val="408"/>
        </w:trPr>
        <w:tc>
          <w:tcPr>
            <w:tcW w:w="7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color w:val="auto"/>
              </w:rPr>
              <w:t>/s/ MARK JACOBSON</w:t>
            </w:r>
          </w:p>
        </w:tc>
        <w:tc>
          <w:tcPr>
            <w:tcW w:w="0" w:type="dxa"/>
            <w:vAlign w:val="bottom"/>
          </w:tcPr>
          <w:p>
            <w:pPr>
              <w:spacing w:after="0"/>
              <w:rPr>
                <w:sz w:val="1"/>
                <w:szCs w:val="1"/>
                <w:color w:val="auto"/>
              </w:rPr>
            </w:pPr>
          </w:p>
        </w:tc>
      </w:tr>
      <w:tr>
        <w:trPr>
          <w:trHeight w:val="183"/>
        </w:trPr>
        <w:tc>
          <w:tcPr>
            <w:tcW w:w="7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Mark Jacobson</w:t>
            </w:r>
          </w:p>
        </w:tc>
        <w:tc>
          <w:tcPr>
            <w:tcW w:w="0" w:type="dxa"/>
            <w:vAlign w:val="bottom"/>
          </w:tcPr>
          <w:p>
            <w:pPr>
              <w:spacing w:after="0"/>
              <w:rPr>
                <w:sz w:val="1"/>
                <w:szCs w:val="1"/>
                <w:color w:val="auto"/>
              </w:rPr>
            </w:pPr>
          </w:p>
        </w:tc>
      </w:tr>
      <w:tr>
        <w:trPr>
          <w:trHeight w:val="212"/>
        </w:trPr>
        <w:tc>
          <w:tcPr>
            <w:tcW w:w="7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20" w:type="dxa"/>
            <w:vAlign w:val="bottom"/>
            <w:gridSpan w:val="3"/>
          </w:tcPr>
          <w:p>
            <w:pPr>
              <w:ind w:left="20"/>
              <w:spacing w:after="0"/>
              <w:rPr>
                <w:sz w:val="20"/>
                <w:szCs w:val="20"/>
                <w:color w:val="auto"/>
              </w:rPr>
            </w:pPr>
            <w:r>
              <w:rPr>
                <w:rFonts w:ascii="Times New Roman" w:cs="Times New Roman" w:eastAsia="Times New Roman" w:hAnsi="Times New Roman"/>
                <w:sz w:val="16"/>
                <w:szCs w:val="16"/>
                <w:i w:val="1"/>
                <w:iCs w:val="1"/>
                <w:color w:val="auto"/>
              </w:rPr>
              <w:t>Secretary</w:t>
            </w:r>
          </w:p>
        </w:tc>
        <w:tc>
          <w:tcPr>
            <w:tcW w:w="0" w:type="dxa"/>
            <w:vAlign w:val="bottom"/>
          </w:tcPr>
          <w:p>
            <w:pPr>
              <w:spacing w:after="0"/>
              <w:rPr>
                <w:sz w:val="1"/>
                <w:szCs w:val="1"/>
                <w:color w:val="auto"/>
              </w:rPr>
            </w:pPr>
          </w:p>
        </w:tc>
      </w:tr>
    </w:tbl>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This Notice of Annual Meeting and Proxy Statement are first being distributed or made available, as the case may be, on or about April 22, 2022.</w:t>
      </w:r>
    </w:p>
    <w:p>
      <w:pPr>
        <w:spacing w:after="0" w:line="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Important Notice Regarding the Availability of Proxy Materials for the Stockholder Meeting: This Proxy Statement and our Annual Report are available free of charge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at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61"/>
        </w:trPr>
        <w:tc>
          <w:tcPr>
            <w:tcW w:w="9900" w:type="dxa"/>
            <w:vAlign w:val="bottom"/>
            <w:gridSpan w:val="38"/>
          </w:tcPr>
          <w:p>
            <w:pPr>
              <w:spacing w:after="0"/>
              <w:rPr>
                <w:sz w:val="20"/>
                <w:szCs w:val="20"/>
                <w:color w:val="auto"/>
              </w:rPr>
            </w:pPr>
            <w:r>
              <w:rPr>
                <w:rFonts w:ascii="Times New Roman" w:cs="Times New Roman" w:eastAsia="Times New Roman" w:hAnsi="Times New Roman"/>
                <w:sz w:val="14"/>
                <w:szCs w:val="14"/>
                <w:b w:val="1"/>
                <w:bCs w:val="1"/>
                <w:color w:val="0563C1"/>
              </w:rPr>
              <w:t>TABLE OF CONTENTS</w:t>
            </w:r>
          </w:p>
        </w:tc>
        <w:tc>
          <w:tcPr>
            <w:tcW w:w="1340" w:type="dxa"/>
            <w:vAlign w:val="bottom"/>
          </w:tcPr>
          <w:p>
            <w:pPr>
              <w:spacing w:after="0"/>
              <w:rPr>
                <w:sz w:val="14"/>
                <w:szCs w:val="14"/>
                <w:color w:val="auto"/>
              </w:rPr>
            </w:pPr>
          </w:p>
        </w:tc>
      </w:tr>
      <w:tr>
        <w:trPr>
          <w:trHeight w:val="501"/>
        </w:trPr>
        <w:tc>
          <w:tcPr>
            <w:tcW w:w="20" w:type="dxa"/>
            <w:vAlign w:val="bottom"/>
            <w:tcBorders>
              <w:top w:val="single" w:sz="8" w:color="0563C1"/>
            </w:tcBorders>
          </w:tcPr>
          <w:p>
            <w:pPr>
              <w:spacing w:after="0"/>
              <w:rPr>
                <w:sz w:val="24"/>
                <w:szCs w:val="24"/>
                <w:color w:val="auto"/>
              </w:rPr>
            </w:pPr>
          </w:p>
        </w:tc>
        <w:tc>
          <w:tcPr>
            <w:tcW w:w="440" w:type="dxa"/>
            <w:vAlign w:val="bottom"/>
            <w:tcBorders>
              <w:top w:val="single" w:sz="8" w:color="0563C1"/>
            </w:tcBorders>
          </w:tcPr>
          <w:p>
            <w:pPr>
              <w:spacing w:after="0"/>
              <w:rPr>
                <w:sz w:val="24"/>
                <w:szCs w:val="24"/>
                <w:color w:val="auto"/>
              </w:rPr>
            </w:pPr>
          </w:p>
        </w:tc>
        <w:tc>
          <w:tcPr>
            <w:tcW w:w="580" w:type="dxa"/>
            <w:vAlign w:val="bottom"/>
            <w:tcBorders>
              <w:top w:val="single" w:sz="8" w:color="0563C1"/>
            </w:tcBorders>
          </w:tcPr>
          <w:p>
            <w:pPr>
              <w:spacing w:after="0"/>
              <w:rPr>
                <w:sz w:val="24"/>
                <w:szCs w:val="24"/>
                <w:color w:val="auto"/>
              </w:rPr>
            </w:pPr>
          </w:p>
        </w:tc>
        <w:tc>
          <w:tcPr>
            <w:tcW w:w="160" w:type="dxa"/>
            <w:vAlign w:val="bottom"/>
            <w:tcBorders>
              <w:top w:val="single" w:sz="8" w:color="0563C1"/>
            </w:tcBorders>
          </w:tcPr>
          <w:p>
            <w:pPr>
              <w:spacing w:after="0"/>
              <w:rPr>
                <w:sz w:val="24"/>
                <w:szCs w:val="24"/>
                <w:color w:val="auto"/>
              </w:rPr>
            </w:pPr>
          </w:p>
        </w:tc>
        <w:tc>
          <w:tcPr>
            <w:tcW w:w="280" w:type="dxa"/>
            <w:vAlign w:val="bottom"/>
            <w:tcBorders>
              <w:top w:val="single" w:sz="8" w:color="0563C1"/>
            </w:tcBorders>
          </w:tcPr>
          <w:p>
            <w:pPr>
              <w:spacing w:after="0"/>
              <w:rPr>
                <w:sz w:val="24"/>
                <w:szCs w:val="24"/>
                <w:color w:val="auto"/>
              </w:rPr>
            </w:pPr>
          </w:p>
        </w:tc>
        <w:tc>
          <w:tcPr>
            <w:tcW w:w="60" w:type="dxa"/>
            <w:vAlign w:val="bottom"/>
            <w:tcBorders>
              <w:top w:val="single" w:sz="8" w:color="0563C1"/>
            </w:tcBorders>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60" w:type="dxa"/>
            <w:vAlign w:val="bottom"/>
            <w:gridSpan w:val="7"/>
          </w:tcPr>
          <w:p>
            <w:pPr>
              <w:ind w:left="140"/>
              <w:spacing w:after="0"/>
              <w:rPr>
                <w:sz w:val="20"/>
                <w:szCs w:val="20"/>
                <w:color w:val="auto"/>
              </w:rPr>
            </w:pPr>
            <w:r>
              <w:rPr>
                <w:rFonts w:ascii="Times New Roman" w:cs="Times New Roman" w:eastAsia="Times New Roman" w:hAnsi="Times New Roman"/>
                <w:sz w:val="16"/>
                <w:szCs w:val="16"/>
                <w:b w:val="1"/>
                <w:bCs w:val="1"/>
                <w:color w:val="auto"/>
              </w:rPr>
              <w:t>TABLE OF CONTENTS</w:t>
            </w:r>
          </w:p>
        </w:tc>
        <w:tc>
          <w:tcPr>
            <w:tcW w:w="1340" w:type="dxa"/>
            <w:vAlign w:val="bottom"/>
          </w:tcPr>
          <w:p>
            <w:pPr>
              <w:spacing w:after="0"/>
              <w:rPr>
                <w:sz w:val="24"/>
                <w:szCs w:val="24"/>
                <w:color w:val="auto"/>
              </w:rPr>
            </w:pPr>
          </w:p>
        </w:tc>
      </w:tr>
      <w:tr>
        <w:trPr>
          <w:trHeight w:val="195"/>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96"/>
        </w:trPr>
        <w:tc>
          <w:tcPr>
            <w:tcW w:w="20" w:type="dxa"/>
            <w:vAlign w:val="bottom"/>
            <w:tcBorders>
              <w:bottom w:val="single" w:sz="8" w:color="CFF0FC"/>
            </w:tcBorders>
            <w:shd w:val="clear" w:color="auto" w:fill="CFF0FC"/>
          </w:tcPr>
          <w:p>
            <w:pPr>
              <w:spacing w:after="0"/>
              <w:rPr>
                <w:sz w:val="17"/>
                <w:szCs w:val="17"/>
                <w:color w:val="auto"/>
              </w:rPr>
            </w:pPr>
          </w:p>
        </w:tc>
        <w:tc>
          <w:tcPr>
            <w:tcW w:w="5120" w:type="dxa"/>
            <w:vAlign w:val="bottom"/>
            <w:tcBorders>
              <w:bottom w:val="single" w:sz="8" w:color="0000FF"/>
            </w:tcBorders>
            <w:gridSpan w:val="32"/>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w w:val="99"/>
              </w:rPr>
              <w:t>QUESTIONS AND ANSWERS ABOUT PROCEDURAL MATTERS</w:t>
            </w:r>
          </w:p>
        </w:tc>
        <w:tc>
          <w:tcPr>
            <w:tcW w:w="4760" w:type="dxa"/>
            <w:vAlign w:val="bottom"/>
            <w:tcBorders>
              <w:bottom w:val="single" w:sz="8" w:color="CFF0FC"/>
            </w:tcBorders>
            <w:gridSpan w:val="5"/>
            <w:shd w:val="clear" w:color="auto" w:fill="CFF0FC"/>
          </w:tcPr>
          <w:p>
            <w:pPr>
              <w:spacing w:after="0"/>
              <w:rPr>
                <w:sz w:val="17"/>
                <w:szCs w:val="17"/>
                <w:color w:val="auto"/>
              </w:rPr>
            </w:pPr>
          </w:p>
        </w:tc>
        <w:tc>
          <w:tcPr>
            <w:tcW w:w="1340" w:type="dxa"/>
            <w:vAlign w:val="bottom"/>
            <w:tcBorders>
              <w:bottom w:val="single" w:sz="8" w:color="CFF0FC"/>
            </w:tcBorders>
            <w:shd w:val="clear" w:color="auto" w:fill="CFF0FC"/>
          </w:tcPr>
          <w:p>
            <w:pPr>
              <w:jc w:val="right"/>
              <w:spacing w:after="0" w:line="176" w:lineRule="exact"/>
              <w:rPr>
                <w:sz w:val="20"/>
                <w:szCs w:val="20"/>
                <w:color w:val="auto"/>
              </w:rPr>
            </w:pPr>
            <w:r>
              <w:rPr>
                <w:rFonts w:ascii="Times New Roman" w:cs="Times New Roman" w:eastAsia="Times New Roman" w:hAnsi="Times New Roman"/>
                <w:sz w:val="18"/>
                <w:szCs w:val="18"/>
                <w:color w:val="auto"/>
              </w:rPr>
              <w:t>5</w:t>
            </w:r>
          </w:p>
        </w:tc>
      </w:tr>
      <w:tr>
        <w:trPr>
          <w:trHeight w:val="176"/>
        </w:trPr>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40" w:type="dxa"/>
            <w:vAlign w:val="bottom"/>
            <w:gridSpan w:val="36"/>
          </w:tcPr>
          <w:p>
            <w:pPr>
              <w:spacing w:after="0" w:line="176" w:lineRule="exact"/>
              <w:rPr>
                <w:sz w:val="20"/>
                <w:szCs w:val="20"/>
                <w:color w:val="auto"/>
              </w:rPr>
            </w:pPr>
            <w:r>
              <w:rPr>
                <w:rFonts w:ascii="Times New Roman" w:cs="Times New Roman" w:eastAsia="Times New Roman" w:hAnsi="Times New Roman"/>
                <w:sz w:val="18"/>
                <w:szCs w:val="18"/>
                <w:color w:val="0000FF"/>
              </w:rPr>
              <w:t>Annual Meeting</w:t>
            </w:r>
          </w:p>
        </w:tc>
        <w:tc>
          <w:tcPr>
            <w:tcW w:w="13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5</w:t>
            </w: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9440" w:type="dxa"/>
            <w:vAlign w:val="bottom"/>
            <w:gridSpan w:val="36"/>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rPr>
              <w:t>Stock Ownership</w:t>
            </w:r>
          </w:p>
        </w:tc>
        <w:tc>
          <w:tcPr>
            <w:tcW w:w="1340" w:type="dxa"/>
            <w:vAlign w:val="bottom"/>
            <w:shd w:val="clear" w:color="auto" w:fill="CFF0FC"/>
          </w:tcPr>
          <w:p>
            <w:pPr>
              <w:jc w:val="right"/>
              <w:spacing w:after="0" w:line="176" w:lineRule="exact"/>
              <w:rPr>
                <w:sz w:val="20"/>
                <w:szCs w:val="20"/>
                <w:color w:val="auto"/>
              </w:rPr>
            </w:pPr>
            <w:r>
              <w:rPr>
                <w:rFonts w:ascii="Times New Roman" w:cs="Times New Roman" w:eastAsia="Times New Roman" w:hAnsi="Times New Roman"/>
                <w:sz w:val="18"/>
                <w:szCs w:val="18"/>
                <w:color w:val="auto"/>
              </w:rPr>
              <w:t>6</w:t>
            </w:r>
          </w:p>
        </w:tc>
      </w:tr>
      <w:tr>
        <w:trPr>
          <w:trHeight w:val="21"/>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0000FF"/>
            </w:tcBorders>
            <w:shd w:val="clear" w:color="auto" w:fill="CFF0FC"/>
          </w:tcPr>
          <w:p>
            <w:pPr>
              <w:spacing w:after="0" w:line="20" w:lineRule="exact"/>
              <w:rPr>
                <w:sz w:val="1"/>
                <w:szCs w:val="1"/>
                <w:color w:val="auto"/>
              </w:rPr>
            </w:pPr>
          </w:p>
        </w:tc>
        <w:tc>
          <w:tcPr>
            <w:tcW w:w="160" w:type="dxa"/>
            <w:vAlign w:val="bottom"/>
            <w:tcBorders>
              <w:top w:val="single" w:sz="8" w:color="0000FF"/>
            </w:tcBorders>
            <w:shd w:val="clear" w:color="auto" w:fill="CFF0FC"/>
          </w:tcPr>
          <w:p>
            <w:pPr>
              <w:spacing w:after="0" w:line="20" w:lineRule="exact"/>
              <w:rPr>
                <w:sz w:val="1"/>
                <w:szCs w:val="1"/>
                <w:color w:val="auto"/>
              </w:rPr>
            </w:pPr>
          </w:p>
        </w:tc>
        <w:tc>
          <w:tcPr>
            <w:tcW w:w="28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CFF0FC"/>
            </w:tcBorders>
            <w:shd w:val="clear" w:color="auto" w:fill="CFF0FC"/>
          </w:tcPr>
          <w:p>
            <w:pPr>
              <w:spacing w:after="0" w:line="20" w:lineRule="exact"/>
              <w:rPr>
                <w:sz w:val="1"/>
                <w:szCs w:val="1"/>
                <w:color w:val="auto"/>
              </w:rPr>
            </w:pPr>
          </w:p>
        </w:tc>
        <w:tc>
          <w:tcPr>
            <w:tcW w:w="1920" w:type="dxa"/>
            <w:vAlign w:val="bottom"/>
            <w:tcBorders>
              <w:top w:val="single" w:sz="8" w:color="CFF0FC"/>
            </w:tcBorders>
            <w:shd w:val="clear" w:color="auto" w:fill="CFF0FC"/>
          </w:tcPr>
          <w:p>
            <w:pPr>
              <w:spacing w:after="0" w:line="20" w:lineRule="exact"/>
              <w:rPr>
                <w:sz w:val="1"/>
                <w:szCs w:val="1"/>
                <w:color w:val="auto"/>
              </w:rPr>
            </w:pPr>
          </w:p>
        </w:tc>
        <w:tc>
          <w:tcPr>
            <w:tcW w:w="1240" w:type="dxa"/>
            <w:vAlign w:val="bottom"/>
            <w:tcBorders>
              <w:top w:val="single" w:sz="8" w:color="CFF0FC"/>
            </w:tcBorders>
            <w:shd w:val="clear" w:color="auto" w:fill="CFF0FC"/>
          </w:tcPr>
          <w:p>
            <w:pPr>
              <w:spacing w:after="0" w:line="20" w:lineRule="exact"/>
              <w:rPr>
                <w:sz w:val="1"/>
                <w:szCs w:val="1"/>
                <w:color w:val="auto"/>
              </w:rPr>
            </w:pPr>
          </w:p>
        </w:tc>
        <w:tc>
          <w:tcPr>
            <w:tcW w:w="1340" w:type="dxa"/>
            <w:vAlign w:val="bottom"/>
            <w:tcBorders>
              <w:top w:val="single" w:sz="8" w:color="CFF0FC"/>
            </w:tcBorders>
            <w:shd w:val="clear" w:color="auto" w:fill="CFF0FC"/>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40" w:type="dxa"/>
            <w:vAlign w:val="bottom"/>
            <w:gridSpan w:val="36"/>
          </w:tcPr>
          <w:p>
            <w:pPr>
              <w:spacing w:after="0" w:line="176" w:lineRule="exact"/>
              <w:rPr>
                <w:sz w:val="20"/>
                <w:szCs w:val="20"/>
                <w:color w:val="auto"/>
              </w:rPr>
            </w:pPr>
            <w:r>
              <w:rPr>
                <w:rFonts w:ascii="Times New Roman" w:cs="Times New Roman" w:eastAsia="Times New Roman" w:hAnsi="Times New Roman"/>
                <w:sz w:val="18"/>
                <w:szCs w:val="18"/>
                <w:color w:val="0000FF"/>
              </w:rPr>
              <w:t>Quorum and Voting</w:t>
            </w:r>
          </w:p>
        </w:tc>
        <w:tc>
          <w:tcPr>
            <w:tcW w:w="13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6</w:t>
            </w:r>
          </w:p>
        </w:tc>
      </w:tr>
      <w:tr>
        <w:trPr>
          <w:trHeight w:val="21"/>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9440" w:type="dxa"/>
            <w:vAlign w:val="bottom"/>
            <w:gridSpan w:val="36"/>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rPr>
              <w:t>Stockholder Proposals and Director Nominations</w:t>
            </w:r>
          </w:p>
        </w:tc>
        <w:tc>
          <w:tcPr>
            <w:tcW w:w="1340" w:type="dxa"/>
            <w:vAlign w:val="bottom"/>
            <w:shd w:val="clear" w:color="auto" w:fill="CFF0FC"/>
          </w:tcPr>
          <w:p>
            <w:pPr>
              <w:jc w:val="right"/>
              <w:spacing w:after="0" w:line="176" w:lineRule="exact"/>
              <w:rPr>
                <w:sz w:val="20"/>
                <w:szCs w:val="20"/>
                <w:color w:val="auto"/>
              </w:rPr>
            </w:pPr>
            <w:r>
              <w:rPr>
                <w:rFonts w:ascii="Times New Roman" w:cs="Times New Roman" w:eastAsia="Times New Roman" w:hAnsi="Times New Roman"/>
                <w:sz w:val="18"/>
                <w:szCs w:val="18"/>
                <w:color w:val="auto"/>
              </w:rPr>
              <w:t>9</w:t>
            </w:r>
          </w:p>
        </w:tc>
      </w:tr>
      <w:tr>
        <w:trPr>
          <w:trHeight w:val="21"/>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0000FF"/>
            </w:tcBorders>
            <w:shd w:val="clear" w:color="auto" w:fill="CFF0FC"/>
          </w:tcPr>
          <w:p>
            <w:pPr>
              <w:spacing w:after="0" w:line="20" w:lineRule="exact"/>
              <w:rPr>
                <w:sz w:val="1"/>
                <w:szCs w:val="1"/>
                <w:color w:val="auto"/>
              </w:rPr>
            </w:pPr>
          </w:p>
        </w:tc>
        <w:tc>
          <w:tcPr>
            <w:tcW w:w="160" w:type="dxa"/>
            <w:vAlign w:val="bottom"/>
            <w:tcBorders>
              <w:top w:val="single" w:sz="8" w:color="0000FF"/>
            </w:tcBorders>
            <w:shd w:val="clear" w:color="auto" w:fill="CFF0FC"/>
          </w:tcPr>
          <w:p>
            <w:pPr>
              <w:spacing w:after="0" w:line="20" w:lineRule="exact"/>
              <w:rPr>
                <w:sz w:val="1"/>
                <w:szCs w:val="1"/>
                <w:color w:val="auto"/>
              </w:rPr>
            </w:pPr>
          </w:p>
        </w:tc>
        <w:tc>
          <w:tcPr>
            <w:tcW w:w="28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22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14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32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200" w:type="dxa"/>
            <w:vAlign w:val="bottom"/>
            <w:tcBorders>
              <w:top w:val="single" w:sz="8" w:color="0000FF"/>
            </w:tcBorders>
            <w:shd w:val="clear" w:color="auto" w:fill="CFF0FC"/>
          </w:tcPr>
          <w:p>
            <w:pPr>
              <w:spacing w:after="0" w:line="20" w:lineRule="exact"/>
              <w:rPr>
                <w:sz w:val="1"/>
                <w:szCs w:val="1"/>
                <w:color w:val="auto"/>
              </w:rPr>
            </w:pPr>
          </w:p>
        </w:tc>
        <w:tc>
          <w:tcPr>
            <w:tcW w:w="16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160" w:type="dxa"/>
            <w:vAlign w:val="bottom"/>
            <w:tcBorders>
              <w:top w:val="single" w:sz="8" w:color="0000FF"/>
            </w:tcBorders>
            <w:shd w:val="clear" w:color="auto" w:fill="CFF0FC"/>
          </w:tcPr>
          <w:p>
            <w:pPr>
              <w:spacing w:after="0" w:line="20" w:lineRule="exact"/>
              <w:rPr>
                <w:sz w:val="1"/>
                <w:szCs w:val="1"/>
                <w:color w:val="auto"/>
              </w:rPr>
            </w:pPr>
          </w:p>
        </w:tc>
        <w:tc>
          <w:tcPr>
            <w:tcW w:w="14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CFF0FC"/>
            </w:tcBorders>
            <w:shd w:val="clear" w:color="auto" w:fill="CFF0FC"/>
          </w:tcPr>
          <w:p>
            <w:pPr>
              <w:spacing w:after="0" w:line="20" w:lineRule="exact"/>
              <w:rPr>
                <w:sz w:val="1"/>
                <w:szCs w:val="1"/>
                <w:color w:val="auto"/>
              </w:rPr>
            </w:pPr>
          </w:p>
        </w:tc>
        <w:tc>
          <w:tcPr>
            <w:tcW w:w="1920" w:type="dxa"/>
            <w:vAlign w:val="bottom"/>
            <w:tcBorders>
              <w:top w:val="single" w:sz="8" w:color="CFF0FC"/>
            </w:tcBorders>
            <w:shd w:val="clear" w:color="auto" w:fill="CFF0FC"/>
          </w:tcPr>
          <w:p>
            <w:pPr>
              <w:spacing w:after="0" w:line="20" w:lineRule="exact"/>
              <w:rPr>
                <w:sz w:val="1"/>
                <w:szCs w:val="1"/>
                <w:color w:val="auto"/>
              </w:rPr>
            </w:pPr>
          </w:p>
        </w:tc>
        <w:tc>
          <w:tcPr>
            <w:tcW w:w="1240" w:type="dxa"/>
            <w:vAlign w:val="bottom"/>
            <w:tcBorders>
              <w:top w:val="single" w:sz="8" w:color="CFF0FC"/>
            </w:tcBorders>
            <w:shd w:val="clear" w:color="auto" w:fill="CFF0FC"/>
          </w:tcPr>
          <w:p>
            <w:pPr>
              <w:spacing w:after="0" w:line="20" w:lineRule="exact"/>
              <w:rPr>
                <w:sz w:val="1"/>
                <w:szCs w:val="1"/>
                <w:color w:val="auto"/>
              </w:rPr>
            </w:pPr>
          </w:p>
        </w:tc>
        <w:tc>
          <w:tcPr>
            <w:tcW w:w="1340" w:type="dxa"/>
            <w:vAlign w:val="bottom"/>
            <w:tcBorders>
              <w:top w:val="single" w:sz="8" w:color="CFF0FC"/>
            </w:tcBorders>
            <w:shd w:val="clear" w:color="auto" w:fill="CFF0FC"/>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40" w:type="dxa"/>
            <w:vAlign w:val="bottom"/>
            <w:gridSpan w:val="36"/>
          </w:tcPr>
          <w:p>
            <w:pPr>
              <w:spacing w:after="0" w:line="176" w:lineRule="exact"/>
              <w:rPr>
                <w:sz w:val="20"/>
                <w:szCs w:val="20"/>
                <w:color w:val="auto"/>
              </w:rPr>
            </w:pPr>
            <w:r>
              <w:rPr>
                <w:rFonts w:ascii="Times New Roman" w:cs="Times New Roman" w:eastAsia="Times New Roman" w:hAnsi="Times New Roman"/>
                <w:sz w:val="18"/>
                <w:szCs w:val="18"/>
                <w:color w:val="0000FF"/>
              </w:rPr>
              <w:t>Additional Information about the Proxy Materials</w:t>
            </w:r>
          </w:p>
        </w:tc>
        <w:tc>
          <w:tcPr>
            <w:tcW w:w="13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10</w:t>
            </w:r>
          </w:p>
        </w:tc>
      </w:tr>
      <w:tr>
        <w:trPr>
          <w:trHeight w:val="21"/>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6"/>
        </w:trPr>
        <w:tc>
          <w:tcPr>
            <w:tcW w:w="20" w:type="dxa"/>
            <w:vAlign w:val="bottom"/>
            <w:tcBorders>
              <w:bottom w:val="single" w:sz="8" w:color="CFF0FC"/>
            </w:tcBorders>
            <w:shd w:val="clear" w:color="auto" w:fill="CFF0FC"/>
          </w:tcPr>
          <w:p>
            <w:pPr>
              <w:spacing w:after="0"/>
              <w:rPr>
                <w:sz w:val="17"/>
                <w:szCs w:val="17"/>
                <w:color w:val="auto"/>
              </w:rPr>
            </w:pPr>
          </w:p>
        </w:tc>
        <w:tc>
          <w:tcPr>
            <w:tcW w:w="3720" w:type="dxa"/>
            <w:vAlign w:val="bottom"/>
            <w:tcBorders>
              <w:bottom w:val="single" w:sz="8" w:color="0000FF"/>
            </w:tcBorders>
            <w:gridSpan w:val="23"/>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w w:val="99"/>
              </w:rPr>
              <w:t>PROPOSAL ONE—ELECTION OF DIRECTORS</w:t>
            </w:r>
          </w:p>
        </w:tc>
        <w:tc>
          <w:tcPr>
            <w:tcW w:w="6160" w:type="dxa"/>
            <w:vAlign w:val="bottom"/>
            <w:tcBorders>
              <w:bottom w:val="single" w:sz="8" w:color="CFF0FC"/>
            </w:tcBorders>
            <w:gridSpan w:val="14"/>
            <w:shd w:val="clear" w:color="auto" w:fill="CFF0FC"/>
          </w:tcPr>
          <w:p>
            <w:pPr>
              <w:spacing w:after="0"/>
              <w:rPr>
                <w:sz w:val="17"/>
                <w:szCs w:val="17"/>
                <w:color w:val="auto"/>
              </w:rPr>
            </w:pPr>
          </w:p>
        </w:tc>
        <w:tc>
          <w:tcPr>
            <w:tcW w:w="1340" w:type="dxa"/>
            <w:vAlign w:val="bottom"/>
            <w:tcBorders>
              <w:bottom w:val="single" w:sz="8" w:color="CFF0FC"/>
            </w:tcBorders>
            <w:shd w:val="clear" w:color="auto" w:fill="CFF0FC"/>
          </w:tcPr>
          <w:p>
            <w:pPr>
              <w:jc w:val="right"/>
              <w:spacing w:after="0" w:line="176" w:lineRule="exact"/>
              <w:rPr>
                <w:sz w:val="20"/>
                <w:szCs w:val="20"/>
                <w:color w:val="auto"/>
              </w:rPr>
            </w:pPr>
            <w:r>
              <w:rPr>
                <w:rFonts w:ascii="Times New Roman" w:cs="Times New Roman" w:eastAsia="Times New Roman" w:hAnsi="Times New Roman"/>
                <w:sz w:val="18"/>
                <w:szCs w:val="18"/>
                <w:color w:val="auto"/>
              </w:rPr>
              <w:t>11</w:t>
            </w:r>
          </w:p>
        </w:tc>
      </w:tr>
      <w:tr>
        <w:trPr>
          <w:trHeight w:val="176"/>
        </w:trPr>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40" w:type="dxa"/>
            <w:vAlign w:val="bottom"/>
            <w:gridSpan w:val="36"/>
          </w:tcPr>
          <w:p>
            <w:pPr>
              <w:spacing w:after="0" w:line="176" w:lineRule="exact"/>
              <w:rPr>
                <w:sz w:val="20"/>
                <w:szCs w:val="20"/>
                <w:color w:val="auto"/>
              </w:rPr>
            </w:pPr>
            <w:r>
              <w:rPr>
                <w:rFonts w:ascii="Times New Roman" w:cs="Times New Roman" w:eastAsia="Times New Roman" w:hAnsi="Times New Roman"/>
                <w:sz w:val="18"/>
                <w:szCs w:val="18"/>
                <w:color w:val="0000FF"/>
              </w:rPr>
              <w:t>General</w:t>
            </w:r>
          </w:p>
        </w:tc>
        <w:tc>
          <w:tcPr>
            <w:tcW w:w="13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11</w:t>
            </w: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6"/>
        </w:trPr>
        <w:tc>
          <w:tcPr>
            <w:tcW w:w="2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CFF0FC"/>
            </w:tcBorders>
            <w:shd w:val="clear" w:color="auto" w:fill="CFF0FC"/>
          </w:tcPr>
          <w:p>
            <w:pPr>
              <w:spacing w:after="0"/>
              <w:rPr>
                <w:sz w:val="17"/>
                <w:szCs w:val="17"/>
                <w:color w:val="auto"/>
              </w:rPr>
            </w:pPr>
          </w:p>
        </w:tc>
        <w:tc>
          <w:tcPr>
            <w:tcW w:w="740" w:type="dxa"/>
            <w:vAlign w:val="bottom"/>
            <w:tcBorders>
              <w:bottom w:val="single" w:sz="8" w:color="0000FF"/>
            </w:tcBorders>
            <w:gridSpan w:val="2"/>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w w:val="98"/>
              </w:rPr>
              <w:t>Nominees</w:t>
            </w:r>
          </w:p>
        </w:tc>
        <w:tc>
          <w:tcPr>
            <w:tcW w:w="8700" w:type="dxa"/>
            <w:vAlign w:val="bottom"/>
            <w:tcBorders>
              <w:bottom w:val="single" w:sz="8" w:color="CFF0FC"/>
            </w:tcBorders>
            <w:gridSpan w:val="34"/>
            <w:shd w:val="clear" w:color="auto" w:fill="CFF0FC"/>
          </w:tcPr>
          <w:p>
            <w:pPr>
              <w:spacing w:after="0"/>
              <w:rPr>
                <w:sz w:val="17"/>
                <w:szCs w:val="17"/>
                <w:color w:val="auto"/>
              </w:rPr>
            </w:pPr>
          </w:p>
        </w:tc>
        <w:tc>
          <w:tcPr>
            <w:tcW w:w="1340" w:type="dxa"/>
            <w:vAlign w:val="bottom"/>
            <w:tcBorders>
              <w:bottom w:val="single" w:sz="8" w:color="CFF0FC"/>
            </w:tcBorders>
            <w:shd w:val="clear" w:color="auto" w:fill="CFF0FC"/>
          </w:tcPr>
          <w:p>
            <w:pPr>
              <w:jc w:val="right"/>
              <w:spacing w:after="0" w:line="176" w:lineRule="exact"/>
              <w:rPr>
                <w:sz w:val="20"/>
                <w:szCs w:val="20"/>
                <w:color w:val="auto"/>
              </w:rPr>
            </w:pPr>
            <w:r>
              <w:rPr>
                <w:rFonts w:ascii="Times New Roman" w:cs="Times New Roman" w:eastAsia="Times New Roman" w:hAnsi="Times New Roman"/>
                <w:sz w:val="18"/>
                <w:szCs w:val="18"/>
                <w:color w:val="auto"/>
              </w:rPr>
              <w:t>11</w:t>
            </w:r>
          </w:p>
        </w:tc>
      </w:tr>
      <w:tr>
        <w:trPr>
          <w:trHeight w:val="175"/>
        </w:trPr>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40" w:type="dxa"/>
            <w:vAlign w:val="bottom"/>
            <w:gridSpan w:val="36"/>
          </w:tcPr>
          <w:p>
            <w:pPr>
              <w:spacing w:after="0" w:line="176" w:lineRule="exact"/>
              <w:rPr>
                <w:sz w:val="20"/>
                <w:szCs w:val="20"/>
                <w:color w:val="auto"/>
              </w:rPr>
            </w:pPr>
            <w:r>
              <w:rPr>
                <w:rFonts w:ascii="Times New Roman" w:cs="Times New Roman" w:eastAsia="Times New Roman" w:hAnsi="Times New Roman"/>
                <w:sz w:val="18"/>
                <w:szCs w:val="18"/>
                <w:color w:val="0000FF"/>
              </w:rPr>
              <w:t>Information Regarding the Nominees and Other Directors</w:t>
            </w:r>
          </w:p>
        </w:tc>
        <w:tc>
          <w:tcPr>
            <w:tcW w:w="13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11</w:t>
            </w:r>
          </w:p>
        </w:tc>
      </w:tr>
      <w:tr>
        <w:trPr>
          <w:trHeight w:val="21"/>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6"/>
        </w:trPr>
        <w:tc>
          <w:tcPr>
            <w:tcW w:w="9900" w:type="dxa"/>
            <w:vAlign w:val="bottom"/>
            <w:gridSpan w:val="38"/>
            <w:shd w:val="clear" w:color="auto" w:fill="CFF0FC"/>
          </w:tcPr>
          <w:p>
            <w:pPr>
              <w:ind w:left="20"/>
              <w:spacing w:after="0" w:line="176" w:lineRule="exact"/>
              <w:rPr>
                <w:sz w:val="20"/>
                <w:szCs w:val="20"/>
                <w:color w:val="auto"/>
              </w:rPr>
            </w:pPr>
            <w:r>
              <w:rPr>
                <w:rFonts w:ascii="Times New Roman" w:cs="Times New Roman" w:eastAsia="Times New Roman" w:hAnsi="Times New Roman"/>
                <w:sz w:val="18"/>
                <w:szCs w:val="18"/>
                <w:color w:val="0000FF"/>
                <w:w w:val="99"/>
              </w:rPr>
              <w:t>PROPOSAL TWO—RATIFICATION OF THE APPOINTMENT OF INDEPENDENT REGISTERED PUBLIC ACCOUNTING FIRM</w:t>
            </w:r>
          </w:p>
        </w:tc>
        <w:tc>
          <w:tcPr>
            <w:tcW w:w="1340" w:type="dxa"/>
            <w:vAlign w:val="bottom"/>
            <w:shd w:val="clear" w:color="auto" w:fill="CFF0FC"/>
          </w:tcPr>
          <w:p>
            <w:pPr>
              <w:jc w:val="right"/>
              <w:spacing w:after="0" w:line="176" w:lineRule="exact"/>
              <w:rPr>
                <w:sz w:val="20"/>
                <w:szCs w:val="20"/>
                <w:color w:val="auto"/>
              </w:rPr>
            </w:pPr>
            <w:r>
              <w:rPr>
                <w:rFonts w:ascii="Times New Roman" w:cs="Times New Roman" w:eastAsia="Times New Roman" w:hAnsi="Times New Roman"/>
                <w:sz w:val="18"/>
                <w:szCs w:val="18"/>
                <w:color w:val="auto"/>
              </w:rPr>
              <w:t>14</w:t>
            </w:r>
          </w:p>
        </w:tc>
      </w:tr>
      <w:tr>
        <w:trPr>
          <w:trHeight w:val="175"/>
        </w:trPr>
        <w:tc>
          <w:tcPr>
            <w:tcW w:w="20" w:type="dxa"/>
            <w:vAlign w:val="bottom"/>
            <w:tcBorders>
              <w:top w:val="single" w:sz="8" w:color="CFF0FC"/>
            </w:tcBorders>
          </w:tcPr>
          <w:p>
            <w:pPr>
              <w:spacing w:after="0"/>
              <w:rPr>
                <w:sz w:val="15"/>
                <w:szCs w:val="15"/>
                <w:color w:val="auto"/>
              </w:rPr>
            </w:pPr>
          </w:p>
        </w:tc>
        <w:tc>
          <w:tcPr>
            <w:tcW w:w="440" w:type="dxa"/>
            <w:vAlign w:val="bottom"/>
            <w:tcBorders>
              <w:top w:val="single" w:sz="8" w:color="0000FF"/>
            </w:tcBorders>
          </w:tcPr>
          <w:p>
            <w:pPr>
              <w:spacing w:after="0"/>
              <w:rPr>
                <w:sz w:val="15"/>
                <w:szCs w:val="15"/>
                <w:color w:val="auto"/>
              </w:rPr>
            </w:pPr>
          </w:p>
        </w:tc>
        <w:tc>
          <w:tcPr>
            <w:tcW w:w="9440" w:type="dxa"/>
            <w:vAlign w:val="bottom"/>
            <w:tcBorders>
              <w:top w:val="single" w:sz="8" w:color="0000FF"/>
            </w:tcBorders>
            <w:gridSpan w:val="36"/>
          </w:tcPr>
          <w:p>
            <w:pPr>
              <w:spacing w:after="0" w:line="176" w:lineRule="exact"/>
              <w:rPr>
                <w:sz w:val="20"/>
                <w:szCs w:val="20"/>
                <w:color w:val="auto"/>
              </w:rPr>
            </w:pPr>
            <w:r>
              <w:rPr>
                <w:rFonts w:ascii="Times New Roman" w:cs="Times New Roman" w:eastAsia="Times New Roman" w:hAnsi="Times New Roman"/>
                <w:sz w:val="18"/>
                <w:szCs w:val="18"/>
                <w:color w:val="0000FF"/>
              </w:rPr>
              <w:t>General</w:t>
            </w:r>
          </w:p>
        </w:tc>
        <w:tc>
          <w:tcPr>
            <w:tcW w:w="1340" w:type="dxa"/>
            <w:vAlign w:val="bottom"/>
            <w:tcBorders>
              <w:top w:val="single" w:sz="8" w:color="CFF0FC"/>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14</w:t>
            </w:r>
          </w:p>
        </w:tc>
      </w:tr>
      <w:tr>
        <w:trPr>
          <w:trHeight w:val="21"/>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6"/>
        </w:trPr>
        <w:tc>
          <w:tcPr>
            <w:tcW w:w="2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CFF0FC"/>
            </w:tcBorders>
            <w:shd w:val="clear" w:color="auto" w:fill="CFF0FC"/>
          </w:tcPr>
          <w:p>
            <w:pPr>
              <w:spacing w:after="0"/>
              <w:rPr>
                <w:sz w:val="17"/>
                <w:szCs w:val="17"/>
                <w:color w:val="auto"/>
              </w:rPr>
            </w:pPr>
          </w:p>
        </w:tc>
        <w:tc>
          <w:tcPr>
            <w:tcW w:w="2880" w:type="dxa"/>
            <w:vAlign w:val="bottom"/>
            <w:tcBorders>
              <w:bottom w:val="single" w:sz="8" w:color="0000FF"/>
            </w:tcBorders>
            <w:gridSpan w:val="19"/>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w w:val="99"/>
              </w:rPr>
              <w:t>Principal Accounting Fees and Services</w:t>
            </w:r>
          </w:p>
        </w:tc>
        <w:tc>
          <w:tcPr>
            <w:tcW w:w="6560" w:type="dxa"/>
            <w:vAlign w:val="bottom"/>
            <w:tcBorders>
              <w:bottom w:val="single" w:sz="8" w:color="CFF0FC"/>
            </w:tcBorders>
            <w:gridSpan w:val="17"/>
            <w:shd w:val="clear" w:color="auto" w:fill="CFF0FC"/>
          </w:tcPr>
          <w:p>
            <w:pPr>
              <w:spacing w:after="0"/>
              <w:rPr>
                <w:sz w:val="17"/>
                <w:szCs w:val="17"/>
                <w:color w:val="auto"/>
              </w:rPr>
            </w:pPr>
          </w:p>
        </w:tc>
        <w:tc>
          <w:tcPr>
            <w:tcW w:w="1340" w:type="dxa"/>
            <w:vAlign w:val="bottom"/>
            <w:tcBorders>
              <w:bottom w:val="single" w:sz="8" w:color="CFF0FC"/>
            </w:tcBorders>
            <w:shd w:val="clear" w:color="auto" w:fill="CFF0FC"/>
          </w:tcPr>
          <w:p>
            <w:pPr>
              <w:jc w:val="right"/>
              <w:spacing w:after="0" w:line="176" w:lineRule="exact"/>
              <w:rPr>
                <w:sz w:val="20"/>
                <w:szCs w:val="20"/>
                <w:color w:val="auto"/>
              </w:rPr>
            </w:pPr>
            <w:r>
              <w:rPr>
                <w:rFonts w:ascii="Times New Roman" w:cs="Times New Roman" w:eastAsia="Times New Roman" w:hAnsi="Times New Roman"/>
                <w:sz w:val="18"/>
                <w:szCs w:val="18"/>
                <w:color w:val="auto"/>
              </w:rPr>
              <w:t>14</w:t>
            </w:r>
          </w:p>
        </w:tc>
      </w:tr>
      <w:tr>
        <w:trPr>
          <w:trHeight w:val="176"/>
        </w:trPr>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40" w:type="dxa"/>
            <w:vAlign w:val="bottom"/>
            <w:gridSpan w:val="36"/>
          </w:tcPr>
          <w:p>
            <w:pPr>
              <w:spacing w:after="0" w:line="176" w:lineRule="exact"/>
              <w:rPr>
                <w:sz w:val="20"/>
                <w:szCs w:val="20"/>
                <w:color w:val="auto"/>
              </w:rPr>
            </w:pPr>
            <w:r>
              <w:rPr>
                <w:rFonts w:ascii="Times New Roman" w:cs="Times New Roman" w:eastAsia="Times New Roman" w:hAnsi="Times New Roman"/>
                <w:sz w:val="18"/>
                <w:szCs w:val="18"/>
                <w:color w:val="0000FF"/>
              </w:rPr>
              <w:t>Pre-Approval of Audit and Non-Audit Services</w:t>
            </w:r>
          </w:p>
        </w:tc>
        <w:tc>
          <w:tcPr>
            <w:tcW w:w="13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14</w:t>
            </w: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6"/>
        </w:trPr>
        <w:tc>
          <w:tcPr>
            <w:tcW w:w="20" w:type="dxa"/>
            <w:vAlign w:val="bottom"/>
            <w:shd w:val="clear" w:color="auto" w:fill="CFF0FC"/>
          </w:tcPr>
          <w:p>
            <w:pPr>
              <w:spacing w:after="0"/>
              <w:rPr>
                <w:sz w:val="17"/>
                <w:szCs w:val="17"/>
                <w:color w:val="auto"/>
              </w:rPr>
            </w:pPr>
          </w:p>
        </w:tc>
        <w:tc>
          <w:tcPr>
            <w:tcW w:w="9880" w:type="dxa"/>
            <w:vAlign w:val="bottom"/>
            <w:gridSpan w:val="37"/>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rPr>
              <w:t>PROPOSAL THREE—ADVISORY VOTE ON THE COMPENSATION OF OUR NAMED EXECUTIVE OFFICERS</w:t>
            </w:r>
          </w:p>
        </w:tc>
        <w:tc>
          <w:tcPr>
            <w:tcW w:w="1340" w:type="dxa"/>
            <w:vAlign w:val="bottom"/>
            <w:shd w:val="clear" w:color="auto" w:fill="CFF0FC"/>
          </w:tcPr>
          <w:p>
            <w:pPr>
              <w:jc w:val="right"/>
              <w:spacing w:after="0" w:line="176" w:lineRule="exact"/>
              <w:rPr>
                <w:sz w:val="20"/>
                <w:szCs w:val="20"/>
                <w:color w:val="auto"/>
              </w:rPr>
            </w:pPr>
            <w:r>
              <w:rPr>
                <w:rFonts w:ascii="Times New Roman" w:cs="Times New Roman" w:eastAsia="Times New Roman" w:hAnsi="Times New Roman"/>
                <w:sz w:val="18"/>
                <w:szCs w:val="18"/>
                <w:color w:val="auto"/>
              </w:rPr>
              <w:t>15</w:t>
            </w:r>
          </w:p>
        </w:tc>
      </w:tr>
      <w:tr>
        <w:trPr>
          <w:trHeight w:val="175"/>
        </w:trPr>
        <w:tc>
          <w:tcPr>
            <w:tcW w:w="20" w:type="dxa"/>
            <w:vAlign w:val="bottom"/>
            <w:tcBorders>
              <w:top w:val="single" w:sz="8" w:color="CFF0FC"/>
            </w:tcBorders>
          </w:tcPr>
          <w:p>
            <w:pPr>
              <w:spacing w:after="0"/>
              <w:rPr>
                <w:sz w:val="15"/>
                <w:szCs w:val="15"/>
                <w:color w:val="auto"/>
              </w:rPr>
            </w:pPr>
          </w:p>
        </w:tc>
        <w:tc>
          <w:tcPr>
            <w:tcW w:w="440" w:type="dxa"/>
            <w:vAlign w:val="bottom"/>
            <w:tcBorders>
              <w:top w:val="single" w:sz="8" w:color="0000FF"/>
            </w:tcBorders>
          </w:tcPr>
          <w:p>
            <w:pPr>
              <w:spacing w:after="0"/>
              <w:rPr>
                <w:sz w:val="15"/>
                <w:szCs w:val="15"/>
                <w:color w:val="auto"/>
              </w:rPr>
            </w:pPr>
          </w:p>
        </w:tc>
        <w:tc>
          <w:tcPr>
            <w:tcW w:w="8200" w:type="dxa"/>
            <w:vAlign w:val="bottom"/>
            <w:tcBorders>
              <w:top w:val="single" w:sz="8" w:color="0000FF"/>
            </w:tcBorders>
            <w:gridSpan w:val="35"/>
          </w:tcPr>
          <w:p>
            <w:pPr>
              <w:spacing w:after="0" w:line="176" w:lineRule="exact"/>
              <w:rPr>
                <w:sz w:val="20"/>
                <w:szCs w:val="20"/>
                <w:color w:val="auto"/>
              </w:rPr>
            </w:pPr>
            <w:r>
              <w:rPr>
                <w:rFonts w:ascii="Times New Roman" w:cs="Times New Roman" w:eastAsia="Times New Roman" w:hAnsi="Times New Roman"/>
                <w:sz w:val="18"/>
                <w:szCs w:val="18"/>
                <w:color w:val="0000FF"/>
              </w:rPr>
              <w:t>General</w:t>
            </w:r>
          </w:p>
        </w:tc>
        <w:tc>
          <w:tcPr>
            <w:tcW w:w="1240" w:type="dxa"/>
            <w:vAlign w:val="bottom"/>
            <w:tcBorders>
              <w:top w:val="single" w:sz="8" w:color="CFF0FC"/>
            </w:tcBorders>
          </w:tcPr>
          <w:p>
            <w:pPr>
              <w:spacing w:after="0"/>
              <w:rPr>
                <w:sz w:val="15"/>
                <w:szCs w:val="15"/>
                <w:color w:val="auto"/>
              </w:rPr>
            </w:pPr>
          </w:p>
        </w:tc>
        <w:tc>
          <w:tcPr>
            <w:tcW w:w="1340" w:type="dxa"/>
            <w:vAlign w:val="bottom"/>
            <w:tcBorders>
              <w:top w:val="single" w:sz="8" w:color="CFF0FC"/>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15</w:t>
            </w:r>
          </w:p>
        </w:tc>
      </w:tr>
      <w:tr>
        <w:trPr>
          <w:trHeight w:val="21"/>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6"/>
        </w:trPr>
        <w:tc>
          <w:tcPr>
            <w:tcW w:w="20" w:type="dxa"/>
            <w:vAlign w:val="bottom"/>
            <w:tcBorders>
              <w:bottom w:val="single" w:sz="8" w:color="CFF0FC"/>
            </w:tcBorders>
            <w:shd w:val="clear" w:color="auto" w:fill="CFF0FC"/>
          </w:tcPr>
          <w:p>
            <w:pPr>
              <w:spacing w:after="0"/>
              <w:rPr>
                <w:sz w:val="17"/>
                <w:szCs w:val="17"/>
                <w:color w:val="auto"/>
              </w:rPr>
            </w:pPr>
          </w:p>
        </w:tc>
        <w:tc>
          <w:tcPr>
            <w:tcW w:w="2340" w:type="dxa"/>
            <w:vAlign w:val="bottom"/>
            <w:tcBorders>
              <w:bottom w:val="single" w:sz="8" w:color="0000FF"/>
            </w:tcBorders>
            <w:gridSpan w:val="13"/>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w w:val="98"/>
              </w:rPr>
              <w:t>CORPORATE GOVERNANCE</w:t>
            </w:r>
          </w:p>
        </w:tc>
        <w:tc>
          <w:tcPr>
            <w:tcW w:w="7540" w:type="dxa"/>
            <w:vAlign w:val="bottom"/>
            <w:tcBorders>
              <w:bottom w:val="single" w:sz="8" w:color="CFF0FC"/>
            </w:tcBorders>
            <w:gridSpan w:val="24"/>
            <w:shd w:val="clear" w:color="auto" w:fill="CFF0FC"/>
          </w:tcPr>
          <w:p>
            <w:pPr>
              <w:spacing w:after="0"/>
              <w:rPr>
                <w:sz w:val="17"/>
                <w:szCs w:val="17"/>
                <w:color w:val="auto"/>
              </w:rPr>
            </w:pPr>
          </w:p>
        </w:tc>
        <w:tc>
          <w:tcPr>
            <w:tcW w:w="1340" w:type="dxa"/>
            <w:vAlign w:val="bottom"/>
            <w:tcBorders>
              <w:bottom w:val="single" w:sz="8" w:color="CFF0FC"/>
            </w:tcBorders>
            <w:shd w:val="clear" w:color="auto" w:fill="CFF0FC"/>
          </w:tcPr>
          <w:p>
            <w:pPr>
              <w:jc w:val="right"/>
              <w:spacing w:after="0" w:line="176" w:lineRule="exact"/>
              <w:rPr>
                <w:sz w:val="20"/>
                <w:szCs w:val="20"/>
                <w:color w:val="auto"/>
              </w:rPr>
            </w:pPr>
            <w:r>
              <w:rPr>
                <w:rFonts w:ascii="Times New Roman" w:cs="Times New Roman" w:eastAsia="Times New Roman" w:hAnsi="Times New Roman"/>
                <w:sz w:val="18"/>
                <w:szCs w:val="18"/>
                <w:color w:val="auto"/>
              </w:rPr>
              <w:t>16</w:t>
            </w:r>
          </w:p>
        </w:tc>
      </w:tr>
      <w:tr>
        <w:trPr>
          <w:trHeight w:val="176"/>
        </w:trPr>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40" w:type="dxa"/>
            <w:vAlign w:val="bottom"/>
            <w:gridSpan w:val="36"/>
          </w:tcPr>
          <w:p>
            <w:pPr>
              <w:spacing w:after="0" w:line="176" w:lineRule="exact"/>
              <w:rPr>
                <w:sz w:val="20"/>
                <w:szCs w:val="20"/>
                <w:color w:val="auto"/>
              </w:rPr>
            </w:pPr>
            <w:r>
              <w:rPr>
                <w:rFonts w:ascii="Times New Roman" w:cs="Times New Roman" w:eastAsia="Times New Roman" w:hAnsi="Times New Roman"/>
                <w:sz w:val="18"/>
                <w:szCs w:val="18"/>
                <w:color w:val="0000FF"/>
              </w:rPr>
              <w:t>Code of Business Conduct and Ethics</w:t>
            </w:r>
          </w:p>
        </w:tc>
        <w:tc>
          <w:tcPr>
            <w:tcW w:w="13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16</w:t>
            </w: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6"/>
        </w:trPr>
        <w:tc>
          <w:tcPr>
            <w:tcW w:w="2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CFF0FC"/>
            </w:tcBorders>
            <w:shd w:val="clear" w:color="auto" w:fill="CFF0FC"/>
          </w:tcPr>
          <w:p>
            <w:pPr>
              <w:spacing w:after="0"/>
              <w:rPr>
                <w:sz w:val="17"/>
                <w:szCs w:val="17"/>
                <w:color w:val="auto"/>
              </w:rPr>
            </w:pPr>
          </w:p>
        </w:tc>
        <w:tc>
          <w:tcPr>
            <w:tcW w:w="1420" w:type="dxa"/>
            <w:vAlign w:val="bottom"/>
            <w:tcBorders>
              <w:bottom w:val="single" w:sz="8" w:color="0000FF"/>
            </w:tcBorders>
            <w:gridSpan w:val="8"/>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w w:val="98"/>
              </w:rPr>
              <w:t>Board Composition</w:t>
            </w:r>
          </w:p>
        </w:tc>
        <w:tc>
          <w:tcPr>
            <w:tcW w:w="8020" w:type="dxa"/>
            <w:vAlign w:val="bottom"/>
            <w:tcBorders>
              <w:bottom w:val="single" w:sz="8" w:color="CFF0FC"/>
            </w:tcBorders>
            <w:gridSpan w:val="28"/>
            <w:shd w:val="clear" w:color="auto" w:fill="CFF0FC"/>
          </w:tcPr>
          <w:p>
            <w:pPr>
              <w:spacing w:after="0"/>
              <w:rPr>
                <w:sz w:val="17"/>
                <w:szCs w:val="17"/>
                <w:color w:val="auto"/>
              </w:rPr>
            </w:pPr>
          </w:p>
        </w:tc>
        <w:tc>
          <w:tcPr>
            <w:tcW w:w="1340" w:type="dxa"/>
            <w:vAlign w:val="bottom"/>
            <w:tcBorders>
              <w:bottom w:val="single" w:sz="8" w:color="CFF0FC"/>
            </w:tcBorders>
            <w:shd w:val="clear" w:color="auto" w:fill="CFF0FC"/>
          </w:tcPr>
          <w:p>
            <w:pPr>
              <w:jc w:val="right"/>
              <w:spacing w:after="0" w:line="176" w:lineRule="exact"/>
              <w:rPr>
                <w:sz w:val="20"/>
                <w:szCs w:val="20"/>
                <w:color w:val="auto"/>
              </w:rPr>
            </w:pPr>
            <w:r>
              <w:rPr>
                <w:rFonts w:ascii="Times New Roman" w:cs="Times New Roman" w:eastAsia="Times New Roman" w:hAnsi="Times New Roman"/>
                <w:sz w:val="18"/>
                <w:szCs w:val="18"/>
                <w:color w:val="auto"/>
              </w:rPr>
              <w:t>16</w:t>
            </w:r>
          </w:p>
        </w:tc>
      </w:tr>
      <w:tr>
        <w:trPr>
          <w:trHeight w:val="175"/>
        </w:trPr>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40" w:type="dxa"/>
            <w:vAlign w:val="bottom"/>
            <w:gridSpan w:val="36"/>
          </w:tcPr>
          <w:p>
            <w:pPr>
              <w:spacing w:after="0" w:line="176" w:lineRule="exact"/>
              <w:rPr>
                <w:sz w:val="20"/>
                <w:szCs w:val="20"/>
                <w:color w:val="auto"/>
              </w:rPr>
            </w:pPr>
            <w:r>
              <w:rPr>
                <w:rFonts w:ascii="Times New Roman" w:cs="Times New Roman" w:eastAsia="Times New Roman" w:hAnsi="Times New Roman"/>
                <w:sz w:val="18"/>
                <w:szCs w:val="18"/>
                <w:color w:val="0000FF"/>
              </w:rPr>
              <w:t>Director Independence</w:t>
            </w:r>
          </w:p>
        </w:tc>
        <w:tc>
          <w:tcPr>
            <w:tcW w:w="13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16</w:t>
            </w:r>
          </w:p>
        </w:tc>
      </w:tr>
      <w:tr>
        <w:trPr>
          <w:trHeight w:val="21"/>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6"/>
        </w:trPr>
        <w:tc>
          <w:tcPr>
            <w:tcW w:w="2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CFF0FC"/>
            </w:tcBorders>
            <w:shd w:val="clear" w:color="auto" w:fill="CFF0FC"/>
          </w:tcPr>
          <w:p>
            <w:pPr>
              <w:spacing w:after="0"/>
              <w:rPr>
                <w:sz w:val="17"/>
                <w:szCs w:val="17"/>
                <w:color w:val="auto"/>
              </w:rPr>
            </w:pPr>
          </w:p>
        </w:tc>
        <w:tc>
          <w:tcPr>
            <w:tcW w:w="2000" w:type="dxa"/>
            <w:vAlign w:val="bottom"/>
            <w:tcBorders>
              <w:bottom w:val="single" w:sz="8" w:color="0000FF"/>
            </w:tcBorders>
            <w:gridSpan w:val="14"/>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w w:val="99"/>
              </w:rPr>
              <w:t>Board Leadership Structure</w:t>
            </w:r>
          </w:p>
        </w:tc>
        <w:tc>
          <w:tcPr>
            <w:tcW w:w="7440" w:type="dxa"/>
            <w:vAlign w:val="bottom"/>
            <w:tcBorders>
              <w:bottom w:val="single" w:sz="8" w:color="CFF0FC"/>
            </w:tcBorders>
            <w:gridSpan w:val="22"/>
            <w:shd w:val="clear" w:color="auto" w:fill="CFF0FC"/>
          </w:tcPr>
          <w:p>
            <w:pPr>
              <w:spacing w:after="0"/>
              <w:rPr>
                <w:sz w:val="17"/>
                <w:szCs w:val="17"/>
                <w:color w:val="auto"/>
              </w:rPr>
            </w:pPr>
          </w:p>
        </w:tc>
        <w:tc>
          <w:tcPr>
            <w:tcW w:w="1340" w:type="dxa"/>
            <w:vAlign w:val="bottom"/>
            <w:tcBorders>
              <w:bottom w:val="single" w:sz="8" w:color="CFF0FC"/>
            </w:tcBorders>
            <w:shd w:val="clear" w:color="auto" w:fill="CFF0FC"/>
          </w:tcPr>
          <w:p>
            <w:pPr>
              <w:jc w:val="right"/>
              <w:spacing w:after="0" w:line="176" w:lineRule="exact"/>
              <w:rPr>
                <w:sz w:val="20"/>
                <w:szCs w:val="20"/>
                <w:color w:val="auto"/>
              </w:rPr>
            </w:pPr>
            <w:r>
              <w:rPr>
                <w:rFonts w:ascii="Times New Roman" w:cs="Times New Roman" w:eastAsia="Times New Roman" w:hAnsi="Times New Roman"/>
                <w:sz w:val="18"/>
                <w:szCs w:val="18"/>
                <w:color w:val="auto"/>
              </w:rPr>
              <w:t>17</w:t>
            </w:r>
          </w:p>
        </w:tc>
      </w:tr>
      <w:tr>
        <w:trPr>
          <w:trHeight w:val="175"/>
        </w:trPr>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40" w:type="dxa"/>
            <w:vAlign w:val="bottom"/>
            <w:gridSpan w:val="36"/>
          </w:tcPr>
          <w:p>
            <w:pPr>
              <w:spacing w:after="0" w:line="176" w:lineRule="exact"/>
              <w:rPr>
                <w:sz w:val="20"/>
                <w:szCs w:val="20"/>
                <w:color w:val="auto"/>
              </w:rPr>
            </w:pPr>
            <w:r>
              <w:rPr>
                <w:rFonts w:ascii="Times New Roman" w:cs="Times New Roman" w:eastAsia="Times New Roman" w:hAnsi="Times New Roman"/>
                <w:sz w:val="18"/>
                <w:szCs w:val="18"/>
                <w:color w:val="0000FF"/>
              </w:rPr>
              <w:t>Board Committees</w:t>
            </w:r>
          </w:p>
        </w:tc>
        <w:tc>
          <w:tcPr>
            <w:tcW w:w="13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17</w:t>
            </w:r>
          </w:p>
        </w:tc>
      </w:tr>
      <w:tr>
        <w:trPr>
          <w:trHeight w:val="21"/>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6"/>
        </w:trPr>
        <w:tc>
          <w:tcPr>
            <w:tcW w:w="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9440" w:type="dxa"/>
            <w:vAlign w:val="bottom"/>
            <w:gridSpan w:val="36"/>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rPr>
              <w:t>Compensation Committee Interlocks and Insider Participation</w:t>
            </w:r>
          </w:p>
        </w:tc>
        <w:tc>
          <w:tcPr>
            <w:tcW w:w="1340" w:type="dxa"/>
            <w:vAlign w:val="bottom"/>
            <w:shd w:val="clear" w:color="auto" w:fill="CFF0FC"/>
          </w:tcPr>
          <w:p>
            <w:pPr>
              <w:jc w:val="right"/>
              <w:spacing w:after="0" w:line="176" w:lineRule="exact"/>
              <w:rPr>
                <w:sz w:val="20"/>
                <w:szCs w:val="20"/>
                <w:color w:val="auto"/>
              </w:rPr>
            </w:pPr>
            <w:r>
              <w:rPr>
                <w:rFonts w:ascii="Times New Roman" w:cs="Times New Roman" w:eastAsia="Times New Roman" w:hAnsi="Times New Roman"/>
                <w:sz w:val="18"/>
                <w:szCs w:val="18"/>
                <w:color w:val="auto"/>
              </w:rPr>
              <w:t>19</w:t>
            </w:r>
          </w:p>
        </w:tc>
      </w:tr>
      <w:tr>
        <w:trPr>
          <w:trHeight w:val="176"/>
        </w:trPr>
        <w:tc>
          <w:tcPr>
            <w:tcW w:w="20" w:type="dxa"/>
            <w:vAlign w:val="bottom"/>
            <w:tcBorders>
              <w:top w:val="single" w:sz="8" w:color="CFF0FC"/>
            </w:tcBorders>
          </w:tcPr>
          <w:p>
            <w:pPr>
              <w:spacing w:after="0"/>
              <w:rPr>
                <w:sz w:val="15"/>
                <w:szCs w:val="15"/>
                <w:color w:val="auto"/>
              </w:rPr>
            </w:pPr>
          </w:p>
        </w:tc>
        <w:tc>
          <w:tcPr>
            <w:tcW w:w="440" w:type="dxa"/>
            <w:vAlign w:val="bottom"/>
            <w:tcBorders>
              <w:top w:val="single" w:sz="8" w:color="CFF0FC"/>
            </w:tcBorders>
          </w:tcPr>
          <w:p>
            <w:pPr>
              <w:spacing w:after="0"/>
              <w:rPr>
                <w:sz w:val="15"/>
                <w:szCs w:val="15"/>
                <w:color w:val="auto"/>
              </w:rPr>
            </w:pPr>
          </w:p>
        </w:tc>
        <w:tc>
          <w:tcPr>
            <w:tcW w:w="4460" w:type="dxa"/>
            <w:vAlign w:val="bottom"/>
            <w:tcBorders>
              <w:top w:val="single" w:sz="8" w:color="0000FF"/>
            </w:tcBorders>
            <w:gridSpan w:val="30"/>
          </w:tcPr>
          <w:p>
            <w:pPr>
              <w:spacing w:after="0" w:line="176" w:lineRule="exact"/>
              <w:rPr>
                <w:sz w:val="20"/>
                <w:szCs w:val="20"/>
                <w:color w:val="auto"/>
              </w:rPr>
            </w:pPr>
            <w:r>
              <w:rPr>
                <w:rFonts w:ascii="Times New Roman" w:cs="Times New Roman" w:eastAsia="Times New Roman" w:hAnsi="Times New Roman"/>
                <w:sz w:val="18"/>
                <w:szCs w:val="18"/>
                <w:color w:val="0000FF"/>
              </w:rPr>
              <w:t>Meetings of the Board of Directors</w:t>
            </w:r>
          </w:p>
        </w:tc>
        <w:tc>
          <w:tcPr>
            <w:tcW w:w="4980" w:type="dxa"/>
            <w:vAlign w:val="bottom"/>
            <w:tcBorders>
              <w:top w:val="single" w:sz="8" w:color="CFF0FC"/>
            </w:tcBorders>
            <w:gridSpan w:val="6"/>
          </w:tcPr>
          <w:p>
            <w:pPr>
              <w:spacing w:after="0"/>
              <w:rPr>
                <w:sz w:val="15"/>
                <w:szCs w:val="15"/>
                <w:color w:val="auto"/>
              </w:rPr>
            </w:pPr>
          </w:p>
        </w:tc>
        <w:tc>
          <w:tcPr>
            <w:tcW w:w="1340" w:type="dxa"/>
            <w:vAlign w:val="bottom"/>
            <w:tcBorders>
              <w:top w:val="single" w:sz="8" w:color="CFF0FC"/>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19</w:t>
            </w: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9440" w:type="dxa"/>
            <w:vAlign w:val="bottom"/>
            <w:gridSpan w:val="36"/>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rPr>
              <w:t>Board Oversight of Risk</w:t>
            </w:r>
          </w:p>
        </w:tc>
        <w:tc>
          <w:tcPr>
            <w:tcW w:w="1340" w:type="dxa"/>
            <w:vAlign w:val="bottom"/>
            <w:shd w:val="clear" w:color="auto" w:fill="CFF0FC"/>
          </w:tcPr>
          <w:p>
            <w:pPr>
              <w:jc w:val="right"/>
              <w:spacing w:after="0" w:line="176" w:lineRule="exact"/>
              <w:rPr>
                <w:sz w:val="20"/>
                <w:szCs w:val="20"/>
                <w:color w:val="auto"/>
              </w:rPr>
            </w:pPr>
            <w:r>
              <w:rPr>
                <w:rFonts w:ascii="Times New Roman" w:cs="Times New Roman" w:eastAsia="Times New Roman" w:hAnsi="Times New Roman"/>
                <w:sz w:val="18"/>
                <w:szCs w:val="18"/>
                <w:color w:val="auto"/>
              </w:rPr>
              <w:t>19</w:t>
            </w:r>
          </w:p>
        </w:tc>
      </w:tr>
      <w:tr>
        <w:trPr>
          <w:trHeight w:val="21"/>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0000FF"/>
            </w:tcBorders>
            <w:shd w:val="clear" w:color="auto" w:fill="CFF0FC"/>
          </w:tcPr>
          <w:p>
            <w:pPr>
              <w:spacing w:after="0" w:line="20" w:lineRule="exact"/>
              <w:rPr>
                <w:sz w:val="1"/>
                <w:szCs w:val="1"/>
                <w:color w:val="auto"/>
              </w:rPr>
            </w:pPr>
          </w:p>
        </w:tc>
        <w:tc>
          <w:tcPr>
            <w:tcW w:w="160" w:type="dxa"/>
            <w:vAlign w:val="bottom"/>
            <w:tcBorders>
              <w:top w:val="single" w:sz="8" w:color="0000FF"/>
            </w:tcBorders>
            <w:shd w:val="clear" w:color="auto" w:fill="CFF0FC"/>
          </w:tcPr>
          <w:p>
            <w:pPr>
              <w:spacing w:after="0" w:line="20" w:lineRule="exact"/>
              <w:rPr>
                <w:sz w:val="1"/>
                <w:szCs w:val="1"/>
                <w:color w:val="auto"/>
              </w:rPr>
            </w:pPr>
          </w:p>
        </w:tc>
        <w:tc>
          <w:tcPr>
            <w:tcW w:w="28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22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CFF0FC"/>
            </w:tcBorders>
            <w:shd w:val="clear" w:color="auto" w:fill="CFF0FC"/>
          </w:tcPr>
          <w:p>
            <w:pPr>
              <w:spacing w:after="0" w:line="20" w:lineRule="exact"/>
              <w:rPr>
                <w:sz w:val="1"/>
                <w:szCs w:val="1"/>
                <w:color w:val="auto"/>
              </w:rPr>
            </w:pPr>
          </w:p>
        </w:tc>
        <w:tc>
          <w:tcPr>
            <w:tcW w:w="1920" w:type="dxa"/>
            <w:vAlign w:val="bottom"/>
            <w:tcBorders>
              <w:top w:val="single" w:sz="8" w:color="CFF0FC"/>
            </w:tcBorders>
            <w:shd w:val="clear" w:color="auto" w:fill="CFF0FC"/>
          </w:tcPr>
          <w:p>
            <w:pPr>
              <w:spacing w:after="0" w:line="20" w:lineRule="exact"/>
              <w:rPr>
                <w:sz w:val="1"/>
                <w:szCs w:val="1"/>
                <w:color w:val="auto"/>
              </w:rPr>
            </w:pPr>
          </w:p>
        </w:tc>
        <w:tc>
          <w:tcPr>
            <w:tcW w:w="1240" w:type="dxa"/>
            <w:vAlign w:val="bottom"/>
            <w:tcBorders>
              <w:top w:val="single" w:sz="8" w:color="CFF0FC"/>
            </w:tcBorders>
            <w:shd w:val="clear" w:color="auto" w:fill="CFF0FC"/>
          </w:tcPr>
          <w:p>
            <w:pPr>
              <w:spacing w:after="0" w:line="20" w:lineRule="exact"/>
              <w:rPr>
                <w:sz w:val="1"/>
                <w:szCs w:val="1"/>
                <w:color w:val="auto"/>
              </w:rPr>
            </w:pPr>
          </w:p>
        </w:tc>
        <w:tc>
          <w:tcPr>
            <w:tcW w:w="1340" w:type="dxa"/>
            <w:vAlign w:val="bottom"/>
            <w:tcBorders>
              <w:top w:val="single" w:sz="8" w:color="CFF0FC"/>
            </w:tcBorders>
            <w:shd w:val="clear" w:color="auto" w:fill="CFF0FC"/>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40" w:type="dxa"/>
            <w:vAlign w:val="bottom"/>
            <w:gridSpan w:val="36"/>
          </w:tcPr>
          <w:p>
            <w:pPr>
              <w:spacing w:after="0" w:line="176" w:lineRule="exact"/>
              <w:rPr>
                <w:sz w:val="20"/>
                <w:szCs w:val="20"/>
                <w:color w:val="auto"/>
              </w:rPr>
            </w:pPr>
            <w:r>
              <w:rPr>
                <w:rFonts w:ascii="Times New Roman" w:cs="Times New Roman" w:eastAsia="Times New Roman" w:hAnsi="Times New Roman"/>
                <w:sz w:val="18"/>
                <w:szCs w:val="18"/>
                <w:color w:val="0000FF"/>
              </w:rPr>
              <w:t>Commitment to Corporate Responsibility</w:t>
            </w:r>
          </w:p>
        </w:tc>
        <w:tc>
          <w:tcPr>
            <w:tcW w:w="13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19</w:t>
            </w: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6"/>
        </w:trPr>
        <w:tc>
          <w:tcPr>
            <w:tcW w:w="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9440" w:type="dxa"/>
            <w:vAlign w:val="bottom"/>
            <w:gridSpan w:val="36"/>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rPr>
              <w:t>Director Nomination Process</w:t>
            </w:r>
          </w:p>
        </w:tc>
        <w:tc>
          <w:tcPr>
            <w:tcW w:w="1340" w:type="dxa"/>
            <w:vAlign w:val="bottom"/>
            <w:shd w:val="clear" w:color="auto" w:fill="CFF0FC"/>
          </w:tcPr>
          <w:p>
            <w:pPr>
              <w:jc w:val="right"/>
              <w:spacing w:after="0" w:line="176" w:lineRule="exact"/>
              <w:rPr>
                <w:sz w:val="20"/>
                <w:szCs w:val="20"/>
                <w:color w:val="auto"/>
              </w:rPr>
            </w:pPr>
            <w:r>
              <w:rPr>
                <w:rFonts w:ascii="Times New Roman" w:cs="Times New Roman" w:eastAsia="Times New Roman" w:hAnsi="Times New Roman"/>
                <w:sz w:val="18"/>
                <w:szCs w:val="18"/>
                <w:color w:val="auto"/>
              </w:rPr>
              <w:t>20</w:t>
            </w:r>
          </w:p>
        </w:tc>
      </w:tr>
      <w:tr>
        <w:trPr>
          <w:trHeight w:val="175"/>
        </w:trPr>
        <w:tc>
          <w:tcPr>
            <w:tcW w:w="20" w:type="dxa"/>
            <w:vAlign w:val="bottom"/>
            <w:tcBorders>
              <w:top w:val="single" w:sz="8" w:color="CFF0FC"/>
            </w:tcBorders>
          </w:tcPr>
          <w:p>
            <w:pPr>
              <w:spacing w:after="0"/>
              <w:rPr>
                <w:sz w:val="15"/>
                <w:szCs w:val="15"/>
                <w:color w:val="auto"/>
              </w:rPr>
            </w:pPr>
          </w:p>
        </w:tc>
        <w:tc>
          <w:tcPr>
            <w:tcW w:w="440" w:type="dxa"/>
            <w:vAlign w:val="bottom"/>
            <w:tcBorders>
              <w:top w:val="single" w:sz="8" w:color="CFF0FC"/>
            </w:tcBorders>
          </w:tcPr>
          <w:p>
            <w:pPr>
              <w:spacing w:after="0"/>
              <w:rPr>
                <w:sz w:val="15"/>
                <w:szCs w:val="15"/>
                <w:color w:val="auto"/>
              </w:rPr>
            </w:pPr>
          </w:p>
        </w:tc>
        <w:tc>
          <w:tcPr>
            <w:tcW w:w="2100" w:type="dxa"/>
            <w:vAlign w:val="bottom"/>
            <w:tcBorders>
              <w:top w:val="single" w:sz="8" w:color="0000FF"/>
            </w:tcBorders>
            <w:gridSpan w:val="15"/>
          </w:tcPr>
          <w:p>
            <w:pPr>
              <w:spacing w:after="0" w:line="176" w:lineRule="exact"/>
              <w:rPr>
                <w:sz w:val="20"/>
                <w:szCs w:val="20"/>
                <w:color w:val="auto"/>
              </w:rPr>
            </w:pPr>
            <w:r>
              <w:rPr>
                <w:rFonts w:ascii="Times New Roman" w:cs="Times New Roman" w:eastAsia="Times New Roman" w:hAnsi="Times New Roman"/>
                <w:sz w:val="18"/>
                <w:szCs w:val="18"/>
                <w:color w:val="0000FF"/>
              </w:rPr>
              <w:t>Director Compensation</w:t>
            </w:r>
          </w:p>
        </w:tc>
        <w:tc>
          <w:tcPr>
            <w:tcW w:w="7340" w:type="dxa"/>
            <w:vAlign w:val="bottom"/>
            <w:tcBorders>
              <w:top w:val="single" w:sz="8" w:color="CFF0FC"/>
            </w:tcBorders>
            <w:gridSpan w:val="21"/>
          </w:tcPr>
          <w:p>
            <w:pPr>
              <w:spacing w:after="0"/>
              <w:rPr>
                <w:sz w:val="15"/>
                <w:szCs w:val="15"/>
                <w:color w:val="auto"/>
              </w:rPr>
            </w:pPr>
          </w:p>
        </w:tc>
        <w:tc>
          <w:tcPr>
            <w:tcW w:w="1340" w:type="dxa"/>
            <w:vAlign w:val="bottom"/>
            <w:tcBorders>
              <w:top w:val="single" w:sz="8" w:color="CFF0FC"/>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20</w:t>
            </w: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6"/>
        </w:trPr>
        <w:tc>
          <w:tcPr>
            <w:tcW w:w="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9440" w:type="dxa"/>
            <w:vAlign w:val="bottom"/>
            <w:gridSpan w:val="36"/>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rPr>
              <w:t>Limitation of Liability and Indemnification Arrangements</w:t>
            </w:r>
          </w:p>
        </w:tc>
        <w:tc>
          <w:tcPr>
            <w:tcW w:w="1340" w:type="dxa"/>
            <w:vAlign w:val="bottom"/>
            <w:shd w:val="clear" w:color="auto" w:fill="CFF0FC"/>
          </w:tcPr>
          <w:p>
            <w:pPr>
              <w:jc w:val="right"/>
              <w:spacing w:after="0" w:line="176" w:lineRule="exact"/>
              <w:rPr>
                <w:sz w:val="20"/>
                <w:szCs w:val="20"/>
                <w:color w:val="auto"/>
              </w:rPr>
            </w:pPr>
            <w:r>
              <w:rPr>
                <w:rFonts w:ascii="Times New Roman" w:cs="Times New Roman" w:eastAsia="Times New Roman" w:hAnsi="Times New Roman"/>
                <w:sz w:val="18"/>
                <w:szCs w:val="18"/>
                <w:color w:val="auto"/>
              </w:rPr>
              <w:t>21</w:t>
            </w:r>
          </w:p>
        </w:tc>
      </w:tr>
      <w:tr>
        <w:trPr>
          <w:trHeight w:val="175"/>
        </w:trPr>
        <w:tc>
          <w:tcPr>
            <w:tcW w:w="20" w:type="dxa"/>
            <w:vAlign w:val="bottom"/>
            <w:tcBorders>
              <w:top w:val="single" w:sz="8" w:color="CFF0FC"/>
            </w:tcBorders>
          </w:tcPr>
          <w:p>
            <w:pPr>
              <w:spacing w:after="0"/>
              <w:rPr>
                <w:sz w:val="15"/>
                <w:szCs w:val="15"/>
                <w:color w:val="auto"/>
              </w:rPr>
            </w:pPr>
          </w:p>
        </w:tc>
        <w:tc>
          <w:tcPr>
            <w:tcW w:w="440" w:type="dxa"/>
            <w:vAlign w:val="bottom"/>
            <w:tcBorders>
              <w:top w:val="single" w:sz="8" w:color="CFF0FC"/>
            </w:tcBorders>
          </w:tcPr>
          <w:p>
            <w:pPr>
              <w:spacing w:after="0"/>
              <w:rPr>
                <w:sz w:val="15"/>
                <w:szCs w:val="15"/>
                <w:color w:val="auto"/>
              </w:rPr>
            </w:pPr>
          </w:p>
        </w:tc>
        <w:tc>
          <w:tcPr>
            <w:tcW w:w="4180" w:type="dxa"/>
            <w:vAlign w:val="bottom"/>
            <w:tcBorders>
              <w:top w:val="single" w:sz="8" w:color="0000FF"/>
            </w:tcBorders>
            <w:gridSpan w:val="29"/>
          </w:tcPr>
          <w:p>
            <w:pPr>
              <w:spacing w:after="0" w:line="176" w:lineRule="exact"/>
              <w:rPr>
                <w:sz w:val="20"/>
                <w:szCs w:val="20"/>
                <w:color w:val="auto"/>
              </w:rPr>
            </w:pPr>
            <w:r>
              <w:rPr>
                <w:rFonts w:ascii="Times New Roman" w:cs="Times New Roman" w:eastAsia="Times New Roman" w:hAnsi="Times New Roman"/>
                <w:sz w:val="18"/>
                <w:szCs w:val="18"/>
                <w:color w:val="0000FF"/>
                <w:w w:val="99"/>
              </w:rPr>
              <w:t>Stockholder Communications with the Board of Directors</w:t>
            </w:r>
          </w:p>
        </w:tc>
        <w:tc>
          <w:tcPr>
            <w:tcW w:w="5260" w:type="dxa"/>
            <w:vAlign w:val="bottom"/>
            <w:tcBorders>
              <w:top w:val="single" w:sz="8" w:color="CFF0FC"/>
            </w:tcBorders>
            <w:gridSpan w:val="7"/>
          </w:tcPr>
          <w:p>
            <w:pPr>
              <w:spacing w:after="0"/>
              <w:rPr>
                <w:sz w:val="15"/>
                <w:szCs w:val="15"/>
                <w:color w:val="auto"/>
              </w:rPr>
            </w:pPr>
          </w:p>
        </w:tc>
        <w:tc>
          <w:tcPr>
            <w:tcW w:w="1340" w:type="dxa"/>
            <w:vAlign w:val="bottom"/>
            <w:tcBorders>
              <w:top w:val="single" w:sz="8" w:color="CFF0FC"/>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22</w:t>
            </w:r>
          </w:p>
        </w:tc>
      </w:tr>
      <w:tr>
        <w:trPr>
          <w:trHeight w:val="21"/>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9880" w:type="dxa"/>
            <w:vAlign w:val="bottom"/>
            <w:gridSpan w:val="37"/>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rPr>
              <w:t>EXECUTIVE OFFICERS &amp; KEY PERSONNEL</w:t>
            </w:r>
          </w:p>
        </w:tc>
        <w:tc>
          <w:tcPr>
            <w:tcW w:w="1340" w:type="dxa"/>
            <w:vAlign w:val="bottom"/>
            <w:shd w:val="clear" w:color="auto" w:fill="CFF0FC"/>
          </w:tcPr>
          <w:p>
            <w:pPr>
              <w:jc w:val="right"/>
              <w:spacing w:after="0" w:line="176" w:lineRule="exact"/>
              <w:rPr>
                <w:sz w:val="20"/>
                <w:szCs w:val="20"/>
                <w:color w:val="auto"/>
              </w:rPr>
            </w:pPr>
            <w:r>
              <w:rPr>
                <w:rFonts w:ascii="Times New Roman" w:cs="Times New Roman" w:eastAsia="Times New Roman" w:hAnsi="Times New Roman"/>
                <w:sz w:val="18"/>
                <w:szCs w:val="18"/>
                <w:color w:val="auto"/>
              </w:rPr>
              <w:t>23</w:t>
            </w:r>
          </w:p>
        </w:tc>
      </w:tr>
      <w:tr>
        <w:trPr>
          <w:trHeight w:val="20"/>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0000FF"/>
            </w:tcBorders>
            <w:shd w:val="clear" w:color="auto" w:fill="CFF0FC"/>
          </w:tcPr>
          <w:p>
            <w:pPr>
              <w:spacing w:after="0" w:line="20" w:lineRule="exact"/>
              <w:rPr>
                <w:sz w:val="1"/>
                <w:szCs w:val="1"/>
                <w:color w:val="auto"/>
              </w:rPr>
            </w:pPr>
          </w:p>
        </w:tc>
        <w:tc>
          <w:tcPr>
            <w:tcW w:w="580" w:type="dxa"/>
            <w:vAlign w:val="bottom"/>
            <w:tcBorders>
              <w:top w:val="single" w:sz="8" w:color="0000FF"/>
            </w:tcBorders>
            <w:shd w:val="clear" w:color="auto" w:fill="CFF0FC"/>
          </w:tcPr>
          <w:p>
            <w:pPr>
              <w:spacing w:after="0" w:line="20" w:lineRule="exact"/>
              <w:rPr>
                <w:sz w:val="1"/>
                <w:szCs w:val="1"/>
                <w:color w:val="auto"/>
              </w:rPr>
            </w:pPr>
          </w:p>
        </w:tc>
        <w:tc>
          <w:tcPr>
            <w:tcW w:w="160" w:type="dxa"/>
            <w:vAlign w:val="bottom"/>
            <w:tcBorders>
              <w:top w:val="single" w:sz="8" w:color="0000FF"/>
            </w:tcBorders>
            <w:shd w:val="clear" w:color="auto" w:fill="CFF0FC"/>
          </w:tcPr>
          <w:p>
            <w:pPr>
              <w:spacing w:after="0" w:line="20" w:lineRule="exact"/>
              <w:rPr>
                <w:sz w:val="1"/>
                <w:szCs w:val="1"/>
                <w:color w:val="auto"/>
              </w:rPr>
            </w:pPr>
          </w:p>
        </w:tc>
        <w:tc>
          <w:tcPr>
            <w:tcW w:w="28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22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14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32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200" w:type="dxa"/>
            <w:vAlign w:val="bottom"/>
            <w:tcBorders>
              <w:top w:val="single" w:sz="8" w:color="0000FF"/>
            </w:tcBorders>
            <w:shd w:val="clear" w:color="auto" w:fill="CFF0FC"/>
          </w:tcPr>
          <w:p>
            <w:pPr>
              <w:spacing w:after="0" w:line="20" w:lineRule="exact"/>
              <w:rPr>
                <w:sz w:val="1"/>
                <w:szCs w:val="1"/>
                <w:color w:val="auto"/>
              </w:rPr>
            </w:pPr>
          </w:p>
        </w:tc>
        <w:tc>
          <w:tcPr>
            <w:tcW w:w="16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160" w:type="dxa"/>
            <w:vAlign w:val="bottom"/>
            <w:tcBorders>
              <w:top w:val="single" w:sz="8" w:color="0000FF"/>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CFF0FC"/>
            </w:tcBorders>
            <w:shd w:val="clear" w:color="auto" w:fill="CFF0FC"/>
          </w:tcPr>
          <w:p>
            <w:pPr>
              <w:spacing w:after="0" w:line="20" w:lineRule="exact"/>
              <w:rPr>
                <w:sz w:val="1"/>
                <w:szCs w:val="1"/>
                <w:color w:val="auto"/>
              </w:rPr>
            </w:pPr>
          </w:p>
        </w:tc>
        <w:tc>
          <w:tcPr>
            <w:tcW w:w="1920" w:type="dxa"/>
            <w:vAlign w:val="bottom"/>
            <w:tcBorders>
              <w:top w:val="single" w:sz="8" w:color="CFF0FC"/>
            </w:tcBorders>
            <w:shd w:val="clear" w:color="auto" w:fill="CFF0FC"/>
          </w:tcPr>
          <w:p>
            <w:pPr>
              <w:spacing w:after="0" w:line="20" w:lineRule="exact"/>
              <w:rPr>
                <w:sz w:val="1"/>
                <w:szCs w:val="1"/>
                <w:color w:val="auto"/>
              </w:rPr>
            </w:pPr>
          </w:p>
        </w:tc>
        <w:tc>
          <w:tcPr>
            <w:tcW w:w="1240" w:type="dxa"/>
            <w:vAlign w:val="bottom"/>
            <w:tcBorders>
              <w:top w:val="single" w:sz="8" w:color="CFF0FC"/>
            </w:tcBorders>
            <w:shd w:val="clear" w:color="auto" w:fill="CFF0FC"/>
          </w:tcPr>
          <w:p>
            <w:pPr>
              <w:spacing w:after="0" w:line="20" w:lineRule="exact"/>
              <w:rPr>
                <w:sz w:val="1"/>
                <w:szCs w:val="1"/>
                <w:color w:val="auto"/>
              </w:rPr>
            </w:pPr>
          </w:p>
        </w:tc>
        <w:tc>
          <w:tcPr>
            <w:tcW w:w="1340" w:type="dxa"/>
            <w:vAlign w:val="bottom"/>
            <w:tcBorders>
              <w:top w:val="single" w:sz="8" w:color="CFF0FC"/>
            </w:tcBorders>
            <w:shd w:val="clear" w:color="auto" w:fill="CFF0FC"/>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9880" w:type="dxa"/>
            <w:vAlign w:val="bottom"/>
            <w:gridSpan w:val="37"/>
          </w:tcPr>
          <w:p>
            <w:pPr>
              <w:spacing w:after="0" w:line="176" w:lineRule="exact"/>
              <w:rPr>
                <w:sz w:val="20"/>
                <w:szCs w:val="20"/>
                <w:color w:val="auto"/>
              </w:rPr>
            </w:pPr>
            <w:r>
              <w:rPr>
                <w:rFonts w:ascii="Times New Roman" w:cs="Times New Roman" w:eastAsia="Times New Roman" w:hAnsi="Times New Roman"/>
                <w:sz w:val="18"/>
                <w:szCs w:val="18"/>
                <w:color w:val="0000FF"/>
              </w:rPr>
              <w:t>COMPENSATION DISCUSSION AND ANALYSIS</w:t>
            </w:r>
          </w:p>
        </w:tc>
        <w:tc>
          <w:tcPr>
            <w:tcW w:w="13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24</w:t>
            </w:r>
          </w:p>
        </w:tc>
      </w:tr>
      <w:tr>
        <w:trPr>
          <w:trHeight w:val="20"/>
        </w:trPr>
        <w:tc>
          <w:tcPr>
            <w:tcW w:w="20" w:type="dxa"/>
            <w:vAlign w:val="bottom"/>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76"/>
        </w:trPr>
        <w:tc>
          <w:tcPr>
            <w:tcW w:w="2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9440" w:type="dxa"/>
            <w:vAlign w:val="bottom"/>
            <w:gridSpan w:val="36"/>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rPr>
              <w:t>Compensation Committee Report</w:t>
            </w:r>
          </w:p>
        </w:tc>
        <w:tc>
          <w:tcPr>
            <w:tcW w:w="1340" w:type="dxa"/>
            <w:vAlign w:val="bottom"/>
            <w:shd w:val="clear" w:color="auto" w:fill="CFF0FC"/>
          </w:tcPr>
          <w:p>
            <w:pPr>
              <w:jc w:val="right"/>
              <w:spacing w:after="0" w:line="176" w:lineRule="exact"/>
              <w:rPr>
                <w:sz w:val="20"/>
                <w:szCs w:val="20"/>
                <w:color w:val="auto"/>
              </w:rPr>
            </w:pPr>
            <w:r>
              <w:rPr>
                <w:rFonts w:ascii="Times New Roman" w:cs="Times New Roman" w:eastAsia="Times New Roman" w:hAnsi="Times New Roman"/>
                <w:sz w:val="18"/>
                <w:szCs w:val="18"/>
                <w:color w:val="auto"/>
              </w:rPr>
              <w:t>32</w:t>
            </w:r>
          </w:p>
        </w:tc>
      </w:tr>
      <w:tr>
        <w:trPr>
          <w:trHeight w:val="20"/>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0000FF"/>
            </w:tcBorders>
            <w:shd w:val="clear" w:color="auto" w:fill="CFF0FC"/>
          </w:tcPr>
          <w:p>
            <w:pPr>
              <w:spacing w:after="0" w:line="20" w:lineRule="exact"/>
              <w:rPr>
                <w:sz w:val="1"/>
                <w:szCs w:val="1"/>
                <w:color w:val="auto"/>
              </w:rPr>
            </w:pPr>
          </w:p>
        </w:tc>
        <w:tc>
          <w:tcPr>
            <w:tcW w:w="160" w:type="dxa"/>
            <w:vAlign w:val="bottom"/>
            <w:tcBorders>
              <w:top w:val="single" w:sz="8" w:color="0000FF"/>
            </w:tcBorders>
            <w:shd w:val="clear" w:color="auto" w:fill="CFF0FC"/>
          </w:tcPr>
          <w:p>
            <w:pPr>
              <w:spacing w:after="0" w:line="20" w:lineRule="exact"/>
              <w:rPr>
                <w:sz w:val="1"/>
                <w:szCs w:val="1"/>
                <w:color w:val="auto"/>
              </w:rPr>
            </w:pPr>
          </w:p>
        </w:tc>
        <w:tc>
          <w:tcPr>
            <w:tcW w:w="28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22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14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32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CFF0FC"/>
            </w:tcBorders>
            <w:shd w:val="clear" w:color="auto" w:fill="CFF0FC"/>
          </w:tcPr>
          <w:p>
            <w:pPr>
              <w:spacing w:after="0" w:line="20" w:lineRule="exact"/>
              <w:rPr>
                <w:sz w:val="1"/>
                <w:szCs w:val="1"/>
                <w:color w:val="auto"/>
              </w:rPr>
            </w:pPr>
          </w:p>
        </w:tc>
        <w:tc>
          <w:tcPr>
            <w:tcW w:w="1920" w:type="dxa"/>
            <w:vAlign w:val="bottom"/>
            <w:tcBorders>
              <w:top w:val="single" w:sz="8" w:color="CFF0FC"/>
            </w:tcBorders>
            <w:shd w:val="clear" w:color="auto" w:fill="CFF0FC"/>
          </w:tcPr>
          <w:p>
            <w:pPr>
              <w:spacing w:after="0" w:line="20" w:lineRule="exact"/>
              <w:rPr>
                <w:sz w:val="1"/>
                <w:szCs w:val="1"/>
                <w:color w:val="auto"/>
              </w:rPr>
            </w:pPr>
          </w:p>
        </w:tc>
        <w:tc>
          <w:tcPr>
            <w:tcW w:w="1240" w:type="dxa"/>
            <w:vAlign w:val="bottom"/>
            <w:tcBorders>
              <w:top w:val="single" w:sz="8" w:color="CFF0FC"/>
            </w:tcBorders>
            <w:shd w:val="clear" w:color="auto" w:fill="CFF0FC"/>
          </w:tcPr>
          <w:p>
            <w:pPr>
              <w:spacing w:after="0" w:line="20" w:lineRule="exact"/>
              <w:rPr>
                <w:sz w:val="1"/>
                <w:szCs w:val="1"/>
                <w:color w:val="auto"/>
              </w:rPr>
            </w:pPr>
          </w:p>
        </w:tc>
        <w:tc>
          <w:tcPr>
            <w:tcW w:w="1340" w:type="dxa"/>
            <w:vAlign w:val="bottom"/>
            <w:tcBorders>
              <w:top w:val="single" w:sz="8" w:color="CFF0FC"/>
            </w:tcBorders>
            <w:shd w:val="clear" w:color="auto" w:fill="CFF0FC"/>
          </w:tcPr>
          <w:p>
            <w:pPr>
              <w:spacing w:after="0" w:line="20" w:lineRule="exact"/>
              <w:rPr>
                <w:sz w:val="1"/>
                <w:szCs w:val="1"/>
                <w:color w:val="auto"/>
              </w:rPr>
            </w:pPr>
          </w:p>
        </w:tc>
      </w:tr>
      <w:tr>
        <w:trPr>
          <w:trHeight w:val="175"/>
        </w:trPr>
        <w:tc>
          <w:tcPr>
            <w:tcW w:w="9900" w:type="dxa"/>
            <w:vAlign w:val="bottom"/>
            <w:gridSpan w:val="38"/>
          </w:tcPr>
          <w:p>
            <w:pPr>
              <w:ind w:left="20"/>
              <w:spacing w:after="0" w:line="176" w:lineRule="exact"/>
              <w:rPr>
                <w:sz w:val="20"/>
                <w:szCs w:val="20"/>
                <w:color w:val="auto"/>
              </w:rPr>
            </w:pPr>
            <w:r>
              <w:rPr>
                <w:rFonts w:ascii="Times New Roman" w:cs="Times New Roman" w:eastAsia="Times New Roman" w:hAnsi="Times New Roman"/>
                <w:sz w:val="18"/>
                <w:szCs w:val="18"/>
                <w:color w:val="0000FF"/>
              </w:rPr>
              <w:t>SECURITY OWNERSHIP OF CERTAIN BENEFICIAL OWNERS AND MANAGEMENT</w:t>
            </w:r>
          </w:p>
        </w:tc>
        <w:tc>
          <w:tcPr>
            <w:tcW w:w="13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36</w:t>
            </w:r>
          </w:p>
        </w:tc>
      </w:tr>
      <w:tr>
        <w:trPr>
          <w:trHeight w:val="20"/>
        </w:trPr>
        <w:tc>
          <w:tcPr>
            <w:tcW w:w="20" w:type="dxa"/>
            <w:vAlign w:val="bottom"/>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80" w:type="dxa"/>
            <w:vAlign w:val="bottom"/>
            <w:tcBorders>
              <w:top w:val="single" w:sz="8" w:color="0000FF"/>
            </w:tcBorders>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9880" w:type="dxa"/>
            <w:vAlign w:val="bottom"/>
            <w:gridSpan w:val="37"/>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rPr>
              <w:t>EQUITY COMPENSATION PLAN INFORMATION</w:t>
            </w:r>
          </w:p>
        </w:tc>
        <w:tc>
          <w:tcPr>
            <w:tcW w:w="1340" w:type="dxa"/>
            <w:vAlign w:val="bottom"/>
            <w:shd w:val="clear" w:color="auto" w:fill="CFF0FC"/>
          </w:tcPr>
          <w:p>
            <w:pPr>
              <w:jc w:val="right"/>
              <w:spacing w:after="0" w:line="176" w:lineRule="exact"/>
              <w:rPr>
                <w:sz w:val="20"/>
                <w:szCs w:val="20"/>
                <w:color w:val="auto"/>
              </w:rPr>
            </w:pPr>
            <w:r>
              <w:rPr>
                <w:rFonts w:ascii="Times New Roman" w:cs="Times New Roman" w:eastAsia="Times New Roman" w:hAnsi="Times New Roman"/>
                <w:sz w:val="18"/>
                <w:szCs w:val="18"/>
                <w:color w:val="auto"/>
              </w:rPr>
              <w:t>38</w:t>
            </w:r>
          </w:p>
        </w:tc>
      </w:tr>
      <w:tr>
        <w:trPr>
          <w:trHeight w:val="21"/>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0000FF"/>
            </w:tcBorders>
            <w:shd w:val="clear" w:color="auto" w:fill="CFF0FC"/>
          </w:tcPr>
          <w:p>
            <w:pPr>
              <w:spacing w:after="0" w:line="20" w:lineRule="exact"/>
              <w:rPr>
                <w:sz w:val="1"/>
                <w:szCs w:val="1"/>
                <w:color w:val="auto"/>
              </w:rPr>
            </w:pPr>
          </w:p>
        </w:tc>
        <w:tc>
          <w:tcPr>
            <w:tcW w:w="580" w:type="dxa"/>
            <w:vAlign w:val="bottom"/>
            <w:tcBorders>
              <w:top w:val="single" w:sz="8" w:color="0000FF"/>
            </w:tcBorders>
            <w:shd w:val="clear" w:color="auto" w:fill="CFF0FC"/>
          </w:tcPr>
          <w:p>
            <w:pPr>
              <w:spacing w:after="0" w:line="20" w:lineRule="exact"/>
              <w:rPr>
                <w:sz w:val="1"/>
                <w:szCs w:val="1"/>
                <w:color w:val="auto"/>
              </w:rPr>
            </w:pPr>
          </w:p>
        </w:tc>
        <w:tc>
          <w:tcPr>
            <w:tcW w:w="160" w:type="dxa"/>
            <w:vAlign w:val="bottom"/>
            <w:tcBorders>
              <w:top w:val="single" w:sz="8" w:color="0000FF"/>
            </w:tcBorders>
            <w:shd w:val="clear" w:color="auto" w:fill="CFF0FC"/>
          </w:tcPr>
          <w:p>
            <w:pPr>
              <w:spacing w:after="0" w:line="20" w:lineRule="exact"/>
              <w:rPr>
                <w:sz w:val="1"/>
                <w:szCs w:val="1"/>
                <w:color w:val="auto"/>
              </w:rPr>
            </w:pPr>
          </w:p>
        </w:tc>
        <w:tc>
          <w:tcPr>
            <w:tcW w:w="28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22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14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32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200" w:type="dxa"/>
            <w:vAlign w:val="bottom"/>
            <w:tcBorders>
              <w:top w:val="single" w:sz="8" w:color="0000FF"/>
            </w:tcBorders>
            <w:shd w:val="clear" w:color="auto" w:fill="CFF0FC"/>
          </w:tcPr>
          <w:p>
            <w:pPr>
              <w:spacing w:after="0" w:line="20" w:lineRule="exact"/>
              <w:rPr>
                <w:sz w:val="1"/>
                <w:szCs w:val="1"/>
                <w:color w:val="auto"/>
              </w:rPr>
            </w:pPr>
          </w:p>
        </w:tc>
        <w:tc>
          <w:tcPr>
            <w:tcW w:w="16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160" w:type="dxa"/>
            <w:vAlign w:val="bottom"/>
            <w:tcBorders>
              <w:top w:val="single" w:sz="8" w:color="0000FF"/>
            </w:tcBorders>
            <w:shd w:val="clear" w:color="auto" w:fill="CFF0FC"/>
          </w:tcPr>
          <w:p>
            <w:pPr>
              <w:spacing w:after="0" w:line="20" w:lineRule="exact"/>
              <w:rPr>
                <w:sz w:val="1"/>
                <w:szCs w:val="1"/>
                <w:color w:val="auto"/>
              </w:rPr>
            </w:pPr>
          </w:p>
        </w:tc>
        <w:tc>
          <w:tcPr>
            <w:tcW w:w="14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CFF0FC"/>
            </w:tcBorders>
            <w:shd w:val="clear" w:color="auto" w:fill="CFF0FC"/>
          </w:tcPr>
          <w:p>
            <w:pPr>
              <w:spacing w:after="0" w:line="20" w:lineRule="exact"/>
              <w:rPr>
                <w:sz w:val="1"/>
                <w:szCs w:val="1"/>
                <w:color w:val="auto"/>
              </w:rPr>
            </w:pPr>
          </w:p>
        </w:tc>
        <w:tc>
          <w:tcPr>
            <w:tcW w:w="1920" w:type="dxa"/>
            <w:vAlign w:val="bottom"/>
            <w:tcBorders>
              <w:top w:val="single" w:sz="8" w:color="CFF0FC"/>
            </w:tcBorders>
            <w:shd w:val="clear" w:color="auto" w:fill="CFF0FC"/>
          </w:tcPr>
          <w:p>
            <w:pPr>
              <w:spacing w:after="0" w:line="20" w:lineRule="exact"/>
              <w:rPr>
                <w:sz w:val="1"/>
                <w:szCs w:val="1"/>
                <w:color w:val="auto"/>
              </w:rPr>
            </w:pPr>
          </w:p>
        </w:tc>
        <w:tc>
          <w:tcPr>
            <w:tcW w:w="1240" w:type="dxa"/>
            <w:vAlign w:val="bottom"/>
            <w:tcBorders>
              <w:top w:val="single" w:sz="8" w:color="CFF0FC"/>
            </w:tcBorders>
            <w:shd w:val="clear" w:color="auto" w:fill="CFF0FC"/>
          </w:tcPr>
          <w:p>
            <w:pPr>
              <w:spacing w:after="0" w:line="20" w:lineRule="exact"/>
              <w:rPr>
                <w:sz w:val="1"/>
                <w:szCs w:val="1"/>
                <w:color w:val="auto"/>
              </w:rPr>
            </w:pPr>
          </w:p>
        </w:tc>
        <w:tc>
          <w:tcPr>
            <w:tcW w:w="1340" w:type="dxa"/>
            <w:vAlign w:val="bottom"/>
            <w:tcBorders>
              <w:top w:val="single" w:sz="8" w:color="CFF0FC"/>
            </w:tcBorders>
            <w:shd w:val="clear" w:color="auto" w:fill="CFF0FC"/>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9880" w:type="dxa"/>
            <w:vAlign w:val="bottom"/>
            <w:gridSpan w:val="37"/>
          </w:tcPr>
          <w:p>
            <w:pPr>
              <w:spacing w:after="0" w:line="176" w:lineRule="exact"/>
              <w:rPr>
                <w:sz w:val="20"/>
                <w:szCs w:val="20"/>
                <w:color w:val="auto"/>
              </w:rPr>
            </w:pPr>
            <w:r>
              <w:rPr>
                <w:rFonts w:ascii="Times New Roman" w:cs="Times New Roman" w:eastAsia="Times New Roman" w:hAnsi="Times New Roman"/>
                <w:sz w:val="18"/>
                <w:szCs w:val="18"/>
                <w:color w:val="0000FF"/>
              </w:rPr>
              <w:t>CERTAIN RELATIONSHIPS AND RELATED PARTY TRANSACTIONS</w:t>
            </w:r>
          </w:p>
        </w:tc>
        <w:tc>
          <w:tcPr>
            <w:tcW w:w="13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39</w:t>
            </w:r>
          </w:p>
        </w:tc>
      </w:tr>
      <w:tr>
        <w:trPr>
          <w:trHeight w:val="20"/>
        </w:trPr>
        <w:tc>
          <w:tcPr>
            <w:tcW w:w="20" w:type="dxa"/>
            <w:vAlign w:val="bottom"/>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6"/>
        </w:trPr>
        <w:tc>
          <w:tcPr>
            <w:tcW w:w="20" w:type="dxa"/>
            <w:vAlign w:val="bottom"/>
            <w:tcBorders>
              <w:bottom w:val="single" w:sz="8" w:color="CFF0FC"/>
            </w:tcBorders>
            <w:shd w:val="clear" w:color="auto" w:fill="CFF0FC"/>
          </w:tcPr>
          <w:p>
            <w:pPr>
              <w:spacing w:after="0"/>
              <w:rPr>
                <w:sz w:val="17"/>
                <w:szCs w:val="17"/>
                <w:color w:val="auto"/>
              </w:rPr>
            </w:pPr>
          </w:p>
        </w:tc>
        <w:tc>
          <w:tcPr>
            <w:tcW w:w="5640" w:type="dxa"/>
            <w:vAlign w:val="bottom"/>
            <w:tcBorders>
              <w:bottom w:val="single" w:sz="8" w:color="0000FF"/>
            </w:tcBorders>
            <w:gridSpan w:val="34"/>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w w:val="99"/>
              </w:rPr>
              <w:t>SECTION 16(a) BENEFICIAL OWNERSHIP REPORTING COMPLIANCE</w:t>
            </w:r>
          </w:p>
        </w:tc>
        <w:tc>
          <w:tcPr>
            <w:tcW w:w="4240" w:type="dxa"/>
            <w:vAlign w:val="bottom"/>
            <w:tcBorders>
              <w:bottom w:val="single" w:sz="8" w:color="CFF0FC"/>
            </w:tcBorders>
            <w:gridSpan w:val="3"/>
            <w:shd w:val="clear" w:color="auto" w:fill="CFF0FC"/>
          </w:tcPr>
          <w:p>
            <w:pPr>
              <w:spacing w:after="0"/>
              <w:rPr>
                <w:sz w:val="17"/>
                <w:szCs w:val="17"/>
                <w:color w:val="auto"/>
              </w:rPr>
            </w:pPr>
          </w:p>
        </w:tc>
        <w:tc>
          <w:tcPr>
            <w:tcW w:w="1340" w:type="dxa"/>
            <w:vAlign w:val="bottom"/>
            <w:tcBorders>
              <w:bottom w:val="single" w:sz="8" w:color="CFF0FC"/>
            </w:tcBorders>
            <w:shd w:val="clear" w:color="auto" w:fill="CFF0FC"/>
          </w:tcPr>
          <w:p>
            <w:pPr>
              <w:jc w:val="right"/>
              <w:spacing w:after="0" w:line="176" w:lineRule="exact"/>
              <w:rPr>
                <w:sz w:val="20"/>
                <w:szCs w:val="20"/>
                <w:color w:val="auto"/>
              </w:rPr>
            </w:pPr>
            <w:r>
              <w:rPr>
                <w:rFonts w:ascii="Times New Roman" w:cs="Times New Roman" w:eastAsia="Times New Roman" w:hAnsi="Times New Roman"/>
                <w:sz w:val="18"/>
                <w:szCs w:val="18"/>
                <w:color w:val="auto"/>
              </w:rPr>
              <w:t>40</w:t>
            </w:r>
          </w:p>
        </w:tc>
      </w:tr>
      <w:tr>
        <w:trPr>
          <w:trHeight w:val="175"/>
        </w:trPr>
        <w:tc>
          <w:tcPr>
            <w:tcW w:w="9900" w:type="dxa"/>
            <w:vAlign w:val="bottom"/>
            <w:gridSpan w:val="38"/>
          </w:tcPr>
          <w:p>
            <w:pPr>
              <w:ind w:left="20"/>
              <w:spacing w:after="0" w:line="176" w:lineRule="exact"/>
              <w:rPr>
                <w:sz w:val="20"/>
                <w:szCs w:val="20"/>
                <w:color w:val="auto"/>
              </w:rPr>
            </w:pPr>
            <w:r>
              <w:rPr>
                <w:rFonts w:ascii="Times New Roman" w:cs="Times New Roman" w:eastAsia="Times New Roman" w:hAnsi="Times New Roman"/>
                <w:sz w:val="18"/>
                <w:szCs w:val="18"/>
                <w:color w:val="0000FF"/>
              </w:rPr>
              <w:t>AUDIT COMMITTEE REPORT</w:t>
            </w:r>
          </w:p>
        </w:tc>
        <w:tc>
          <w:tcPr>
            <w:tcW w:w="13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41</w:t>
            </w:r>
          </w:p>
        </w:tc>
      </w:tr>
      <w:tr>
        <w:trPr>
          <w:trHeight w:val="21"/>
        </w:trPr>
        <w:tc>
          <w:tcPr>
            <w:tcW w:w="20" w:type="dxa"/>
            <w:vAlign w:val="bottom"/>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6"/>
        </w:trPr>
        <w:tc>
          <w:tcPr>
            <w:tcW w:w="9900" w:type="dxa"/>
            <w:vAlign w:val="bottom"/>
            <w:gridSpan w:val="38"/>
            <w:shd w:val="clear" w:color="auto" w:fill="CFF0FC"/>
          </w:tcPr>
          <w:p>
            <w:pPr>
              <w:ind w:left="20"/>
              <w:spacing w:after="0" w:line="176" w:lineRule="exact"/>
              <w:rPr>
                <w:sz w:val="20"/>
                <w:szCs w:val="20"/>
                <w:color w:val="auto"/>
              </w:rPr>
            </w:pPr>
            <w:r>
              <w:rPr>
                <w:rFonts w:ascii="Times New Roman" w:cs="Times New Roman" w:eastAsia="Times New Roman" w:hAnsi="Times New Roman"/>
                <w:sz w:val="18"/>
                <w:szCs w:val="18"/>
                <w:color w:val="0000FF"/>
              </w:rPr>
              <w:t>OTHER MATTERS</w:t>
            </w:r>
          </w:p>
        </w:tc>
        <w:tc>
          <w:tcPr>
            <w:tcW w:w="1340" w:type="dxa"/>
            <w:vAlign w:val="bottom"/>
            <w:shd w:val="clear" w:color="auto" w:fill="CFF0FC"/>
          </w:tcPr>
          <w:p>
            <w:pPr>
              <w:jc w:val="right"/>
              <w:spacing w:after="0" w:line="176" w:lineRule="exact"/>
              <w:rPr>
                <w:sz w:val="20"/>
                <w:szCs w:val="20"/>
                <w:color w:val="auto"/>
              </w:rPr>
            </w:pPr>
            <w:r>
              <w:rPr>
                <w:rFonts w:ascii="Times New Roman" w:cs="Times New Roman" w:eastAsia="Times New Roman" w:hAnsi="Times New Roman"/>
                <w:sz w:val="18"/>
                <w:szCs w:val="18"/>
                <w:color w:val="auto"/>
              </w:rPr>
              <w:t>42</w:t>
            </w:r>
          </w:p>
        </w:tc>
      </w:tr>
      <w:tr>
        <w:trPr>
          <w:trHeight w:val="318"/>
        </w:trPr>
        <w:tc>
          <w:tcPr>
            <w:tcW w:w="20" w:type="dxa"/>
            <w:vAlign w:val="bottom"/>
            <w:tcBorders>
              <w:top w:val="single" w:sz="8" w:color="CFF0FC"/>
              <w:bottom w:val="single" w:sz="8" w:color="9A9A9A"/>
            </w:tcBorders>
          </w:tcPr>
          <w:p>
            <w:pPr>
              <w:spacing w:after="0"/>
              <w:rPr>
                <w:sz w:val="24"/>
                <w:szCs w:val="24"/>
                <w:color w:val="auto"/>
              </w:rPr>
            </w:pPr>
          </w:p>
        </w:tc>
        <w:tc>
          <w:tcPr>
            <w:tcW w:w="440" w:type="dxa"/>
            <w:vAlign w:val="bottom"/>
            <w:tcBorders>
              <w:top w:val="single" w:sz="8" w:color="0000FF"/>
              <w:bottom w:val="single" w:sz="8" w:color="9A9A9A"/>
            </w:tcBorders>
          </w:tcPr>
          <w:p>
            <w:pPr>
              <w:spacing w:after="0"/>
              <w:rPr>
                <w:sz w:val="24"/>
                <w:szCs w:val="24"/>
                <w:color w:val="auto"/>
              </w:rPr>
            </w:pPr>
          </w:p>
        </w:tc>
        <w:tc>
          <w:tcPr>
            <w:tcW w:w="58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28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CFF0FC"/>
              <w:bottom w:val="single" w:sz="8" w:color="9A9A9A"/>
            </w:tcBorders>
          </w:tcPr>
          <w:p>
            <w:pPr>
              <w:spacing w:after="0"/>
              <w:rPr>
                <w:sz w:val="24"/>
                <w:szCs w:val="24"/>
                <w:color w:val="auto"/>
              </w:rPr>
            </w:pPr>
          </w:p>
        </w:tc>
        <w:tc>
          <w:tcPr>
            <w:tcW w:w="100" w:type="dxa"/>
            <w:vAlign w:val="bottom"/>
            <w:tcBorders>
              <w:top w:val="single" w:sz="8" w:color="CFF0FC"/>
              <w:bottom w:val="single" w:sz="8" w:color="9A9A9A"/>
            </w:tcBorders>
          </w:tcPr>
          <w:p>
            <w:pPr>
              <w:spacing w:after="0"/>
              <w:rPr>
                <w:sz w:val="24"/>
                <w:szCs w:val="24"/>
                <w:color w:val="auto"/>
              </w:rPr>
            </w:pPr>
          </w:p>
        </w:tc>
        <w:tc>
          <w:tcPr>
            <w:tcW w:w="60" w:type="dxa"/>
            <w:vAlign w:val="bottom"/>
            <w:tcBorders>
              <w:top w:val="single" w:sz="8" w:color="CFF0FC"/>
              <w:bottom w:val="single" w:sz="8" w:color="9A9A9A"/>
            </w:tcBorders>
          </w:tcPr>
          <w:p>
            <w:pPr>
              <w:spacing w:after="0"/>
              <w:rPr>
                <w:sz w:val="24"/>
                <w:szCs w:val="24"/>
                <w:color w:val="auto"/>
              </w:rPr>
            </w:pPr>
          </w:p>
        </w:tc>
        <w:tc>
          <w:tcPr>
            <w:tcW w:w="120" w:type="dxa"/>
            <w:vAlign w:val="bottom"/>
            <w:tcBorders>
              <w:top w:val="single" w:sz="8" w:color="CFF0FC"/>
              <w:bottom w:val="single" w:sz="8" w:color="9A9A9A"/>
            </w:tcBorders>
          </w:tcPr>
          <w:p>
            <w:pPr>
              <w:spacing w:after="0"/>
              <w:rPr>
                <w:sz w:val="24"/>
                <w:szCs w:val="24"/>
                <w:color w:val="auto"/>
              </w:rPr>
            </w:pPr>
          </w:p>
        </w:tc>
        <w:tc>
          <w:tcPr>
            <w:tcW w:w="60" w:type="dxa"/>
            <w:vAlign w:val="bottom"/>
            <w:tcBorders>
              <w:top w:val="single" w:sz="8" w:color="CFF0FC"/>
              <w:bottom w:val="single" w:sz="8" w:color="9A9A9A"/>
            </w:tcBorders>
          </w:tcPr>
          <w:p>
            <w:pPr>
              <w:spacing w:after="0"/>
              <w:rPr>
                <w:sz w:val="24"/>
                <w:szCs w:val="24"/>
                <w:color w:val="auto"/>
              </w:rPr>
            </w:pPr>
          </w:p>
        </w:tc>
        <w:tc>
          <w:tcPr>
            <w:tcW w:w="220" w:type="dxa"/>
            <w:vAlign w:val="bottom"/>
            <w:tcBorders>
              <w:top w:val="single" w:sz="8" w:color="CFF0FC"/>
              <w:bottom w:val="single" w:sz="8" w:color="9A9A9A"/>
            </w:tcBorders>
          </w:tcPr>
          <w:p>
            <w:pPr>
              <w:spacing w:after="0"/>
              <w:rPr>
                <w:sz w:val="24"/>
                <w:szCs w:val="24"/>
                <w:color w:val="auto"/>
              </w:rPr>
            </w:pPr>
          </w:p>
        </w:tc>
        <w:tc>
          <w:tcPr>
            <w:tcW w:w="40" w:type="dxa"/>
            <w:vAlign w:val="bottom"/>
            <w:tcBorders>
              <w:top w:val="single" w:sz="8" w:color="CFF0FC"/>
              <w:bottom w:val="single" w:sz="8" w:color="9A9A9A"/>
            </w:tcBorders>
          </w:tcPr>
          <w:p>
            <w:pPr>
              <w:spacing w:after="0"/>
              <w:rPr>
                <w:sz w:val="24"/>
                <w:szCs w:val="24"/>
                <w:color w:val="auto"/>
              </w:rPr>
            </w:pPr>
          </w:p>
        </w:tc>
        <w:tc>
          <w:tcPr>
            <w:tcW w:w="80" w:type="dxa"/>
            <w:vAlign w:val="bottom"/>
            <w:tcBorders>
              <w:top w:val="single" w:sz="8" w:color="CFF0FC"/>
              <w:bottom w:val="single" w:sz="8" w:color="9A9A9A"/>
            </w:tcBorders>
          </w:tcPr>
          <w:p>
            <w:pPr>
              <w:spacing w:after="0"/>
              <w:rPr>
                <w:sz w:val="24"/>
                <w:szCs w:val="24"/>
                <w:color w:val="auto"/>
              </w:rPr>
            </w:pPr>
          </w:p>
        </w:tc>
        <w:tc>
          <w:tcPr>
            <w:tcW w:w="140" w:type="dxa"/>
            <w:vAlign w:val="bottom"/>
            <w:tcBorders>
              <w:top w:val="single" w:sz="8" w:color="CFF0FC"/>
              <w:bottom w:val="single" w:sz="8" w:color="9A9A9A"/>
            </w:tcBorders>
          </w:tcPr>
          <w:p>
            <w:pPr>
              <w:spacing w:after="0"/>
              <w:rPr>
                <w:sz w:val="24"/>
                <w:szCs w:val="24"/>
                <w:color w:val="auto"/>
              </w:rPr>
            </w:pPr>
          </w:p>
        </w:tc>
        <w:tc>
          <w:tcPr>
            <w:tcW w:w="60" w:type="dxa"/>
            <w:vAlign w:val="bottom"/>
            <w:tcBorders>
              <w:top w:val="single" w:sz="8" w:color="CFF0FC"/>
              <w:bottom w:val="single" w:sz="8" w:color="9A9A9A"/>
            </w:tcBorders>
          </w:tcPr>
          <w:p>
            <w:pPr>
              <w:spacing w:after="0"/>
              <w:rPr>
                <w:sz w:val="24"/>
                <w:szCs w:val="24"/>
                <w:color w:val="auto"/>
              </w:rPr>
            </w:pPr>
          </w:p>
        </w:tc>
        <w:tc>
          <w:tcPr>
            <w:tcW w:w="40" w:type="dxa"/>
            <w:vAlign w:val="bottom"/>
            <w:tcBorders>
              <w:top w:val="single" w:sz="8" w:color="CFF0FC"/>
              <w:bottom w:val="single" w:sz="8" w:color="9A9A9A"/>
            </w:tcBorders>
          </w:tcPr>
          <w:p>
            <w:pPr>
              <w:spacing w:after="0"/>
              <w:rPr>
                <w:sz w:val="24"/>
                <w:szCs w:val="24"/>
                <w:color w:val="auto"/>
              </w:rPr>
            </w:pPr>
          </w:p>
        </w:tc>
        <w:tc>
          <w:tcPr>
            <w:tcW w:w="100" w:type="dxa"/>
            <w:vAlign w:val="bottom"/>
            <w:tcBorders>
              <w:top w:val="single" w:sz="8" w:color="CFF0FC"/>
              <w:bottom w:val="single" w:sz="8" w:color="9A9A9A"/>
            </w:tcBorders>
          </w:tcPr>
          <w:p>
            <w:pPr>
              <w:spacing w:after="0"/>
              <w:rPr>
                <w:sz w:val="24"/>
                <w:szCs w:val="24"/>
                <w:color w:val="auto"/>
              </w:rPr>
            </w:pPr>
          </w:p>
        </w:tc>
        <w:tc>
          <w:tcPr>
            <w:tcW w:w="320" w:type="dxa"/>
            <w:vAlign w:val="bottom"/>
            <w:tcBorders>
              <w:top w:val="single" w:sz="8" w:color="CFF0FC"/>
              <w:bottom w:val="single" w:sz="8" w:color="9A9A9A"/>
            </w:tcBorders>
          </w:tcPr>
          <w:p>
            <w:pPr>
              <w:spacing w:after="0"/>
              <w:rPr>
                <w:sz w:val="24"/>
                <w:szCs w:val="24"/>
                <w:color w:val="auto"/>
              </w:rPr>
            </w:pPr>
          </w:p>
        </w:tc>
        <w:tc>
          <w:tcPr>
            <w:tcW w:w="100" w:type="dxa"/>
            <w:vAlign w:val="bottom"/>
            <w:tcBorders>
              <w:top w:val="single" w:sz="8" w:color="CFF0FC"/>
              <w:bottom w:val="single" w:sz="8" w:color="9A9A9A"/>
            </w:tcBorders>
          </w:tcPr>
          <w:p>
            <w:pPr>
              <w:spacing w:after="0"/>
              <w:rPr>
                <w:sz w:val="24"/>
                <w:szCs w:val="24"/>
                <w:color w:val="auto"/>
              </w:rPr>
            </w:pPr>
          </w:p>
        </w:tc>
        <w:tc>
          <w:tcPr>
            <w:tcW w:w="200" w:type="dxa"/>
            <w:vAlign w:val="bottom"/>
            <w:tcBorders>
              <w:top w:val="single" w:sz="8" w:color="CFF0FC"/>
              <w:bottom w:val="single" w:sz="8" w:color="9A9A9A"/>
            </w:tcBorders>
          </w:tcPr>
          <w:p>
            <w:pPr>
              <w:spacing w:after="0"/>
              <w:rPr>
                <w:sz w:val="24"/>
                <w:szCs w:val="24"/>
                <w:color w:val="auto"/>
              </w:rPr>
            </w:pPr>
          </w:p>
        </w:tc>
        <w:tc>
          <w:tcPr>
            <w:tcW w:w="160" w:type="dxa"/>
            <w:vAlign w:val="bottom"/>
            <w:tcBorders>
              <w:top w:val="single" w:sz="8" w:color="CFF0FC"/>
              <w:bottom w:val="single" w:sz="8" w:color="9A9A9A"/>
            </w:tcBorders>
          </w:tcPr>
          <w:p>
            <w:pPr>
              <w:spacing w:after="0"/>
              <w:rPr>
                <w:sz w:val="24"/>
                <w:szCs w:val="24"/>
                <w:color w:val="auto"/>
              </w:rPr>
            </w:pPr>
          </w:p>
        </w:tc>
        <w:tc>
          <w:tcPr>
            <w:tcW w:w="100" w:type="dxa"/>
            <w:vAlign w:val="bottom"/>
            <w:tcBorders>
              <w:top w:val="single" w:sz="8" w:color="CFF0FC"/>
              <w:bottom w:val="single" w:sz="8" w:color="9A9A9A"/>
            </w:tcBorders>
          </w:tcPr>
          <w:p>
            <w:pPr>
              <w:spacing w:after="0"/>
              <w:rPr>
                <w:sz w:val="24"/>
                <w:szCs w:val="24"/>
                <w:color w:val="auto"/>
              </w:rPr>
            </w:pPr>
          </w:p>
        </w:tc>
        <w:tc>
          <w:tcPr>
            <w:tcW w:w="160" w:type="dxa"/>
            <w:vAlign w:val="bottom"/>
            <w:tcBorders>
              <w:top w:val="single" w:sz="8" w:color="CFF0FC"/>
              <w:bottom w:val="single" w:sz="8" w:color="9A9A9A"/>
            </w:tcBorders>
          </w:tcPr>
          <w:p>
            <w:pPr>
              <w:spacing w:after="0"/>
              <w:rPr>
                <w:sz w:val="24"/>
                <w:szCs w:val="24"/>
                <w:color w:val="auto"/>
              </w:rPr>
            </w:pPr>
          </w:p>
        </w:tc>
        <w:tc>
          <w:tcPr>
            <w:tcW w:w="140" w:type="dxa"/>
            <w:vAlign w:val="bottom"/>
            <w:tcBorders>
              <w:top w:val="single" w:sz="8" w:color="CFF0FC"/>
              <w:bottom w:val="single" w:sz="8" w:color="9A9A9A"/>
            </w:tcBorders>
          </w:tcPr>
          <w:p>
            <w:pPr>
              <w:spacing w:after="0"/>
              <w:rPr>
                <w:sz w:val="24"/>
                <w:szCs w:val="24"/>
                <w:color w:val="auto"/>
              </w:rPr>
            </w:pPr>
          </w:p>
        </w:tc>
        <w:tc>
          <w:tcPr>
            <w:tcW w:w="120" w:type="dxa"/>
            <w:vAlign w:val="bottom"/>
            <w:tcBorders>
              <w:top w:val="single" w:sz="8" w:color="CFF0FC"/>
              <w:bottom w:val="single" w:sz="8" w:color="9A9A9A"/>
            </w:tcBorders>
          </w:tcPr>
          <w:p>
            <w:pPr>
              <w:spacing w:after="0"/>
              <w:rPr>
                <w:sz w:val="24"/>
                <w:szCs w:val="24"/>
                <w:color w:val="auto"/>
              </w:rPr>
            </w:pPr>
          </w:p>
        </w:tc>
        <w:tc>
          <w:tcPr>
            <w:tcW w:w="20" w:type="dxa"/>
            <w:vAlign w:val="bottom"/>
            <w:tcBorders>
              <w:top w:val="single" w:sz="8" w:color="CFF0FC"/>
              <w:bottom w:val="single" w:sz="8" w:color="9A9A9A"/>
            </w:tcBorders>
          </w:tcPr>
          <w:p>
            <w:pPr>
              <w:spacing w:after="0"/>
              <w:rPr>
                <w:sz w:val="24"/>
                <w:szCs w:val="24"/>
                <w:color w:val="auto"/>
              </w:rPr>
            </w:pPr>
          </w:p>
        </w:tc>
        <w:tc>
          <w:tcPr>
            <w:tcW w:w="40" w:type="dxa"/>
            <w:vAlign w:val="bottom"/>
            <w:tcBorders>
              <w:top w:val="single" w:sz="8" w:color="CFF0FC"/>
              <w:bottom w:val="single" w:sz="8" w:color="9A9A9A"/>
            </w:tcBorders>
          </w:tcPr>
          <w:p>
            <w:pPr>
              <w:spacing w:after="0"/>
              <w:rPr>
                <w:sz w:val="24"/>
                <w:szCs w:val="24"/>
                <w:color w:val="auto"/>
              </w:rPr>
            </w:pPr>
          </w:p>
        </w:tc>
        <w:tc>
          <w:tcPr>
            <w:tcW w:w="80" w:type="dxa"/>
            <w:vAlign w:val="bottom"/>
            <w:tcBorders>
              <w:top w:val="single" w:sz="8" w:color="CFF0FC"/>
              <w:bottom w:val="single" w:sz="8" w:color="9A9A9A"/>
            </w:tcBorders>
          </w:tcPr>
          <w:p>
            <w:pPr>
              <w:spacing w:after="0"/>
              <w:rPr>
                <w:sz w:val="24"/>
                <w:szCs w:val="24"/>
                <w:color w:val="auto"/>
              </w:rPr>
            </w:pPr>
          </w:p>
        </w:tc>
        <w:tc>
          <w:tcPr>
            <w:tcW w:w="40" w:type="dxa"/>
            <w:vAlign w:val="bottom"/>
            <w:tcBorders>
              <w:top w:val="single" w:sz="8" w:color="CFF0FC"/>
              <w:bottom w:val="single" w:sz="8" w:color="9A9A9A"/>
            </w:tcBorders>
          </w:tcPr>
          <w:p>
            <w:pPr>
              <w:spacing w:after="0"/>
              <w:rPr>
                <w:sz w:val="24"/>
                <w:szCs w:val="24"/>
                <w:color w:val="auto"/>
              </w:rPr>
            </w:pPr>
          </w:p>
        </w:tc>
        <w:tc>
          <w:tcPr>
            <w:tcW w:w="580" w:type="dxa"/>
            <w:vAlign w:val="bottom"/>
            <w:tcBorders>
              <w:top w:val="single" w:sz="8" w:color="CFF0FC"/>
              <w:bottom w:val="single" w:sz="8" w:color="9A9A9A"/>
            </w:tcBorders>
          </w:tcPr>
          <w:p>
            <w:pPr>
              <w:spacing w:after="0"/>
              <w:rPr>
                <w:sz w:val="24"/>
                <w:szCs w:val="24"/>
                <w:color w:val="auto"/>
              </w:rPr>
            </w:pPr>
          </w:p>
        </w:tc>
        <w:tc>
          <w:tcPr>
            <w:tcW w:w="20" w:type="dxa"/>
            <w:vAlign w:val="bottom"/>
            <w:tcBorders>
              <w:top w:val="single" w:sz="8" w:color="CFF0FC"/>
              <w:bottom w:val="single" w:sz="8" w:color="9A9A9A"/>
            </w:tcBorders>
          </w:tcPr>
          <w:p>
            <w:pPr>
              <w:spacing w:after="0"/>
              <w:rPr>
                <w:sz w:val="24"/>
                <w:szCs w:val="24"/>
                <w:color w:val="auto"/>
              </w:rPr>
            </w:pPr>
          </w:p>
        </w:tc>
        <w:tc>
          <w:tcPr>
            <w:tcW w:w="280" w:type="dxa"/>
            <w:vAlign w:val="bottom"/>
            <w:tcBorders>
              <w:top w:val="single" w:sz="8" w:color="CFF0FC"/>
              <w:bottom w:val="single" w:sz="8" w:color="9A9A9A"/>
            </w:tcBorders>
          </w:tcPr>
          <w:p>
            <w:pPr>
              <w:spacing w:after="0"/>
              <w:rPr>
                <w:sz w:val="24"/>
                <w:szCs w:val="24"/>
                <w:color w:val="auto"/>
              </w:rPr>
            </w:pPr>
          </w:p>
        </w:tc>
        <w:tc>
          <w:tcPr>
            <w:tcW w:w="220" w:type="dxa"/>
            <w:vAlign w:val="bottom"/>
            <w:tcBorders>
              <w:top w:val="single" w:sz="8" w:color="CFF0FC"/>
              <w:bottom w:val="single" w:sz="8" w:color="9A9A9A"/>
            </w:tcBorders>
          </w:tcPr>
          <w:p>
            <w:pPr>
              <w:spacing w:after="0"/>
              <w:rPr>
                <w:sz w:val="24"/>
                <w:szCs w:val="24"/>
                <w:color w:val="auto"/>
              </w:rPr>
            </w:pPr>
          </w:p>
        </w:tc>
        <w:tc>
          <w:tcPr>
            <w:tcW w:w="360" w:type="dxa"/>
            <w:vAlign w:val="bottom"/>
            <w:tcBorders>
              <w:top w:val="single" w:sz="8" w:color="CFF0FC"/>
              <w:bottom w:val="single" w:sz="8" w:color="9A9A9A"/>
            </w:tcBorders>
          </w:tcPr>
          <w:p>
            <w:pPr>
              <w:spacing w:after="0"/>
              <w:rPr>
                <w:sz w:val="24"/>
                <w:szCs w:val="24"/>
                <w:color w:val="auto"/>
              </w:rPr>
            </w:pPr>
          </w:p>
        </w:tc>
        <w:tc>
          <w:tcPr>
            <w:tcW w:w="160" w:type="dxa"/>
            <w:vAlign w:val="bottom"/>
            <w:tcBorders>
              <w:top w:val="single" w:sz="8" w:color="CFF0FC"/>
              <w:bottom w:val="single" w:sz="8" w:color="9A9A9A"/>
            </w:tcBorders>
          </w:tcPr>
          <w:p>
            <w:pPr>
              <w:spacing w:after="0"/>
              <w:rPr>
                <w:sz w:val="24"/>
                <w:szCs w:val="24"/>
                <w:color w:val="auto"/>
              </w:rPr>
            </w:pPr>
          </w:p>
        </w:tc>
        <w:tc>
          <w:tcPr>
            <w:tcW w:w="1080" w:type="dxa"/>
            <w:vAlign w:val="bottom"/>
            <w:tcBorders>
              <w:top w:val="single" w:sz="8" w:color="CFF0FC"/>
              <w:bottom w:val="single" w:sz="8" w:color="9A9A9A"/>
            </w:tcBorders>
          </w:tcPr>
          <w:p>
            <w:pPr>
              <w:spacing w:after="0"/>
              <w:rPr>
                <w:sz w:val="24"/>
                <w:szCs w:val="24"/>
                <w:color w:val="auto"/>
              </w:rPr>
            </w:pPr>
          </w:p>
        </w:tc>
        <w:tc>
          <w:tcPr>
            <w:tcW w:w="1920" w:type="dxa"/>
            <w:vAlign w:val="bottom"/>
            <w:tcBorders>
              <w:top w:val="single" w:sz="8" w:color="CFF0FC"/>
              <w:bottom w:val="single" w:sz="8" w:color="9A9A9A"/>
            </w:tcBorders>
          </w:tcPr>
          <w:p>
            <w:pPr>
              <w:spacing w:after="0"/>
              <w:rPr>
                <w:sz w:val="24"/>
                <w:szCs w:val="24"/>
                <w:color w:val="auto"/>
              </w:rPr>
            </w:pPr>
          </w:p>
        </w:tc>
        <w:tc>
          <w:tcPr>
            <w:tcW w:w="1240" w:type="dxa"/>
            <w:vAlign w:val="bottom"/>
            <w:tcBorders>
              <w:top w:val="single" w:sz="8" w:color="CFF0FC"/>
              <w:bottom w:val="single" w:sz="8" w:color="9A9A9A"/>
            </w:tcBorders>
          </w:tcPr>
          <w:p>
            <w:pPr>
              <w:spacing w:after="0"/>
              <w:rPr>
                <w:sz w:val="24"/>
                <w:szCs w:val="24"/>
                <w:color w:val="auto"/>
              </w:rPr>
            </w:pPr>
          </w:p>
        </w:tc>
        <w:tc>
          <w:tcPr>
            <w:tcW w:w="1340" w:type="dxa"/>
            <w:vAlign w:val="bottom"/>
            <w:tcBorders>
              <w:top w:val="single" w:sz="8" w:color="CFF0FC"/>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563C1"/>
        </w:rPr>
        <w:t>TABLE OF CONTENTS</w:t>
      </w:r>
    </w:p>
    <w:p>
      <w:pPr>
        <w:spacing w:after="0" w:line="1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AXSOME THERAPEUTICS, INC.</w:t>
      </w:r>
    </w:p>
    <w:p>
      <w:pPr>
        <w:spacing w:after="0" w:line="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22 Cortland Street, 16</w:t>
      </w:r>
      <w:r>
        <w:rPr>
          <w:rFonts w:ascii="Times New Roman" w:cs="Times New Roman" w:eastAsia="Times New Roman" w:hAnsi="Times New Roman"/>
          <w:sz w:val="10"/>
          <w:szCs w:val="10"/>
          <w:b w:val="1"/>
          <w:bCs w:val="1"/>
          <w:color w:val="auto"/>
        </w:rPr>
        <w:t>th</w:t>
      </w:r>
      <w:r>
        <w:rPr>
          <w:rFonts w:ascii="Times New Roman" w:cs="Times New Roman" w:eastAsia="Times New Roman" w:hAnsi="Times New Roman"/>
          <w:sz w:val="16"/>
          <w:szCs w:val="16"/>
          <w:b w:val="1"/>
          <w:bCs w:val="1"/>
          <w:color w:val="auto"/>
        </w:rPr>
        <w:t xml:space="preserve"> Floor</w:t>
      </w:r>
    </w:p>
    <w:p>
      <w:pPr>
        <w:spacing w:after="0" w:line="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New York, New York 10007</w:t>
      </w:r>
    </w:p>
    <w:p>
      <w:pPr>
        <w:spacing w:after="0" w:line="1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PROXY STATEMENT FOR 2022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73025</wp:posOffset>
            </wp:positionV>
            <wp:extent cx="606933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69330" cy="8255"/>
                    </a:xfrm>
                    <a:prstGeom prst="rect">
                      <a:avLst/>
                    </a:prstGeom>
                    <a:noFill/>
                  </pic:spPr>
                </pic:pic>
              </a:graphicData>
            </a:graphic>
          </wp:anchor>
        </w:drawing>
      </w:r>
    </w:p>
    <w:p>
      <w:pPr>
        <w:spacing w:after="0" w:line="136" w:lineRule="exact"/>
        <w:rPr>
          <w:sz w:val="20"/>
          <w:szCs w:val="20"/>
          <w:color w:val="auto"/>
        </w:rPr>
      </w:pPr>
    </w:p>
    <w:p>
      <w:pPr>
        <w:ind w:firstLine="374"/>
        <w:spacing w:after="0" w:line="250" w:lineRule="auto"/>
        <w:rPr>
          <w:sz w:val="20"/>
          <w:szCs w:val="20"/>
          <w:color w:val="auto"/>
        </w:rPr>
      </w:pPr>
      <w:r>
        <w:rPr>
          <w:rFonts w:ascii="Times New Roman" w:cs="Times New Roman" w:eastAsia="Times New Roman" w:hAnsi="Times New Roman"/>
          <w:sz w:val="16"/>
          <w:szCs w:val="16"/>
          <w:color w:val="auto"/>
        </w:rPr>
        <w:t xml:space="preserve">This proxy statement is furnished in connection with solicitation of proxies by our board of directors for use at the 2022 Annual Meeting of Stockholders (the “Annual Meeting”) to be held at 9:00 a.m. local time on Friday, June 3, 2022, and any postponements or adjournments thereof. The Annual Meeting will be completely virtual. You may attend the virtual meeting, submit questions, and vote your shares electronically during the meeting via live webcast by visiting </w:t>
      </w:r>
      <w:r>
        <w:rPr>
          <w:rFonts w:ascii="Times New Roman" w:cs="Times New Roman" w:eastAsia="Times New Roman" w:hAnsi="Times New Roman"/>
          <w:sz w:val="16"/>
          <w:szCs w:val="16"/>
          <w:u w:val="single" w:color="auto"/>
          <w:color w:val="auto"/>
        </w:rPr>
        <w:t>https://www.virtualshareholdermeeting.com/AXSM2022</w:t>
      </w:r>
      <w:r>
        <w:rPr>
          <w:rFonts w:ascii="Times New Roman" w:cs="Times New Roman" w:eastAsia="Times New Roman" w:hAnsi="Times New Roman"/>
          <w:sz w:val="16"/>
          <w:szCs w:val="16"/>
          <w:color w:val="auto"/>
        </w:rPr>
        <w:t>. As used in this proxy statement, the terms “Axsome,” “we,” “us,” and “our” mean Axsome Therapeutics, Inc. unless the context indicates otherwise.</w:t>
      </w:r>
    </w:p>
    <w:p>
      <w:pPr>
        <w:spacing w:after="0" w:line="2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QUESTIONS AND ANSWERS ABOUT PROCEDURAL MATTERS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Annual Meeting</w:t>
      </w:r>
    </w:p>
    <w:p>
      <w:pPr>
        <w:spacing w:after="0" w:line="140" w:lineRule="exact"/>
        <w:rPr>
          <w:sz w:val="20"/>
          <w:szCs w:val="20"/>
          <w:color w:val="auto"/>
        </w:rPr>
      </w:pPr>
    </w:p>
    <w:p>
      <w:pPr>
        <w:ind w:left="20"/>
        <w:spacing w:after="0"/>
        <w:tabs>
          <w:tab w:leader="none" w:pos="340" w:val="left"/>
        </w:tabs>
        <w:rPr>
          <w:sz w:val="20"/>
          <w:szCs w:val="20"/>
          <w:color w:val="auto"/>
        </w:rPr>
      </w:pPr>
      <w:r>
        <w:rPr>
          <w:rFonts w:ascii="Times New Roman" w:cs="Times New Roman" w:eastAsia="Times New Roman" w:hAnsi="Times New Roman"/>
          <w:sz w:val="16"/>
          <w:szCs w:val="16"/>
          <w:b w:val="1"/>
          <w:bCs w:val="1"/>
          <w:color w:val="auto"/>
        </w:rPr>
        <w:t>Q:</w:t>
        <w:tab/>
        <w:t>Why am I receiving these proxy materials?</w:t>
      </w:r>
    </w:p>
    <w:p>
      <w:pPr>
        <w:spacing w:after="0" w:line="156" w:lineRule="exact"/>
        <w:rPr>
          <w:sz w:val="20"/>
          <w:szCs w:val="20"/>
          <w:color w:val="auto"/>
        </w:rPr>
      </w:pPr>
    </w:p>
    <w:p>
      <w:pPr>
        <w:ind w:left="360" w:right="160" w:hanging="339"/>
        <w:spacing w:after="0" w:line="231" w:lineRule="auto"/>
        <w:tabs>
          <w:tab w:leader="none" w:pos="3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made these proxy materials available to you on the Internet or, upon your request, have delivered paper proxy materials to you, because our board of directors is soliciting your proxy to vote at the Annual Meeting to be held on Friday, June 3, 2022 at 9:00 a.m. local time, and at any adjournment or postponement thereof, for the purpose of considering and acting upon the matters set forth herein. This proxy statement includes information that we are required to provide to you by the Securities and Exchange Commission, or the SEC, and that is designed to assist you in voting your shares.</w:t>
      </w:r>
    </w:p>
    <w:p>
      <w:pPr>
        <w:spacing w:after="0" w:line="127" w:lineRule="exact"/>
        <w:rPr>
          <w:sz w:val="20"/>
          <w:szCs w:val="20"/>
          <w:color w:val="auto"/>
        </w:rPr>
      </w:pPr>
    </w:p>
    <w:p>
      <w:pPr>
        <w:ind w:left="20"/>
        <w:spacing w:after="0"/>
        <w:tabs>
          <w:tab w:leader="none" w:pos="340" w:val="left"/>
        </w:tabs>
        <w:rPr>
          <w:sz w:val="20"/>
          <w:szCs w:val="20"/>
          <w:color w:val="auto"/>
        </w:rPr>
      </w:pPr>
      <w:r>
        <w:rPr>
          <w:rFonts w:ascii="Times New Roman" w:cs="Times New Roman" w:eastAsia="Times New Roman" w:hAnsi="Times New Roman"/>
          <w:sz w:val="16"/>
          <w:szCs w:val="16"/>
          <w:b w:val="1"/>
          <w:bCs w:val="1"/>
          <w:color w:val="auto"/>
        </w:rPr>
        <w:t>Q:</w:t>
        <w:tab/>
        <w:t>Why did I receive a notice in the mail regarding the Internet availability of proxy materials instead of a paper copy of proxy materials?</w:t>
      </w:r>
    </w:p>
    <w:p>
      <w:pPr>
        <w:spacing w:after="0" w:line="156" w:lineRule="exact"/>
        <w:rPr>
          <w:sz w:val="20"/>
          <w:szCs w:val="20"/>
          <w:color w:val="auto"/>
        </w:rPr>
      </w:pPr>
    </w:p>
    <w:p>
      <w:pPr>
        <w:ind w:left="360" w:right="220" w:hanging="339"/>
        <w:spacing w:after="0" w:line="228" w:lineRule="auto"/>
        <w:tabs>
          <w:tab w:leader="none" w:pos="3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rules of the SEC permit us to furnish proxy materials, including this proxy statement and our 2021 Annual Report, to our stockholders by providing access to such documents on the Internet instead of mailing printed copies. As a result, we are mailing most of our stockholders a paper copy of the Notice, but not a paper copy of the proxy materials. This process allows us to provide our proxy materials to our stockholders in a timelier and more readily accessible manner, while reducing the environmental impact and lowering the costs of printing and distributing our proxy materials. Stockholders will not receive paper copies of the proxy materials unless they request them. Instead, the Notice of Internet Availability of Proxy Materials (the “Notice and Access Card”) provides instructions on how to access and review on the Internet all of the proxy materials. The Notice and Access Card also instructs you as to how to authorize via the Internet or telephone your proxy to vote your shares according to your voting instructions. If you would like to receive a paper or email copy of our proxy materials, you should follow the instructions for requesting such materials described in the Notice and Access Card.</w:t>
      </w:r>
    </w:p>
    <w:p>
      <w:pPr>
        <w:spacing w:after="0" w:line="125" w:lineRule="exact"/>
        <w:rPr>
          <w:sz w:val="20"/>
          <w:szCs w:val="20"/>
          <w:color w:val="auto"/>
        </w:rPr>
      </w:pPr>
    </w:p>
    <w:p>
      <w:pPr>
        <w:ind w:left="20"/>
        <w:spacing w:after="0"/>
        <w:tabs>
          <w:tab w:leader="none" w:pos="340" w:val="left"/>
        </w:tabs>
        <w:rPr>
          <w:sz w:val="20"/>
          <w:szCs w:val="20"/>
          <w:color w:val="auto"/>
        </w:rPr>
      </w:pPr>
      <w:r>
        <w:rPr>
          <w:rFonts w:ascii="Times New Roman" w:cs="Times New Roman" w:eastAsia="Times New Roman" w:hAnsi="Times New Roman"/>
          <w:sz w:val="16"/>
          <w:szCs w:val="16"/>
          <w:b w:val="1"/>
          <w:bCs w:val="1"/>
          <w:color w:val="auto"/>
        </w:rPr>
        <w:t>Q:</w:t>
        <w:tab/>
        <w:t>Why did I receive a complete set of paper proxy materials in the mail instead of a Notice of Internet Availability of Proxy Materials?</w:t>
      </w:r>
    </w:p>
    <w:p>
      <w:pPr>
        <w:spacing w:after="0" w:line="156" w:lineRule="exact"/>
        <w:rPr>
          <w:sz w:val="20"/>
          <w:szCs w:val="20"/>
          <w:color w:val="auto"/>
        </w:rPr>
      </w:pPr>
    </w:p>
    <w:p>
      <w:pPr>
        <w:ind w:left="360" w:right="100" w:hanging="339"/>
        <w:spacing w:after="0" w:line="231" w:lineRule="auto"/>
        <w:tabs>
          <w:tab w:leader="none" w:pos="3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are providing stockholders who have previously requested to receive paper copies of the proxy materials with paper copies of the proxy materials instead of the Notice. If you would like to reduce the environmental impact and the costs incurred by us in printing and distributing the proxy materials, you may elect to receive all future proxy materials electronically via email or the Internet. To sign up for electronic delivery, please follow the instructions provided with your proxy materials and on your proxy card or voting instruction card.</w:t>
      </w:r>
    </w:p>
    <w:p>
      <w:pPr>
        <w:spacing w:after="0" w:line="127" w:lineRule="exact"/>
        <w:rPr>
          <w:sz w:val="20"/>
          <w:szCs w:val="20"/>
          <w:color w:val="auto"/>
        </w:rPr>
      </w:pPr>
    </w:p>
    <w:p>
      <w:pPr>
        <w:ind w:left="20"/>
        <w:spacing w:after="0"/>
        <w:tabs>
          <w:tab w:leader="none" w:pos="340" w:val="left"/>
        </w:tabs>
        <w:rPr>
          <w:sz w:val="20"/>
          <w:szCs w:val="20"/>
          <w:color w:val="auto"/>
        </w:rPr>
      </w:pPr>
      <w:r>
        <w:rPr>
          <w:rFonts w:ascii="Times New Roman" w:cs="Times New Roman" w:eastAsia="Times New Roman" w:hAnsi="Times New Roman"/>
          <w:sz w:val="16"/>
          <w:szCs w:val="16"/>
          <w:b w:val="1"/>
          <w:bCs w:val="1"/>
          <w:color w:val="auto"/>
        </w:rPr>
        <w:t>Q:</w:t>
        <w:tab/>
        <w:t>What is included in the proxy materials?</w:t>
      </w:r>
    </w:p>
    <w:p>
      <w:pPr>
        <w:spacing w:after="0" w:line="156" w:lineRule="exact"/>
        <w:rPr>
          <w:sz w:val="20"/>
          <w:szCs w:val="20"/>
          <w:color w:val="auto"/>
        </w:rPr>
      </w:pPr>
    </w:p>
    <w:p>
      <w:pPr>
        <w:ind w:left="360" w:hanging="339"/>
        <w:spacing w:after="0"/>
        <w:tabs>
          <w:tab w:leader="none" w:pos="3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proxy materials include:</w:t>
      </w:r>
    </w:p>
    <w:p>
      <w:pPr>
        <w:spacing w:after="0" w:line="126"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1"/>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proxy statement for the Annual Meeting;</w:t>
      </w:r>
    </w:p>
    <w:p>
      <w:pPr>
        <w:spacing w:after="0" w:line="99"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1"/>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2021 Annual Report to Stockholders, which consists of our Annual Report on Form 10-K for the year ended December 31, 2021; and</w:t>
      </w:r>
    </w:p>
    <w:p>
      <w:pPr>
        <w:spacing w:after="0" w:line="113"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1"/>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proxy card or a voting instruction form for the Annual Meeting, if you have requested that the proxy materials be mailed to you.</w:t>
      </w:r>
    </w:p>
    <w:p>
      <w:pPr>
        <w:spacing w:after="0" w:line="138" w:lineRule="exact"/>
        <w:rPr>
          <w:sz w:val="20"/>
          <w:szCs w:val="20"/>
          <w:color w:val="auto"/>
        </w:rPr>
      </w:pPr>
    </w:p>
    <w:p>
      <w:pPr>
        <w:ind w:left="20"/>
        <w:spacing w:after="0"/>
        <w:tabs>
          <w:tab w:leader="none" w:pos="340" w:val="left"/>
        </w:tabs>
        <w:rPr>
          <w:sz w:val="20"/>
          <w:szCs w:val="20"/>
          <w:color w:val="auto"/>
        </w:rPr>
      </w:pPr>
      <w:r>
        <w:rPr>
          <w:rFonts w:ascii="Times New Roman" w:cs="Times New Roman" w:eastAsia="Times New Roman" w:hAnsi="Times New Roman"/>
          <w:sz w:val="16"/>
          <w:szCs w:val="16"/>
          <w:b w:val="1"/>
          <w:bCs w:val="1"/>
          <w:color w:val="auto"/>
        </w:rPr>
        <w:t>Q:</w:t>
        <w:tab/>
        <w:t>What information is contained in this proxy statement?</w:t>
      </w:r>
    </w:p>
    <w:p>
      <w:pPr>
        <w:spacing w:after="0" w:line="156" w:lineRule="exact"/>
        <w:rPr>
          <w:sz w:val="20"/>
          <w:szCs w:val="20"/>
          <w:color w:val="auto"/>
        </w:rPr>
      </w:pPr>
    </w:p>
    <w:p>
      <w:pPr>
        <w:ind w:left="360" w:right="460" w:hanging="339"/>
        <w:spacing w:after="0" w:line="263" w:lineRule="auto"/>
        <w:tabs>
          <w:tab w:leader="none" w:pos="3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in this proxy statement relates to the proposals to be voted on at the Annual Meeting, the voting process, the compensation of our directors and certain of our executive officers, corporate governance, and certain other required information.</w:t>
      </w:r>
    </w:p>
    <w:p>
      <w:pPr>
        <w:spacing w:after="0" w:line="3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4" w:right="3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563C1"/>
        </w:rPr>
        <w:t>TABLE OF CONTENTS</w:t>
      </w:r>
    </w:p>
    <w:p>
      <w:pPr>
        <w:spacing w:after="0" w:line="119" w:lineRule="exact"/>
        <w:rPr>
          <w:sz w:val="20"/>
          <w:szCs w:val="20"/>
          <w:color w:val="auto"/>
        </w:rPr>
      </w:pPr>
    </w:p>
    <w:p>
      <w:pPr>
        <w:ind w:left="20"/>
        <w:spacing w:after="0"/>
        <w:tabs>
          <w:tab w:leader="none" w:pos="340" w:val="left"/>
        </w:tabs>
        <w:rPr>
          <w:sz w:val="20"/>
          <w:szCs w:val="20"/>
          <w:color w:val="auto"/>
        </w:rPr>
      </w:pPr>
      <w:r>
        <w:rPr>
          <w:rFonts w:ascii="Times New Roman" w:cs="Times New Roman" w:eastAsia="Times New Roman" w:hAnsi="Times New Roman"/>
          <w:sz w:val="16"/>
          <w:szCs w:val="16"/>
          <w:b w:val="1"/>
          <w:bCs w:val="1"/>
          <w:color w:val="auto"/>
        </w:rPr>
        <w:t>Q:</w:t>
        <w:tab/>
        <w:t>Where is the Annual Meeting?</w:t>
      </w:r>
    </w:p>
    <w:p>
      <w:pPr>
        <w:spacing w:after="0" w:line="129" w:lineRule="exact"/>
        <w:rPr>
          <w:sz w:val="20"/>
          <w:szCs w:val="20"/>
          <w:color w:val="auto"/>
        </w:rPr>
      </w:pPr>
    </w:p>
    <w:p>
      <w:pPr>
        <w:ind w:left="360" w:right="20" w:hanging="339"/>
        <w:spacing w:after="0" w:line="263" w:lineRule="auto"/>
        <w:tabs>
          <w:tab w:leader="none" w:pos="3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Annual Meeting will be completely virtual. You may attend the virtual meeting, submit questions, and vote your shares electronically during the meeting via live webcast by visiting </w:t>
      </w:r>
      <w:r>
        <w:rPr>
          <w:rFonts w:ascii="Times New Roman" w:cs="Times New Roman" w:eastAsia="Times New Roman" w:hAnsi="Times New Roman"/>
          <w:sz w:val="16"/>
          <w:szCs w:val="16"/>
          <w:u w:val="single" w:color="auto"/>
          <w:color w:val="auto"/>
        </w:rPr>
        <w:t>https://www.virtualshareholdermeeting.com/AXSM2022</w:t>
      </w:r>
      <w:r>
        <w:rPr>
          <w:rFonts w:ascii="Times New Roman" w:cs="Times New Roman" w:eastAsia="Times New Roman" w:hAnsi="Times New Roman"/>
          <w:sz w:val="16"/>
          <w:szCs w:val="16"/>
          <w:color w:val="auto"/>
        </w:rPr>
        <w:t>.</w:t>
      </w:r>
    </w:p>
    <w:p>
      <w:pPr>
        <w:spacing w:after="0" w:line="81" w:lineRule="exact"/>
        <w:rPr>
          <w:sz w:val="20"/>
          <w:szCs w:val="20"/>
          <w:color w:val="auto"/>
        </w:rPr>
      </w:pPr>
    </w:p>
    <w:p>
      <w:pPr>
        <w:ind w:left="20"/>
        <w:spacing w:after="0"/>
        <w:tabs>
          <w:tab w:leader="none" w:pos="340" w:val="left"/>
        </w:tabs>
        <w:rPr>
          <w:sz w:val="20"/>
          <w:szCs w:val="20"/>
          <w:color w:val="auto"/>
        </w:rPr>
      </w:pPr>
      <w:r>
        <w:rPr>
          <w:rFonts w:ascii="Times New Roman" w:cs="Times New Roman" w:eastAsia="Times New Roman" w:hAnsi="Times New Roman"/>
          <w:sz w:val="16"/>
          <w:szCs w:val="16"/>
          <w:b w:val="1"/>
          <w:bCs w:val="1"/>
          <w:color w:val="auto"/>
        </w:rPr>
        <w:t>Q:</w:t>
        <w:tab/>
        <w:t>Can I attend the Annual Meeting?</w:t>
      </w:r>
    </w:p>
    <w:p>
      <w:pPr>
        <w:spacing w:after="0" w:line="129" w:lineRule="exact"/>
        <w:rPr>
          <w:sz w:val="20"/>
          <w:szCs w:val="20"/>
          <w:color w:val="auto"/>
        </w:rPr>
      </w:pPr>
    </w:p>
    <w:p>
      <w:pPr>
        <w:ind w:left="360" w:right="20" w:hanging="339"/>
        <w:spacing w:after="0" w:line="245" w:lineRule="auto"/>
        <w:tabs>
          <w:tab w:leader="none" w:pos="3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 are invited to attend the Annual Meeting if you were a stockholder of record or a beneficial owner as of April 11, 2022, the Record Date. The meeting will begin via live webcast promptly at 9:00 a.m. local time on June 3, 2022.</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Stock Ownership</w:t>
      </w:r>
    </w:p>
    <w:p>
      <w:pPr>
        <w:spacing w:after="0" w:line="127" w:lineRule="exact"/>
        <w:rPr>
          <w:sz w:val="20"/>
          <w:szCs w:val="20"/>
          <w:color w:val="auto"/>
        </w:rPr>
      </w:pPr>
    </w:p>
    <w:p>
      <w:pPr>
        <w:ind w:left="20"/>
        <w:spacing w:after="0"/>
        <w:tabs>
          <w:tab w:leader="none" w:pos="340" w:val="left"/>
        </w:tabs>
        <w:rPr>
          <w:sz w:val="20"/>
          <w:szCs w:val="20"/>
          <w:color w:val="auto"/>
        </w:rPr>
      </w:pPr>
      <w:r>
        <w:rPr>
          <w:rFonts w:ascii="Times New Roman" w:cs="Times New Roman" w:eastAsia="Times New Roman" w:hAnsi="Times New Roman"/>
          <w:sz w:val="16"/>
          <w:szCs w:val="16"/>
          <w:b w:val="1"/>
          <w:bCs w:val="1"/>
          <w:color w:val="auto"/>
        </w:rPr>
        <w:t>Q:</w:t>
        <w:tab/>
        <w:t>What is the difference between holding shares as a stockholder of record and as a beneficial owner?</w:t>
      </w:r>
    </w:p>
    <w:p>
      <w:pPr>
        <w:spacing w:after="0" w:line="127" w:lineRule="exact"/>
        <w:rPr>
          <w:sz w:val="20"/>
          <w:szCs w:val="20"/>
          <w:color w:val="auto"/>
        </w:rPr>
      </w:pPr>
    </w:p>
    <w:p>
      <w:pPr>
        <w:ind w:left="360" w:right="120" w:hanging="339"/>
        <w:spacing w:after="0" w:line="239" w:lineRule="auto"/>
        <w:tabs>
          <w:tab w:leader="none" w:pos="3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Stockholders of record</w:t>
      </w:r>
      <w:r>
        <w:rPr>
          <w:rFonts w:ascii="Times New Roman" w:cs="Times New Roman" w:eastAsia="Times New Roman" w:hAnsi="Times New Roman"/>
          <w:sz w:val="16"/>
          <w:szCs w:val="16"/>
          <w:color w:val="auto"/>
        </w:rPr>
        <w:t>—If your shares are registered directly in your name with our transfer agent, American Stock Transfer &amp; Trust Company, LLC, you are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considered, with respect to those shares, the “stockholder of record,” and the proxy materials were provided to you directly by us. As the stockholder of record, you have the right to grant your voting proxy directly to the individuals listed on the proxy card or to vote in person at the Annual Meeting.</w:t>
      </w:r>
    </w:p>
    <w:p>
      <w:pPr>
        <w:spacing w:after="0" w:line="71" w:lineRule="exact"/>
        <w:rPr>
          <w:rFonts w:ascii="Times New Roman" w:cs="Times New Roman" w:eastAsia="Times New Roman" w:hAnsi="Times New Roman"/>
          <w:sz w:val="16"/>
          <w:szCs w:val="16"/>
          <w:color w:val="auto"/>
        </w:rPr>
      </w:pPr>
    </w:p>
    <w:p>
      <w:pPr>
        <w:ind w:left="360" w:right="220"/>
        <w:spacing w:after="0" w:line="239"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Beneficial owners</w:t>
      </w:r>
      <w:r>
        <w:rPr>
          <w:rFonts w:ascii="Times New Roman" w:cs="Times New Roman" w:eastAsia="Times New Roman" w:hAnsi="Times New Roman"/>
          <w:sz w:val="16"/>
          <w:szCs w:val="16"/>
          <w:color w:val="auto"/>
        </w:rPr>
        <w:t>—Many Axsome stockholders hold their shares through a broker, trustee or other nominee, rather than directly in their own name. If your shares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are held in a brokerage account or by a bank or another nominee, you are considered the “beneficial owner” of shares held in “street name.” The proxy materials were forwarded to you by your broker, trustee or nominee who is considered, with respect to those shares, the stockholder of record.</w:t>
      </w:r>
    </w:p>
    <w:p>
      <w:pPr>
        <w:spacing w:after="0" w:line="59" w:lineRule="exact"/>
        <w:rPr>
          <w:rFonts w:ascii="Times New Roman" w:cs="Times New Roman" w:eastAsia="Times New Roman" w:hAnsi="Times New Roman"/>
          <w:sz w:val="16"/>
          <w:szCs w:val="16"/>
          <w:color w:val="auto"/>
        </w:rPr>
      </w:pPr>
    </w:p>
    <w:p>
      <w:pPr>
        <w:ind w:left="360" w:right="120"/>
        <w:spacing w:after="0" w:line="23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the beneficial owner, you have the right to direct your broker, trustee or nominee on how to vote your shares. Beneficial owners are also invited to attend the Annual Meeting. However, since beneficial owners are not stockholders of record, you may not vote your shares in person at the Annual Meeting unless you follow your broker’s procedures for obtaining a legal proxy. If you request a printed copy of the proxy materials by mail, your broker or nominee will provide a voting instruction card for you to use.</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Quorum and Voting</w:t>
      </w:r>
    </w:p>
    <w:p>
      <w:pPr>
        <w:spacing w:after="0" w:line="127" w:lineRule="exact"/>
        <w:rPr>
          <w:sz w:val="20"/>
          <w:szCs w:val="20"/>
          <w:color w:val="auto"/>
        </w:rPr>
      </w:pPr>
    </w:p>
    <w:p>
      <w:pPr>
        <w:ind w:left="20"/>
        <w:spacing w:after="0"/>
        <w:tabs>
          <w:tab w:leader="none" w:pos="340" w:val="left"/>
        </w:tabs>
        <w:rPr>
          <w:sz w:val="20"/>
          <w:szCs w:val="20"/>
          <w:color w:val="auto"/>
        </w:rPr>
      </w:pPr>
      <w:r>
        <w:rPr>
          <w:rFonts w:ascii="Times New Roman" w:cs="Times New Roman" w:eastAsia="Times New Roman" w:hAnsi="Times New Roman"/>
          <w:sz w:val="16"/>
          <w:szCs w:val="16"/>
          <w:b w:val="1"/>
          <w:bCs w:val="1"/>
          <w:color w:val="auto"/>
        </w:rPr>
        <w:t>Q:</w:t>
        <w:tab/>
        <w:t>How many shares must be present or represented to conduct business at the Annual Meeting?</w:t>
      </w:r>
    </w:p>
    <w:p>
      <w:pPr>
        <w:spacing w:after="0" w:line="129" w:lineRule="exact"/>
        <w:rPr>
          <w:sz w:val="20"/>
          <w:szCs w:val="20"/>
          <w:color w:val="auto"/>
        </w:rPr>
      </w:pPr>
    </w:p>
    <w:p>
      <w:pPr>
        <w:ind w:left="360" w:right="20" w:hanging="339"/>
        <w:spacing w:after="0" w:line="238" w:lineRule="auto"/>
        <w:tabs>
          <w:tab w:leader="none" w:pos="3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quorum is the minimum number of shares required to be present at the Annual Meeting for the meeting to be properly held under our amended and restated bylaws and the Delaware General Corporation Law, or the DGCL. The presence, in person or by proxy, of a majority of the aggregate voting power of the issued and outstanding shares of stock entitled to vote at the Annual Meeting will constitute a quorum at the Annual Meeting.</w:t>
      </w:r>
    </w:p>
    <w:p>
      <w:pPr>
        <w:spacing w:after="0" w:line="73" w:lineRule="exact"/>
        <w:rPr>
          <w:rFonts w:ascii="Times New Roman" w:cs="Times New Roman" w:eastAsia="Times New Roman" w:hAnsi="Times New Roman"/>
          <w:sz w:val="16"/>
          <w:szCs w:val="16"/>
          <w:color w:val="auto"/>
        </w:rPr>
      </w:pPr>
    </w:p>
    <w:p>
      <w:pPr>
        <w:ind w:left="360" w:right="100"/>
        <w:spacing w:after="0" w:line="24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proxy submitted by a stockholder may indicate that the shares represented by the proxy are not being voted, referred to as stockholder withholding with respect to a particular matter.</w:t>
      </w:r>
    </w:p>
    <w:p>
      <w:pPr>
        <w:spacing w:after="0" w:line="69" w:lineRule="exact"/>
        <w:rPr>
          <w:rFonts w:ascii="Times New Roman" w:cs="Times New Roman" w:eastAsia="Times New Roman" w:hAnsi="Times New Roman"/>
          <w:sz w:val="16"/>
          <w:szCs w:val="16"/>
          <w:color w:val="auto"/>
        </w:rPr>
      </w:pPr>
    </w:p>
    <w:p>
      <w:pPr>
        <w:ind w:left="360" w:right="140"/>
        <w:spacing w:after="0" w:line="26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Under the DGCL, abstentions and broker “non-votes” are counted as present and entitled to vote and are, therefore, included for purposes of determining whether a quorum is present at the Annual Meeting.</w:t>
      </w:r>
    </w:p>
    <w:p>
      <w:pPr>
        <w:spacing w:after="0" w:line="42" w:lineRule="exact"/>
        <w:rPr>
          <w:rFonts w:ascii="Times New Roman" w:cs="Times New Roman" w:eastAsia="Times New Roman" w:hAnsi="Times New Roman"/>
          <w:sz w:val="16"/>
          <w:szCs w:val="16"/>
          <w:color w:val="auto"/>
        </w:rPr>
      </w:pPr>
    </w:p>
    <w:p>
      <w:pPr>
        <w:ind w:left="360" w:right="740"/>
        <w:spacing w:after="0" w:line="26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broker non-vote occurs when a nominee holding shares for a beneficial owner does not vote on a particular proposal because the nominee does not have discretionary voting power with respect to that item and has not received instructions from the beneficial owner.</w:t>
      </w:r>
    </w:p>
    <w:p>
      <w:pPr>
        <w:spacing w:after="0" w:line="67" w:lineRule="exact"/>
        <w:rPr>
          <w:sz w:val="20"/>
          <w:szCs w:val="20"/>
          <w:color w:val="auto"/>
        </w:rPr>
      </w:pPr>
    </w:p>
    <w:p>
      <w:pPr>
        <w:ind w:left="20"/>
        <w:spacing w:after="0"/>
        <w:tabs>
          <w:tab w:leader="none" w:pos="340" w:val="left"/>
        </w:tabs>
        <w:rPr>
          <w:sz w:val="20"/>
          <w:szCs w:val="20"/>
          <w:color w:val="auto"/>
        </w:rPr>
      </w:pPr>
      <w:r>
        <w:rPr>
          <w:rFonts w:ascii="Times New Roman" w:cs="Times New Roman" w:eastAsia="Times New Roman" w:hAnsi="Times New Roman"/>
          <w:sz w:val="16"/>
          <w:szCs w:val="16"/>
          <w:b w:val="1"/>
          <w:bCs w:val="1"/>
          <w:color w:val="auto"/>
        </w:rPr>
        <w:t>Q:</w:t>
        <w:tab/>
        <w:t>Who is entitled to vote at the Annual Meeting?</w:t>
      </w:r>
    </w:p>
    <w:p>
      <w:pPr>
        <w:spacing w:after="0" w:line="129" w:lineRule="exact"/>
        <w:rPr>
          <w:sz w:val="20"/>
          <w:szCs w:val="20"/>
          <w:color w:val="auto"/>
        </w:rPr>
      </w:pPr>
    </w:p>
    <w:p>
      <w:pPr>
        <w:ind w:left="360" w:hanging="339"/>
        <w:spacing w:after="0" w:line="235" w:lineRule="auto"/>
        <w:tabs>
          <w:tab w:leader="none" w:pos="3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Holders of record of our common stock at the close of business on the Record Date are entitled to receive notice of and to vote their shares at the Annual Meeting. As of the Record Date, we had 38,913,445 shares of common stock outstanding. In deciding all matters at the Annual Meeting, each holder of common stock of Axsome will be entitled to one vote for each share of common stock held as of the close of business on the Record Date. We do not have cumulative voting rights for the election of directors.</w:t>
      </w:r>
    </w:p>
    <w:p>
      <w:pPr>
        <w:spacing w:after="0" w:line="87" w:lineRule="exact"/>
        <w:rPr>
          <w:sz w:val="20"/>
          <w:szCs w:val="20"/>
          <w:color w:val="auto"/>
        </w:rPr>
      </w:pPr>
    </w:p>
    <w:p>
      <w:pPr>
        <w:ind w:left="20"/>
        <w:spacing w:after="0"/>
        <w:tabs>
          <w:tab w:leader="none" w:pos="340" w:val="left"/>
        </w:tabs>
        <w:rPr>
          <w:sz w:val="20"/>
          <w:szCs w:val="20"/>
          <w:color w:val="auto"/>
        </w:rPr>
      </w:pPr>
      <w:r>
        <w:rPr>
          <w:rFonts w:ascii="Times New Roman" w:cs="Times New Roman" w:eastAsia="Times New Roman" w:hAnsi="Times New Roman"/>
          <w:sz w:val="16"/>
          <w:szCs w:val="16"/>
          <w:b w:val="1"/>
          <w:bCs w:val="1"/>
          <w:color w:val="auto"/>
        </w:rPr>
        <w:t>Q:</w:t>
        <w:tab/>
        <w:t>How can I vote my shares at the Annual Meeting?</w:t>
      </w:r>
    </w:p>
    <w:p>
      <w:pPr>
        <w:spacing w:after="0" w:line="129" w:lineRule="exact"/>
        <w:rPr>
          <w:sz w:val="20"/>
          <w:szCs w:val="20"/>
          <w:color w:val="auto"/>
        </w:rPr>
      </w:pPr>
    </w:p>
    <w:p>
      <w:pPr>
        <w:ind w:left="360" w:right="80" w:hanging="339"/>
        <w:spacing w:after="0" w:line="235" w:lineRule="auto"/>
        <w:tabs>
          <w:tab w:leader="none" w:pos="3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Shares held in your name as the stockholder of record may be voted at the Annual Meeting. Shares held beneficially in street name may be voted in person at the Annual Meeting only if you obtain a legal proxy from the broker, trustee or other nominee that holds your shares giving you the right to vote the shares. </w:t>
      </w:r>
      <w:r>
        <w:rPr>
          <w:rFonts w:ascii="Times New Roman" w:cs="Times New Roman" w:eastAsia="Times New Roman" w:hAnsi="Times New Roman"/>
          <w:sz w:val="16"/>
          <w:szCs w:val="16"/>
          <w:b w:val="1"/>
          <w:bCs w:val="1"/>
          <w:color w:val="auto"/>
        </w:rPr>
        <w:t>Even if you</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plan to attend the Annual Meeting, we recommend that you also submit your proxy card, if you have requested one, or follow the voting directions described below, so that your vote will be counted if you later decide not to attend the Annual Meeting.</w:t>
      </w:r>
    </w:p>
    <w:p>
      <w:pPr>
        <w:spacing w:after="0" w:line="200" w:lineRule="exact"/>
        <w:rPr>
          <w:sz w:val="20"/>
          <w:szCs w:val="20"/>
          <w:color w:val="auto"/>
        </w:rPr>
      </w:pPr>
    </w:p>
    <w:p>
      <w:pPr>
        <w:spacing w:after="0" w:line="20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14" w:right="4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563C1"/>
        </w:rPr>
        <w:t>TABLE OF CONTENTS</w:t>
      </w:r>
    </w:p>
    <w:p>
      <w:pPr>
        <w:spacing w:after="0" w:line="119" w:lineRule="exact"/>
        <w:rPr>
          <w:sz w:val="20"/>
          <w:szCs w:val="20"/>
          <w:color w:val="auto"/>
        </w:rPr>
      </w:pPr>
    </w:p>
    <w:p>
      <w:pPr>
        <w:ind w:left="360" w:hanging="339"/>
        <w:spacing w:after="0"/>
        <w:tabs>
          <w:tab w:leader="none" w:pos="3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How can I vote my shares without attending the Annual Meeting?</w:t>
      </w:r>
    </w:p>
    <w:p>
      <w:pPr>
        <w:spacing w:after="0" w:line="127" w:lineRule="exact"/>
        <w:rPr>
          <w:sz w:val="20"/>
          <w:szCs w:val="20"/>
          <w:color w:val="auto"/>
        </w:rPr>
      </w:pPr>
    </w:p>
    <w:p>
      <w:pPr>
        <w:ind w:left="360" w:hanging="339"/>
        <w:spacing w:after="0"/>
        <w:tabs>
          <w:tab w:leader="none" w:pos="3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Stockholder of record</w:t>
      </w:r>
      <w:r>
        <w:rPr>
          <w:rFonts w:ascii="Times New Roman" w:cs="Times New Roman" w:eastAsia="Times New Roman" w:hAnsi="Times New Roman"/>
          <w:sz w:val="16"/>
          <w:szCs w:val="16"/>
          <w:color w:val="auto"/>
        </w:rPr>
        <w:t>—If you are a stockholder of record, there are three ways to vote without attending the Annual Meeting:</w:t>
      </w:r>
    </w:p>
    <w:p>
      <w:pPr>
        <w:spacing w:after="0" w:line="140" w:lineRule="exact"/>
        <w:rPr>
          <w:rFonts w:ascii="Times New Roman" w:cs="Times New Roman" w:eastAsia="Times New Roman" w:hAnsi="Times New Roman"/>
          <w:sz w:val="16"/>
          <w:szCs w:val="16"/>
          <w:color w:val="auto"/>
        </w:rPr>
      </w:pPr>
    </w:p>
    <w:p>
      <w:pPr>
        <w:ind w:left="760" w:right="40" w:hanging="378"/>
        <w:spacing w:after="0" w:line="265" w:lineRule="auto"/>
        <w:tabs>
          <w:tab w:leader="none" w:pos="760" w:val="left"/>
        </w:tabs>
        <w:numPr>
          <w:ilvl w:val="1"/>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Via the Internet</w:t>
      </w:r>
      <w:r>
        <w:rPr>
          <w:rFonts w:ascii="Times New Roman" w:cs="Times New Roman" w:eastAsia="Times New Roman" w:hAnsi="Times New Roman"/>
          <w:sz w:val="16"/>
          <w:szCs w:val="16"/>
          <w:color w:val="auto"/>
        </w:rPr>
        <w:t>—You may vote by proxy via the Internet at www.proxyvote.com by following the instructions provided in the Notice and Access Card or proxy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card.</w:t>
      </w:r>
    </w:p>
    <w:p>
      <w:pPr>
        <w:spacing w:after="0" w:line="66"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1"/>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By Telephone</w:t>
      </w:r>
      <w:r>
        <w:rPr>
          <w:rFonts w:ascii="Times New Roman" w:cs="Times New Roman" w:eastAsia="Times New Roman" w:hAnsi="Times New Roman"/>
          <w:sz w:val="16"/>
          <w:szCs w:val="16"/>
          <w:color w:val="auto"/>
        </w:rPr>
        <w:t>—You may vote by proxy by telephone by calling the toll-free number found on the proxy card.</w:t>
      </w:r>
    </w:p>
    <w:p>
      <w:pPr>
        <w:spacing w:after="0" w:line="113"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1"/>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By Mail</w:t>
      </w:r>
      <w:r>
        <w:rPr>
          <w:rFonts w:ascii="Times New Roman" w:cs="Times New Roman" w:eastAsia="Times New Roman" w:hAnsi="Times New Roman"/>
          <w:sz w:val="16"/>
          <w:szCs w:val="16"/>
          <w:color w:val="auto"/>
        </w:rPr>
        <w:t>—You may vote by proxy by filling out the proxy card you may have received and returning it in the envelope provided.</w:t>
      </w:r>
    </w:p>
    <w:p>
      <w:pPr>
        <w:spacing w:after="0" w:line="11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Telephone and Internet voting facilities for stockholders of record will be available 24 hours a day and will close at 11:59 p.m., Eastern Time, on June 2, 2022.</w:t>
      </w:r>
    </w:p>
    <w:p>
      <w:pPr>
        <w:spacing w:after="0" w:line="111" w:lineRule="exact"/>
        <w:rPr>
          <w:sz w:val="20"/>
          <w:szCs w:val="20"/>
          <w:color w:val="auto"/>
        </w:rPr>
      </w:pPr>
    </w:p>
    <w:p>
      <w:pPr>
        <w:ind w:left="380" w:right="380"/>
        <w:spacing w:after="0" w:line="265" w:lineRule="auto"/>
        <w:rPr>
          <w:sz w:val="20"/>
          <w:szCs w:val="20"/>
          <w:color w:val="auto"/>
        </w:rPr>
      </w:pPr>
      <w:r>
        <w:rPr>
          <w:rFonts w:ascii="Times New Roman" w:cs="Times New Roman" w:eastAsia="Times New Roman" w:hAnsi="Times New Roman"/>
          <w:sz w:val="16"/>
          <w:szCs w:val="16"/>
          <w:i w:val="1"/>
          <w:iCs w:val="1"/>
          <w:color w:val="auto"/>
        </w:rPr>
        <w:t>Beneficial owners</w:t>
      </w:r>
      <w:r>
        <w:rPr>
          <w:rFonts w:ascii="Times New Roman" w:cs="Times New Roman" w:eastAsia="Times New Roman" w:hAnsi="Times New Roman"/>
          <w:sz w:val="16"/>
          <w:szCs w:val="16"/>
          <w:color w:val="auto"/>
        </w:rPr>
        <w:t>—If you are a beneficial owner holding shares through a bank, broker or other nominee, please refer to information forwarded by your bank 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broker to see which voting options are available to you.</w:t>
      </w:r>
    </w:p>
    <w:p>
      <w:pPr>
        <w:spacing w:after="0" w:line="80" w:lineRule="exact"/>
        <w:rPr>
          <w:sz w:val="20"/>
          <w:szCs w:val="20"/>
          <w:color w:val="auto"/>
        </w:rPr>
      </w:pPr>
    </w:p>
    <w:p>
      <w:pPr>
        <w:ind w:left="20"/>
        <w:spacing w:after="0"/>
        <w:tabs>
          <w:tab w:leader="none" w:pos="340" w:val="left"/>
        </w:tabs>
        <w:rPr>
          <w:sz w:val="20"/>
          <w:szCs w:val="20"/>
          <w:color w:val="auto"/>
        </w:rPr>
      </w:pPr>
      <w:r>
        <w:rPr>
          <w:rFonts w:ascii="Times New Roman" w:cs="Times New Roman" w:eastAsia="Times New Roman" w:hAnsi="Times New Roman"/>
          <w:sz w:val="16"/>
          <w:szCs w:val="16"/>
          <w:b w:val="1"/>
          <w:bCs w:val="1"/>
          <w:color w:val="auto"/>
        </w:rPr>
        <w:t>Q:</w:t>
        <w:tab/>
        <w:t>Can I vote my shares by completing and returning the Notice?</w:t>
      </w:r>
    </w:p>
    <w:p>
      <w:pPr>
        <w:spacing w:after="0" w:line="129" w:lineRule="exact"/>
        <w:rPr>
          <w:sz w:val="20"/>
          <w:szCs w:val="20"/>
          <w:color w:val="auto"/>
        </w:rPr>
      </w:pPr>
    </w:p>
    <w:p>
      <w:pPr>
        <w:ind w:left="360" w:right="260" w:hanging="339"/>
        <w:spacing w:after="0" w:line="263" w:lineRule="auto"/>
        <w:tabs>
          <w:tab w:leader="none" w:pos="3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The Notice and Access Card will, however, provide instructions on how to vote by telephone, by internet, or by requesting and returning a paper proxy card or voting instruction card.</w:t>
      </w:r>
    </w:p>
    <w:p>
      <w:pPr>
        <w:spacing w:after="0" w:line="81" w:lineRule="exact"/>
        <w:rPr>
          <w:sz w:val="20"/>
          <w:szCs w:val="20"/>
          <w:color w:val="auto"/>
        </w:rPr>
      </w:pPr>
    </w:p>
    <w:p>
      <w:pPr>
        <w:ind w:left="20"/>
        <w:spacing w:after="0"/>
        <w:tabs>
          <w:tab w:leader="none" w:pos="340" w:val="left"/>
        </w:tabs>
        <w:rPr>
          <w:sz w:val="20"/>
          <w:szCs w:val="20"/>
          <w:color w:val="auto"/>
        </w:rPr>
      </w:pPr>
      <w:r>
        <w:rPr>
          <w:rFonts w:ascii="Times New Roman" w:cs="Times New Roman" w:eastAsia="Times New Roman" w:hAnsi="Times New Roman"/>
          <w:sz w:val="16"/>
          <w:szCs w:val="16"/>
          <w:b w:val="1"/>
          <w:bCs w:val="1"/>
          <w:color w:val="auto"/>
        </w:rPr>
        <w:t>Q:</w:t>
        <w:tab/>
        <w:t>What proposals will be voted on at the Annual Meeting?</w:t>
      </w:r>
    </w:p>
    <w:p>
      <w:pPr>
        <w:spacing w:after="0" w:line="129" w:lineRule="exact"/>
        <w:rPr>
          <w:sz w:val="20"/>
          <w:szCs w:val="20"/>
          <w:color w:val="auto"/>
        </w:rPr>
      </w:pPr>
    </w:p>
    <w:p>
      <w:pPr>
        <w:ind w:left="360" w:hanging="339"/>
        <w:spacing w:after="0"/>
        <w:tabs>
          <w:tab w:leader="none" w:pos="36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the Annual Meeting, stockholders will be asked to vote:</w:t>
      </w:r>
    </w:p>
    <w:p>
      <w:pPr>
        <w:spacing w:after="0" w:line="126" w:lineRule="exact"/>
        <w:rPr>
          <w:rFonts w:ascii="Times New Roman" w:cs="Times New Roman" w:eastAsia="Times New Roman" w:hAnsi="Times New Roman"/>
          <w:sz w:val="16"/>
          <w:szCs w:val="16"/>
          <w:color w:val="auto"/>
        </w:rPr>
      </w:pPr>
    </w:p>
    <w:p>
      <w:pPr>
        <w:ind w:left="760" w:hanging="378"/>
        <w:spacing w:after="0" w:line="280" w:lineRule="auto"/>
        <w:tabs>
          <w:tab w:leader="none" w:pos="760" w:val="left"/>
        </w:tabs>
        <w:numPr>
          <w:ilvl w:val="1"/>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elect one director identified in this proxy statement to serve as a Class I director until the annual meeting held in 2025 and until their successor is duly elected and qualified;</w:t>
      </w:r>
    </w:p>
    <w:p>
      <w:pPr>
        <w:spacing w:after="0" w:line="43"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1"/>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ratify the appointment of Ernst &amp; Young LLP as our independent registered public accounting firm for the year ending December 31, 2022;</w:t>
      </w:r>
    </w:p>
    <w:p>
      <w:pPr>
        <w:spacing w:after="0" w:line="113"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1"/>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approve by non-binding advisory vote, the compensation of our named executive officers; and</w:t>
      </w:r>
    </w:p>
    <w:p>
      <w:pPr>
        <w:spacing w:after="0" w:line="113"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1"/>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transact such other business as may properly come before the Annual Meeting or any adjournment thereof.</w:t>
      </w:r>
    </w:p>
    <w:p>
      <w:pPr>
        <w:spacing w:after="0" w:line="125" w:lineRule="exact"/>
        <w:rPr>
          <w:sz w:val="20"/>
          <w:szCs w:val="20"/>
          <w:color w:val="auto"/>
        </w:rPr>
      </w:pPr>
    </w:p>
    <w:p>
      <w:pPr>
        <w:ind w:left="20"/>
        <w:spacing w:after="0"/>
        <w:tabs>
          <w:tab w:leader="none" w:pos="340" w:val="left"/>
        </w:tabs>
        <w:rPr>
          <w:sz w:val="20"/>
          <w:szCs w:val="20"/>
          <w:color w:val="auto"/>
        </w:rPr>
      </w:pPr>
      <w:r>
        <w:rPr>
          <w:rFonts w:ascii="Times New Roman" w:cs="Times New Roman" w:eastAsia="Times New Roman" w:hAnsi="Times New Roman"/>
          <w:sz w:val="16"/>
          <w:szCs w:val="16"/>
          <w:b w:val="1"/>
          <w:bCs w:val="1"/>
          <w:color w:val="auto"/>
        </w:rPr>
        <w:t>Q:</w:t>
        <w:tab/>
        <w:t>What is the voting requirement to approve each of the proposals?</w:t>
      </w:r>
    </w:p>
    <w:p>
      <w:pPr>
        <w:spacing w:after="0" w:line="127" w:lineRule="exact"/>
        <w:rPr>
          <w:sz w:val="20"/>
          <w:szCs w:val="20"/>
          <w:color w:val="auto"/>
        </w:rPr>
      </w:pPr>
    </w:p>
    <w:p>
      <w:pPr>
        <w:ind w:left="360" w:right="160" w:hanging="339"/>
        <w:spacing w:after="0" w:line="239" w:lineRule="auto"/>
        <w:tabs>
          <w:tab w:leader="none" w:pos="36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Proposal One</w:t>
      </w:r>
      <w:r>
        <w:rPr>
          <w:rFonts w:ascii="Times New Roman" w:cs="Times New Roman" w:eastAsia="Times New Roman" w:hAnsi="Times New Roman"/>
          <w:sz w:val="16"/>
          <w:szCs w:val="16"/>
          <w:color w:val="auto"/>
        </w:rPr>
        <w:t>—The election of a director requires a plurality vote of the shares of common stock voted at the Annual Meeting. “Plurality” means that the individual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who receives the largest number of votes cast “for” is elected as a director, however, a nominee is not required to receive a majority of votes “for”. As a result, any shares not voted “for” the nominee (whether as a result of stockholder withholding or a broker non-vote) will not be counted in the nominee’s favor.</w:t>
      </w:r>
    </w:p>
    <w:p>
      <w:pPr>
        <w:spacing w:after="0" w:line="71" w:lineRule="exact"/>
        <w:rPr>
          <w:rFonts w:ascii="Times New Roman" w:cs="Times New Roman" w:eastAsia="Times New Roman" w:hAnsi="Times New Roman"/>
          <w:sz w:val="16"/>
          <w:szCs w:val="16"/>
          <w:color w:val="auto"/>
        </w:rPr>
      </w:pPr>
    </w:p>
    <w:p>
      <w:pPr>
        <w:ind w:left="360" w:right="420"/>
        <w:spacing w:after="0" w:line="24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Proposal Two</w:t>
      </w:r>
      <w:r>
        <w:rPr>
          <w:rFonts w:ascii="Times New Roman" w:cs="Times New Roman" w:eastAsia="Times New Roman" w:hAnsi="Times New Roman"/>
          <w:sz w:val="16"/>
          <w:szCs w:val="16"/>
          <w:color w:val="auto"/>
        </w:rPr>
        <w:t>—The affirmative vote of a majority of votes cast is required to ratify the appointment of Ernst &amp; Young LLP as our independent registered public</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accounting firm. Abstentions will have the effect of a vote against this proposal and broker non-votes will have no effect on the outcome of this proposal.</w:t>
      </w:r>
    </w:p>
    <w:p>
      <w:pPr>
        <w:spacing w:after="0" w:line="65" w:lineRule="exact"/>
        <w:rPr>
          <w:rFonts w:ascii="Times New Roman" w:cs="Times New Roman" w:eastAsia="Times New Roman" w:hAnsi="Times New Roman"/>
          <w:sz w:val="16"/>
          <w:szCs w:val="16"/>
          <w:color w:val="auto"/>
        </w:rPr>
      </w:pPr>
    </w:p>
    <w:p>
      <w:pPr>
        <w:ind w:left="360" w:right="460"/>
        <w:spacing w:after="0" w:line="26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Proposal Three</w:t>
      </w:r>
      <w:r>
        <w:rPr>
          <w:rFonts w:ascii="Times New Roman" w:cs="Times New Roman" w:eastAsia="Times New Roman" w:hAnsi="Times New Roman"/>
          <w:sz w:val="16"/>
          <w:szCs w:val="16"/>
          <w:color w:val="auto"/>
        </w:rPr>
        <w:t>—The affirmative vote of a majority of votes cast is required to approve the advisory vote on the compensation of our named executive officers.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Abstentions will have the effect of a vote against this proposal and broker non-votes will have no effect on the outcome of this proposal.</w:t>
      </w:r>
    </w:p>
    <w:p>
      <w:pPr>
        <w:spacing w:after="0" w:line="66" w:lineRule="exact"/>
        <w:rPr>
          <w:sz w:val="20"/>
          <w:szCs w:val="20"/>
          <w:color w:val="auto"/>
        </w:rPr>
      </w:pPr>
    </w:p>
    <w:p>
      <w:pPr>
        <w:ind w:left="360" w:hanging="339"/>
        <w:spacing w:after="0"/>
        <w:tabs>
          <w:tab w:leader="none" w:pos="36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How does the board of directors recommend that I vote?</w:t>
      </w:r>
    </w:p>
    <w:p>
      <w:pPr>
        <w:spacing w:after="0" w:line="129" w:lineRule="exact"/>
        <w:rPr>
          <w:sz w:val="20"/>
          <w:szCs w:val="20"/>
          <w:color w:val="auto"/>
        </w:rPr>
      </w:pPr>
    </w:p>
    <w:p>
      <w:pPr>
        <w:ind w:left="360" w:hanging="339"/>
        <w:spacing w:after="0"/>
        <w:tabs>
          <w:tab w:leader="none" w:pos="36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board of directors unanimously recommends that you vote your shares:</w:t>
      </w:r>
    </w:p>
    <w:p>
      <w:pPr>
        <w:spacing w:after="0" w:line="126"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1"/>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nominee for election as a director listed in Proposal One;</w:t>
      </w:r>
    </w:p>
    <w:p>
      <w:pPr>
        <w:spacing w:after="0" w:line="113" w:lineRule="exact"/>
        <w:rPr>
          <w:rFonts w:ascii="Times New Roman" w:cs="Times New Roman" w:eastAsia="Times New Roman" w:hAnsi="Times New Roman"/>
          <w:sz w:val="16"/>
          <w:szCs w:val="16"/>
          <w:color w:val="auto"/>
        </w:rPr>
      </w:pPr>
    </w:p>
    <w:p>
      <w:pPr>
        <w:ind w:left="760" w:right="100" w:hanging="378"/>
        <w:spacing w:after="0" w:line="280" w:lineRule="auto"/>
        <w:tabs>
          <w:tab w:leader="none" w:pos="760" w:val="left"/>
        </w:tabs>
        <w:numPr>
          <w:ilvl w:val="1"/>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ratification of the appointment of Ernst &amp; Young LLP as our independent registered public accounting firm for the year ending December 31, 2022; and</w:t>
      </w:r>
    </w:p>
    <w:p>
      <w:pPr>
        <w:spacing w:after="0" w:line="56"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1"/>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approval of the compensation of our named executive officers.</w:t>
      </w:r>
    </w:p>
    <w:p>
      <w:pPr>
        <w:spacing w:after="0" w:line="200" w:lineRule="exact"/>
        <w:rPr>
          <w:sz w:val="20"/>
          <w:szCs w:val="20"/>
          <w:color w:val="auto"/>
        </w:rPr>
      </w:pPr>
    </w:p>
    <w:p>
      <w:pPr>
        <w:spacing w:after="0" w:line="2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4" w:right="3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563C1"/>
        </w:rPr>
        <w:t>TABLE OF CONTENTS</w:t>
      </w:r>
    </w:p>
    <w:p>
      <w:pPr>
        <w:spacing w:after="0" w:line="254" w:lineRule="exact"/>
        <w:rPr>
          <w:sz w:val="20"/>
          <w:szCs w:val="20"/>
          <w:color w:val="auto"/>
        </w:rPr>
      </w:pPr>
    </w:p>
    <w:p>
      <w:pPr>
        <w:ind w:left="20"/>
        <w:spacing w:after="0"/>
        <w:tabs>
          <w:tab w:leader="none" w:pos="340" w:val="left"/>
        </w:tabs>
        <w:rPr>
          <w:sz w:val="20"/>
          <w:szCs w:val="20"/>
          <w:color w:val="auto"/>
        </w:rPr>
      </w:pPr>
      <w:r>
        <w:rPr>
          <w:rFonts w:ascii="Times New Roman" w:cs="Times New Roman" w:eastAsia="Times New Roman" w:hAnsi="Times New Roman"/>
          <w:sz w:val="16"/>
          <w:szCs w:val="16"/>
          <w:b w:val="1"/>
          <w:bCs w:val="1"/>
          <w:color w:val="auto"/>
        </w:rPr>
        <w:t>Q:</w:t>
        <w:tab/>
        <w:t>What happens if I do not give specific voting instructions?</w:t>
      </w:r>
    </w:p>
    <w:p>
      <w:pPr>
        <w:spacing w:after="0" w:line="127" w:lineRule="exact"/>
        <w:rPr>
          <w:sz w:val="20"/>
          <w:szCs w:val="20"/>
          <w:color w:val="auto"/>
        </w:rPr>
      </w:pPr>
    </w:p>
    <w:p>
      <w:pPr>
        <w:ind w:left="360" w:hanging="339"/>
        <w:spacing w:after="0"/>
        <w:tabs>
          <w:tab w:leader="none" w:pos="3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Stockholder of record</w:t>
      </w:r>
      <w:r>
        <w:rPr>
          <w:rFonts w:ascii="Times New Roman" w:cs="Times New Roman" w:eastAsia="Times New Roman" w:hAnsi="Times New Roman"/>
          <w:sz w:val="16"/>
          <w:szCs w:val="16"/>
          <w:color w:val="auto"/>
        </w:rPr>
        <w:t>—If you are a stockholder of record and you:</w:t>
      </w:r>
    </w:p>
    <w:p>
      <w:pPr>
        <w:spacing w:after="0" w:line="128"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1"/>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Indicate when voting on the Internet or by telephone that you wish to vote as recommended by our board of directors; or</w:t>
      </w:r>
    </w:p>
    <w:p>
      <w:pPr>
        <w:spacing w:after="0" w:line="113"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1"/>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Sign and return a proxy card without giving specific voting instructions,</w:t>
      </w:r>
    </w:p>
    <w:p>
      <w:pPr>
        <w:spacing w:after="0" w:line="100" w:lineRule="exact"/>
        <w:rPr>
          <w:sz w:val="20"/>
          <w:szCs w:val="20"/>
          <w:color w:val="auto"/>
        </w:rPr>
      </w:pPr>
    </w:p>
    <w:p>
      <w:pPr>
        <w:ind w:left="380" w:right="60"/>
        <w:spacing w:after="0" w:line="280" w:lineRule="auto"/>
        <w:rPr>
          <w:sz w:val="20"/>
          <w:szCs w:val="20"/>
          <w:color w:val="auto"/>
        </w:rPr>
      </w:pPr>
      <w:r>
        <w:rPr>
          <w:rFonts w:ascii="Times New Roman" w:cs="Times New Roman" w:eastAsia="Times New Roman" w:hAnsi="Times New Roman"/>
          <w:sz w:val="16"/>
          <w:szCs w:val="16"/>
          <w:color w:val="auto"/>
        </w:rPr>
        <w:t>then the persons named as proxy holders will vote your shares in the manner recommended by the board of directors on all matters presented in this proxy statement and as the proxy holders may determine in their discretion with respect to any other matters properly presented for a vote at the Annual Meeting.</w:t>
      </w:r>
    </w:p>
    <w:p>
      <w:pPr>
        <w:spacing w:after="0" w:line="55" w:lineRule="exact"/>
        <w:rPr>
          <w:sz w:val="20"/>
          <w:szCs w:val="20"/>
          <w:color w:val="auto"/>
        </w:rPr>
      </w:pPr>
    </w:p>
    <w:p>
      <w:pPr>
        <w:ind w:left="380" w:right="20"/>
        <w:spacing w:after="0" w:line="253" w:lineRule="auto"/>
        <w:rPr>
          <w:sz w:val="20"/>
          <w:szCs w:val="20"/>
          <w:color w:val="auto"/>
        </w:rPr>
      </w:pPr>
      <w:r>
        <w:rPr>
          <w:rFonts w:ascii="Times New Roman" w:cs="Times New Roman" w:eastAsia="Times New Roman" w:hAnsi="Times New Roman"/>
          <w:sz w:val="16"/>
          <w:szCs w:val="16"/>
          <w:i w:val="1"/>
          <w:iCs w:val="1"/>
          <w:color w:val="auto"/>
        </w:rPr>
        <w:t>Beneficial owners</w:t>
      </w:r>
      <w:r>
        <w:rPr>
          <w:rFonts w:ascii="Times New Roman" w:cs="Times New Roman" w:eastAsia="Times New Roman" w:hAnsi="Times New Roman"/>
          <w:sz w:val="16"/>
          <w:szCs w:val="16"/>
          <w:color w:val="auto"/>
        </w:rPr>
        <w:t>—If you are a beneficial owner of shares held in street name and do not provide the organization that holds your shares with specific voting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instructions then, under applicable rules, the organization that holds your shares may generally vote on “routine” matters but cannot vote on “non-routine” matters. If the organization that holds your shares does not receive instructions from you on how to vote your shares on a non-routine matter, that organization will inform the inspector of election that it does not have the authority to vote on this matter with respect to your shares. This is generally referred to as a “broker non-vote.”</w:t>
      </w:r>
    </w:p>
    <w:p>
      <w:pPr>
        <w:spacing w:after="0" w:line="88" w:lineRule="exact"/>
        <w:rPr>
          <w:sz w:val="20"/>
          <w:szCs w:val="20"/>
          <w:color w:val="auto"/>
        </w:rPr>
      </w:pPr>
    </w:p>
    <w:p>
      <w:pPr>
        <w:ind w:left="20"/>
        <w:spacing w:after="0"/>
        <w:tabs>
          <w:tab w:leader="none" w:pos="340" w:val="left"/>
        </w:tabs>
        <w:rPr>
          <w:sz w:val="20"/>
          <w:szCs w:val="20"/>
          <w:color w:val="auto"/>
        </w:rPr>
      </w:pPr>
      <w:r>
        <w:rPr>
          <w:rFonts w:ascii="Times New Roman" w:cs="Times New Roman" w:eastAsia="Times New Roman" w:hAnsi="Times New Roman"/>
          <w:sz w:val="16"/>
          <w:szCs w:val="16"/>
          <w:b w:val="1"/>
          <w:bCs w:val="1"/>
          <w:color w:val="auto"/>
        </w:rPr>
        <w:t>Q:</w:t>
        <w:tab/>
        <w:t>How may my brokerage firm or other intermediary vote my shares if I fail to provide timely directions?</w:t>
      </w:r>
    </w:p>
    <w:p>
      <w:pPr>
        <w:spacing w:after="0" w:line="129" w:lineRule="exact"/>
        <w:rPr>
          <w:sz w:val="20"/>
          <w:szCs w:val="20"/>
          <w:color w:val="auto"/>
        </w:rPr>
      </w:pPr>
    </w:p>
    <w:p>
      <w:pPr>
        <w:ind w:left="360" w:hanging="339"/>
        <w:spacing w:after="0" w:line="235" w:lineRule="auto"/>
        <w:tabs>
          <w:tab w:leader="none" w:pos="36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Brokerage firms and other intermediaries holding shares of common stock in street name for customers are generally required to vote such shares in the manner directed by their customers. In the absence of timely directions, your broker will have discretion to vote your shares on our sole routine matter—the proposal to ratify the appointment of Ernst &amp; Young LLP. Your broker will not have discretion to vote on the election of directors, the compensation of our named executive officers or the frequency of the advisory vote on the compensation of our named executive officers.</w:t>
      </w:r>
    </w:p>
    <w:p>
      <w:pPr>
        <w:spacing w:after="0" w:line="101"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6"/>
          <w:szCs w:val="16"/>
          <w:b w:val="1"/>
          <w:bCs w:val="1"/>
          <w:color w:val="auto"/>
        </w:rPr>
        <w:t>Please note that brokers may not vote your shares on the election of directors or the compensation of our named executive officers in the absence of your specific instructions as to how to vote, so we encourage you to provide instructions to your broker regarding the voting of your shares.</w:t>
      </w:r>
    </w:p>
    <w:p>
      <w:pPr>
        <w:spacing w:after="0" w:line="80" w:lineRule="exact"/>
        <w:rPr>
          <w:sz w:val="20"/>
          <w:szCs w:val="20"/>
          <w:color w:val="auto"/>
        </w:rPr>
      </w:pPr>
    </w:p>
    <w:p>
      <w:pPr>
        <w:ind w:left="20"/>
        <w:spacing w:after="0"/>
        <w:tabs>
          <w:tab w:leader="none" w:pos="340" w:val="left"/>
        </w:tabs>
        <w:rPr>
          <w:sz w:val="20"/>
          <w:szCs w:val="20"/>
          <w:color w:val="auto"/>
        </w:rPr>
      </w:pPr>
      <w:r>
        <w:rPr>
          <w:rFonts w:ascii="Times New Roman" w:cs="Times New Roman" w:eastAsia="Times New Roman" w:hAnsi="Times New Roman"/>
          <w:sz w:val="16"/>
          <w:szCs w:val="16"/>
          <w:b w:val="1"/>
          <w:bCs w:val="1"/>
          <w:color w:val="auto"/>
        </w:rPr>
        <w:t>Q:</w:t>
        <w:tab/>
        <w:t>What happens if additional matters are presented at the Annual Meeting?</w:t>
      </w:r>
    </w:p>
    <w:p>
      <w:pPr>
        <w:spacing w:after="0" w:line="129" w:lineRule="exact"/>
        <w:rPr>
          <w:sz w:val="20"/>
          <w:szCs w:val="20"/>
          <w:color w:val="auto"/>
        </w:rPr>
      </w:pPr>
    </w:p>
    <w:p>
      <w:pPr>
        <w:ind w:left="360" w:right="20" w:hanging="339"/>
        <w:spacing w:after="0" w:line="235" w:lineRule="auto"/>
        <w:tabs>
          <w:tab w:leader="none" w:pos="3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any other matters are properly presented for consideration at the Annual Meeting, including, among other things, consideration of a motion to adjourn the Annual Meeting to another time or place (including, without limitation, for the purpose of soliciting additional proxies), the persons named in the proxy card and acting thereunder will have discretion to vote on those matters in accordance with their best judgment. We do not currently anticipate that any other matters will be raised at the Annual Meeting.</w:t>
      </w:r>
    </w:p>
    <w:p>
      <w:pPr>
        <w:spacing w:after="0" w:line="101" w:lineRule="exact"/>
        <w:rPr>
          <w:sz w:val="20"/>
          <w:szCs w:val="20"/>
          <w:color w:val="auto"/>
        </w:rPr>
      </w:pPr>
    </w:p>
    <w:p>
      <w:pPr>
        <w:ind w:left="20"/>
        <w:spacing w:after="0"/>
        <w:tabs>
          <w:tab w:leader="none" w:pos="340" w:val="left"/>
        </w:tabs>
        <w:rPr>
          <w:sz w:val="20"/>
          <w:szCs w:val="20"/>
          <w:color w:val="auto"/>
        </w:rPr>
      </w:pPr>
      <w:r>
        <w:rPr>
          <w:rFonts w:ascii="Times New Roman" w:cs="Times New Roman" w:eastAsia="Times New Roman" w:hAnsi="Times New Roman"/>
          <w:sz w:val="16"/>
          <w:szCs w:val="16"/>
          <w:b w:val="1"/>
          <w:bCs w:val="1"/>
          <w:color w:val="auto"/>
        </w:rPr>
        <w:t>Q:</w:t>
        <w:tab/>
        <w:t>Can I change or revoke my vote after submitting my proxy?</w:t>
      </w:r>
    </w:p>
    <w:p>
      <w:pPr>
        <w:spacing w:after="0" w:line="129" w:lineRule="exact"/>
        <w:rPr>
          <w:sz w:val="20"/>
          <w:szCs w:val="20"/>
          <w:color w:val="auto"/>
        </w:rPr>
      </w:pPr>
    </w:p>
    <w:p>
      <w:pPr>
        <w:ind w:left="360" w:right="280" w:hanging="339"/>
        <w:spacing w:after="0" w:line="245" w:lineRule="auto"/>
        <w:tabs>
          <w:tab w:leader="none" w:pos="3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any rules your broker, trustee or nominee may have, you may change or revoke your proxy in any one of the ways listed below at any time before your proxy is voted at the Annual Meeting.</w:t>
      </w:r>
    </w:p>
    <w:p>
      <w:pPr>
        <w:spacing w:after="0" w:line="69" w:lineRule="exact"/>
        <w:rPr>
          <w:rFonts w:ascii="Times New Roman" w:cs="Times New Roman" w:eastAsia="Times New Roman" w:hAnsi="Times New Roman"/>
          <w:sz w:val="16"/>
          <w:szCs w:val="16"/>
          <w:color w:val="auto"/>
        </w:rPr>
      </w:pPr>
    </w:p>
    <w:p>
      <w:pPr>
        <w:ind w:left="360" w:right="20"/>
        <w:spacing w:after="0" w:line="23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you are a stockholder of record, you may change your vote by (1) filing with our Corporate Secretary, prior to your shares being voted at the Annual Meeting, a written notice of revocation or a duly executed proxy card, in either case dated later than the prior proxy card relating to the same shares; or (2) by voting at the Annual Meeting. A stockholder of record that has voted on the Internet or by telephone may also change his or her vote by later making a timely and valid Internet or telephone vote.</w:t>
      </w:r>
    </w:p>
    <w:p>
      <w:pPr>
        <w:spacing w:after="0" w:line="62" w:lineRule="exact"/>
        <w:rPr>
          <w:rFonts w:ascii="Times New Roman" w:cs="Times New Roman" w:eastAsia="Times New Roman" w:hAnsi="Times New Roman"/>
          <w:sz w:val="16"/>
          <w:szCs w:val="16"/>
          <w:color w:val="auto"/>
        </w:rPr>
      </w:pPr>
    </w:p>
    <w:p>
      <w:pPr>
        <w:ind w:left="360" w:right="100"/>
        <w:spacing w:after="0" w:line="23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you are a beneficial owner of shares held in street name, you may change your vote: (1) by submitting new voting instructions to your broker, trustee or other nominee; (2) if you have obtained a legal proxy from the broker, trustee or other nominee that holds your shares giving you the right to vote the shares, by attending the Annual Meeting and voting in person; or (3) filing with our Corporate Secretary, prior to your shares being voted at the Annual Meeting, a written notice of revocation or a duly executed proxy card, in either case dated later than the prior proxy card relating to the same shares.</w:t>
      </w:r>
    </w:p>
    <w:p>
      <w:pPr>
        <w:spacing w:after="0" w:line="62" w:lineRule="exact"/>
        <w:rPr>
          <w:rFonts w:ascii="Times New Roman" w:cs="Times New Roman" w:eastAsia="Times New Roman" w:hAnsi="Times New Roman"/>
          <w:sz w:val="16"/>
          <w:szCs w:val="16"/>
          <w:color w:val="auto"/>
        </w:rPr>
      </w:pPr>
    </w:p>
    <w:p>
      <w:pPr>
        <w:ind w:left="360" w:right="180"/>
        <w:spacing w:after="0" w:line="24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written notice of revocation or subsequent proxy card must be received by our Corporate Secretary prior to the taking of the vote at the Annual Meeting. Such written notice of revocation or subsequent proxy card should be hand delivered to our Corporate Secretary or should be sent so as to be delivered to our principal executive offices, Attention: Corporate Secretary.</w:t>
      </w:r>
    </w:p>
    <w:p>
      <w:pPr>
        <w:spacing w:after="0" w:line="200" w:lineRule="exact"/>
        <w:rPr>
          <w:sz w:val="20"/>
          <w:szCs w:val="20"/>
          <w:color w:val="auto"/>
        </w:rPr>
      </w:pPr>
    </w:p>
    <w:p>
      <w:pPr>
        <w:spacing w:after="0" w:line="20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14" w:right="4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563C1"/>
        </w:rPr>
        <w:t>TABLE OF CONTENTS</w:t>
      </w:r>
    </w:p>
    <w:p>
      <w:pPr>
        <w:spacing w:after="0" w:line="254" w:lineRule="exact"/>
        <w:rPr>
          <w:sz w:val="20"/>
          <w:szCs w:val="20"/>
          <w:color w:val="auto"/>
        </w:rPr>
      </w:pPr>
    </w:p>
    <w:p>
      <w:pPr>
        <w:ind w:left="20"/>
        <w:spacing w:after="0"/>
        <w:tabs>
          <w:tab w:leader="none" w:pos="340" w:val="left"/>
        </w:tabs>
        <w:rPr>
          <w:sz w:val="20"/>
          <w:szCs w:val="20"/>
          <w:color w:val="auto"/>
        </w:rPr>
      </w:pPr>
      <w:r>
        <w:rPr>
          <w:rFonts w:ascii="Times New Roman" w:cs="Times New Roman" w:eastAsia="Times New Roman" w:hAnsi="Times New Roman"/>
          <w:sz w:val="16"/>
          <w:szCs w:val="16"/>
          <w:b w:val="1"/>
          <w:bCs w:val="1"/>
          <w:color w:val="auto"/>
        </w:rPr>
        <w:t>Q:</w:t>
        <w:tab/>
        <w:t>Who will bear the cost of soliciting votes for the Annual Meeting?</w:t>
      </w:r>
    </w:p>
    <w:p>
      <w:pPr>
        <w:spacing w:after="0" w:line="129" w:lineRule="exact"/>
        <w:rPr>
          <w:sz w:val="20"/>
          <w:szCs w:val="20"/>
          <w:color w:val="auto"/>
        </w:rPr>
      </w:pPr>
    </w:p>
    <w:p>
      <w:pPr>
        <w:ind w:left="360" w:hanging="339"/>
        <w:spacing w:after="0" w:line="227" w:lineRule="auto"/>
        <w:tabs>
          <w:tab w:leader="none" w:pos="36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will bear all expenses of this solicitation, including the cost of preparing and mailing these proxy materials. We may reimburse brokerage firms, custodians, nominees, fiduciaries and other persons representing beneficial owners of common stock for their reasonable expenses in forwarding solicitation material to such beneficial owners. Directors, officers and employees of Axsome may also solicit proxies in person or by other means of communication. Such directors, officers and employees will not be additionally compensated but may be reimbursed for reasonable out-of-pocket expenses in connection with such solicitation. We may engage the services of a professional proxy solicitation firm to aid in the solicitation of proxies from certain brokers, bank nominees and other institutional owners. Our costs for such services, if retained, will not be significant. If you choose to access the proxy materials and/or vote through the Internet, you are responsible for any Internet access charges you may incur.</w:t>
      </w:r>
    </w:p>
    <w:p>
      <w:pPr>
        <w:spacing w:after="0" w:line="103" w:lineRule="exact"/>
        <w:rPr>
          <w:sz w:val="20"/>
          <w:szCs w:val="20"/>
          <w:color w:val="auto"/>
        </w:rPr>
      </w:pPr>
    </w:p>
    <w:p>
      <w:pPr>
        <w:ind w:left="20"/>
        <w:spacing w:after="0"/>
        <w:tabs>
          <w:tab w:leader="none" w:pos="340" w:val="left"/>
        </w:tabs>
        <w:rPr>
          <w:sz w:val="20"/>
          <w:szCs w:val="20"/>
          <w:color w:val="auto"/>
        </w:rPr>
      </w:pPr>
      <w:r>
        <w:rPr>
          <w:rFonts w:ascii="Times New Roman" w:cs="Times New Roman" w:eastAsia="Times New Roman" w:hAnsi="Times New Roman"/>
          <w:sz w:val="16"/>
          <w:szCs w:val="16"/>
          <w:b w:val="1"/>
          <w:bCs w:val="1"/>
          <w:color w:val="auto"/>
        </w:rPr>
        <w:t>Q:</w:t>
        <w:tab/>
        <w:t>Is my vote confidential?</w:t>
      </w:r>
    </w:p>
    <w:p>
      <w:pPr>
        <w:spacing w:after="0" w:line="129" w:lineRule="exact"/>
        <w:rPr>
          <w:sz w:val="20"/>
          <w:szCs w:val="20"/>
          <w:color w:val="auto"/>
        </w:rPr>
      </w:pPr>
    </w:p>
    <w:p>
      <w:pPr>
        <w:jc w:val="both"/>
        <w:ind w:left="360" w:right="100" w:hanging="339"/>
        <w:spacing w:after="0" w:line="238" w:lineRule="auto"/>
        <w:tabs>
          <w:tab w:leader="none" w:pos="3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Proxy instructions, ballots, and voting tabulations that identify individual stockholders are handled in a manner that protects your voting privacy. Your vote will not be disclosed either within Axsome or to third parties, except as necessary to meet applicable legal requirements, to allow for the tabulation of votes and certification of the vote, or to facilitate a successful proxy solicitation.</w:t>
      </w:r>
    </w:p>
    <w:p>
      <w:pPr>
        <w:spacing w:after="0" w:line="99" w:lineRule="exact"/>
        <w:rPr>
          <w:sz w:val="20"/>
          <w:szCs w:val="20"/>
          <w:color w:val="auto"/>
        </w:rPr>
      </w:pPr>
    </w:p>
    <w:p>
      <w:pPr>
        <w:ind w:left="20"/>
        <w:spacing w:after="0"/>
        <w:tabs>
          <w:tab w:leader="none" w:pos="340" w:val="left"/>
        </w:tabs>
        <w:rPr>
          <w:sz w:val="20"/>
          <w:szCs w:val="20"/>
          <w:color w:val="auto"/>
        </w:rPr>
      </w:pPr>
      <w:r>
        <w:rPr>
          <w:rFonts w:ascii="Times New Roman" w:cs="Times New Roman" w:eastAsia="Times New Roman" w:hAnsi="Times New Roman"/>
          <w:sz w:val="16"/>
          <w:szCs w:val="16"/>
          <w:b w:val="1"/>
          <w:bCs w:val="1"/>
          <w:color w:val="auto"/>
        </w:rPr>
        <w:t>Q:</w:t>
        <w:tab/>
        <w:t>Where can I find the voting results of the Annual Meeting?</w:t>
      </w:r>
    </w:p>
    <w:p>
      <w:pPr>
        <w:spacing w:after="0" w:line="129" w:lineRule="exact"/>
        <w:rPr>
          <w:sz w:val="20"/>
          <w:szCs w:val="20"/>
          <w:color w:val="auto"/>
        </w:rPr>
      </w:pPr>
    </w:p>
    <w:p>
      <w:pPr>
        <w:ind w:left="360" w:right="280" w:hanging="339"/>
        <w:spacing w:after="0" w:line="263" w:lineRule="auto"/>
        <w:tabs>
          <w:tab w:leader="none" w:pos="36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intend to announce preliminary voting results at the Annual Meeting and will publish final results in a Current Report on Form 8-K within four business days after the Annual Meeting.</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Stockholder Proposals and Director Nominations</w:t>
      </w:r>
    </w:p>
    <w:p>
      <w:pPr>
        <w:spacing w:after="0" w:line="127" w:lineRule="exact"/>
        <w:rPr>
          <w:sz w:val="20"/>
          <w:szCs w:val="20"/>
          <w:color w:val="auto"/>
        </w:rPr>
      </w:pPr>
    </w:p>
    <w:p>
      <w:pPr>
        <w:ind w:left="20"/>
        <w:spacing w:after="0"/>
        <w:tabs>
          <w:tab w:leader="none" w:pos="340" w:val="left"/>
        </w:tabs>
        <w:rPr>
          <w:sz w:val="20"/>
          <w:szCs w:val="20"/>
          <w:color w:val="auto"/>
        </w:rPr>
      </w:pPr>
      <w:r>
        <w:rPr>
          <w:rFonts w:ascii="Times New Roman" w:cs="Times New Roman" w:eastAsia="Times New Roman" w:hAnsi="Times New Roman"/>
          <w:sz w:val="16"/>
          <w:szCs w:val="16"/>
          <w:b w:val="1"/>
          <w:bCs w:val="1"/>
          <w:color w:val="auto"/>
        </w:rPr>
        <w:t>Q:</w:t>
        <w:tab/>
        <w:t>What is the deadline to propose actions for consideration at next year’s annual meeting of stockholders or to nominate individuals to serve as directors?</w:t>
      </w:r>
    </w:p>
    <w:p>
      <w:pPr>
        <w:spacing w:after="0" w:line="129" w:lineRule="exact"/>
        <w:rPr>
          <w:sz w:val="20"/>
          <w:szCs w:val="20"/>
          <w:color w:val="auto"/>
        </w:rPr>
      </w:pPr>
    </w:p>
    <w:p>
      <w:pPr>
        <w:ind w:left="360" w:hanging="339"/>
        <w:spacing w:after="0"/>
        <w:tabs>
          <w:tab w:leader="none" w:pos="36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 may submit proposals, including director nominations, for consideration at future stockholder meetings.</w:t>
      </w:r>
    </w:p>
    <w:p>
      <w:pPr>
        <w:spacing w:after="0" w:line="97" w:lineRule="exact"/>
        <w:rPr>
          <w:rFonts w:ascii="Times New Roman" w:cs="Times New Roman" w:eastAsia="Times New Roman" w:hAnsi="Times New Roman"/>
          <w:sz w:val="16"/>
          <w:szCs w:val="16"/>
          <w:color w:val="auto"/>
        </w:rPr>
      </w:pPr>
    </w:p>
    <w:p>
      <w:pPr>
        <w:jc w:val="both"/>
        <w:ind w:left="360" w:right="40"/>
        <w:spacing w:after="0" w:line="23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Requirements for stockholder proposals to be considered for inclusion in our proxy materials</w:t>
      </w:r>
      <w:r>
        <w:rPr>
          <w:rFonts w:ascii="Times New Roman" w:cs="Times New Roman" w:eastAsia="Times New Roman" w:hAnsi="Times New Roman"/>
          <w:sz w:val="16"/>
          <w:szCs w:val="16"/>
          <w:color w:val="auto"/>
        </w:rPr>
        <w:t>—Stockholders may present proper proposals for inclusion in our proxy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statement and for consideration at our next annual meeting of stockholders by submitting their proposals in writing to our Corporate Secretary in a timely manner. In order to be included in the proxy statement for the 2023 annual meeting of stockholders, stockholder proposals must be received by our Corporate Secretary no later than December 21, 2022 and must otherwise comply with the requirements of Rule 14a-8 of the Securities Exchange Act of 1934, as amended, or the Exchange Act.</w:t>
      </w:r>
    </w:p>
    <w:p>
      <w:pPr>
        <w:spacing w:after="0" w:line="59" w:lineRule="exact"/>
        <w:rPr>
          <w:rFonts w:ascii="Times New Roman" w:cs="Times New Roman" w:eastAsia="Times New Roman" w:hAnsi="Times New Roman"/>
          <w:sz w:val="16"/>
          <w:szCs w:val="16"/>
          <w:color w:val="auto"/>
        </w:rPr>
      </w:pPr>
    </w:p>
    <w:p>
      <w:pPr>
        <w:ind w:left="360" w:right="300"/>
        <w:spacing w:after="0" w:line="231"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Requirements for stockholder proposals to be brought before an annual meeting</w:t>
      </w:r>
      <w:r>
        <w:rPr>
          <w:rFonts w:ascii="Times New Roman" w:cs="Times New Roman" w:eastAsia="Times New Roman" w:hAnsi="Times New Roman"/>
          <w:sz w:val="16"/>
          <w:szCs w:val="16"/>
          <w:color w:val="auto"/>
        </w:rPr>
        <w:t>—In addition, our bylaws establish an advance notice procedure for stockholders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who wish to present certain matters before an annual meeting of stockholders. In general, nominations for the election of directors may be made by our board of directors or any committee thereof or any stockholder who is a stockholder of record on the date of the giving of such notice and on the record date for the determination of stockholders entitled to vote at such meeting, who is entitled to vote at such meeting and who has delivered written notice to our Corporate Secretary no later than the Notice Deadline (as defined below), which notice must contain specified information concerning the nominees and concerning the stockholder proposing such nominations.</w:t>
      </w:r>
    </w:p>
    <w:p>
      <w:pPr>
        <w:spacing w:after="0" w:line="73" w:lineRule="exact"/>
        <w:rPr>
          <w:rFonts w:ascii="Times New Roman" w:cs="Times New Roman" w:eastAsia="Times New Roman" w:hAnsi="Times New Roman"/>
          <w:sz w:val="16"/>
          <w:szCs w:val="16"/>
          <w:color w:val="auto"/>
        </w:rPr>
      </w:pPr>
    </w:p>
    <w:p>
      <w:pPr>
        <w:ind w:left="360" w:right="40"/>
        <w:spacing w:after="0" w:line="231"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bylaws also provide that the only business that may be conducted at an annual meeting is business that is (1) specified in the notice of meeting (or any supplement thereto) given by or at the direction of our board of directors, (2) otherwise properly brought before the meeting by or at the direction of our board of directors (or any committee thereto) or (3) properly brought before the meeting by a stockholder who has delivered written notice to our Corporate Secretary no later than the Notice Deadline (as defined below).</w:t>
      </w:r>
    </w:p>
    <w:p>
      <w:pPr>
        <w:spacing w:after="0" w:line="74" w:lineRule="exact"/>
        <w:rPr>
          <w:rFonts w:ascii="Times New Roman" w:cs="Times New Roman" w:eastAsia="Times New Roman" w:hAnsi="Times New Roman"/>
          <w:sz w:val="16"/>
          <w:szCs w:val="16"/>
          <w:color w:val="auto"/>
        </w:rPr>
      </w:pPr>
    </w:p>
    <w:p>
      <w:pPr>
        <w:ind w:left="360" w:right="140"/>
        <w:spacing w:after="0" w:line="23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“Notice Deadline” is defined in our amended and restated bylaws as that date which is not less than 120 days nor more than 150 days prior to the one-year anniversary of the previous year’s annual meeting of stockholders. As a result, the Notice Deadline for the 2023 annual meeting of stockholders is between January 4, 2023 and February 3, 2023.</w:t>
      </w:r>
    </w:p>
    <w:p>
      <w:pPr>
        <w:spacing w:after="0" w:line="73" w:lineRule="exact"/>
        <w:rPr>
          <w:rFonts w:ascii="Times New Roman" w:cs="Times New Roman" w:eastAsia="Times New Roman" w:hAnsi="Times New Roman"/>
          <w:sz w:val="16"/>
          <w:szCs w:val="16"/>
          <w:color w:val="auto"/>
        </w:rPr>
      </w:pPr>
    </w:p>
    <w:p>
      <w:pPr>
        <w:ind w:left="360" w:right="120"/>
        <w:spacing w:after="0" w:line="24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 stockholder who has notified us of his or her intention to present a proposal at an annual meeting does not appear to present his or her proposal at such meeting, we need not present the proposal for vote at such meeting.</w:t>
      </w:r>
    </w:p>
    <w:p>
      <w:pPr>
        <w:spacing w:after="0" w:line="67" w:lineRule="exact"/>
        <w:rPr>
          <w:rFonts w:ascii="Times New Roman" w:cs="Times New Roman" w:eastAsia="Times New Roman" w:hAnsi="Times New Roman"/>
          <w:sz w:val="16"/>
          <w:szCs w:val="16"/>
          <w:color w:val="auto"/>
        </w:rPr>
      </w:pPr>
    </w:p>
    <w:p>
      <w:pPr>
        <w:ind w:left="360" w:right="160"/>
        <w:spacing w:after="0" w:line="26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Recommendation of director candidates</w:t>
      </w:r>
      <w:r>
        <w:rPr>
          <w:rFonts w:ascii="Times New Roman" w:cs="Times New Roman" w:eastAsia="Times New Roman" w:hAnsi="Times New Roman"/>
          <w:sz w:val="16"/>
          <w:szCs w:val="16"/>
          <w:color w:val="auto"/>
        </w:rPr>
        <w:t>—You may recommend candidates to our board of directors for consideration by our nominating and corporate governance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committee by following the procedures set forth below in “Corporation Governance—Stockholder Recommendations for Nominations to the Board of Directors.”</w:t>
      </w:r>
    </w:p>
    <w:p>
      <w:pPr>
        <w:spacing w:after="0" w:line="37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14" w:right="4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563C1"/>
        </w:rPr>
        <w:t>TABLE OF CONTENTS</w:t>
      </w:r>
    </w:p>
    <w:p>
      <w:pPr>
        <w:spacing w:after="0" w:line="119" w:lineRule="exact"/>
        <w:rPr>
          <w:sz w:val="20"/>
          <w:szCs w:val="20"/>
          <w:color w:val="auto"/>
        </w:rPr>
      </w:pPr>
    </w:p>
    <w:p>
      <w:pPr>
        <w:ind w:left="360" w:hanging="339"/>
        <w:spacing w:after="0"/>
        <w:tabs>
          <w:tab w:leader="none" w:pos="3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How may I obtain a copy of the bylaw provisions regarding stockholder proposals and director nominations?</w:t>
      </w:r>
    </w:p>
    <w:p>
      <w:pPr>
        <w:spacing w:after="0" w:line="129" w:lineRule="exact"/>
        <w:rPr>
          <w:sz w:val="20"/>
          <w:szCs w:val="20"/>
          <w:color w:val="auto"/>
        </w:rPr>
      </w:pPr>
    </w:p>
    <w:p>
      <w:pPr>
        <w:ind w:left="360" w:right="180" w:hanging="339"/>
        <w:spacing w:after="0" w:line="235" w:lineRule="auto"/>
        <w:tabs>
          <w:tab w:leader="none" w:pos="36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copy of the full text of the bylaw provisions discussed above may be obtained by writing to our Corporate Secretary. In addition, this and other information about our company may be obtained at the web site maintained by the SEC that contains reports, proxy and information statements and other information regarding registrants that file electronically with the SEC. The address of the SEC’s website is www.sec.gov. All notices of proposals by stockholders, whether or not included in Axsome’s proxy materials, should be sent to our principal executive offices, Attention: Corporate Secretary.</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Additional Information about the Proxy Materials</w:t>
      </w:r>
    </w:p>
    <w:p>
      <w:pPr>
        <w:spacing w:after="0" w:line="127" w:lineRule="exact"/>
        <w:rPr>
          <w:sz w:val="20"/>
          <w:szCs w:val="20"/>
          <w:color w:val="auto"/>
        </w:rPr>
      </w:pPr>
    </w:p>
    <w:p>
      <w:pPr>
        <w:ind w:left="20"/>
        <w:spacing w:after="0"/>
        <w:tabs>
          <w:tab w:leader="none" w:pos="340" w:val="left"/>
        </w:tabs>
        <w:rPr>
          <w:sz w:val="20"/>
          <w:szCs w:val="20"/>
          <w:color w:val="auto"/>
        </w:rPr>
      </w:pPr>
      <w:r>
        <w:rPr>
          <w:rFonts w:ascii="Times New Roman" w:cs="Times New Roman" w:eastAsia="Times New Roman" w:hAnsi="Times New Roman"/>
          <w:sz w:val="16"/>
          <w:szCs w:val="16"/>
          <w:b w:val="1"/>
          <w:bCs w:val="1"/>
          <w:color w:val="auto"/>
        </w:rPr>
        <w:t>Q:</w:t>
        <w:tab/>
        <w:t>What does it mean if multiple members of my household are stockholders but we only received one full set of proxy materials in the mail?</w:t>
      </w:r>
    </w:p>
    <w:p>
      <w:pPr>
        <w:spacing w:after="0" w:line="129" w:lineRule="exact"/>
        <w:rPr>
          <w:sz w:val="20"/>
          <w:szCs w:val="20"/>
          <w:color w:val="auto"/>
        </w:rPr>
      </w:pPr>
    </w:p>
    <w:p>
      <w:pPr>
        <w:ind w:left="360" w:right="120" w:hanging="339"/>
        <w:spacing w:after="0" w:line="227" w:lineRule="auto"/>
        <w:tabs>
          <w:tab w:leader="none" w:pos="36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adopted a procedure called “householding,” which the SEC has approved. Under this procedure, we deliver a single copy of the notice of the Annual Meeting and the proxy materials to multiple stockholders who share the same address unless we received contrary instructions from one or more of the stockholders. This procedure reduces our printing and mailing costs and is environmentally friendly. Stockholders who participate in householding will continue to be able to access and receive separate proxy cards. Upon written request, we will deliver promptly a separate copy of the notice of the Annual Meeting and the proxy materials to any stockholder at a shared address to which we delivered a single copy of any of these documents. To receive a separate copy of the notice of the Annual Meeting and the proxy materials, stockholders should send their requests to our principal executive offices, Attention: Corporate Secretary. Stockholders who hold shares in street name (as described below) may contact their brokerage firm, bank, broker-dealer, or other similar organization to request information about householding.</w:t>
      </w:r>
    </w:p>
    <w:p>
      <w:pPr>
        <w:spacing w:after="0" w:line="103" w:lineRule="exact"/>
        <w:rPr>
          <w:sz w:val="20"/>
          <w:szCs w:val="20"/>
          <w:color w:val="auto"/>
        </w:rPr>
      </w:pPr>
    </w:p>
    <w:p>
      <w:pPr>
        <w:ind w:left="20"/>
        <w:spacing w:after="0"/>
        <w:tabs>
          <w:tab w:leader="none" w:pos="340" w:val="left"/>
        </w:tabs>
        <w:rPr>
          <w:sz w:val="20"/>
          <w:szCs w:val="20"/>
          <w:color w:val="auto"/>
        </w:rPr>
      </w:pPr>
      <w:r>
        <w:rPr>
          <w:rFonts w:ascii="Times New Roman" w:cs="Times New Roman" w:eastAsia="Times New Roman" w:hAnsi="Times New Roman"/>
          <w:sz w:val="16"/>
          <w:szCs w:val="16"/>
          <w:b w:val="1"/>
          <w:bCs w:val="1"/>
          <w:color w:val="auto"/>
        </w:rPr>
        <w:t>Q:</w:t>
        <w:tab/>
        <w:t>What is the mailing address for Axsome’s principal executive offices?</w:t>
      </w:r>
    </w:p>
    <w:p>
      <w:pPr>
        <w:spacing w:after="0" w:line="129" w:lineRule="exact"/>
        <w:rPr>
          <w:sz w:val="20"/>
          <w:szCs w:val="20"/>
          <w:color w:val="auto"/>
        </w:rPr>
      </w:pPr>
    </w:p>
    <w:p>
      <w:pPr>
        <w:ind w:left="360" w:hanging="339"/>
        <w:spacing w:after="0"/>
        <w:tabs>
          <w:tab w:leader="none" w:pos="36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principal executive offices are located at 22 Cortlandt Street, 16th Floor, New York, New York 10007. The telephone number at that location is (212) 332-3241.</w:t>
      </w:r>
    </w:p>
    <w:p>
      <w:pPr>
        <w:spacing w:after="0" w:line="86" w:lineRule="exact"/>
        <w:rPr>
          <w:rFonts w:ascii="Times New Roman" w:cs="Times New Roman" w:eastAsia="Times New Roman" w:hAnsi="Times New Roman"/>
          <w:sz w:val="16"/>
          <w:szCs w:val="16"/>
          <w:color w:val="auto"/>
        </w:rPr>
      </w:pPr>
    </w:p>
    <w:p>
      <w:pPr>
        <w:ind w:left="360" w:right="540"/>
        <w:spacing w:after="0" w:line="26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written requests for additional information, copies of the proxy materials and 2021 Annual Report, notices of stockholder proposals, recommendations for candidates to our board of directors, communications to our board of directors or any other communications should be sent to the address above.</w:t>
      </w:r>
    </w:p>
    <w:p>
      <w:pPr>
        <w:spacing w:after="0" w:line="2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Annual Reports</w:t>
      </w:r>
    </w:p>
    <w:p>
      <w:pPr>
        <w:spacing w:after="0" w:line="113" w:lineRule="exact"/>
        <w:rPr>
          <w:sz w:val="20"/>
          <w:szCs w:val="20"/>
          <w:color w:val="auto"/>
        </w:rPr>
      </w:pPr>
    </w:p>
    <w:p>
      <w:pPr>
        <w:ind w:firstLine="374"/>
        <w:spacing w:after="0" w:line="251" w:lineRule="auto"/>
        <w:rPr>
          <w:sz w:val="20"/>
          <w:szCs w:val="20"/>
          <w:color w:val="auto"/>
        </w:rPr>
      </w:pPr>
      <w:r>
        <w:rPr>
          <w:rFonts w:ascii="Times New Roman" w:cs="Times New Roman" w:eastAsia="Times New Roman" w:hAnsi="Times New Roman"/>
          <w:sz w:val="16"/>
          <w:szCs w:val="16"/>
          <w:b w:val="1"/>
          <w:bCs w:val="1"/>
          <w:color w:val="auto"/>
        </w:rPr>
        <w:t>This proxy statement is accompanied by our 2021 Annual Report to Stockholders, which includes our Annual Report on Form 10-K for the fiscal year ended December 31, 2021. The Form 10-K includes our audited financial statements. We have filed the Form 10-K with the SEC, and it is available free of charge at the SEC’s website at www.sec.gov and on our website at www.axsome.com. In addition, upon written request to the Company’s Corporate Secretary at 22 Cortlandt Street, 16</w:t>
      </w:r>
      <w:r>
        <w:rPr>
          <w:rFonts w:ascii="Times New Roman" w:cs="Times New Roman" w:eastAsia="Times New Roman" w:hAnsi="Times New Roman"/>
          <w:sz w:val="13"/>
          <w:szCs w:val="13"/>
          <w:b w:val="1"/>
          <w:bCs w:val="1"/>
          <w:color w:val="auto"/>
        </w:rPr>
        <w:t>th</w:t>
      </w:r>
      <w:r>
        <w:rPr>
          <w:rFonts w:ascii="Times New Roman" w:cs="Times New Roman" w:eastAsia="Times New Roman" w:hAnsi="Times New Roman"/>
          <w:sz w:val="16"/>
          <w:szCs w:val="16"/>
          <w:b w:val="1"/>
          <w:bCs w:val="1"/>
          <w:color w:val="auto"/>
        </w:rPr>
        <w:t xml:space="preserve"> Floor, New York, New York 10007, we will mail a paper copy of our Form 10-K, including the financial statements and the financial statement schedules, to you free of charge.</w:t>
      </w:r>
    </w:p>
    <w:p>
      <w:pPr>
        <w:spacing w:after="0" w:line="1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563C1"/>
        </w:rPr>
        <w:t>TABLE OF CONTENTS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PROPOSAL ONE</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ELECTION OF DIRECTORS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General</w:t>
      </w:r>
    </w:p>
    <w:p>
      <w:pPr>
        <w:spacing w:after="0" w:line="115" w:lineRule="exact"/>
        <w:rPr>
          <w:sz w:val="20"/>
          <w:szCs w:val="20"/>
          <w:color w:val="auto"/>
        </w:rPr>
      </w:pPr>
    </w:p>
    <w:p>
      <w:pPr>
        <w:ind w:firstLine="374"/>
        <w:spacing w:after="0" w:line="250" w:lineRule="auto"/>
        <w:rPr>
          <w:sz w:val="20"/>
          <w:szCs w:val="20"/>
          <w:color w:val="auto"/>
        </w:rPr>
      </w:pPr>
      <w:r>
        <w:rPr>
          <w:rFonts w:ascii="Times New Roman" w:cs="Times New Roman" w:eastAsia="Times New Roman" w:hAnsi="Times New Roman"/>
          <w:sz w:val="16"/>
          <w:szCs w:val="16"/>
          <w:color w:val="auto"/>
        </w:rPr>
        <w:t>Our board of directors may establish the authorized number of directors from time to time by resolution. Our board of directors is currently comprised of four members who are divided into three classes with staggered three-year terms. A director serves in office until their respective successor is duly elected and qualified or until their earlier death or resignation. This classification of the board of directors into three classes with staggered three-year terms may have the effect of delaying or preventing changes in our control or management. The term of office of our Class I director, Roger Jeffs, Ph.D., will expire at this year’s Annual Meeting. Your proxy cannot be voted for a greater number of persons than the number of nominees named in this proxy statement.</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Nominees</w:t>
      </w:r>
    </w:p>
    <w:p>
      <w:pPr>
        <w:spacing w:after="0" w:line="115" w:lineRule="exact"/>
        <w:rPr>
          <w:sz w:val="20"/>
          <w:szCs w:val="20"/>
          <w:color w:val="auto"/>
        </w:rPr>
      </w:pPr>
    </w:p>
    <w:p>
      <w:pPr>
        <w:ind w:right="180" w:firstLine="374"/>
        <w:spacing w:after="0" w:line="254" w:lineRule="auto"/>
        <w:rPr>
          <w:sz w:val="20"/>
          <w:szCs w:val="20"/>
          <w:color w:val="auto"/>
        </w:rPr>
      </w:pPr>
      <w:r>
        <w:rPr>
          <w:rFonts w:ascii="Times New Roman" w:cs="Times New Roman" w:eastAsia="Times New Roman" w:hAnsi="Times New Roman"/>
          <w:sz w:val="16"/>
          <w:szCs w:val="16"/>
          <w:color w:val="auto"/>
        </w:rPr>
        <w:t>One Class I director has been nominated for election at the Annual Meeting for a three-year term expiring in 2025. Upon the recommendation of our nominating and corporate governance committee, our board of directors has nominated Roger Jeffs, Ph.D. for election as a Class I director. The term of office of the nominee elected as director will continue until such director's term expires in 2025 and until their successor has been duly elected and qualified.</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Information Regarding the Nominees and Other Directors</w:t>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Nominees for Class I Directors for a Term Expiring in 2025</w:t>
      </w:r>
    </w:p>
    <w:p>
      <w:pPr>
        <w:spacing w:after="0" w:line="117" w:lineRule="exact"/>
        <w:rPr>
          <w:sz w:val="20"/>
          <w:szCs w:val="20"/>
          <w:color w:val="auto"/>
        </w:rPr>
      </w:pPr>
    </w:p>
    <w:p>
      <w:pPr>
        <w:ind w:right="160" w:firstLine="374"/>
        <w:spacing w:after="0" w:line="252" w:lineRule="auto"/>
        <w:rPr>
          <w:sz w:val="20"/>
          <w:szCs w:val="20"/>
          <w:color w:val="auto"/>
        </w:rPr>
      </w:pPr>
      <w:r>
        <w:rPr>
          <w:rFonts w:ascii="Times New Roman" w:cs="Times New Roman" w:eastAsia="Times New Roman" w:hAnsi="Times New Roman"/>
          <w:sz w:val="16"/>
          <w:szCs w:val="16"/>
          <w:color w:val="auto"/>
        </w:rPr>
        <w:t>The following contains information about each nominee as of the Record Date, including the nominee’s age, business experience, public company director positions held currently or at any time during the last five years, involvement in certain legal or administrative proceedings, if applicable, and the experiences, qualifications, attributes or skills that caused the nominating and corporate governance committee and our board of directors to determine that the nominee should serve as one of our directors.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Name</w:t>
            </w:r>
          </w:p>
        </w:tc>
        <w:tc>
          <w:tcPr>
            <w:tcW w:w="120" w:type="dxa"/>
            <w:vAlign w:val="bottom"/>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Age</w:t>
            </w:r>
          </w:p>
        </w:tc>
        <w:tc>
          <w:tcPr>
            <w:tcW w:w="100" w:type="dxa"/>
            <w:vAlign w:val="bottom"/>
          </w:tcPr>
          <w:p>
            <w:pPr>
              <w:spacing w:after="0"/>
              <w:rPr>
                <w:sz w:val="15"/>
                <w:szCs w:val="15"/>
                <w:color w:val="auto"/>
              </w:rPr>
            </w:pPr>
          </w:p>
        </w:tc>
        <w:tc>
          <w:tcPr>
            <w:tcW w:w="8080" w:type="dxa"/>
            <w:vAlign w:val="bottom"/>
            <w:tcBorders>
              <w:bottom w:val="single" w:sz="8" w:color="auto"/>
            </w:tcBorders>
          </w:tcPr>
          <w:p>
            <w:pPr>
              <w:ind w:left="2780"/>
              <w:spacing w:after="0"/>
              <w:rPr>
                <w:sz w:val="20"/>
                <w:szCs w:val="20"/>
                <w:color w:val="auto"/>
              </w:rPr>
            </w:pPr>
            <w:r>
              <w:rPr>
                <w:rFonts w:ascii="Times New Roman" w:cs="Times New Roman" w:eastAsia="Times New Roman" w:hAnsi="Times New Roman"/>
                <w:sz w:val="13"/>
                <w:szCs w:val="13"/>
                <w:b w:val="1"/>
                <w:bCs w:val="1"/>
                <w:color w:val="auto"/>
              </w:rPr>
              <w:t>Principal Occupation and Business Experience</w:t>
            </w:r>
          </w:p>
        </w:tc>
      </w:tr>
      <w:tr>
        <w:trPr>
          <w:trHeight w:val="210"/>
        </w:trPr>
        <w:tc>
          <w:tcPr>
            <w:tcW w:w="2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Roger Jeffs, Ph.D.</w:t>
            </w:r>
          </w:p>
        </w:tc>
        <w:tc>
          <w:tcPr>
            <w:tcW w:w="120" w:type="dxa"/>
            <w:vAlign w:val="bottom"/>
          </w:tcPr>
          <w:p>
            <w:pPr>
              <w:spacing w:after="0"/>
              <w:rPr>
                <w:sz w:val="18"/>
                <w:szCs w:val="18"/>
                <w:color w:val="auto"/>
              </w:rPr>
            </w:pPr>
          </w:p>
        </w:tc>
        <w:tc>
          <w:tcPr>
            <w:tcW w:w="900" w:type="dxa"/>
            <w:vAlign w:val="bottom"/>
          </w:tcPr>
          <w:p>
            <w:pPr>
              <w:jc w:val="right"/>
              <w:ind w:right="308"/>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tcPr>
          <w:p>
            <w:pPr>
              <w:spacing w:after="0"/>
              <w:rPr>
                <w:sz w:val="18"/>
                <w:szCs w:val="18"/>
                <w:color w:val="auto"/>
              </w:rPr>
            </w:pPr>
          </w:p>
        </w:tc>
        <w:tc>
          <w:tcPr>
            <w:tcW w:w="8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Dr. Jeffs has been a member of our board of directors since December 2014.</w:t>
            </w:r>
          </w:p>
        </w:tc>
      </w:tr>
      <w:tr>
        <w:trPr>
          <w:trHeight w:val="276"/>
        </w:trPr>
        <w:tc>
          <w:tcPr>
            <w:tcW w:w="2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Dr. Jeffs currently serves as the Chief Executive Officer of Liquidia Corporation since January 2022. Dr. Jeffs is also the</w:t>
            </w:r>
          </w:p>
        </w:tc>
      </w:tr>
      <w:tr>
        <w:trPr>
          <w:trHeight w:val="175"/>
        </w:trPr>
        <w:tc>
          <w:tcPr>
            <w:tcW w:w="2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8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Co-Founder and Vice Chairman of Kriya Therapeutics, a gene therapy company. Dr. Jeffs was previously at United</w:t>
            </w:r>
          </w:p>
        </w:tc>
      </w:tr>
      <w:tr>
        <w:trPr>
          <w:trHeight w:val="162"/>
        </w:trPr>
        <w:tc>
          <w:tcPr>
            <w:tcW w:w="2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Therapeutics Corporation where he worked for 18 years until 2016. Dr. Jeffs joined United Therapeutics Corporation</w:t>
            </w:r>
          </w:p>
        </w:tc>
      </w:tr>
      <w:tr>
        <w:trPr>
          <w:trHeight w:val="175"/>
        </w:trPr>
        <w:tc>
          <w:tcPr>
            <w:tcW w:w="2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8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during its inception phase in 1998 as Director of Research, Development, and Medical and served as its President and Chief</w:t>
            </w:r>
          </w:p>
        </w:tc>
      </w:tr>
      <w:tr>
        <w:trPr>
          <w:trHeight w:val="176"/>
        </w:trPr>
        <w:tc>
          <w:tcPr>
            <w:tcW w:w="2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8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Operating Officer from 2001 to 2014, and President and co-CEO from 2015-2016, and was a member of the board of</w:t>
            </w:r>
          </w:p>
        </w:tc>
      </w:tr>
      <w:tr>
        <w:trPr>
          <w:trHeight w:val="162"/>
        </w:trPr>
        <w:tc>
          <w:tcPr>
            <w:tcW w:w="2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directors from 2001 through 2016. While at United Therapeutics, Dr. Jeffs helped lead the IPO, oversaw the clinical</w:t>
            </w:r>
          </w:p>
        </w:tc>
      </w:tr>
      <w:tr>
        <w:trPr>
          <w:trHeight w:val="175"/>
        </w:trPr>
        <w:tc>
          <w:tcPr>
            <w:tcW w:w="2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8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development and regulatory approval of 6 products for rare diseases, and managed the commercial effort that led to a</w:t>
            </w:r>
          </w:p>
        </w:tc>
      </w:tr>
      <w:tr>
        <w:trPr>
          <w:trHeight w:val="162"/>
        </w:trPr>
        <w:tc>
          <w:tcPr>
            <w:tcW w:w="2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consistent &gt;20% CAGR and $1.5B revenue run rate. United Therapeutics was consistently recognized as one of the fastest</w:t>
            </w:r>
          </w:p>
        </w:tc>
      </w:tr>
      <w:tr>
        <w:trPr>
          <w:trHeight w:val="175"/>
        </w:trPr>
        <w:tc>
          <w:tcPr>
            <w:tcW w:w="2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8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growing companies and best places to work during his tenure. Dr. Jeffs previously held positions at Amgen, Inc. and</w:t>
            </w:r>
          </w:p>
        </w:tc>
      </w:tr>
      <w:tr>
        <w:trPr>
          <w:trHeight w:val="210"/>
        </w:trPr>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Burroughs Wellcome Co. where he held roles in clinical development.</w:t>
            </w:r>
          </w:p>
        </w:tc>
      </w:tr>
      <w:tr>
        <w:trPr>
          <w:trHeight w:val="290"/>
        </w:trPr>
        <w:tc>
          <w:tcPr>
            <w:tcW w:w="2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Dr. Jeffs currently serves on the board of directors of Liquidia Corporation, and previously served on the board of directors</w:t>
            </w:r>
          </w:p>
        </w:tc>
      </w:tr>
      <w:tr>
        <w:trPr>
          <w:trHeight w:val="175"/>
        </w:trPr>
        <w:tc>
          <w:tcPr>
            <w:tcW w:w="2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8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of Albireo Pharma, Axovant Gene Therapies, Dova Pharmaceuticals and Sangamo Therapeutics. Dr. Jeffs holds an</w:t>
            </w:r>
          </w:p>
        </w:tc>
      </w:tr>
      <w:tr>
        <w:trPr>
          <w:trHeight w:val="162"/>
        </w:trPr>
        <w:tc>
          <w:tcPr>
            <w:tcW w:w="2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undergraduate degree in chemistry from Duke University and a Ph.D. in pharmacology from the University of North</w:t>
            </w:r>
          </w:p>
        </w:tc>
      </w:tr>
      <w:tr>
        <w:trPr>
          <w:trHeight w:val="175"/>
        </w:trPr>
        <w:tc>
          <w:tcPr>
            <w:tcW w:w="2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8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Carolina School of Medicine. Dr. Jeffs’ scientific background and business experience, coupled with his experience as a</w:t>
            </w:r>
          </w:p>
        </w:tc>
      </w:tr>
      <w:tr>
        <w:trPr>
          <w:trHeight w:val="175"/>
        </w:trPr>
        <w:tc>
          <w:tcPr>
            <w:tcW w:w="2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8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chief executive officer of a publicly-traded biotechnology company, provides him with the qualifications and skills to serve</w:t>
            </w:r>
          </w:p>
        </w:tc>
      </w:tr>
      <w:tr>
        <w:trPr>
          <w:trHeight w:val="210"/>
        </w:trPr>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on our board.</w:t>
            </w:r>
          </w:p>
        </w:tc>
      </w:tr>
    </w:tbl>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563C1"/>
        </w:rPr>
        <w:t>TABLE OF CONTENTS</w:t>
      </w:r>
    </w:p>
    <w:p>
      <w:pPr>
        <w:spacing w:after="0" w:line="28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OUR BOARD OF DIRECTORS UNANIMOUSLY RECOMMENDS A VOTE “FOR”</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THE CLASS I NOMINEE NAMED ABOVE.</w:t>
      </w:r>
    </w:p>
    <w:p>
      <w:pPr>
        <w:spacing w:after="0" w:line="102" w:lineRule="exact"/>
        <w:rPr>
          <w:sz w:val="20"/>
          <w:szCs w:val="20"/>
          <w:color w:val="auto"/>
        </w:rPr>
      </w:pPr>
    </w:p>
    <w:p>
      <w:pPr>
        <w:ind w:right="60" w:firstLine="374"/>
        <w:spacing w:after="0" w:line="258" w:lineRule="auto"/>
        <w:rPr>
          <w:sz w:val="20"/>
          <w:szCs w:val="20"/>
          <w:color w:val="auto"/>
        </w:rPr>
      </w:pPr>
      <w:r>
        <w:rPr>
          <w:rFonts w:ascii="Times New Roman" w:cs="Times New Roman" w:eastAsia="Times New Roman" w:hAnsi="Times New Roman"/>
          <w:sz w:val="16"/>
          <w:szCs w:val="16"/>
          <w:color w:val="auto"/>
        </w:rPr>
        <w:t>The following contains certain information about those directors whose terms do not expire at the Annual Meeting and who are not standing for reelection, including their business experience, public company director positions held currently or at any time during the last five years, involvement in certain legal or administrative proceedings, if applicable, and the experiences, qualifications, attributes or skills that caused the nominating and corporate governance committee and our board of directors to determine that the directors should serve as one of our directors. The age of each director as of the Record Date is set forth below.</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Incumbent Class II Directors Whose Terms Expire in 2023</w:t>
      </w:r>
    </w:p>
    <w:p>
      <w:pPr>
        <w:sectPr>
          <w:pgSz w:w="11900" w:h="16838" w:orient="portrait"/>
          <w:cols w:equalWidth="0" w:num="1">
            <w:col w:w="11240"/>
          </w:cols>
          <w:pgMar w:left="320" w:top="114" w:right="339" w:bottom="1440" w:gutter="0" w:footer="0" w:header="0"/>
        </w:sect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Name</w:t>
            </w:r>
          </w:p>
        </w:tc>
        <w:tc>
          <w:tcPr>
            <w:tcW w:w="120" w:type="dxa"/>
            <w:vAlign w:val="bottom"/>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Age</w:t>
            </w:r>
          </w:p>
        </w:tc>
      </w:tr>
      <w:tr>
        <w:trPr>
          <w:trHeight w:val="210"/>
        </w:trPr>
        <w:tc>
          <w:tcPr>
            <w:tcW w:w="2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Mark Saad</w:t>
            </w:r>
          </w:p>
        </w:tc>
        <w:tc>
          <w:tcPr>
            <w:tcW w:w="120" w:type="dxa"/>
            <w:vAlign w:val="bottom"/>
          </w:tcPr>
          <w:p>
            <w:pPr>
              <w:spacing w:after="0"/>
              <w:rPr>
                <w:sz w:val="18"/>
                <w:szCs w:val="18"/>
                <w:color w:val="auto"/>
              </w:rPr>
            </w:pPr>
          </w:p>
        </w:tc>
        <w:tc>
          <w:tcPr>
            <w:tcW w:w="900" w:type="dxa"/>
            <w:vAlign w:val="bottom"/>
          </w:tcPr>
          <w:p>
            <w:pPr>
              <w:jc w:val="right"/>
              <w:ind w:right="308"/>
              <w:spacing w:after="0"/>
              <w:rPr>
                <w:sz w:val="20"/>
                <w:szCs w:val="20"/>
                <w:color w:val="auto"/>
              </w:rPr>
            </w:pPr>
            <w:r>
              <w:rPr>
                <w:rFonts w:ascii="Times New Roman" w:cs="Times New Roman" w:eastAsia="Times New Roman" w:hAnsi="Times New Roman"/>
                <w:sz w:val="16"/>
                <w:szCs w:val="16"/>
                <w:color w:val="auto"/>
              </w:rPr>
              <w:t>52</w:t>
            </w:r>
          </w:p>
        </w:tc>
      </w:tr>
    </w:tbl>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3"/>
          <w:szCs w:val="13"/>
          <w:b w:val="1"/>
          <w:bCs w:val="1"/>
          <w:color w:val="auto"/>
        </w:rPr>
        <w:t>Principal Occupation and Business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20955</wp:posOffset>
            </wp:positionV>
            <wp:extent cx="512635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26355" cy="8255"/>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Mr. Saad has been a member of our board of directors since December 2014.</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Mr. Saad is currently a Partner and Chief Operating Officer of Alethea Capital Management, LLC, an asset management</w:t>
      </w:r>
    </w:p>
    <w:p>
      <w:pPr>
        <w:spacing w:after="0" w:line="10" w:lineRule="exact"/>
        <w:rPr>
          <w:sz w:val="20"/>
          <w:szCs w:val="20"/>
          <w:color w:val="auto"/>
        </w:rPr>
      </w:pPr>
    </w:p>
    <w:p>
      <w:pPr>
        <w:ind w:right="260"/>
        <w:spacing w:after="0" w:line="231" w:lineRule="auto"/>
        <w:rPr>
          <w:sz w:val="20"/>
          <w:szCs w:val="20"/>
          <w:color w:val="auto"/>
        </w:rPr>
      </w:pPr>
      <w:r>
        <w:rPr>
          <w:rFonts w:ascii="Times New Roman" w:cs="Times New Roman" w:eastAsia="Times New Roman" w:hAnsi="Times New Roman"/>
          <w:sz w:val="16"/>
          <w:szCs w:val="16"/>
          <w:color w:val="auto"/>
        </w:rPr>
        <w:t>firm based in Seattle. Between 2014 and 2017, he served as the Chief Financial Officer of Bird Rock Bio, Inc., a clinical stage biopharmaceutical company focused on developing innovative immuno-inflammatory regulators.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Previously, he served as Chief Financial Officer of Cytori Therapeutics from 2004 to 2014, where he was responsible for</w:t>
      </w:r>
    </w:p>
    <w:p>
      <w:pPr>
        <w:spacing w:after="0" w:line="10" w:lineRule="exact"/>
        <w:rPr>
          <w:sz w:val="20"/>
          <w:szCs w:val="20"/>
          <w:color w:val="auto"/>
        </w:rPr>
      </w:pPr>
    </w:p>
    <w:p>
      <w:pPr>
        <w:ind w:right="380"/>
        <w:spacing w:after="0" w:line="220" w:lineRule="auto"/>
        <w:rPr>
          <w:sz w:val="20"/>
          <w:szCs w:val="20"/>
          <w:color w:val="auto"/>
        </w:rPr>
      </w:pPr>
      <w:r>
        <w:rPr>
          <w:rFonts w:ascii="Times New Roman" w:cs="Times New Roman" w:eastAsia="Times New Roman" w:hAnsi="Times New Roman"/>
          <w:sz w:val="16"/>
          <w:szCs w:val="16"/>
          <w:color w:val="auto"/>
        </w:rPr>
        <w:t>finance and accounting, business development, and other operating functions. Prior to Cytori, he served as Executive Director of UBS Investment Bank, where he was the Chief Operating Officer of the Global Healthcare Group. Prior to</w:t>
      </w:r>
    </w:p>
    <w:p>
      <w:pPr>
        <w:spacing w:after="0" w:line="229" w:lineRule="auto"/>
        <w:rPr>
          <w:sz w:val="20"/>
          <w:szCs w:val="20"/>
          <w:color w:val="auto"/>
        </w:rPr>
      </w:pPr>
      <w:r>
        <w:rPr>
          <w:rFonts w:ascii="Times New Roman" w:cs="Times New Roman" w:eastAsia="Times New Roman" w:hAnsi="Times New Roman"/>
          <w:sz w:val="16"/>
          <w:szCs w:val="16"/>
          <w:color w:val="auto"/>
        </w:rPr>
        <w:t>UBS, he was part of the Health Care Investment Banking Group at Salomon Smith Barney. Mr. Saad currently serves on</w:t>
      </w:r>
    </w:p>
    <w:p>
      <w:pPr>
        <w:ind w:right="120"/>
        <w:spacing w:after="0" w:line="220" w:lineRule="auto"/>
        <w:rPr>
          <w:sz w:val="20"/>
          <w:szCs w:val="20"/>
          <w:color w:val="auto"/>
        </w:rPr>
      </w:pPr>
      <w:r>
        <w:rPr>
          <w:rFonts w:ascii="Times New Roman" w:cs="Times New Roman" w:eastAsia="Times New Roman" w:hAnsi="Times New Roman"/>
          <w:sz w:val="16"/>
          <w:szCs w:val="16"/>
          <w:color w:val="auto"/>
        </w:rPr>
        <w:t>the board of directors of several private healthcare companies. Mr. Saad holds a Bachelor of Arts Degree from Villanova University. Through his years of experience as a chief financial officer, and his experience in the investment banking field,</w:t>
      </w:r>
    </w:p>
    <w:p>
      <w:pPr>
        <w:spacing w:after="0"/>
        <w:rPr>
          <w:sz w:val="20"/>
          <w:szCs w:val="20"/>
          <w:color w:val="auto"/>
        </w:rPr>
      </w:pPr>
      <w:r>
        <w:rPr>
          <w:rFonts w:ascii="Times New Roman" w:cs="Times New Roman" w:eastAsia="Times New Roman" w:hAnsi="Times New Roman"/>
          <w:sz w:val="16"/>
          <w:szCs w:val="16"/>
          <w:color w:val="auto"/>
        </w:rPr>
        <w:t>Mr. Saad provides valuable financial and leadership experience to the board.</w:t>
      </w:r>
    </w:p>
    <w:p>
      <w:pPr>
        <w:spacing w:after="0" w:line="3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b w:val="1"/>
          <w:bCs w:val="1"/>
          <w:i w:val="1"/>
          <w:iCs w:val="1"/>
          <w:color w:val="auto"/>
        </w:rPr>
        <w:t>Incumbent Class III Directors Whose Terms Expire in 2024</w:t>
      </w:r>
    </w:p>
    <w:p>
      <w:pPr>
        <w:spacing w:after="0" w:line="192" w:lineRule="exact"/>
        <w:rPr>
          <w:sz w:val="20"/>
          <w:szCs w:val="20"/>
          <w:color w:val="auto"/>
        </w:rPr>
      </w:pPr>
    </w:p>
    <w:p>
      <w:pPr>
        <w:sectPr>
          <w:pgSz w:w="11900" w:h="16838" w:orient="portrait"/>
          <w:cols w:equalWidth="0" w:num="2">
            <w:col w:w="3060" w:space="120"/>
            <w:col w:w="8060"/>
          </w:cols>
          <w:pgMar w:left="320" w:top="114" w:right="3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Name</w:t>
            </w:r>
          </w:p>
        </w:tc>
        <w:tc>
          <w:tcPr>
            <w:tcW w:w="120" w:type="dxa"/>
            <w:vAlign w:val="bottom"/>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Age</w:t>
            </w:r>
          </w:p>
        </w:tc>
        <w:tc>
          <w:tcPr>
            <w:tcW w:w="100" w:type="dxa"/>
            <w:vAlign w:val="bottom"/>
          </w:tcPr>
          <w:p>
            <w:pPr>
              <w:spacing w:after="0"/>
              <w:rPr>
                <w:sz w:val="15"/>
                <w:szCs w:val="15"/>
                <w:color w:val="auto"/>
              </w:rPr>
            </w:pPr>
          </w:p>
        </w:tc>
        <w:tc>
          <w:tcPr>
            <w:tcW w:w="8080" w:type="dxa"/>
            <w:vAlign w:val="bottom"/>
            <w:tcBorders>
              <w:bottom w:val="single" w:sz="8" w:color="auto"/>
            </w:tcBorders>
          </w:tcPr>
          <w:p>
            <w:pPr>
              <w:ind w:left="3400"/>
              <w:spacing w:after="0"/>
              <w:rPr>
                <w:sz w:val="20"/>
                <w:szCs w:val="20"/>
                <w:color w:val="auto"/>
              </w:rPr>
            </w:pPr>
            <w:r>
              <w:rPr>
                <w:rFonts w:ascii="Times New Roman" w:cs="Times New Roman" w:eastAsia="Times New Roman" w:hAnsi="Times New Roman"/>
                <w:sz w:val="13"/>
                <w:szCs w:val="13"/>
                <w:b w:val="1"/>
                <w:bCs w:val="1"/>
                <w:color w:val="auto"/>
              </w:rPr>
              <w:t>Principal Occupation and Business Experience</w:t>
            </w:r>
          </w:p>
        </w:tc>
      </w:tr>
      <w:tr>
        <w:trPr>
          <w:trHeight w:val="162"/>
        </w:trPr>
        <w:tc>
          <w:tcPr>
            <w:tcW w:w="2040" w:type="dxa"/>
            <w:vAlign w:val="bottom"/>
          </w:tcPr>
          <w:p>
            <w:pPr>
              <w:ind w:left="20"/>
              <w:spacing w:after="0" w:line="161" w:lineRule="exact"/>
              <w:rPr>
                <w:sz w:val="20"/>
                <w:szCs w:val="20"/>
                <w:color w:val="auto"/>
              </w:rPr>
            </w:pPr>
            <w:r>
              <w:rPr>
                <w:rFonts w:ascii="Times New Roman" w:cs="Times New Roman" w:eastAsia="Times New Roman" w:hAnsi="Times New Roman"/>
                <w:sz w:val="16"/>
                <w:szCs w:val="16"/>
                <w:color w:val="auto"/>
              </w:rPr>
              <w:t>Herriot Tabuteau, M.D.</w:t>
            </w:r>
          </w:p>
        </w:tc>
        <w:tc>
          <w:tcPr>
            <w:tcW w:w="120" w:type="dxa"/>
            <w:vAlign w:val="bottom"/>
          </w:tcPr>
          <w:p>
            <w:pPr>
              <w:spacing w:after="0"/>
              <w:rPr>
                <w:sz w:val="14"/>
                <w:szCs w:val="14"/>
                <w:color w:val="auto"/>
              </w:rPr>
            </w:pPr>
          </w:p>
        </w:tc>
        <w:tc>
          <w:tcPr>
            <w:tcW w:w="900" w:type="dxa"/>
            <w:vAlign w:val="bottom"/>
          </w:tcPr>
          <w:p>
            <w:pPr>
              <w:jc w:val="center"/>
              <w:spacing w:after="0" w:line="161" w:lineRule="exact"/>
              <w:rPr>
                <w:sz w:val="20"/>
                <w:szCs w:val="20"/>
                <w:color w:val="auto"/>
              </w:rPr>
            </w:pPr>
            <w:r>
              <w:rPr>
                <w:rFonts w:ascii="Times New Roman" w:cs="Times New Roman" w:eastAsia="Times New Roman" w:hAnsi="Times New Roman"/>
                <w:sz w:val="16"/>
                <w:szCs w:val="16"/>
                <w:color w:val="auto"/>
                <w:w w:val="99"/>
              </w:rPr>
              <w:t>53</w:t>
            </w:r>
          </w:p>
        </w:tc>
        <w:tc>
          <w:tcPr>
            <w:tcW w:w="100" w:type="dxa"/>
            <w:vAlign w:val="bottom"/>
          </w:tcPr>
          <w:p>
            <w:pPr>
              <w:spacing w:after="0"/>
              <w:rPr>
                <w:sz w:val="14"/>
                <w:szCs w:val="14"/>
                <w:color w:val="auto"/>
              </w:rPr>
            </w:pPr>
          </w:p>
        </w:tc>
        <w:tc>
          <w:tcPr>
            <w:tcW w:w="8080" w:type="dxa"/>
            <w:vAlign w:val="bottom"/>
          </w:tcPr>
          <w:p>
            <w:pPr>
              <w:ind w:left="20"/>
              <w:spacing w:after="0" w:line="161" w:lineRule="exact"/>
              <w:rPr>
                <w:sz w:val="20"/>
                <w:szCs w:val="20"/>
                <w:color w:val="auto"/>
              </w:rPr>
            </w:pPr>
            <w:r>
              <w:rPr>
                <w:rFonts w:ascii="Times New Roman" w:cs="Times New Roman" w:eastAsia="Times New Roman" w:hAnsi="Times New Roman"/>
                <w:sz w:val="16"/>
                <w:szCs w:val="16"/>
                <w:color w:val="auto"/>
              </w:rPr>
              <w:t>Dr. Tabuteau has served as our founder, Chief Executive Officer, President and Chairman of our board of directors since our</w:t>
            </w:r>
          </w:p>
        </w:tc>
      </w:tr>
      <w:tr>
        <w:trPr>
          <w:trHeight w:val="162"/>
        </w:trPr>
        <w:tc>
          <w:tcPr>
            <w:tcW w:w="2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founding in January 2012. He is also the founder of Antecip Capital LLC (formerly Versant Capital Management LLC), one</w:t>
            </w:r>
          </w:p>
        </w:tc>
      </w:tr>
      <w:tr>
        <w:trPr>
          <w:trHeight w:val="175"/>
        </w:trPr>
        <w:tc>
          <w:tcPr>
            <w:tcW w:w="2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8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of our principal stockholders, for which Dr. Tabuteau has been the managing member since 2003. Dr. Tabuteau is also the</w:t>
            </w:r>
          </w:p>
        </w:tc>
      </w:tr>
      <w:tr>
        <w:trPr>
          <w:trHeight w:val="162"/>
        </w:trPr>
        <w:tc>
          <w:tcPr>
            <w:tcW w:w="2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managing member of Antecip Bioventures II LLC. Prior to founding our company, Dr. Tabuteau was a Senior Analyst and</w:t>
            </w:r>
          </w:p>
        </w:tc>
      </w:tr>
      <w:tr>
        <w:trPr>
          <w:trHeight w:val="175"/>
        </w:trPr>
        <w:tc>
          <w:tcPr>
            <w:tcW w:w="2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8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Partner at Healthco/S.A.C. Capital (now known as HealthCor) where he was responsible for the biotechnology, genomics,</w:t>
            </w:r>
          </w:p>
        </w:tc>
      </w:tr>
      <w:tr>
        <w:trPr>
          <w:trHeight w:val="176"/>
        </w:trPr>
        <w:tc>
          <w:tcPr>
            <w:tcW w:w="2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8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and instrumentation portfolios. Previously, Dr. Tabuteau was the healthcare analyst at Kingdon Capital. Prior to that</w:t>
            </w:r>
          </w:p>
        </w:tc>
      </w:tr>
      <w:tr>
        <w:trPr>
          <w:trHeight w:val="162"/>
        </w:trPr>
        <w:tc>
          <w:tcPr>
            <w:tcW w:w="2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position, Dr. Tabuteau was a Senior Research Analyst at Banc of America Securities covering the hospital supplies sector.</w:t>
            </w:r>
          </w:p>
        </w:tc>
      </w:tr>
      <w:tr>
        <w:trPr>
          <w:trHeight w:val="175"/>
        </w:trPr>
        <w:tc>
          <w:tcPr>
            <w:tcW w:w="2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8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Prior to Banc of America, Dr. Tabuteau was part of the healthcare investment banking group at Goldman Sachs. Dr.</w:t>
            </w:r>
          </w:p>
        </w:tc>
      </w:tr>
      <w:tr>
        <w:trPr>
          <w:trHeight w:val="162"/>
        </w:trPr>
        <w:tc>
          <w:tcPr>
            <w:tcW w:w="2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Tabuteau earned his M.D. from Yale University School of Medicine and his Bachelor of Arts in molecular biology and</w:t>
            </w:r>
          </w:p>
        </w:tc>
      </w:tr>
      <w:tr>
        <w:trPr>
          <w:trHeight w:val="210"/>
        </w:trPr>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biochemistry from Wesleyan University.</w:t>
            </w:r>
          </w:p>
        </w:tc>
      </w:tr>
      <w:tr>
        <w:trPr>
          <w:trHeight w:val="302"/>
        </w:trPr>
        <w:tc>
          <w:tcPr>
            <w:tcW w:w="2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Mark Coleman, M.D.</w:t>
            </w:r>
          </w:p>
        </w:tc>
        <w:tc>
          <w:tcPr>
            <w:tcW w:w="1020" w:type="dxa"/>
            <w:vAlign w:val="bottom"/>
            <w:gridSpan w:val="2"/>
          </w:tcPr>
          <w:p>
            <w:pPr>
              <w:jc w:val="center"/>
              <w:ind w:left="59"/>
              <w:spacing w:after="0"/>
              <w:rPr>
                <w:sz w:val="20"/>
                <w:szCs w:val="20"/>
                <w:color w:val="auto"/>
              </w:rPr>
            </w:pPr>
            <w:r>
              <w:rPr>
                <w:rFonts w:ascii="Times New Roman" w:cs="Times New Roman" w:eastAsia="Times New Roman" w:hAnsi="Times New Roman"/>
                <w:sz w:val="16"/>
                <w:szCs w:val="16"/>
                <w:color w:val="auto"/>
                <w:w w:val="99"/>
              </w:rPr>
              <w:t>54</w:t>
            </w:r>
          </w:p>
        </w:tc>
        <w:tc>
          <w:tcPr>
            <w:tcW w:w="100" w:type="dxa"/>
            <w:vAlign w:val="bottom"/>
          </w:tcPr>
          <w:p>
            <w:pPr>
              <w:spacing w:after="0"/>
              <w:rPr>
                <w:sz w:val="24"/>
                <w:szCs w:val="24"/>
                <w:color w:val="auto"/>
              </w:rPr>
            </w:pPr>
          </w:p>
        </w:tc>
        <w:tc>
          <w:tcPr>
            <w:tcW w:w="8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Dr. Coleman has been a member of our board of directors since December 2014. In addition, from 2012 to 2014, Dr.</w:t>
            </w:r>
          </w:p>
        </w:tc>
      </w:tr>
      <w:tr>
        <w:trPr>
          <w:trHeight w:val="162"/>
        </w:trPr>
        <w:tc>
          <w:tcPr>
            <w:tcW w:w="2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Coleman served as a consultant to us. Dr. Coleman is currently the President of National Spine and Pain Centers, or NSPC,</w:t>
            </w:r>
          </w:p>
        </w:tc>
      </w:tr>
      <w:tr>
        <w:trPr>
          <w:trHeight w:val="193"/>
        </w:trPr>
        <w:tc>
          <w:tcPr>
            <w:tcW w:w="2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the nation’s largest interventional pain management group. His clinical duties include serving as the Medical Director of the</w:t>
            </w:r>
          </w:p>
        </w:tc>
      </w:tr>
    </w:tbl>
    <w:p>
      <w:pPr>
        <w:ind w:left="3180" w:right="280"/>
        <w:spacing w:after="0" w:line="220" w:lineRule="auto"/>
        <w:rPr>
          <w:sz w:val="20"/>
          <w:szCs w:val="20"/>
          <w:color w:val="auto"/>
        </w:rPr>
      </w:pPr>
      <w:r>
        <w:rPr>
          <w:rFonts w:ascii="Times New Roman" w:cs="Times New Roman" w:eastAsia="Times New Roman" w:hAnsi="Times New Roman"/>
          <w:sz w:val="16"/>
          <w:szCs w:val="16"/>
          <w:color w:val="auto"/>
        </w:rPr>
        <w:t>Pikesville, Maryland branch. Dr. Coleman served as Director of Novel Therapies at NSPC from 2009 to 2011. NSPC routinely evaluates emerging treatments for pain through the conduct of clinical trials. Dr. Coleman is a Diplomat of the</w:t>
      </w:r>
    </w:p>
    <w:p>
      <w:pPr>
        <w:ind w:left="3180"/>
        <w:spacing w:after="0"/>
        <w:rPr>
          <w:sz w:val="20"/>
          <w:szCs w:val="20"/>
          <w:color w:val="auto"/>
        </w:rPr>
      </w:pPr>
      <w:r>
        <w:rPr>
          <w:rFonts w:ascii="Times New Roman" w:cs="Times New Roman" w:eastAsia="Times New Roman" w:hAnsi="Times New Roman"/>
          <w:sz w:val="16"/>
          <w:szCs w:val="16"/>
          <w:color w:val="auto"/>
        </w:rPr>
        <w:t>American Board of Anesthesiology in Anesthesiology and Pain Management.</w:t>
      </w:r>
    </w:p>
    <w:p>
      <w:pPr>
        <w:spacing w:after="0" w:line="136"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6"/>
          <w:szCs w:val="16"/>
          <w:color w:val="auto"/>
        </w:rPr>
        <w:t>In 2021, Dr. Coleman joined the board of directors of Enalare Therapeutics, a privately held company developing</w:t>
      </w:r>
    </w:p>
    <w:p>
      <w:pPr>
        <w:spacing w:after="0" w:line="10" w:lineRule="exact"/>
        <w:rPr>
          <w:sz w:val="20"/>
          <w:szCs w:val="20"/>
          <w:color w:val="auto"/>
        </w:rPr>
      </w:pPr>
    </w:p>
    <w:p>
      <w:pPr>
        <w:ind w:left="3180" w:right="240"/>
        <w:spacing w:after="0" w:line="220" w:lineRule="auto"/>
        <w:rPr>
          <w:sz w:val="20"/>
          <w:szCs w:val="20"/>
          <w:color w:val="auto"/>
        </w:rPr>
      </w:pPr>
      <w:r>
        <w:rPr>
          <w:rFonts w:ascii="Times New Roman" w:cs="Times New Roman" w:eastAsia="Times New Roman" w:hAnsi="Times New Roman"/>
          <w:sz w:val="16"/>
          <w:szCs w:val="16"/>
          <w:color w:val="auto"/>
        </w:rPr>
        <w:t>respiratory stimulants for the emergency and critical care setting. Dr. Coleman holds an M.D. from Johns Hopkins University School of Medicine and received his undergraduate degree from Wesleyan University. Dr. Coleman's medical</w:t>
      </w:r>
    </w:p>
    <w:p>
      <w:pPr>
        <w:jc w:val="center"/>
        <w:ind w:right="-79"/>
        <w:spacing w:after="0"/>
        <w:rPr>
          <w:sz w:val="20"/>
          <w:szCs w:val="20"/>
          <w:color w:val="auto"/>
        </w:rPr>
      </w:pPr>
      <w:r>
        <w:rPr>
          <w:rFonts w:ascii="Times New Roman" w:cs="Times New Roman" w:eastAsia="Times New Roman" w:hAnsi="Times New Roman"/>
          <w:sz w:val="16"/>
          <w:szCs w:val="16"/>
          <w:color w:val="auto"/>
        </w:rPr>
        <w:t>expertise and business experience make him qualified to serve on our board.</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563C1"/>
        </w:rPr>
        <w:t>TABLE OF CONTENTS</w:t>
      </w:r>
    </w:p>
    <w:p>
      <w:pPr>
        <w:spacing w:after="0" w:line="310" w:lineRule="exact"/>
        <w:rPr>
          <w:sz w:val="20"/>
          <w:szCs w:val="20"/>
          <w:color w:val="auto"/>
        </w:rPr>
      </w:pPr>
    </w:p>
    <w:p>
      <w:pPr>
        <w:ind w:right="60" w:firstLine="374"/>
        <w:spacing w:after="0" w:line="280" w:lineRule="auto"/>
        <w:rPr>
          <w:sz w:val="20"/>
          <w:szCs w:val="20"/>
          <w:color w:val="auto"/>
        </w:rPr>
      </w:pPr>
      <w:r>
        <w:rPr>
          <w:rFonts w:ascii="Times New Roman" w:cs="Times New Roman" w:eastAsia="Times New Roman" w:hAnsi="Times New Roman"/>
          <w:sz w:val="16"/>
          <w:szCs w:val="16"/>
          <w:color w:val="auto"/>
        </w:rPr>
        <w:t>There are no family relationships among any of our directors or executive officers. See “Corporate Governance” below for additional information regarding our board of directors.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Board Diversity Matrix</w:t>
      </w:r>
    </w:p>
    <w:p>
      <w:pPr>
        <w:spacing w:after="0" w:line="183" w:lineRule="exact"/>
        <w:rPr>
          <w:sz w:val="20"/>
          <w:szCs w:val="20"/>
          <w:color w:val="auto"/>
        </w:rPr>
      </w:pPr>
    </w:p>
    <w:p>
      <w:pPr>
        <w:ind w:firstLine="374"/>
        <w:spacing w:after="0" w:line="252" w:lineRule="auto"/>
        <w:rPr>
          <w:sz w:val="20"/>
          <w:szCs w:val="20"/>
          <w:color w:val="auto"/>
        </w:rPr>
      </w:pPr>
      <w:r>
        <w:rPr>
          <w:rFonts w:ascii="Times New Roman" w:cs="Times New Roman" w:eastAsia="Times New Roman" w:hAnsi="Times New Roman"/>
          <w:sz w:val="16"/>
          <w:szCs w:val="16"/>
          <w:color w:val="auto"/>
        </w:rPr>
        <w:t>The table below provides certain highlights of the composition of our Board of Directors. Each of the categories listed in the below table has the meaning as it used in Nasdaq Listing Rule 5605(f). Our Board of Directors is committed to having a diversified board, including diversity of thought, background and experience, and diversity of personal characteristics such as gender identity, race, ethnicity and sexual orientation. Our Board of Directors is racially diverse and continues to recruit for a female director as well as other diverse director candidates.</w:t>
      </w:r>
    </w:p>
    <w:p>
      <w:pPr>
        <w:spacing w:after="0" w:line="149" w:lineRule="exact"/>
        <w:rPr>
          <w:sz w:val="20"/>
          <w:szCs w:val="20"/>
          <w:color w:val="auto"/>
        </w:rPr>
      </w:pPr>
    </w:p>
    <w:tbl>
      <w:tblPr>
        <w:tblLayout w:type="fixed"/>
        <w:tblInd w:w="10" w:type="dxa"/>
        <w:tblCellMar>
          <w:top w:w="0" w:type="dxa"/>
          <w:left w:w="0" w:type="dxa"/>
          <w:bottom w:w="0" w:type="dxa"/>
          <w:right w:w="0" w:type="dxa"/>
        </w:tblCellMar>
      </w:tblPr>
      <w:tr>
        <w:trPr>
          <w:trHeight w:val="228"/>
        </w:trPr>
        <w:tc>
          <w:tcPr>
            <w:tcW w:w="3960" w:type="dxa"/>
            <w:vAlign w:val="bottom"/>
            <w:tcBorders>
              <w:top w:val="single" w:sz="8" w:color="auto"/>
              <w:left w:val="single" w:sz="8" w:color="auto"/>
              <w:bottom w:val="single" w:sz="8" w:color="auto"/>
            </w:tcBorders>
          </w:tcPr>
          <w:p>
            <w:pPr>
              <w:spacing w:after="0"/>
              <w:rPr>
                <w:sz w:val="19"/>
                <w:szCs w:val="19"/>
                <w:color w:val="auto"/>
              </w:rPr>
            </w:pPr>
          </w:p>
        </w:tc>
        <w:tc>
          <w:tcPr>
            <w:tcW w:w="3200" w:type="dxa"/>
            <w:vAlign w:val="bottom"/>
            <w:tcBorders>
              <w:top w:val="single" w:sz="8" w:color="auto"/>
              <w:bottom w:val="single" w:sz="8" w:color="auto"/>
            </w:tcBorders>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Board Diversity Matrix (As of April 6, 2022)</w:t>
            </w:r>
          </w:p>
        </w:tc>
        <w:tc>
          <w:tcPr>
            <w:tcW w:w="1200" w:type="dxa"/>
            <w:vAlign w:val="bottom"/>
            <w:tcBorders>
              <w:top w:val="single" w:sz="8" w:color="auto"/>
              <w:bottom w:val="single" w:sz="8" w:color="auto"/>
            </w:tcBorders>
          </w:tcPr>
          <w:p>
            <w:pPr>
              <w:spacing w:after="0"/>
              <w:rPr>
                <w:sz w:val="19"/>
                <w:szCs w:val="19"/>
                <w:color w:val="auto"/>
              </w:rPr>
            </w:pPr>
          </w:p>
        </w:tc>
        <w:tc>
          <w:tcPr>
            <w:tcW w:w="2780" w:type="dxa"/>
            <w:vAlign w:val="bottom"/>
            <w:tcBorders>
              <w:top w:val="single" w:sz="8" w:color="auto"/>
              <w:bottom w:val="single" w:sz="8" w:color="auto"/>
              <w:right w:val="single" w:sz="8" w:color="auto"/>
            </w:tcBorders>
          </w:tcPr>
          <w:p>
            <w:pPr>
              <w:spacing w:after="0"/>
              <w:rPr>
                <w:sz w:val="19"/>
                <w:szCs w:val="19"/>
                <w:color w:val="auto"/>
              </w:rPr>
            </w:pPr>
          </w:p>
        </w:tc>
      </w:tr>
      <w:tr>
        <w:trPr>
          <w:trHeight w:val="166"/>
        </w:trPr>
        <w:tc>
          <w:tcPr>
            <w:tcW w:w="3960" w:type="dxa"/>
            <w:vAlign w:val="bottom"/>
            <w:tcBorders>
              <w:top w:val="single" w:sz="8" w:color="CFF0FC"/>
              <w:left w:val="single" w:sz="8" w:color="auto"/>
              <w:bottom w:val="single" w:sz="8" w:color="auto"/>
              <w:right w:val="single" w:sz="8" w:color="auto"/>
            </w:tcBorders>
            <w:shd w:val="clear" w:color="auto" w:fill="CFF0FC"/>
          </w:tcPr>
          <w:p>
            <w:pPr>
              <w:ind w:left="40"/>
              <w:spacing w:after="0" w:line="166" w:lineRule="exact"/>
              <w:rPr>
                <w:sz w:val="20"/>
                <w:szCs w:val="20"/>
                <w:color w:val="auto"/>
              </w:rPr>
            </w:pPr>
            <w:r>
              <w:rPr>
                <w:rFonts w:ascii="Times New Roman" w:cs="Times New Roman" w:eastAsia="Times New Roman" w:hAnsi="Times New Roman"/>
                <w:sz w:val="16"/>
                <w:szCs w:val="16"/>
                <w:b w:val="1"/>
                <w:bCs w:val="1"/>
                <w:color w:val="auto"/>
              </w:rPr>
              <w:t>Total Number of Directors</w:t>
            </w:r>
          </w:p>
        </w:tc>
        <w:tc>
          <w:tcPr>
            <w:tcW w:w="1460" w:type="dxa"/>
            <w:vAlign w:val="bottom"/>
            <w:tcBorders>
              <w:top w:val="single" w:sz="8" w:color="CFF0FC"/>
              <w:bottom w:val="single" w:sz="8" w:color="auto"/>
              <w:right w:val="single" w:sz="8" w:color="CFF0FC"/>
            </w:tcBorders>
            <w:shd w:val="clear" w:color="auto" w:fill="CFF0FC"/>
          </w:tcPr>
          <w:p>
            <w:pPr>
              <w:spacing w:after="0"/>
              <w:rPr>
                <w:sz w:val="14"/>
                <w:szCs w:val="14"/>
                <w:color w:val="auto"/>
              </w:rPr>
            </w:pPr>
          </w:p>
        </w:tc>
        <w:tc>
          <w:tcPr>
            <w:tcW w:w="1460" w:type="dxa"/>
            <w:vAlign w:val="bottom"/>
            <w:tcBorders>
              <w:top w:val="single" w:sz="8" w:color="CFF0FC"/>
              <w:bottom w:val="single" w:sz="8" w:color="auto"/>
              <w:right w:val="single" w:sz="8" w:color="CFF0FC"/>
            </w:tcBorders>
            <w:shd w:val="clear" w:color="auto" w:fill="CFF0FC"/>
          </w:tcPr>
          <w:p>
            <w:pPr>
              <w:spacing w:after="0"/>
              <w:rPr>
                <w:sz w:val="14"/>
                <w:szCs w:val="14"/>
                <w:color w:val="auto"/>
              </w:rPr>
            </w:pPr>
          </w:p>
        </w:tc>
        <w:tc>
          <w:tcPr>
            <w:tcW w:w="280" w:type="dxa"/>
            <w:vAlign w:val="bottom"/>
            <w:tcBorders>
              <w:top w:val="single" w:sz="8" w:color="CFF0FC"/>
              <w:bottom w:val="single" w:sz="8" w:color="auto"/>
            </w:tcBorders>
            <w:shd w:val="clear" w:color="auto" w:fill="CFF0FC"/>
          </w:tcPr>
          <w:p>
            <w:pPr>
              <w:spacing w:after="0"/>
              <w:rPr>
                <w:sz w:val="14"/>
                <w:szCs w:val="14"/>
                <w:color w:val="auto"/>
              </w:rPr>
            </w:pPr>
          </w:p>
        </w:tc>
        <w:tc>
          <w:tcPr>
            <w:tcW w:w="1200" w:type="dxa"/>
            <w:vAlign w:val="bottom"/>
            <w:tcBorders>
              <w:top w:val="single" w:sz="8" w:color="CFF0FC"/>
              <w:bottom w:val="single" w:sz="8" w:color="auto"/>
              <w:right w:val="single" w:sz="8" w:color="CFF0FC"/>
            </w:tcBorders>
            <w:shd w:val="clear" w:color="auto" w:fill="CFF0FC"/>
          </w:tcPr>
          <w:p>
            <w:pPr>
              <w:jc w:val="right"/>
              <w:ind w:right="719"/>
              <w:spacing w:after="0" w:line="166" w:lineRule="exact"/>
              <w:rPr>
                <w:sz w:val="20"/>
                <w:szCs w:val="20"/>
                <w:color w:val="auto"/>
              </w:rPr>
            </w:pPr>
            <w:r>
              <w:rPr>
                <w:rFonts w:ascii="Times New Roman" w:cs="Times New Roman" w:eastAsia="Times New Roman" w:hAnsi="Times New Roman"/>
                <w:sz w:val="16"/>
                <w:szCs w:val="16"/>
                <w:b w:val="1"/>
                <w:bCs w:val="1"/>
                <w:color w:val="auto"/>
              </w:rPr>
              <w:t>4</w:t>
            </w:r>
          </w:p>
        </w:tc>
        <w:tc>
          <w:tcPr>
            <w:tcW w:w="2780" w:type="dxa"/>
            <w:vAlign w:val="bottom"/>
            <w:tcBorders>
              <w:top w:val="single" w:sz="8" w:color="CFF0FC"/>
              <w:bottom w:val="single" w:sz="8" w:color="auto"/>
              <w:right w:val="single" w:sz="8" w:color="auto"/>
            </w:tcBorders>
            <w:shd w:val="clear" w:color="auto" w:fill="CFF0FC"/>
          </w:tcPr>
          <w:p>
            <w:pPr>
              <w:spacing w:after="0"/>
              <w:rPr>
                <w:sz w:val="14"/>
                <w:szCs w:val="14"/>
                <w:color w:val="auto"/>
              </w:rPr>
            </w:pPr>
          </w:p>
        </w:tc>
      </w:tr>
      <w:tr>
        <w:trPr>
          <w:trHeight w:val="204"/>
        </w:trPr>
        <w:tc>
          <w:tcPr>
            <w:tcW w:w="3960" w:type="dxa"/>
            <w:vAlign w:val="bottom"/>
            <w:tcBorders>
              <w:left w:val="single" w:sz="8" w:color="auto"/>
              <w:bottom w:val="single" w:sz="8" w:color="auto"/>
              <w:right w:val="single" w:sz="8" w:color="auto"/>
            </w:tcBorders>
          </w:tcPr>
          <w:p>
            <w:pPr>
              <w:spacing w:after="0"/>
              <w:rPr>
                <w:sz w:val="17"/>
                <w:szCs w:val="17"/>
                <w:color w:val="auto"/>
              </w:rPr>
            </w:pPr>
          </w:p>
        </w:tc>
        <w:tc>
          <w:tcPr>
            <w:tcW w:w="1460" w:type="dxa"/>
            <w:vAlign w:val="bottom"/>
            <w:tcBorders>
              <w:bottom w:val="single" w:sz="8" w:color="auto"/>
              <w:right w:val="single" w:sz="8" w:color="auto"/>
            </w:tcBorders>
          </w:tcPr>
          <w:p>
            <w:pPr>
              <w:ind w:left="500"/>
              <w:spacing w:after="0" w:line="179" w:lineRule="exact"/>
              <w:rPr>
                <w:sz w:val="20"/>
                <w:szCs w:val="20"/>
                <w:color w:val="auto"/>
              </w:rPr>
            </w:pPr>
            <w:r>
              <w:rPr>
                <w:rFonts w:ascii="Times New Roman" w:cs="Times New Roman" w:eastAsia="Times New Roman" w:hAnsi="Times New Roman"/>
                <w:sz w:val="16"/>
                <w:szCs w:val="16"/>
                <w:b w:val="1"/>
                <w:bCs w:val="1"/>
                <w:color w:val="auto"/>
              </w:rPr>
              <w:t>Female</w:t>
            </w:r>
          </w:p>
        </w:tc>
        <w:tc>
          <w:tcPr>
            <w:tcW w:w="1460" w:type="dxa"/>
            <w:vAlign w:val="bottom"/>
            <w:tcBorders>
              <w:bottom w:val="single" w:sz="8" w:color="auto"/>
              <w:right w:val="single" w:sz="8" w:color="auto"/>
            </w:tcBorders>
          </w:tcPr>
          <w:p>
            <w:pPr>
              <w:jc w:val="center"/>
              <w:spacing w:after="0" w:line="179" w:lineRule="exact"/>
              <w:rPr>
                <w:sz w:val="20"/>
                <w:szCs w:val="20"/>
                <w:color w:val="auto"/>
              </w:rPr>
            </w:pPr>
            <w:r>
              <w:rPr>
                <w:rFonts w:ascii="Times New Roman" w:cs="Times New Roman" w:eastAsia="Times New Roman" w:hAnsi="Times New Roman"/>
                <w:sz w:val="16"/>
                <w:szCs w:val="16"/>
                <w:b w:val="1"/>
                <w:bCs w:val="1"/>
                <w:color w:val="auto"/>
                <w:w w:val="97"/>
              </w:rPr>
              <w:t>Male</w:t>
            </w: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right w:val="single" w:sz="8" w:color="auto"/>
            </w:tcBorders>
          </w:tcPr>
          <w:p>
            <w:pPr>
              <w:jc w:val="right"/>
              <w:ind w:right="239"/>
              <w:spacing w:after="0" w:line="179" w:lineRule="exact"/>
              <w:rPr>
                <w:sz w:val="20"/>
                <w:szCs w:val="20"/>
                <w:color w:val="auto"/>
              </w:rPr>
            </w:pPr>
            <w:r>
              <w:rPr>
                <w:rFonts w:ascii="Times New Roman" w:cs="Times New Roman" w:eastAsia="Times New Roman" w:hAnsi="Times New Roman"/>
                <w:sz w:val="16"/>
                <w:szCs w:val="16"/>
                <w:b w:val="1"/>
                <w:bCs w:val="1"/>
                <w:color w:val="auto"/>
              </w:rPr>
              <w:t>Non-Binary</w:t>
            </w:r>
          </w:p>
        </w:tc>
        <w:tc>
          <w:tcPr>
            <w:tcW w:w="2780" w:type="dxa"/>
            <w:vAlign w:val="bottom"/>
            <w:tcBorders>
              <w:bottom w:val="single" w:sz="8" w:color="auto"/>
              <w:right w:val="single" w:sz="8" w:color="auto"/>
            </w:tcBorders>
          </w:tcPr>
          <w:p>
            <w:pPr>
              <w:ind w:left="500"/>
              <w:spacing w:after="0" w:line="179" w:lineRule="exact"/>
              <w:rPr>
                <w:sz w:val="20"/>
                <w:szCs w:val="20"/>
                <w:color w:val="auto"/>
              </w:rPr>
            </w:pPr>
            <w:r>
              <w:rPr>
                <w:rFonts w:ascii="Times New Roman" w:cs="Times New Roman" w:eastAsia="Times New Roman" w:hAnsi="Times New Roman"/>
                <w:sz w:val="16"/>
                <w:szCs w:val="16"/>
                <w:b w:val="1"/>
                <w:bCs w:val="1"/>
                <w:color w:val="auto"/>
              </w:rPr>
              <w:t>Did Not Disclose Gender</w:t>
            </w:r>
          </w:p>
        </w:tc>
      </w:tr>
      <w:tr>
        <w:trPr>
          <w:trHeight w:val="183"/>
        </w:trPr>
        <w:tc>
          <w:tcPr>
            <w:tcW w:w="3960" w:type="dxa"/>
            <w:vAlign w:val="bottom"/>
            <w:tcBorders>
              <w:top w:val="single" w:sz="8" w:color="CFF0FC"/>
              <w:left w:val="single" w:sz="8" w:color="auto"/>
              <w:bottom w:val="single" w:sz="8" w:color="auto"/>
              <w:right w:val="single" w:sz="8" w:color="auto"/>
            </w:tcBorders>
            <w:shd w:val="clear" w:color="auto" w:fill="CFF0FC"/>
          </w:tcPr>
          <w:p>
            <w:pPr>
              <w:ind w:left="40"/>
              <w:spacing w:after="0" w:line="162" w:lineRule="exact"/>
              <w:rPr>
                <w:sz w:val="20"/>
                <w:szCs w:val="20"/>
                <w:color w:val="auto"/>
              </w:rPr>
            </w:pPr>
            <w:r>
              <w:rPr>
                <w:rFonts w:ascii="Times New Roman" w:cs="Times New Roman" w:eastAsia="Times New Roman" w:hAnsi="Times New Roman"/>
                <w:sz w:val="16"/>
                <w:szCs w:val="16"/>
                <w:b w:val="1"/>
                <w:bCs w:val="1"/>
                <w:color w:val="auto"/>
              </w:rPr>
              <w:t>Part I: Gender Identity</w:t>
            </w:r>
          </w:p>
        </w:tc>
        <w:tc>
          <w:tcPr>
            <w:tcW w:w="1460" w:type="dxa"/>
            <w:vAlign w:val="bottom"/>
            <w:tcBorders>
              <w:top w:val="single" w:sz="8" w:color="CFF0FC"/>
              <w:bottom w:val="single" w:sz="8" w:color="auto"/>
              <w:right w:val="single" w:sz="8" w:color="auto"/>
            </w:tcBorders>
            <w:shd w:val="clear" w:color="auto" w:fill="CFF0FC"/>
          </w:tcPr>
          <w:p>
            <w:pPr>
              <w:spacing w:after="0"/>
              <w:rPr>
                <w:sz w:val="15"/>
                <w:szCs w:val="15"/>
                <w:color w:val="auto"/>
              </w:rPr>
            </w:pPr>
          </w:p>
        </w:tc>
        <w:tc>
          <w:tcPr>
            <w:tcW w:w="1460" w:type="dxa"/>
            <w:vAlign w:val="bottom"/>
            <w:tcBorders>
              <w:top w:val="single" w:sz="8" w:color="CFF0FC"/>
              <w:bottom w:val="single" w:sz="8" w:color="auto"/>
              <w:right w:val="single" w:sz="8" w:color="auto"/>
            </w:tcBorders>
            <w:shd w:val="clear" w:color="auto" w:fill="CFF0FC"/>
          </w:tcPr>
          <w:p>
            <w:pPr>
              <w:spacing w:after="0"/>
              <w:rPr>
                <w:sz w:val="15"/>
                <w:szCs w:val="15"/>
                <w:color w:val="auto"/>
              </w:rPr>
            </w:pPr>
          </w:p>
        </w:tc>
        <w:tc>
          <w:tcPr>
            <w:tcW w:w="280" w:type="dxa"/>
            <w:vAlign w:val="bottom"/>
            <w:tcBorders>
              <w:top w:val="single" w:sz="8" w:color="CFF0FC"/>
              <w:bottom w:val="single" w:sz="8" w:color="auto"/>
            </w:tcBorders>
            <w:shd w:val="clear" w:color="auto" w:fill="CFF0FC"/>
          </w:tcPr>
          <w:p>
            <w:pPr>
              <w:spacing w:after="0"/>
              <w:rPr>
                <w:sz w:val="15"/>
                <w:szCs w:val="15"/>
                <w:color w:val="auto"/>
              </w:rPr>
            </w:pPr>
          </w:p>
        </w:tc>
        <w:tc>
          <w:tcPr>
            <w:tcW w:w="1200" w:type="dxa"/>
            <w:vAlign w:val="bottom"/>
            <w:tcBorders>
              <w:top w:val="single" w:sz="8" w:color="CFF0FC"/>
              <w:bottom w:val="single" w:sz="8" w:color="auto"/>
              <w:right w:val="single" w:sz="8" w:color="auto"/>
            </w:tcBorders>
            <w:shd w:val="clear" w:color="auto" w:fill="CFF0FC"/>
          </w:tcPr>
          <w:p>
            <w:pPr>
              <w:spacing w:after="0"/>
              <w:rPr>
                <w:sz w:val="15"/>
                <w:szCs w:val="15"/>
                <w:color w:val="auto"/>
              </w:rPr>
            </w:pPr>
          </w:p>
        </w:tc>
        <w:tc>
          <w:tcPr>
            <w:tcW w:w="2780" w:type="dxa"/>
            <w:vAlign w:val="bottom"/>
            <w:tcBorders>
              <w:top w:val="single" w:sz="8" w:color="auto"/>
              <w:bottom w:val="single" w:sz="8" w:color="auto"/>
              <w:right w:val="single" w:sz="8" w:color="auto"/>
            </w:tcBorders>
            <w:shd w:val="clear" w:color="auto" w:fill="CFF0FC"/>
          </w:tcPr>
          <w:p>
            <w:pPr>
              <w:spacing w:after="0"/>
              <w:rPr>
                <w:sz w:val="15"/>
                <w:szCs w:val="15"/>
                <w:color w:val="auto"/>
              </w:rPr>
            </w:pPr>
          </w:p>
        </w:tc>
      </w:tr>
      <w:tr>
        <w:trPr>
          <w:trHeight w:val="173"/>
        </w:trPr>
        <w:tc>
          <w:tcPr>
            <w:tcW w:w="3960" w:type="dxa"/>
            <w:vAlign w:val="bottom"/>
            <w:tcBorders>
              <w:left w:val="single" w:sz="8" w:color="auto"/>
              <w:bottom w:val="single" w:sz="8" w:color="auto"/>
              <w:right w:val="single" w:sz="8" w:color="auto"/>
            </w:tcBorders>
          </w:tcPr>
          <w:p>
            <w:pPr>
              <w:ind w:left="40"/>
              <w:spacing w:after="0" w:line="166" w:lineRule="exact"/>
              <w:rPr>
                <w:sz w:val="20"/>
                <w:szCs w:val="20"/>
                <w:color w:val="auto"/>
              </w:rPr>
            </w:pPr>
            <w:r>
              <w:rPr>
                <w:rFonts w:ascii="Times New Roman" w:cs="Times New Roman" w:eastAsia="Times New Roman" w:hAnsi="Times New Roman"/>
                <w:sz w:val="16"/>
                <w:szCs w:val="16"/>
                <w:color w:val="auto"/>
              </w:rPr>
              <w:t>Directors</w:t>
            </w:r>
          </w:p>
        </w:tc>
        <w:tc>
          <w:tcPr>
            <w:tcW w:w="146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jc w:val="center"/>
              <w:spacing w:after="0" w:line="166" w:lineRule="exact"/>
              <w:rPr>
                <w:sz w:val="20"/>
                <w:szCs w:val="20"/>
                <w:color w:val="auto"/>
              </w:rPr>
            </w:pPr>
            <w:r>
              <w:rPr>
                <w:rFonts w:ascii="Times New Roman" w:cs="Times New Roman" w:eastAsia="Times New Roman" w:hAnsi="Times New Roman"/>
                <w:sz w:val="16"/>
                <w:szCs w:val="16"/>
                <w:color w:val="auto"/>
                <w:w w:val="99"/>
              </w:rPr>
              <w:t>4</w:t>
            </w:r>
          </w:p>
        </w:tc>
        <w:tc>
          <w:tcPr>
            <w:tcW w:w="280" w:type="dxa"/>
            <w:vAlign w:val="bottom"/>
            <w:tcBorders>
              <w:bottom w:val="single" w:sz="8" w:color="auto"/>
            </w:tcBorders>
          </w:tcPr>
          <w:p>
            <w:pPr>
              <w:spacing w:after="0"/>
              <w:rPr>
                <w:sz w:val="15"/>
                <w:szCs w:val="15"/>
                <w:color w:val="auto"/>
              </w:rPr>
            </w:pPr>
          </w:p>
        </w:tc>
        <w:tc>
          <w:tcPr>
            <w:tcW w:w="1200" w:type="dxa"/>
            <w:vAlign w:val="bottom"/>
            <w:tcBorders>
              <w:bottom w:val="single" w:sz="8" w:color="auto"/>
              <w:right w:val="single" w:sz="8" w:color="auto"/>
            </w:tcBorders>
          </w:tcPr>
          <w:p>
            <w:pPr>
              <w:spacing w:after="0"/>
              <w:rPr>
                <w:sz w:val="15"/>
                <w:szCs w:val="15"/>
                <w:color w:val="auto"/>
              </w:rPr>
            </w:pPr>
          </w:p>
        </w:tc>
        <w:tc>
          <w:tcPr>
            <w:tcW w:w="2780" w:type="dxa"/>
            <w:vAlign w:val="bottom"/>
            <w:tcBorders>
              <w:bottom w:val="single" w:sz="8" w:color="auto"/>
              <w:right w:val="single" w:sz="8" w:color="auto"/>
            </w:tcBorders>
          </w:tcPr>
          <w:p>
            <w:pPr>
              <w:spacing w:after="0"/>
              <w:rPr>
                <w:sz w:val="15"/>
                <w:szCs w:val="15"/>
                <w:color w:val="auto"/>
              </w:rPr>
            </w:pPr>
          </w:p>
        </w:tc>
      </w:tr>
      <w:tr>
        <w:trPr>
          <w:trHeight w:val="189"/>
        </w:trPr>
        <w:tc>
          <w:tcPr>
            <w:tcW w:w="3960" w:type="dxa"/>
            <w:vAlign w:val="bottom"/>
            <w:tcBorders>
              <w:left w:val="single" w:sz="8" w:color="auto"/>
              <w:bottom w:val="single" w:sz="8" w:color="auto"/>
              <w:right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6"/>
                <w:szCs w:val="16"/>
                <w:b w:val="1"/>
                <w:bCs w:val="1"/>
                <w:color w:val="auto"/>
              </w:rPr>
              <w:t>Part II: Demographic Background</w:t>
            </w:r>
          </w:p>
        </w:tc>
        <w:tc>
          <w:tcPr>
            <w:tcW w:w="1460" w:type="dxa"/>
            <w:vAlign w:val="bottom"/>
            <w:tcBorders>
              <w:bottom w:val="single" w:sz="8" w:color="auto"/>
              <w:right w:val="single" w:sz="8" w:color="auto"/>
            </w:tcBorders>
            <w:shd w:val="clear" w:color="auto" w:fill="CFF0FC"/>
          </w:tcPr>
          <w:p>
            <w:pPr>
              <w:spacing w:after="0"/>
              <w:rPr>
                <w:sz w:val="16"/>
                <w:szCs w:val="16"/>
                <w:color w:val="auto"/>
              </w:rPr>
            </w:pPr>
          </w:p>
        </w:tc>
        <w:tc>
          <w:tcPr>
            <w:tcW w:w="1460" w:type="dxa"/>
            <w:vAlign w:val="bottom"/>
            <w:tcBorders>
              <w:bottom w:val="single" w:sz="8" w:color="auto"/>
              <w:right w:val="single" w:sz="8" w:color="auto"/>
            </w:tcBorders>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spacing w:after="0"/>
              <w:rPr>
                <w:sz w:val="16"/>
                <w:szCs w:val="16"/>
                <w:color w:val="auto"/>
              </w:rPr>
            </w:pPr>
          </w:p>
        </w:tc>
        <w:tc>
          <w:tcPr>
            <w:tcW w:w="1200" w:type="dxa"/>
            <w:vAlign w:val="bottom"/>
            <w:tcBorders>
              <w:bottom w:val="single" w:sz="8" w:color="auto"/>
              <w:right w:val="single" w:sz="8" w:color="auto"/>
            </w:tcBorders>
            <w:shd w:val="clear" w:color="auto" w:fill="CFF0FC"/>
          </w:tcPr>
          <w:p>
            <w:pPr>
              <w:spacing w:after="0"/>
              <w:rPr>
                <w:sz w:val="16"/>
                <w:szCs w:val="16"/>
                <w:color w:val="auto"/>
              </w:rPr>
            </w:pPr>
          </w:p>
        </w:tc>
        <w:tc>
          <w:tcPr>
            <w:tcW w:w="2780" w:type="dxa"/>
            <w:vAlign w:val="bottom"/>
            <w:tcBorders>
              <w:bottom w:val="single" w:sz="8" w:color="auto"/>
              <w:right w:val="single" w:sz="8" w:color="auto"/>
            </w:tcBorders>
            <w:shd w:val="clear" w:color="auto" w:fill="CFF0FC"/>
          </w:tcPr>
          <w:p>
            <w:pPr>
              <w:spacing w:after="0"/>
              <w:rPr>
                <w:sz w:val="16"/>
                <w:szCs w:val="16"/>
                <w:color w:val="auto"/>
              </w:rPr>
            </w:pPr>
          </w:p>
        </w:tc>
      </w:tr>
      <w:tr>
        <w:trPr>
          <w:trHeight w:val="183"/>
        </w:trPr>
        <w:tc>
          <w:tcPr>
            <w:tcW w:w="3960" w:type="dxa"/>
            <w:vAlign w:val="bottom"/>
            <w:tcBorders>
              <w:left w:val="single" w:sz="8" w:color="auto"/>
              <w:bottom w:val="single" w:sz="8" w:color="auto"/>
              <w:right w:val="single" w:sz="8" w:color="auto"/>
            </w:tcBorders>
          </w:tcPr>
          <w:p>
            <w:pPr>
              <w:ind w:left="40"/>
              <w:spacing w:after="0" w:line="183" w:lineRule="exact"/>
              <w:rPr>
                <w:sz w:val="20"/>
                <w:szCs w:val="20"/>
                <w:color w:val="auto"/>
              </w:rPr>
            </w:pPr>
            <w:r>
              <w:rPr>
                <w:rFonts w:ascii="Times New Roman" w:cs="Times New Roman" w:eastAsia="Times New Roman" w:hAnsi="Times New Roman"/>
                <w:sz w:val="16"/>
                <w:szCs w:val="16"/>
                <w:color w:val="auto"/>
              </w:rPr>
              <w:t>African American or Black</w:t>
            </w:r>
          </w:p>
        </w:tc>
        <w:tc>
          <w:tcPr>
            <w:tcW w:w="146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2</w:t>
            </w:r>
          </w:p>
        </w:tc>
        <w:tc>
          <w:tcPr>
            <w:tcW w:w="280" w:type="dxa"/>
            <w:vAlign w:val="bottom"/>
            <w:tcBorders>
              <w:bottom w:val="single" w:sz="8" w:color="auto"/>
            </w:tcBorders>
          </w:tcPr>
          <w:p>
            <w:pPr>
              <w:spacing w:after="0"/>
              <w:rPr>
                <w:sz w:val="15"/>
                <w:szCs w:val="15"/>
                <w:color w:val="auto"/>
              </w:rPr>
            </w:pPr>
          </w:p>
        </w:tc>
        <w:tc>
          <w:tcPr>
            <w:tcW w:w="1200" w:type="dxa"/>
            <w:vAlign w:val="bottom"/>
            <w:tcBorders>
              <w:bottom w:val="single" w:sz="8" w:color="auto"/>
              <w:right w:val="single" w:sz="8" w:color="auto"/>
            </w:tcBorders>
          </w:tcPr>
          <w:p>
            <w:pPr>
              <w:spacing w:after="0"/>
              <w:rPr>
                <w:sz w:val="15"/>
                <w:szCs w:val="15"/>
                <w:color w:val="auto"/>
              </w:rPr>
            </w:pPr>
          </w:p>
        </w:tc>
        <w:tc>
          <w:tcPr>
            <w:tcW w:w="2780" w:type="dxa"/>
            <w:vAlign w:val="bottom"/>
            <w:tcBorders>
              <w:bottom w:val="single" w:sz="8" w:color="auto"/>
              <w:right w:val="single" w:sz="8" w:color="auto"/>
            </w:tcBorders>
          </w:tcPr>
          <w:p>
            <w:pPr>
              <w:spacing w:after="0"/>
              <w:rPr>
                <w:sz w:val="15"/>
                <w:szCs w:val="15"/>
                <w:color w:val="auto"/>
              </w:rPr>
            </w:pPr>
          </w:p>
        </w:tc>
      </w:tr>
      <w:tr>
        <w:trPr>
          <w:trHeight w:val="183"/>
        </w:trPr>
        <w:tc>
          <w:tcPr>
            <w:tcW w:w="3960" w:type="dxa"/>
            <w:vAlign w:val="bottom"/>
            <w:tcBorders>
              <w:left w:val="single" w:sz="8" w:color="auto"/>
              <w:bottom w:val="single" w:sz="8" w:color="auto"/>
              <w:right w:val="single" w:sz="8" w:color="auto"/>
            </w:tcBorders>
          </w:tcPr>
          <w:p>
            <w:pPr>
              <w:ind w:left="40"/>
              <w:spacing w:after="0" w:line="183" w:lineRule="exact"/>
              <w:rPr>
                <w:sz w:val="20"/>
                <w:szCs w:val="20"/>
                <w:color w:val="auto"/>
              </w:rPr>
            </w:pPr>
            <w:r>
              <w:rPr>
                <w:rFonts w:ascii="Times New Roman" w:cs="Times New Roman" w:eastAsia="Times New Roman" w:hAnsi="Times New Roman"/>
                <w:sz w:val="16"/>
                <w:szCs w:val="16"/>
                <w:color w:val="auto"/>
              </w:rPr>
              <w:t>Alaskan Native or Native American</w:t>
            </w:r>
          </w:p>
        </w:tc>
        <w:tc>
          <w:tcPr>
            <w:tcW w:w="146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00" w:type="dxa"/>
            <w:vAlign w:val="bottom"/>
            <w:tcBorders>
              <w:bottom w:val="single" w:sz="8" w:color="auto"/>
              <w:right w:val="single" w:sz="8" w:color="auto"/>
            </w:tcBorders>
          </w:tcPr>
          <w:p>
            <w:pPr>
              <w:spacing w:after="0"/>
              <w:rPr>
                <w:sz w:val="15"/>
                <w:szCs w:val="15"/>
                <w:color w:val="auto"/>
              </w:rPr>
            </w:pPr>
          </w:p>
        </w:tc>
        <w:tc>
          <w:tcPr>
            <w:tcW w:w="2780" w:type="dxa"/>
            <w:vAlign w:val="bottom"/>
            <w:tcBorders>
              <w:bottom w:val="single" w:sz="8" w:color="auto"/>
              <w:right w:val="single" w:sz="8" w:color="auto"/>
            </w:tcBorders>
          </w:tcPr>
          <w:p>
            <w:pPr>
              <w:spacing w:after="0"/>
              <w:rPr>
                <w:sz w:val="15"/>
                <w:szCs w:val="15"/>
                <w:color w:val="auto"/>
              </w:rPr>
            </w:pPr>
          </w:p>
        </w:tc>
      </w:tr>
      <w:tr>
        <w:trPr>
          <w:trHeight w:val="183"/>
        </w:trPr>
        <w:tc>
          <w:tcPr>
            <w:tcW w:w="3960" w:type="dxa"/>
            <w:vAlign w:val="bottom"/>
            <w:tcBorders>
              <w:left w:val="single" w:sz="8" w:color="auto"/>
              <w:bottom w:val="single" w:sz="8" w:color="auto"/>
              <w:right w:val="single" w:sz="8" w:color="auto"/>
            </w:tcBorders>
          </w:tcPr>
          <w:p>
            <w:pPr>
              <w:ind w:left="40"/>
              <w:spacing w:after="0" w:line="183" w:lineRule="exact"/>
              <w:rPr>
                <w:sz w:val="20"/>
                <w:szCs w:val="20"/>
                <w:color w:val="auto"/>
              </w:rPr>
            </w:pPr>
            <w:r>
              <w:rPr>
                <w:rFonts w:ascii="Times New Roman" w:cs="Times New Roman" w:eastAsia="Times New Roman" w:hAnsi="Times New Roman"/>
                <w:sz w:val="16"/>
                <w:szCs w:val="16"/>
                <w:color w:val="auto"/>
              </w:rPr>
              <w:t>Asian</w:t>
            </w:r>
          </w:p>
        </w:tc>
        <w:tc>
          <w:tcPr>
            <w:tcW w:w="146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00" w:type="dxa"/>
            <w:vAlign w:val="bottom"/>
            <w:tcBorders>
              <w:bottom w:val="single" w:sz="8" w:color="auto"/>
              <w:right w:val="single" w:sz="8" w:color="auto"/>
            </w:tcBorders>
          </w:tcPr>
          <w:p>
            <w:pPr>
              <w:spacing w:after="0"/>
              <w:rPr>
                <w:sz w:val="15"/>
                <w:szCs w:val="15"/>
                <w:color w:val="auto"/>
              </w:rPr>
            </w:pPr>
          </w:p>
        </w:tc>
        <w:tc>
          <w:tcPr>
            <w:tcW w:w="2780" w:type="dxa"/>
            <w:vAlign w:val="bottom"/>
            <w:tcBorders>
              <w:bottom w:val="single" w:sz="8" w:color="auto"/>
              <w:right w:val="single" w:sz="8" w:color="auto"/>
            </w:tcBorders>
          </w:tcPr>
          <w:p>
            <w:pPr>
              <w:spacing w:after="0"/>
              <w:rPr>
                <w:sz w:val="15"/>
                <w:szCs w:val="15"/>
                <w:color w:val="auto"/>
              </w:rPr>
            </w:pPr>
          </w:p>
        </w:tc>
      </w:tr>
      <w:tr>
        <w:trPr>
          <w:trHeight w:val="183"/>
        </w:trPr>
        <w:tc>
          <w:tcPr>
            <w:tcW w:w="3960" w:type="dxa"/>
            <w:vAlign w:val="bottom"/>
            <w:tcBorders>
              <w:left w:val="single" w:sz="8" w:color="auto"/>
              <w:bottom w:val="single" w:sz="8" w:color="auto"/>
              <w:right w:val="single" w:sz="8" w:color="auto"/>
            </w:tcBorders>
          </w:tcPr>
          <w:p>
            <w:pPr>
              <w:ind w:left="40"/>
              <w:spacing w:after="0" w:line="183" w:lineRule="exact"/>
              <w:rPr>
                <w:sz w:val="20"/>
                <w:szCs w:val="20"/>
                <w:color w:val="auto"/>
              </w:rPr>
            </w:pPr>
            <w:r>
              <w:rPr>
                <w:rFonts w:ascii="Times New Roman" w:cs="Times New Roman" w:eastAsia="Times New Roman" w:hAnsi="Times New Roman"/>
                <w:sz w:val="16"/>
                <w:szCs w:val="16"/>
                <w:color w:val="auto"/>
              </w:rPr>
              <w:t>Hispanic or Latin</w:t>
            </w:r>
          </w:p>
        </w:tc>
        <w:tc>
          <w:tcPr>
            <w:tcW w:w="146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00" w:type="dxa"/>
            <w:vAlign w:val="bottom"/>
            <w:tcBorders>
              <w:bottom w:val="single" w:sz="8" w:color="auto"/>
              <w:right w:val="single" w:sz="8" w:color="auto"/>
            </w:tcBorders>
          </w:tcPr>
          <w:p>
            <w:pPr>
              <w:spacing w:after="0"/>
              <w:rPr>
                <w:sz w:val="15"/>
                <w:szCs w:val="15"/>
                <w:color w:val="auto"/>
              </w:rPr>
            </w:pPr>
          </w:p>
        </w:tc>
        <w:tc>
          <w:tcPr>
            <w:tcW w:w="2780" w:type="dxa"/>
            <w:vAlign w:val="bottom"/>
            <w:tcBorders>
              <w:bottom w:val="single" w:sz="8" w:color="auto"/>
              <w:right w:val="single" w:sz="8" w:color="auto"/>
            </w:tcBorders>
          </w:tcPr>
          <w:p>
            <w:pPr>
              <w:spacing w:after="0"/>
              <w:rPr>
                <w:sz w:val="15"/>
                <w:szCs w:val="15"/>
                <w:color w:val="auto"/>
              </w:rPr>
            </w:pPr>
          </w:p>
        </w:tc>
      </w:tr>
      <w:tr>
        <w:trPr>
          <w:trHeight w:val="199"/>
        </w:trPr>
        <w:tc>
          <w:tcPr>
            <w:tcW w:w="3960" w:type="dxa"/>
            <w:vAlign w:val="bottom"/>
            <w:tcBorders>
              <w:left w:val="single" w:sz="8" w:color="auto"/>
              <w:bottom w:val="single" w:sz="8" w:color="auto"/>
              <w:right w:val="single" w:sz="8" w:color="auto"/>
            </w:tcBorders>
          </w:tcPr>
          <w:p>
            <w:pPr>
              <w:ind w:left="40"/>
              <w:spacing w:after="0" w:line="179" w:lineRule="exact"/>
              <w:rPr>
                <w:sz w:val="20"/>
                <w:szCs w:val="20"/>
                <w:color w:val="auto"/>
              </w:rPr>
            </w:pPr>
            <w:r>
              <w:rPr>
                <w:rFonts w:ascii="Times New Roman" w:cs="Times New Roman" w:eastAsia="Times New Roman" w:hAnsi="Times New Roman"/>
                <w:sz w:val="16"/>
                <w:szCs w:val="16"/>
                <w:color w:val="auto"/>
              </w:rPr>
              <w:t>Native Hawaiian or Pacific Islander</w:t>
            </w:r>
          </w:p>
        </w:tc>
        <w:tc>
          <w:tcPr>
            <w:tcW w:w="1460" w:type="dxa"/>
            <w:vAlign w:val="bottom"/>
            <w:tcBorders>
              <w:bottom w:val="single" w:sz="8" w:color="auto"/>
              <w:right w:val="single" w:sz="8" w:color="auto"/>
            </w:tcBorders>
          </w:tcPr>
          <w:p>
            <w:pPr>
              <w:spacing w:after="0"/>
              <w:rPr>
                <w:sz w:val="17"/>
                <w:szCs w:val="17"/>
                <w:color w:val="auto"/>
              </w:rPr>
            </w:pPr>
          </w:p>
        </w:tc>
        <w:tc>
          <w:tcPr>
            <w:tcW w:w="1460" w:type="dxa"/>
            <w:vAlign w:val="bottom"/>
            <w:tcBorders>
              <w:bottom w:val="single" w:sz="8" w:color="auto"/>
              <w:right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right w:val="single" w:sz="8" w:color="auto"/>
            </w:tcBorders>
          </w:tcPr>
          <w:p>
            <w:pPr>
              <w:spacing w:after="0"/>
              <w:rPr>
                <w:sz w:val="17"/>
                <w:szCs w:val="17"/>
                <w:color w:val="auto"/>
              </w:rPr>
            </w:pPr>
          </w:p>
        </w:tc>
        <w:tc>
          <w:tcPr>
            <w:tcW w:w="2780" w:type="dxa"/>
            <w:vAlign w:val="bottom"/>
            <w:tcBorders>
              <w:bottom w:val="single" w:sz="8" w:color="auto"/>
              <w:right w:val="single" w:sz="8" w:color="auto"/>
            </w:tcBorders>
          </w:tcPr>
          <w:p>
            <w:pPr>
              <w:spacing w:after="0"/>
              <w:rPr>
                <w:sz w:val="17"/>
                <w:szCs w:val="17"/>
                <w:color w:val="auto"/>
              </w:rPr>
            </w:pPr>
          </w:p>
        </w:tc>
      </w:tr>
      <w:tr>
        <w:trPr>
          <w:trHeight w:val="183"/>
        </w:trPr>
        <w:tc>
          <w:tcPr>
            <w:tcW w:w="3960" w:type="dxa"/>
            <w:vAlign w:val="bottom"/>
            <w:tcBorders>
              <w:left w:val="single" w:sz="8" w:color="auto"/>
              <w:bottom w:val="single" w:sz="8" w:color="auto"/>
              <w:right w:val="single" w:sz="8" w:color="auto"/>
            </w:tcBorders>
          </w:tcPr>
          <w:p>
            <w:pPr>
              <w:ind w:left="40"/>
              <w:spacing w:after="0" w:line="162" w:lineRule="exact"/>
              <w:rPr>
                <w:sz w:val="20"/>
                <w:szCs w:val="20"/>
                <w:color w:val="auto"/>
              </w:rPr>
            </w:pPr>
            <w:r>
              <w:rPr>
                <w:rFonts w:ascii="Times New Roman" w:cs="Times New Roman" w:eastAsia="Times New Roman" w:hAnsi="Times New Roman"/>
                <w:sz w:val="16"/>
                <w:szCs w:val="16"/>
                <w:color w:val="auto"/>
              </w:rPr>
              <w:t>White</w:t>
            </w:r>
          </w:p>
        </w:tc>
        <w:tc>
          <w:tcPr>
            <w:tcW w:w="146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color w:val="auto"/>
                <w:w w:val="99"/>
              </w:rPr>
              <w:t>2</w:t>
            </w:r>
          </w:p>
        </w:tc>
        <w:tc>
          <w:tcPr>
            <w:tcW w:w="280" w:type="dxa"/>
            <w:vAlign w:val="bottom"/>
            <w:tcBorders>
              <w:bottom w:val="single" w:sz="8" w:color="auto"/>
            </w:tcBorders>
          </w:tcPr>
          <w:p>
            <w:pPr>
              <w:spacing w:after="0"/>
              <w:rPr>
                <w:sz w:val="15"/>
                <w:szCs w:val="15"/>
                <w:color w:val="auto"/>
              </w:rPr>
            </w:pPr>
          </w:p>
        </w:tc>
        <w:tc>
          <w:tcPr>
            <w:tcW w:w="1200" w:type="dxa"/>
            <w:vAlign w:val="bottom"/>
            <w:tcBorders>
              <w:bottom w:val="single" w:sz="8" w:color="auto"/>
              <w:right w:val="single" w:sz="8" w:color="auto"/>
            </w:tcBorders>
          </w:tcPr>
          <w:p>
            <w:pPr>
              <w:spacing w:after="0"/>
              <w:rPr>
                <w:sz w:val="15"/>
                <w:szCs w:val="15"/>
                <w:color w:val="auto"/>
              </w:rPr>
            </w:pPr>
          </w:p>
        </w:tc>
        <w:tc>
          <w:tcPr>
            <w:tcW w:w="2780" w:type="dxa"/>
            <w:vAlign w:val="bottom"/>
            <w:tcBorders>
              <w:bottom w:val="single" w:sz="8" w:color="auto"/>
              <w:right w:val="single" w:sz="8" w:color="auto"/>
            </w:tcBorders>
          </w:tcPr>
          <w:p>
            <w:pPr>
              <w:spacing w:after="0"/>
              <w:rPr>
                <w:sz w:val="15"/>
                <w:szCs w:val="15"/>
                <w:color w:val="auto"/>
              </w:rPr>
            </w:pPr>
          </w:p>
        </w:tc>
      </w:tr>
      <w:tr>
        <w:trPr>
          <w:trHeight w:val="166"/>
        </w:trPr>
        <w:tc>
          <w:tcPr>
            <w:tcW w:w="3960" w:type="dxa"/>
            <w:vAlign w:val="bottom"/>
            <w:tcBorders>
              <w:left w:val="single" w:sz="8" w:color="auto"/>
              <w:bottom w:val="single" w:sz="8" w:color="auto"/>
              <w:right w:val="single" w:sz="8" w:color="auto"/>
            </w:tcBorders>
          </w:tcPr>
          <w:p>
            <w:pPr>
              <w:ind w:left="40"/>
              <w:spacing w:after="0" w:line="166" w:lineRule="exact"/>
              <w:rPr>
                <w:sz w:val="20"/>
                <w:szCs w:val="20"/>
                <w:color w:val="auto"/>
              </w:rPr>
            </w:pPr>
            <w:r>
              <w:rPr>
                <w:rFonts w:ascii="Times New Roman" w:cs="Times New Roman" w:eastAsia="Times New Roman" w:hAnsi="Times New Roman"/>
                <w:sz w:val="16"/>
                <w:szCs w:val="16"/>
                <w:color w:val="auto"/>
              </w:rPr>
              <w:t>Two or More Races or Ethnicities</w:t>
            </w:r>
          </w:p>
        </w:tc>
        <w:tc>
          <w:tcPr>
            <w:tcW w:w="1460" w:type="dxa"/>
            <w:vAlign w:val="bottom"/>
            <w:tcBorders>
              <w:bottom w:val="single" w:sz="8" w:color="auto"/>
              <w:right w:val="single" w:sz="8" w:color="auto"/>
            </w:tcBorders>
          </w:tcPr>
          <w:p>
            <w:pPr>
              <w:spacing w:after="0"/>
              <w:rPr>
                <w:sz w:val="14"/>
                <w:szCs w:val="14"/>
                <w:color w:val="auto"/>
              </w:rPr>
            </w:pPr>
          </w:p>
        </w:tc>
        <w:tc>
          <w:tcPr>
            <w:tcW w:w="1460" w:type="dxa"/>
            <w:vAlign w:val="bottom"/>
            <w:tcBorders>
              <w:bottom w:val="single" w:sz="8" w:color="auto"/>
              <w:right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0" w:type="dxa"/>
            <w:vAlign w:val="bottom"/>
            <w:tcBorders>
              <w:bottom w:val="single" w:sz="8" w:color="auto"/>
              <w:right w:val="single" w:sz="8" w:color="auto"/>
            </w:tcBorders>
          </w:tcPr>
          <w:p>
            <w:pPr>
              <w:spacing w:after="0"/>
              <w:rPr>
                <w:sz w:val="14"/>
                <w:szCs w:val="14"/>
                <w:color w:val="auto"/>
              </w:rPr>
            </w:pPr>
          </w:p>
        </w:tc>
        <w:tc>
          <w:tcPr>
            <w:tcW w:w="2780" w:type="dxa"/>
            <w:vAlign w:val="bottom"/>
            <w:tcBorders>
              <w:bottom w:val="single" w:sz="8" w:color="auto"/>
              <w:right w:val="single" w:sz="8" w:color="auto"/>
            </w:tcBorders>
          </w:tcPr>
          <w:p>
            <w:pPr>
              <w:spacing w:after="0"/>
              <w:rPr>
                <w:sz w:val="14"/>
                <w:szCs w:val="14"/>
                <w:color w:val="auto"/>
              </w:rPr>
            </w:pPr>
          </w:p>
        </w:tc>
      </w:tr>
      <w:tr>
        <w:trPr>
          <w:trHeight w:val="183"/>
        </w:trPr>
        <w:tc>
          <w:tcPr>
            <w:tcW w:w="3960" w:type="dxa"/>
            <w:vAlign w:val="bottom"/>
            <w:tcBorders>
              <w:left w:val="single" w:sz="8" w:color="auto"/>
              <w:bottom w:val="single" w:sz="8" w:color="auto"/>
              <w:right w:val="single" w:sz="8" w:color="auto"/>
            </w:tcBorders>
          </w:tcPr>
          <w:p>
            <w:pPr>
              <w:ind w:left="40"/>
              <w:spacing w:after="0" w:line="183" w:lineRule="exact"/>
              <w:rPr>
                <w:sz w:val="20"/>
                <w:szCs w:val="20"/>
                <w:color w:val="auto"/>
              </w:rPr>
            </w:pPr>
            <w:r>
              <w:rPr>
                <w:rFonts w:ascii="Times New Roman" w:cs="Times New Roman" w:eastAsia="Times New Roman" w:hAnsi="Times New Roman"/>
                <w:sz w:val="16"/>
                <w:szCs w:val="16"/>
                <w:color w:val="auto"/>
              </w:rPr>
              <w:t>LGBTQ+</w:t>
            </w:r>
          </w:p>
        </w:tc>
        <w:tc>
          <w:tcPr>
            <w:tcW w:w="146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00" w:type="dxa"/>
            <w:vAlign w:val="bottom"/>
            <w:tcBorders>
              <w:bottom w:val="single" w:sz="8" w:color="auto"/>
              <w:right w:val="single" w:sz="8" w:color="auto"/>
            </w:tcBorders>
          </w:tcPr>
          <w:p>
            <w:pPr>
              <w:spacing w:after="0"/>
              <w:rPr>
                <w:sz w:val="15"/>
                <w:szCs w:val="15"/>
                <w:color w:val="auto"/>
              </w:rPr>
            </w:pPr>
          </w:p>
        </w:tc>
        <w:tc>
          <w:tcPr>
            <w:tcW w:w="2780" w:type="dxa"/>
            <w:vAlign w:val="bottom"/>
            <w:tcBorders>
              <w:bottom w:val="single" w:sz="8" w:color="auto"/>
              <w:right w:val="single" w:sz="8" w:color="auto"/>
            </w:tcBorders>
          </w:tcPr>
          <w:p>
            <w:pPr>
              <w:spacing w:after="0"/>
              <w:rPr>
                <w:sz w:val="15"/>
                <w:szCs w:val="15"/>
                <w:color w:val="auto"/>
              </w:rPr>
            </w:pPr>
          </w:p>
        </w:tc>
      </w:tr>
      <w:tr>
        <w:trPr>
          <w:trHeight w:val="183"/>
        </w:trPr>
        <w:tc>
          <w:tcPr>
            <w:tcW w:w="3960" w:type="dxa"/>
            <w:vAlign w:val="bottom"/>
            <w:tcBorders>
              <w:left w:val="single" w:sz="8" w:color="auto"/>
              <w:bottom w:val="single" w:sz="8" w:color="auto"/>
              <w:right w:val="single" w:sz="8" w:color="auto"/>
            </w:tcBorders>
          </w:tcPr>
          <w:p>
            <w:pPr>
              <w:ind w:left="40"/>
              <w:spacing w:after="0" w:line="183" w:lineRule="exact"/>
              <w:rPr>
                <w:sz w:val="20"/>
                <w:szCs w:val="20"/>
                <w:color w:val="auto"/>
              </w:rPr>
            </w:pPr>
            <w:r>
              <w:rPr>
                <w:rFonts w:ascii="Times New Roman" w:cs="Times New Roman" w:eastAsia="Times New Roman" w:hAnsi="Times New Roman"/>
                <w:sz w:val="16"/>
                <w:szCs w:val="16"/>
                <w:color w:val="auto"/>
              </w:rPr>
              <w:t>Did Not Disclose Demographic Background</w:t>
            </w:r>
          </w:p>
        </w:tc>
        <w:tc>
          <w:tcPr>
            <w:tcW w:w="146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00" w:type="dxa"/>
            <w:vAlign w:val="bottom"/>
            <w:tcBorders>
              <w:bottom w:val="single" w:sz="8" w:color="auto"/>
              <w:right w:val="single" w:sz="8" w:color="auto"/>
            </w:tcBorders>
          </w:tcPr>
          <w:p>
            <w:pPr>
              <w:spacing w:after="0"/>
              <w:rPr>
                <w:sz w:val="15"/>
                <w:szCs w:val="15"/>
                <w:color w:val="auto"/>
              </w:rPr>
            </w:pPr>
          </w:p>
        </w:tc>
        <w:tc>
          <w:tcPr>
            <w:tcW w:w="2780" w:type="dxa"/>
            <w:vAlign w:val="bottom"/>
            <w:tcBorders>
              <w:bottom w:val="single" w:sz="8" w:color="auto"/>
              <w:right w:val="single" w:sz="8" w:color="auto"/>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-1422400</wp:posOffset>
            </wp:positionV>
            <wp:extent cx="7054850"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54850" cy="128905"/>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563C1"/>
        </w:rPr>
        <w:t>TABLE OF CONTENTS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PROPOSAL TWO</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RATIFICATION OF THE APPOINTMENT OF</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INDEPENDENT REGISTERED PUBLIC ACCOUNTING FIRM</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General</w:t>
      </w:r>
    </w:p>
    <w:p>
      <w:pPr>
        <w:spacing w:after="0" w:line="115" w:lineRule="exact"/>
        <w:rPr>
          <w:sz w:val="20"/>
          <w:szCs w:val="20"/>
          <w:color w:val="auto"/>
        </w:rPr>
      </w:pPr>
    </w:p>
    <w:p>
      <w:pPr>
        <w:ind w:right="300" w:firstLine="374"/>
        <w:spacing w:after="0" w:line="263" w:lineRule="auto"/>
        <w:rPr>
          <w:sz w:val="20"/>
          <w:szCs w:val="20"/>
          <w:color w:val="auto"/>
        </w:rPr>
      </w:pPr>
      <w:r>
        <w:rPr>
          <w:rFonts w:ascii="Times New Roman" w:cs="Times New Roman" w:eastAsia="Times New Roman" w:hAnsi="Times New Roman"/>
          <w:sz w:val="16"/>
          <w:szCs w:val="16"/>
          <w:color w:val="auto"/>
        </w:rPr>
        <w:t>Our audit committee has appointed the firm of Ernst &amp; Young LLP, independent registered public accountants, to audit our financial statements for the year ending December 31, 2022. Ernst &amp; Young LLP has audited our financial statements since the fiscal year ended December 31, 2013.</w:t>
      </w:r>
    </w:p>
    <w:p>
      <w:pPr>
        <w:spacing w:after="0" w:line="69" w:lineRule="exact"/>
        <w:rPr>
          <w:sz w:val="20"/>
          <w:szCs w:val="20"/>
          <w:color w:val="auto"/>
        </w:rPr>
      </w:pPr>
    </w:p>
    <w:p>
      <w:pPr>
        <w:ind w:firstLine="374"/>
        <w:spacing w:after="0" w:line="249" w:lineRule="auto"/>
        <w:rPr>
          <w:sz w:val="20"/>
          <w:szCs w:val="20"/>
          <w:color w:val="auto"/>
        </w:rPr>
      </w:pPr>
      <w:r>
        <w:rPr>
          <w:rFonts w:ascii="Times New Roman" w:cs="Times New Roman" w:eastAsia="Times New Roman" w:hAnsi="Times New Roman"/>
          <w:sz w:val="16"/>
          <w:szCs w:val="16"/>
          <w:color w:val="auto"/>
        </w:rPr>
        <w:t>Notwithstanding its selection and even if our stockholders ratify the selection, our audit committee, in its discretion, may appoint another independent registered public accounting firm at any time during the year if the audit committee believes that such a change would be in the best interests of Axsome and its stockholders. At the Annual Meeting, the stockholders are being asked to ratify the appointment of Ernst &amp; Young LLP as our independent registered public accounting firm for the year ending December 31, 2022. Our audit committee is submitting the selection of Ernst &amp; Young LLP to our stockholders because we value our stockholders’ views on our independent registered public accounting firm and as a matter of good corporate governance. Representatives of Ernst &amp; Young LLP will be present at the Annual Meeting and they will have an opportunity to make statements and will be available to respond to appropriate questions from stockholders.</w:t>
      </w:r>
    </w:p>
    <w:p>
      <w:pPr>
        <w:spacing w:after="0" w:line="83" w:lineRule="exact"/>
        <w:rPr>
          <w:sz w:val="20"/>
          <w:szCs w:val="20"/>
          <w:color w:val="auto"/>
        </w:rPr>
      </w:pPr>
    </w:p>
    <w:p>
      <w:pPr>
        <w:ind w:right="520" w:firstLine="374"/>
        <w:spacing w:after="0" w:line="387" w:lineRule="auto"/>
        <w:rPr>
          <w:sz w:val="20"/>
          <w:szCs w:val="20"/>
          <w:color w:val="auto"/>
        </w:rPr>
      </w:pPr>
      <w:r>
        <w:rPr>
          <w:rFonts w:ascii="Times New Roman" w:cs="Times New Roman" w:eastAsia="Times New Roman" w:hAnsi="Times New Roman"/>
          <w:sz w:val="16"/>
          <w:szCs w:val="16"/>
          <w:color w:val="auto"/>
        </w:rPr>
        <w:t xml:space="preserve">If this proposal does not receive the affirmative approval of a majority of the votes cast on the proposal, the audit committee would reconsider the appointment. </w:t>
      </w:r>
      <w:r>
        <w:rPr>
          <w:rFonts w:ascii="Times New Roman" w:cs="Times New Roman" w:eastAsia="Times New Roman" w:hAnsi="Times New Roman"/>
          <w:sz w:val="16"/>
          <w:szCs w:val="16"/>
          <w:b w:val="1"/>
          <w:bCs w:val="1"/>
          <w:color w:val="auto"/>
        </w:rPr>
        <w:t>Principal Accounting Fees and Services</w:t>
      </w:r>
    </w:p>
    <w:p>
      <w:pPr>
        <w:spacing w:after="0" w:line="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The following table sets forth all fees paid or accrued by us for professional audit services and other services rendered by Ernst &amp; Young LLP during the years ended</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December 31, 2021 and 2020:</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00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2021</w:t>
            </w:r>
          </w:p>
        </w:tc>
        <w:tc>
          <w:tcPr>
            <w:tcW w:w="60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82"/>
              <w:spacing w:after="0"/>
              <w:rPr>
                <w:sz w:val="20"/>
                <w:szCs w:val="20"/>
                <w:color w:val="auto"/>
              </w:rPr>
            </w:pPr>
            <w:r>
              <w:rPr>
                <w:rFonts w:ascii="Times New Roman" w:cs="Times New Roman" w:eastAsia="Times New Roman" w:hAnsi="Times New Roman"/>
                <w:sz w:val="13"/>
                <w:szCs w:val="13"/>
                <w:b w:val="1"/>
                <w:bCs w:val="1"/>
                <w:color w:val="auto"/>
              </w:rPr>
              <w:t>2020</w:t>
            </w:r>
          </w:p>
        </w:tc>
        <w:tc>
          <w:tcPr>
            <w:tcW w:w="100" w:type="dxa"/>
            <w:vAlign w:val="bottom"/>
          </w:tcPr>
          <w:p>
            <w:pPr>
              <w:spacing w:after="0"/>
              <w:rPr>
                <w:sz w:val="15"/>
                <w:szCs w:val="15"/>
                <w:color w:val="auto"/>
              </w:rPr>
            </w:pPr>
          </w:p>
        </w:tc>
      </w:tr>
      <w:tr>
        <w:trPr>
          <w:trHeight w:val="203"/>
        </w:trPr>
        <w:tc>
          <w:tcPr>
            <w:tcW w:w="7680" w:type="dxa"/>
            <w:vAlign w:val="bottom"/>
            <w:gridSpan w:val="2"/>
            <w:shd w:val="clear" w:color="auto" w:fill="CFF0FC"/>
          </w:tcPr>
          <w:p>
            <w:pPr>
              <w:ind w:left="20"/>
              <w:spacing w:after="0" w:line="203" w:lineRule="exact"/>
              <w:rPr>
                <w:sz w:val="20"/>
                <w:szCs w:val="20"/>
                <w:color w:val="auto"/>
              </w:rPr>
            </w:pPr>
            <w:r>
              <w:rPr>
                <w:rFonts w:ascii="Times New Roman" w:cs="Times New Roman" w:eastAsia="Times New Roman" w:hAnsi="Times New Roman"/>
                <w:sz w:val="16"/>
                <w:szCs w:val="16"/>
                <w:color w:val="auto"/>
              </w:rPr>
              <w:t>Audit Fees</w:t>
            </w:r>
            <w:r>
              <w:rPr>
                <w:rFonts w:ascii="Times New Roman" w:cs="Times New Roman" w:eastAsia="Times New Roman" w:hAnsi="Times New Roman"/>
                <w:sz w:val="21"/>
                <w:szCs w:val="21"/>
                <w:color w:val="auto"/>
                <w:vertAlign w:val="superscript"/>
              </w:rPr>
              <w:t>(1)</w:t>
            </w:r>
          </w:p>
        </w:tc>
        <w:tc>
          <w:tcPr>
            <w:tcW w:w="1000" w:type="dxa"/>
            <w:vAlign w:val="bottom"/>
            <w:shd w:val="clear" w:color="auto" w:fill="CFF0FC"/>
          </w:tcPr>
          <w:p>
            <w:pPr>
              <w:jc w:val="right"/>
              <w:ind w:right="825"/>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742,000</w:t>
            </w: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738,350</w:t>
            </w:r>
          </w:p>
        </w:tc>
        <w:tc>
          <w:tcPr>
            <w:tcW w:w="100" w:type="dxa"/>
            <w:vAlign w:val="bottom"/>
            <w:shd w:val="clear" w:color="auto" w:fill="CFF0FC"/>
          </w:tcPr>
          <w:p>
            <w:pPr>
              <w:spacing w:after="0"/>
              <w:rPr>
                <w:sz w:val="17"/>
                <w:szCs w:val="17"/>
                <w:color w:val="auto"/>
              </w:rPr>
            </w:pPr>
          </w:p>
        </w:tc>
      </w:tr>
      <w:tr>
        <w:trPr>
          <w:trHeight w:val="203"/>
        </w:trPr>
        <w:tc>
          <w:tcPr>
            <w:tcW w:w="7680" w:type="dxa"/>
            <w:vAlign w:val="bottom"/>
            <w:gridSpan w:val="2"/>
          </w:tcPr>
          <w:p>
            <w:pPr>
              <w:ind w:left="20"/>
              <w:spacing w:after="0" w:line="203" w:lineRule="exact"/>
              <w:rPr>
                <w:sz w:val="20"/>
                <w:szCs w:val="20"/>
                <w:color w:val="auto"/>
              </w:rPr>
            </w:pPr>
            <w:r>
              <w:rPr>
                <w:rFonts w:ascii="Times New Roman" w:cs="Times New Roman" w:eastAsia="Times New Roman" w:hAnsi="Times New Roman"/>
                <w:sz w:val="16"/>
                <w:szCs w:val="16"/>
                <w:color w:val="auto"/>
              </w:rPr>
              <w:t>Audit-Related Fees</w:t>
            </w:r>
            <w:r>
              <w:rPr>
                <w:rFonts w:ascii="Times New Roman" w:cs="Times New Roman" w:eastAsia="Times New Roman" w:hAnsi="Times New Roman"/>
                <w:sz w:val="21"/>
                <w:szCs w:val="21"/>
                <w:color w:val="auto"/>
                <w:vertAlign w:val="superscript"/>
              </w:rPr>
              <w:t>(2)</w:t>
            </w:r>
          </w:p>
        </w:tc>
        <w:tc>
          <w:tcPr>
            <w:tcW w:w="10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r>
      <w:tr>
        <w:trPr>
          <w:trHeight w:val="203"/>
        </w:trPr>
        <w:tc>
          <w:tcPr>
            <w:tcW w:w="7680" w:type="dxa"/>
            <w:vAlign w:val="bottom"/>
            <w:gridSpan w:val="2"/>
            <w:shd w:val="clear" w:color="auto" w:fill="CFF0FC"/>
          </w:tcPr>
          <w:p>
            <w:pPr>
              <w:ind w:left="20"/>
              <w:spacing w:after="0" w:line="203" w:lineRule="exact"/>
              <w:rPr>
                <w:sz w:val="20"/>
                <w:szCs w:val="20"/>
                <w:color w:val="auto"/>
              </w:rPr>
            </w:pPr>
            <w:r>
              <w:rPr>
                <w:rFonts w:ascii="Times New Roman" w:cs="Times New Roman" w:eastAsia="Times New Roman" w:hAnsi="Times New Roman"/>
                <w:sz w:val="16"/>
                <w:szCs w:val="16"/>
                <w:color w:val="auto"/>
              </w:rPr>
              <w:t>Tax Fees</w:t>
            </w:r>
            <w:r>
              <w:rPr>
                <w:rFonts w:ascii="Times New Roman" w:cs="Times New Roman" w:eastAsia="Times New Roman" w:hAnsi="Times New Roman"/>
                <w:sz w:val="21"/>
                <w:szCs w:val="21"/>
                <w:color w:val="auto"/>
                <w:vertAlign w:val="superscript"/>
              </w:rPr>
              <w:t>(3)</w:t>
            </w:r>
          </w:p>
        </w:tc>
        <w:tc>
          <w:tcPr>
            <w:tcW w:w="100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r>
      <w:tr>
        <w:trPr>
          <w:trHeight w:val="203"/>
        </w:trPr>
        <w:tc>
          <w:tcPr>
            <w:tcW w:w="7680" w:type="dxa"/>
            <w:vAlign w:val="bottom"/>
            <w:gridSpan w:val="2"/>
          </w:tcPr>
          <w:p>
            <w:pPr>
              <w:ind w:left="20"/>
              <w:spacing w:after="0" w:line="203" w:lineRule="exact"/>
              <w:rPr>
                <w:sz w:val="20"/>
                <w:szCs w:val="20"/>
                <w:color w:val="auto"/>
              </w:rPr>
            </w:pPr>
            <w:r>
              <w:rPr>
                <w:rFonts w:ascii="Times New Roman" w:cs="Times New Roman" w:eastAsia="Times New Roman" w:hAnsi="Times New Roman"/>
                <w:sz w:val="16"/>
                <w:szCs w:val="16"/>
                <w:color w:val="auto"/>
              </w:rPr>
              <w:t>All Other Fees</w:t>
            </w:r>
            <w:r>
              <w:rPr>
                <w:rFonts w:ascii="Times New Roman" w:cs="Times New Roman" w:eastAsia="Times New Roman" w:hAnsi="Times New Roman"/>
                <w:sz w:val="21"/>
                <w:szCs w:val="21"/>
                <w:color w:val="auto"/>
                <w:vertAlign w:val="superscript"/>
              </w:rPr>
              <w:t>(4)</w:t>
            </w:r>
          </w:p>
        </w:tc>
        <w:tc>
          <w:tcPr>
            <w:tcW w:w="10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r>
      <w:tr>
        <w:trPr>
          <w:trHeight w:val="236"/>
        </w:trPr>
        <w:tc>
          <w:tcPr>
            <w:tcW w:w="768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Fees</w:t>
            </w:r>
          </w:p>
        </w:tc>
        <w:tc>
          <w:tcPr>
            <w:tcW w:w="1000" w:type="dxa"/>
            <w:vAlign w:val="bottom"/>
            <w:tcBorders>
              <w:bottom w:val="single" w:sz="8" w:color="auto"/>
            </w:tcBorders>
            <w:shd w:val="clear" w:color="auto" w:fill="CFF0FC"/>
          </w:tcPr>
          <w:p>
            <w:pPr>
              <w:jc w:val="right"/>
              <w:ind w:right="825"/>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742,000</w:t>
            </w:r>
          </w:p>
        </w:tc>
        <w:tc>
          <w:tcPr>
            <w:tcW w:w="28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738,350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02"/>
        </w:trPr>
        <w:tc>
          <w:tcPr>
            <w:tcW w:w="3000" w:type="dxa"/>
            <w:vAlign w:val="bottom"/>
            <w:tcBorders>
              <w:bottom w:val="single" w:sz="8" w:color="auto"/>
            </w:tcBorders>
          </w:tcPr>
          <w:p>
            <w:pPr>
              <w:spacing w:after="0"/>
              <w:rPr>
                <w:sz w:val="8"/>
                <w:szCs w:val="8"/>
                <w:color w:val="auto"/>
              </w:rPr>
            </w:pPr>
          </w:p>
        </w:tc>
        <w:tc>
          <w:tcPr>
            <w:tcW w:w="46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-110490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-93345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-110490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 w:lineRule="exact"/>
        <w:rPr>
          <w:sz w:val="20"/>
          <w:szCs w:val="20"/>
          <w:color w:val="auto"/>
        </w:rPr>
      </w:pPr>
    </w:p>
    <w:p>
      <w:pPr>
        <w:ind w:left="380" w:right="20" w:hanging="372"/>
        <w:spacing w:after="0" w:line="238" w:lineRule="auto"/>
        <w:tabs>
          <w:tab w:leader="none" w:pos="380"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Audit Fees: Consist of fees for professional services provided by Ernst &amp; Young LLP in connection with the audit of our financial statements, review of our quarterly financial statements, and related services that are normally provided in connection with statutory and regulatory filings or engagements.</w:t>
      </w:r>
    </w:p>
    <w:p>
      <w:pPr>
        <w:spacing w:after="0" w:line="1" w:lineRule="exact"/>
        <w:rPr>
          <w:rFonts w:ascii="Times New Roman" w:cs="Times New Roman" w:eastAsia="Times New Roman" w:hAnsi="Times New Roman"/>
          <w:sz w:val="13"/>
          <w:szCs w:val="13"/>
          <w:color w:val="auto"/>
        </w:rPr>
      </w:pPr>
    </w:p>
    <w:p>
      <w:pPr>
        <w:ind w:left="380" w:right="320" w:hanging="372"/>
        <w:spacing w:after="0" w:line="238" w:lineRule="auto"/>
        <w:tabs>
          <w:tab w:leader="none" w:pos="380"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Audit-Related Fees: Consist of fees for assurance and related services that are reasonably related to the performance of the audit or review of our financial statements, including, but not limited to, the review of registration statements.</w:t>
      </w:r>
    </w:p>
    <w:p>
      <w:pPr>
        <w:ind w:left="380" w:right="220" w:hanging="372"/>
        <w:spacing w:after="0" w:line="227" w:lineRule="auto"/>
        <w:tabs>
          <w:tab w:leader="none" w:pos="380"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Tax Fees: Consist of fees for professional services in connection with tax compliance, tax planning, and tax advice, including, but not limited to, foreign tax return preparation and requests for rulings or technical advice from tax authorities.</w:t>
      </w:r>
    </w:p>
    <w:p>
      <w:pPr>
        <w:ind w:left="380" w:hanging="372"/>
        <w:spacing w:after="0"/>
        <w:tabs>
          <w:tab w:leader="none" w:pos="380"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Other Fees: Consist of the aggregate fees billed for any other products and services performed by the principal accountant.</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Pre-Approval of Audit and Non-Audit Services</w:t>
      </w:r>
    </w:p>
    <w:p>
      <w:pPr>
        <w:spacing w:after="0" w:line="115" w:lineRule="exact"/>
        <w:rPr>
          <w:sz w:val="20"/>
          <w:szCs w:val="20"/>
          <w:color w:val="auto"/>
        </w:rPr>
      </w:pPr>
    </w:p>
    <w:p>
      <w:pPr>
        <w:jc w:val="both"/>
        <w:ind w:right="20" w:firstLine="374"/>
        <w:spacing w:after="0" w:line="252" w:lineRule="auto"/>
        <w:rPr>
          <w:sz w:val="20"/>
          <w:szCs w:val="20"/>
          <w:color w:val="auto"/>
        </w:rPr>
      </w:pPr>
      <w:r>
        <w:rPr>
          <w:rFonts w:ascii="Times New Roman" w:cs="Times New Roman" w:eastAsia="Times New Roman" w:hAnsi="Times New Roman"/>
          <w:sz w:val="16"/>
          <w:szCs w:val="16"/>
          <w:color w:val="auto"/>
        </w:rPr>
        <w:t>Consistent with requirements of the SEC and the Public Company Accounting Oversight Board regarding auditor independence, our audit committee is responsible for the appointment, compensation and oversight of the work of our independent registered public accounting firm. In recognition of this responsibility, our audit committee (or the chair if such approval is needed on a time urgent basis) generally pre-approves all audit and permissible non-audit services provided by the independent registered public accounting firm. These services may include audit services, audit-related services, tax services and other services.</w:t>
      </w:r>
    </w:p>
    <w:p>
      <w:pPr>
        <w:spacing w:after="0" w:line="292" w:lineRule="exact"/>
        <w:rPr>
          <w:sz w:val="20"/>
          <w:szCs w:val="20"/>
          <w:color w:val="auto"/>
        </w:rPr>
      </w:pPr>
    </w:p>
    <w:p>
      <w:pPr>
        <w:jc w:val="center"/>
        <w:ind w:right="40"/>
        <w:spacing w:after="0" w:line="283" w:lineRule="auto"/>
        <w:rPr>
          <w:sz w:val="20"/>
          <w:szCs w:val="20"/>
          <w:color w:val="auto"/>
        </w:rPr>
      </w:pPr>
      <w:r>
        <w:rPr>
          <w:rFonts w:ascii="Times New Roman" w:cs="Times New Roman" w:eastAsia="Times New Roman" w:hAnsi="Times New Roman"/>
          <w:sz w:val="16"/>
          <w:szCs w:val="16"/>
          <w:b w:val="1"/>
          <w:bCs w:val="1"/>
          <w:color w:val="auto"/>
        </w:rPr>
        <w:t>OUR BOARD OF DIRECTORS UNANIMOUSLY RECOMMENDS A VOTE “FOR” RATIFICATION OF THE APPOINTMENT OF ERNST &amp; YOUNG LLP AS OUR INDEPENDENT REGISTERED PUBLIC ACCOUNTING FIRM FOR THE YEAR ENDING DECEMBER 31, 2022.</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563C1"/>
        </w:rPr>
        <w:t>TABLE OF CONTENTS</w:t>
      </w:r>
    </w:p>
    <w:p>
      <w:pPr>
        <w:spacing w:after="0" w:line="1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PROPOSAL THREE</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ADVISORY VOTE ON THE COMPENSATION OF</w:t>
      </w:r>
    </w:p>
    <w:p>
      <w:pPr>
        <w:spacing w:after="0" w:line="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OUR NAMED EXECUTIVE OFFICERS</w:t>
      </w:r>
    </w:p>
    <w:p>
      <w:pPr>
        <w:spacing w:after="0" w:line="9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b w:val="1"/>
          <w:bCs w:val="1"/>
          <w:color w:val="auto"/>
        </w:rPr>
        <w:t>General</w:t>
      </w:r>
    </w:p>
    <w:p>
      <w:pPr>
        <w:spacing w:after="0" w:line="115" w:lineRule="exact"/>
        <w:rPr>
          <w:sz w:val="20"/>
          <w:szCs w:val="20"/>
          <w:color w:val="auto"/>
        </w:rPr>
      </w:pPr>
    </w:p>
    <w:p>
      <w:pPr>
        <w:ind w:right="120" w:firstLine="374"/>
        <w:spacing w:after="0" w:line="250" w:lineRule="auto"/>
        <w:rPr>
          <w:sz w:val="20"/>
          <w:szCs w:val="20"/>
          <w:color w:val="auto"/>
        </w:rPr>
      </w:pPr>
      <w:r>
        <w:rPr>
          <w:rFonts w:ascii="Times New Roman" w:cs="Times New Roman" w:eastAsia="Times New Roman" w:hAnsi="Times New Roman"/>
          <w:sz w:val="16"/>
          <w:szCs w:val="16"/>
          <w:color w:val="auto"/>
        </w:rPr>
        <w:t>The Dodd-Frank Wall Street Reform and Consumer Protection Act of 2010 provides the Company’s stockholders with the opportunity to vote to approve, on an advisory, non-binding basis, the compensation of our named executive officers as disclosed in this proxy statement in accordance with SEC rules. At the 2021 Annual Meeting of Stockholders, our stockholders approved an advisory measure that the stockholders’ advisory votes on executive compensation be held on an annual basis. Our board of directors determined to follow our stockholders’ recommendations and to include an annual stockholders advisory vote on the compensation of the Company’s named executive officers.</w:t>
      </w:r>
    </w:p>
    <w:p>
      <w:pPr>
        <w:spacing w:after="0" w:line="81" w:lineRule="exact"/>
        <w:rPr>
          <w:sz w:val="20"/>
          <w:szCs w:val="20"/>
          <w:color w:val="auto"/>
        </w:rPr>
      </w:pPr>
    </w:p>
    <w:p>
      <w:pPr>
        <w:ind w:right="360" w:firstLine="374"/>
        <w:spacing w:after="0" w:line="263" w:lineRule="auto"/>
        <w:rPr>
          <w:sz w:val="20"/>
          <w:szCs w:val="20"/>
          <w:color w:val="auto"/>
        </w:rPr>
      </w:pPr>
      <w:r>
        <w:rPr>
          <w:rFonts w:ascii="Times New Roman" w:cs="Times New Roman" w:eastAsia="Times New Roman" w:hAnsi="Times New Roman"/>
          <w:sz w:val="16"/>
          <w:szCs w:val="16"/>
          <w:color w:val="auto"/>
        </w:rPr>
        <w:t>We are asking our stockholders to approve, on a non-binding advisory basis, the compensation of our named executive officers, as disclosed in the Compensation Discussion and Analysis section of this proxy statement and the related compensation tables and disclosure.</w:t>
      </w:r>
    </w:p>
    <w:p>
      <w:pPr>
        <w:spacing w:after="0" w:line="69" w:lineRule="exact"/>
        <w:rPr>
          <w:sz w:val="20"/>
          <w:szCs w:val="20"/>
          <w:color w:val="auto"/>
        </w:rPr>
      </w:pPr>
    </w:p>
    <w:p>
      <w:pPr>
        <w:ind w:firstLine="374"/>
        <w:spacing w:after="0" w:line="250" w:lineRule="auto"/>
        <w:rPr>
          <w:sz w:val="20"/>
          <w:szCs w:val="20"/>
          <w:color w:val="auto"/>
        </w:rPr>
      </w:pPr>
      <w:r>
        <w:rPr>
          <w:rFonts w:ascii="Times New Roman" w:cs="Times New Roman" w:eastAsia="Times New Roman" w:hAnsi="Times New Roman"/>
          <w:sz w:val="16"/>
          <w:szCs w:val="16"/>
          <w:color w:val="auto"/>
        </w:rPr>
        <w:t>As described below in the Compensation Discussion and Analysis section of this proxy statement, the executive officer compensation programs are designed to support our business goals and to promote short- and long-term profitable growth. We urge stockholders to read the “Compensation Discussion and Analysis” section of this proxy statement, which describes our executive compensation policies, and to review the other related compensation tables and narratives, which provide detailed information on the compensation of our named executive officers. Our compensation committee believes that our policies and procedures are effective in fulfilling our objectives and that the compensation of our named executive officers reported in this proxy statement has supported and contributed to our recent and long-term success.</w:t>
      </w:r>
    </w:p>
    <w:p>
      <w:pPr>
        <w:spacing w:after="0" w:line="81" w:lineRule="exact"/>
        <w:rPr>
          <w:sz w:val="20"/>
          <w:szCs w:val="20"/>
          <w:color w:val="auto"/>
        </w:rPr>
      </w:pPr>
    </w:p>
    <w:p>
      <w:pPr>
        <w:ind w:right="580" w:firstLine="374"/>
        <w:spacing w:after="0" w:line="280" w:lineRule="auto"/>
        <w:rPr>
          <w:sz w:val="20"/>
          <w:szCs w:val="20"/>
          <w:color w:val="auto"/>
        </w:rPr>
      </w:pPr>
      <w:r>
        <w:rPr>
          <w:rFonts w:ascii="Times New Roman" w:cs="Times New Roman" w:eastAsia="Times New Roman" w:hAnsi="Times New Roman"/>
          <w:sz w:val="16"/>
          <w:szCs w:val="16"/>
          <w:color w:val="auto"/>
        </w:rPr>
        <w:t>Proposal Three, commonly known as a “say on pay” vote, gives stockholders the opportunity to endorse or not endorse the compensation of our executives as disclosed in this proxy statement. This proposal will be presented at the Annual Meeting as a resolution in substantially the following form:</w:t>
      </w:r>
    </w:p>
    <w:p>
      <w:pPr>
        <w:spacing w:after="0" w:line="57" w:lineRule="exact"/>
        <w:rPr>
          <w:sz w:val="20"/>
          <w:szCs w:val="20"/>
          <w:color w:val="auto"/>
        </w:rPr>
      </w:pPr>
    </w:p>
    <w:p>
      <w:pPr>
        <w:ind w:right="460" w:firstLine="374"/>
        <w:spacing w:after="0" w:line="280" w:lineRule="auto"/>
        <w:rPr>
          <w:sz w:val="20"/>
          <w:szCs w:val="20"/>
          <w:color w:val="auto"/>
        </w:rPr>
      </w:pPr>
      <w:r>
        <w:rPr>
          <w:rFonts w:ascii="Times New Roman" w:cs="Times New Roman" w:eastAsia="Times New Roman" w:hAnsi="Times New Roman"/>
          <w:sz w:val="16"/>
          <w:szCs w:val="16"/>
          <w:color w:val="auto"/>
        </w:rPr>
        <w:t>RESOLVED, that the stockholders approve the compensation of our named executive officers, as disclosed pursuant to the compensation disclosure rules of the Securities and Exchange Commission in the compensation tables and related narrative disclosure in our proxy statement for the Annual Meeting.</w:t>
      </w:r>
    </w:p>
    <w:p>
      <w:pPr>
        <w:spacing w:after="0" w:line="43" w:lineRule="exact"/>
        <w:rPr>
          <w:sz w:val="20"/>
          <w:szCs w:val="20"/>
          <w:color w:val="auto"/>
        </w:rPr>
      </w:pPr>
    </w:p>
    <w:p>
      <w:pPr>
        <w:ind w:right="40" w:firstLine="374"/>
        <w:spacing w:after="0" w:line="263" w:lineRule="auto"/>
        <w:rPr>
          <w:sz w:val="20"/>
          <w:szCs w:val="20"/>
          <w:color w:val="auto"/>
        </w:rPr>
      </w:pPr>
      <w:r>
        <w:rPr>
          <w:rFonts w:ascii="Times New Roman" w:cs="Times New Roman" w:eastAsia="Times New Roman" w:hAnsi="Times New Roman"/>
          <w:sz w:val="16"/>
          <w:szCs w:val="16"/>
          <w:color w:val="auto"/>
        </w:rPr>
        <w:t>This vote will not be binding on our board of directors and may not be construed as overruling a decision by our board of directors or creating or implying any change to the fiduciary duties of our board of directors. The vote will not affect any compensation previously paid or awarded to any executive. Our compensation committee and our board of directors may, however, take into account the outcome of the vote when considering future executive compensation arrangements.</w:t>
      </w:r>
    </w:p>
    <w:p>
      <w:pPr>
        <w:spacing w:after="0" w:line="284"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6"/>
          <w:szCs w:val="16"/>
          <w:b w:val="1"/>
          <w:bCs w:val="1"/>
          <w:color w:val="auto"/>
        </w:rPr>
        <w:t>OUR BOARD OF DIRECTORS UNANIMOUSLY RECOMMENDS A VOTE “FOR” THE</w:t>
      </w:r>
    </w:p>
    <w:p>
      <w:pPr>
        <w:spacing w:after="0" w:line="17"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6"/>
          <w:szCs w:val="16"/>
          <w:b w:val="1"/>
          <w:bCs w:val="1"/>
          <w:color w:val="auto"/>
        </w:rPr>
        <w:t>APPROVAL, ON AN ADVISORY BASIS, OF THE COMPENSATION OF OUR NAMED</w:t>
      </w: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EXECUTIVE OFFICERS.</w:t>
      </w:r>
    </w:p>
    <w:p>
      <w:pPr>
        <w:spacing w:after="0" w:line="2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563C1"/>
        </w:rPr>
        <w:t>TABLE OF CONTENTS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CORPORATE GOVERNANCE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Code of Business Conduct and Ethics</w:t>
      </w:r>
    </w:p>
    <w:p>
      <w:pPr>
        <w:spacing w:after="0" w:line="115" w:lineRule="exact"/>
        <w:rPr>
          <w:sz w:val="20"/>
          <w:szCs w:val="20"/>
          <w:color w:val="auto"/>
        </w:rPr>
      </w:pPr>
    </w:p>
    <w:p>
      <w:pPr>
        <w:ind w:right="40" w:firstLine="374"/>
        <w:spacing w:after="0" w:line="249" w:lineRule="auto"/>
        <w:rPr>
          <w:sz w:val="20"/>
          <w:szCs w:val="20"/>
          <w:color w:val="auto"/>
        </w:rPr>
      </w:pPr>
      <w:r>
        <w:rPr>
          <w:rFonts w:ascii="Times New Roman" w:cs="Times New Roman" w:eastAsia="Times New Roman" w:hAnsi="Times New Roman"/>
          <w:sz w:val="16"/>
          <w:szCs w:val="16"/>
          <w:color w:val="auto"/>
        </w:rPr>
        <w:t>We have adopted a code of business conduct and ethics that applies to all of our employees, officers, and directors, including those officers responsible for financial reporting. Our code of business conduct and ethics is available on our website at www.axsome.com. We intend to disclose any amendments to the code, or any waivers of its requirements, on our website. We intend to disclose, to the extent required by applicable rules and regulations, future amendments to, or waivers of, our code of ethics and business conduct, at the same location on our website identified above and also in public filings we will make with the SEC. Information contained on our website is not incorporated by reference into this proxy, and you should not consider information contained on our website to be part of this proxy or in deciding whether to purchase shares of our common stock.</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Board Composition</w:t>
      </w:r>
    </w:p>
    <w:p>
      <w:pPr>
        <w:spacing w:after="0" w:line="115" w:lineRule="exact"/>
        <w:rPr>
          <w:sz w:val="20"/>
          <w:szCs w:val="20"/>
          <w:color w:val="auto"/>
        </w:rPr>
      </w:pPr>
    </w:p>
    <w:p>
      <w:pPr>
        <w:ind w:right="20" w:firstLine="374"/>
        <w:spacing w:after="0" w:line="249" w:lineRule="auto"/>
        <w:rPr>
          <w:sz w:val="20"/>
          <w:szCs w:val="20"/>
          <w:color w:val="auto"/>
        </w:rPr>
      </w:pPr>
      <w:r>
        <w:rPr>
          <w:rFonts w:ascii="Times New Roman" w:cs="Times New Roman" w:eastAsia="Times New Roman" w:hAnsi="Times New Roman"/>
          <w:sz w:val="16"/>
          <w:szCs w:val="16"/>
          <w:color w:val="auto"/>
        </w:rPr>
        <w:t>Our board of directors currently consists of four members, each of whom is elected pursuant to the board composition provisions of our amended and restated certificate of incorporation. Our nominating and corporate governance committee and board of directors may consider a broad range of factors relating to the qualifications and background of nominees, which may include diversity, which is not only limited to race, gender identity, sexual orientation, or national origin. We have no formal policy regarding board diversity. Our nominating and corporate governance committee’s and board of directors’ priority in selecting board members is identification of persons who will further the interests of our stockholders through his or her established record of professional accomplishment, the ability to contribute positively to the collaborative culture among board members, and professional and personal experiences and expertise relevant to our growth strategy.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Director Independence</w:t>
      </w:r>
    </w:p>
    <w:p>
      <w:pPr>
        <w:spacing w:after="0" w:line="115" w:lineRule="exact"/>
        <w:rPr>
          <w:sz w:val="20"/>
          <w:szCs w:val="20"/>
          <w:color w:val="auto"/>
        </w:rPr>
      </w:pPr>
    </w:p>
    <w:p>
      <w:pPr>
        <w:ind w:right="260" w:firstLine="374"/>
        <w:spacing w:after="0" w:line="258" w:lineRule="auto"/>
        <w:rPr>
          <w:sz w:val="20"/>
          <w:szCs w:val="20"/>
          <w:color w:val="auto"/>
        </w:rPr>
      </w:pPr>
      <w:r>
        <w:rPr>
          <w:rFonts w:ascii="Times New Roman" w:cs="Times New Roman" w:eastAsia="Times New Roman" w:hAnsi="Times New Roman"/>
          <w:sz w:val="16"/>
          <w:szCs w:val="16"/>
          <w:color w:val="auto"/>
        </w:rPr>
        <w:t>Under the listing requirements and rules of the Nasdaq Global Market, or Nasdaq, independent directors must compose a majority of a listed company’s board of directors within a one-year period following the completion of its initial public offering. In addition, applicable Nasdaq rules require that, subject to specified exceptions, each member of a listed company’s audit, compensation, and nominating and corporate governance committees must be independent within the meaning of applicable Nasdaq rules. Audit committee members must also satisfy the independence criteria set forth in Rule 10A-3 under the Exchange Act.</w:t>
      </w:r>
    </w:p>
    <w:p>
      <w:pPr>
        <w:spacing w:after="0" w:line="59" w:lineRule="exact"/>
        <w:rPr>
          <w:sz w:val="20"/>
          <w:szCs w:val="20"/>
          <w:color w:val="auto"/>
        </w:rPr>
      </w:pPr>
    </w:p>
    <w:p>
      <w:pPr>
        <w:ind w:firstLine="374"/>
        <w:spacing w:after="0" w:line="255" w:lineRule="auto"/>
        <w:rPr>
          <w:sz w:val="20"/>
          <w:szCs w:val="20"/>
          <w:color w:val="auto"/>
        </w:rPr>
      </w:pPr>
      <w:r>
        <w:rPr>
          <w:rFonts w:ascii="Times New Roman" w:cs="Times New Roman" w:eastAsia="Times New Roman" w:hAnsi="Times New Roman"/>
          <w:sz w:val="16"/>
          <w:szCs w:val="16"/>
          <w:color w:val="auto"/>
        </w:rPr>
        <w:t>Our board of directors undertook a review of the independence of each director and considered whether any director has a material relationship with us that could compromise his or her ability to exercise independent judgment in carrying out his or her responsibilities. In making this determination, our board of directors considered the current and prior relationships that each non-employee director has with our company and all other facts and circumstances our board of directors deemed relevant in determining their independence, including the beneficial ownership of our capital stock by each non-employee director and the association of our directors with the holders of more than 5% of our common stock.</w:t>
      </w:r>
    </w:p>
    <w:p>
      <w:pPr>
        <w:spacing w:after="0" w:line="62" w:lineRule="exact"/>
        <w:rPr>
          <w:sz w:val="20"/>
          <w:szCs w:val="20"/>
          <w:color w:val="auto"/>
        </w:rPr>
      </w:pPr>
    </w:p>
    <w:p>
      <w:pPr>
        <w:ind w:right="200" w:firstLine="374"/>
        <w:spacing w:after="0" w:line="255" w:lineRule="auto"/>
        <w:rPr>
          <w:sz w:val="20"/>
          <w:szCs w:val="20"/>
          <w:color w:val="auto"/>
        </w:rPr>
      </w:pPr>
      <w:r>
        <w:rPr>
          <w:rFonts w:ascii="Times New Roman" w:cs="Times New Roman" w:eastAsia="Times New Roman" w:hAnsi="Times New Roman"/>
          <w:sz w:val="16"/>
          <w:szCs w:val="16"/>
          <w:color w:val="auto"/>
        </w:rPr>
        <w:t>As a result of this review, our board of directors determined that Dr. Coleman, Dr. Jeffs and Mr. Saad qualify as “independent” directors within the meaning of the Nasdaq rules. Nasdaq rules require that a majority of the board of directors and each member of our audit, compensation, and nominating and corporate governance committees be independent. We believe we are compliant with these independence requirements. As required under applicable Nasdaq rules, we anticipate that our independent directors will meet in regularly scheduled executive sessions at which only independent directors are present. There are no family relationships among any of our directors or executive officers.</w:t>
      </w:r>
    </w:p>
    <w:p>
      <w:pPr>
        <w:spacing w:after="0" w:line="62" w:lineRule="exact"/>
        <w:rPr>
          <w:sz w:val="20"/>
          <w:szCs w:val="20"/>
          <w:color w:val="auto"/>
        </w:rPr>
      </w:pPr>
    </w:p>
    <w:p>
      <w:pPr>
        <w:ind w:right="60" w:firstLine="374"/>
        <w:spacing w:after="0" w:line="255" w:lineRule="auto"/>
        <w:rPr>
          <w:sz w:val="20"/>
          <w:szCs w:val="20"/>
          <w:color w:val="auto"/>
        </w:rPr>
      </w:pPr>
      <w:r>
        <w:rPr>
          <w:rFonts w:ascii="Times New Roman" w:cs="Times New Roman" w:eastAsia="Times New Roman" w:hAnsi="Times New Roman"/>
          <w:sz w:val="16"/>
          <w:szCs w:val="16"/>
          <w:color w:val="auto"/>
        </w:rPr>
        <w:t>Audit committee members must also satisfy the independence criteria set forth in Rule 10A-3 under the Exchange Act. In order to be considered independent for purposes of Rule 10A-3, a member of an audit committee of a listed company may not, other than in his or her capacity as a member of the audit committee, the board of directors, or any other board committee, accept, directly or indirectly, any consulting, advisory, or other compensatory fee from the listed company or any of its subsidiaries, or be an affiliated person of the listed company or any of its subsidiaries. Each of Dr. Coleman, Dr. Jeffs and Mr. Saad qualify as an independent director pursuant to Rule 10A-3.</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563C1"/>
        </w:rPr>
        <w:t>TABLE OF CONTENTS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Board Leadership Structure</w:t>
      </w:r>
    </w:p>
    <w:p>
      <w:pPr>
        <w:spacing w:after="0" w:line="115" w:lineRule="exact"/>
        <w:rPr>
          <w:sz w:val="20"/>
          <w:szCs w:val="20"/>
          <w:color w:val="auto"/>
        </w:rPr>
      </w:pPr>
    </w:p>
    <w:p>
      <w:pPr>
        <w:ind w:firstLine="374"/>
        <w:spacing w:after="0" w:line="246" w:lineRule="auto"/>
        <w:rPr>
          <w:sz w:val="20"/>
          <w:szCs w:val="20"/>
          <w:color w:val="auto"/>
        </w:rPr>
      </w:pPr>
      <w:r>
        <w:rPr>
          <w:rFonts w:ascii="Times New Roman" w:cs="Times New Roman" w:eastAsia="Times New Roman" w:hAnsi="Times New Roman"/>
          <w:sz w:val="16"/>
          <w:szCs w:val="16"/>
          <w:color w:val="auto"/>
        </w:rPr>
        <w:t>The positions of Chief Executive Officer and Chairman of the Board are both currently held by Dr. Tabuteau. Our board of directors has also appointed a Lead Director, Dr. Coleman. The Lead Director’s responsibilities include: (1) coordinating the scheduling and preparation of agendas for the executive sessions of the board of directors and other meetings of the board of directors in the absence of the Chairman of the Board; (2) chairing executive sessions of the board of directors and other meetings of the board of directors in the absence of the Chairman of the Board; (3) approving information sent to the board of directors; (4) serving as a liaison between the Chairman of the Board and the other independent directors; (5) approving the meeting agendas for the board and approving the meeting schedules of the board of directors to assure that there is sufficient time for discussion of all agenda items; and (6) if requested by major stockholders, ensuring that he or she will be available for consultation and direct communication with such major stockholders. The Lead Director has the authority to call meetings of the independent directors. Our board of directors believes that this combined role of Chairman and Chief Executive Officer, coupled with a Lead Director, is currently the most effective leadership structure for our company and is in the best interests of our stockholders. In considering its leadership structure, our board of directors believes that the combined roles of Chairman and Chief Executive Officer are appropriately balanced by the designation of a Lead Director with substantive responsibilities, the majority of independent directors that comprise the board of our directors, and our company’s strong corporate governance policies and procedures.</w:t>
      </w:r>
    </w:p>
    <w:p>
      <w:pPr>
        <w:spacing w:after="0" w:line="86" w:lineRule="exact"/>
        <w:rPr>
          <w:sz w:val="20"/>
          <w:szCs w:val="20"/>
          <w:color w:val="auto"/>
        </w:rPr>
      </w:pPr>
    </w:p>
    <w:p>
      <w:pPr>
        <w:ind w:right="240" w:firstLine="374"/>
        <w:spacing w:after="0" w:line="280" w:lineRule="auto"/>
        <w:rPr>
          <w:sz w:val="20"/>
          <w:szCs w:val="20"/>
          <w:color w:val="auto"/>
        </w:rPr>
      </w:pPr>
      <w:r>
        <w:rPr>
          <w:rFonts w:ascii="Times New Roman" w:cs="Times New Roman" w:eastAsia="Times New Roman" w:hAnsi="Times New Roman"/>
          <w:sz w:val="16"/>
          <w:szCs w:val="16"/>
          <w:color w:val="auto"/>
        </w:rPr>
        <w:t>We have a separate chair for each committee of our board of directors. The chairs of each committee are expected to report annually to our board of directors on the activities of their committee in fulfilling their responsibilities as detailed in their respective charters or specify shortcomings, if any.</w:t>
      </w:r>
    </w:p>
    <w:p>
      <w:pPr>
        <w:spacing w:after="0" w:line="57" w:lineRule="exact"/>
        <w:rPr>
          <w:sz w:val="20"/>
          <w:szCs w:val="20"/>
          <w:color w:val="auto"/>
        </w:rPr>
      </w:pPr>
    </w:p>
    <w:p>
      <w:pPr>
        <w:ind w:right="380" w:firstLine="374"/>
        <w:spacing w:after="0" w:line="263" w:lineRule="auto"/>
        <w:rPr>
          <w:sz w:val="20"/>
          <w:szCs w:val="20"/>
          <w:color w:val="auto"/>
        </w:rPr>
      </w:pPr>
      <w:r>
        <w:rPr>
          <w:rFonts w:ascii="Times New Roman" w:cs="Times New Roman" w:eastAsia="Times New Roman" w:hAnsi="Times New Roman"/>
          <w:sz w:val="16"/>
          <w:szCs w:val="16"/>
          <w:color w:val="auto"/>
        </w:rPr>
        <w:t>Our board of directors has concluded that our current leadership structure is appropriate at this time. However, our board of directors will continue to periodically review our leadership structure and may make such changes in the future as it deems appropriate.</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Board Committees</w:t>
      </w:r>
    </w:p>
    <w:p>
      <w:pPr>
        <w:spacing w:after="0" w:line="115" w:lineRule="exact"/>
        <w:rPr>
          <w:sz w:val="20"/>
          <w:szCs w:val="20"/>
          <w:color w:val="auto"/>
        </w:rPr>
      </w:pPr>
    </w:p>
    <w:p>
      <w:pPr>
        <w:ind w:right="20" w:firstLine="374"/>
        <w:spacing w:after="0" w:line="263" w:lineRule="auto"/>
        <w:rPr>
          <w:sz w:val="20"/>
          <w:szCs w:val="20"/>
          <w:color w:val="auto"/>
        </w:rPr>
      </w:pPr>
      <w:r>
        <w:rPr>
          <w:rFonts w:ascii="Times New Roman" w:cs="Times New Roman" w:eastAsia="Times New Roman" w:hAnsi="Times New Roman"/>
          <w:sz w:val="16"/>
          <w:szCs w:val="16"/>
          <w:color w:val="auto"/>
        </w:rPr>
        <w:t>Our board of directors has established an audit committee, a compensation committee and a nominating and corporate governance committee, each of which operates pursuant to a charter adopted by our board of directors. The composition and functioning of all of our committees complies with all applicable requirements of the Sarbanes-Oxley Act of 2002, Nasdaq and SEC rules and regulations.</w:t>
      </w:r>
    </w:p>
    <w:p>
      <w:pPr>
        <w:spacing w:after="0" w:line="55" w:lineRule="exact"/>
        <w:rPr>
          <w:sz w:val="20"/>
          <w:szCs w:val="20"/>
          <w:color w:val="auto"/>
        </w:rPr>
      </w:pPr>
    </w:p>
    <w:p>
      <w:pPr>
        <w:ind w:right="20" w:firstLine="374"/>
        <w:spacing w:after="0" w:line="250" w:lineRule="auto"/>
        <w:rPr>
          <w:sz w:val="20"/>
          <w:szCs w:val="20"/>
          <w:color w:val="auto"/>
        </w:rPr>
      </w:pPr>
      <w:r>
        <w:rPr>
          <w:rFonts w:ascii="Times New Roman" w:cs="Times New Roman" w:eastAsia="Times New Roman" w:hAnsi="Times New Roman"/>
          <w:sz w:val="16"/>
          <w:szCs w:val="16"/>
          <w:i w:val="1"/>
          <w:iCs w:val="1"/>
          <w:color w:val="auto"/>
        </w:rPr>
        <w:t xml:space="preserve">Audit committee. </w:t>
      </w:r>
      <w:r>
        <w:rPr>
          <w:rFonts w:ascii="Times New Roman" w:cs="Times New Roman" w:eastAsia="Times New Roman" w:hAnsi="Times New Roman"/>
          <w:sz w:val="16"/>
          <w:szCs w:val="16"/>
          <w:color w:val="auto"/>
        </w:rPr>
        <w:t>Dr. Coleman, Dr. Jeffs and Mr. Saad currently serve on the audit committee, which is chaired by Mr. Saad. Our board of directors has determined that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each of the members of our audit committee satisfies Nasdaq and SEC independence requirements, and that Mr. Saad qualifies as an audit committee financial expert within the meaning of SEC regulations and meets the financial sophistication requirements of the Nasdaq listing standards. The audit committee operates under a written charter that satisfies the applicable standards of the SEC and Nasdaq and which is available on our website at www.axsome.com. The inclusion of our website address here and elsewhere in this proxy does not include or incorporate by reference the information on our website into this proxy. Our audit committee met four times during the year ended December 31, 2021. The audit committee’s responsibilities include:</w:t>
      </w:r>
    </w:p>
    <w:p>
      <w:pPr>
        <w:spacing w:after="0" w:line="81" w:lineRule="exact"/>
        <w:rPr>
          <w:sz w:val="20"/>
          <w:szCs w:val="20"/>
          <w:color w:val="auto"/>
        </w:rPr>
      </w:pPr>
    </w:p>
    <w:p>
      <w:pPr>
        <w:ind w:left="760" w:hanging="378"/>
        <w:spacing w:after="0"/>
        <w:tabs>
          <w:tab w:leader="none" w:pos="76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appointing, approving the compensation of, and assessing the independence of our independent registered public accounting firm;</w:t>
      </w:r>
    </w:p>
    <w:p>
      <w:pPr>
        <w:spacing w:after="0" w:line="113"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pre-approving auditing and permissible non-audit services, and the terms of such services, to be provided by our independent registered public accounting firm;</w:t>
      </w:r>
    </w:p>
    <w:p>
      <w:pPr>
        <w:spacing w:after="0" w:line="113" w:lineRule="exact"/>
        <w:rPr>
          <w:rFonts w:ascii="Times New Roman" w:cs="Times New Roman" w:eastAsia="Times New Roman" w:hAnsi="Times New Roman"/>
          <w:sz w:val="16"/>
          <w:szCs w:val="16"/>
          <w:color w:val="auto"/>
        </w:rPr>
      </w:pPr>
    </w:p>
    <w:p>
      <w:pPr>
        <w:ind w:left="760" w:right="340" w:hanging="378"/>
        <w:spacing w:after="0" w:line="280" w:lineRule="auto"/>
        <w:tabs>
          <w:tab w:leader="none" w:pos="76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the overall audit plan with the independent registered public accounting firm and members of management responsible for preparing our financial statements;</w:t>
      </w:r>
    </w:p>
    <w:p>
      <w:pPr>
        <w:spacing w:after="0" w:line="43" w:lineRule="exact"/>
        <w:rPr>
          <w:rFonts w:ascii="Times New Roman" w:cs="Times New Roman" w:eastAsia="Times New Roman" w:hAnsi="Times New Roman"/>
          <w:sz w:val="16"/>
          <w:szCs w:val="16"/>
          <w:color w:val="auto"/>
        </w:rPr>
      </w:pPr>
    </w:p>
    <w:p>
      <w:pPr>
        <w:ind w:left="760" w:right="400" w:hanging="378"/>
        <w:spacing w:after="0" w:line="263" w:lineRule="auto"/>
        <w:tabs>
          <w:tab w:leader="none" w:pos="76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discussing with management and the independent registered public accounting firm our annual and quarterly financial statements and related disclosures as well as critical accounting policies and practices used by us;</w:t>
      </w:r>
    </w:p>
    <w:p>
      <w:pPr>
        <w:spacing w:after="0" w:line="42"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coordinating the oversight and reviewing the adequacy of our internal control over financial reporting;</w:t>
      </w:r>
    </w:p>
    <w:p>
      <w:pPr>
        <w:spacing w:after="0" w:line="99"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establishing policies and procedures for the receipt and retention of accounting-related complaints and concerns;</w:t>
      </w:r>
    </w:p>
    <w:p>
      <w:pPr>
        <w:spacing w:after="0" w:line="86" w:lineRule="exact"/>
        <w:rPr>
          <w:rFonts w:ascii="Times New Roman" w:cs="Times New Roman" w:eastAsia="Times New Roman" w:hAnsi="Times New Roman"/>
          <w:sz w:val="16"/>
          <w:szCs w:val="16"/>
          <w:color w:val="auto"/>
        </w:rPr>
      </w:pPr>
    </w:p>
    <w:p>
      <w:pPr>
        <w:ind w:left="760" w:right="220" w:hanging="378"/>
        <w:spacing w:after="0" w:line="245" w:lineRule="auto"/>
        <w:tabs>
          <w:tab w:leader="none" w:pos="76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recommending based upon the audit committee’s review and discussions with management and the independent registered public accounting firm whether our audited financial statements shall be included in our Annual Report on Form 10-K;</w:t>
      </w:r>
    </w:p>
    <w:p>
      <w:pPr>
        <w:spacing w:after="0" w:line="69" w:lineRule="exact"/>
        <w:rPr>
          <w:rFonts w:ascii="Times New Roman" w:cs="Times New Roman" w:eastAsia="Times New Roman" w:hAnsi="Times New Roman"/>
          <w:sz w:val="16"/>
          <w:szCs w:val="16"/>
          <w:color w:val="auto"/>
        </w:rPr>
      </w:pPr>
    </w:p>
    <w:p>
      <w:pPr>
        <w:ind w:left="760" w:right="380" w:hanging="378"/>
        <w:spacing w:after="0" w:line="245" w:lineRule="auto"/>
        <w:tabs>
          <w:tab w:leader="none" w:pos="76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monitoring the integrity of our financial statements and our compliance with legal and regulatory requirements as they relate to our financial statements and accounting matters;</w:t>
      </w:r>
    </w:p>
    <w:p>
      <w:pPr>
        <w:spacing w:after="0" w:line="69"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preparing the audit committee report required by SEC rules to be included in our annual proxy statement;</w:t>
      </w:r>
    </w:p>
    <w:p>
      <w:pPr>
        <w:spacing w:after="0" w:line="86"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all related person transactions for potential conflict of interest situations and approving all such transactions; and</w:t>
      </w:r>
    </w:p>
    <w:p>
      <w:pPr>
        <w:spacing w:after="0" w:line="86"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quarterly earnings releases.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563C1"/>
        </w:rPr>
        <w:t>TABLE OF CONTENTS</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i w:val="1"/>
          <w:iCs w:val="1"/>
          <w:color w:val="auto"/>
        </w:rPr>
        <w:t xml:space="preserve">Compensation committee. </w:t>
      </w:r>
      <w:r>
        <w:rPr>
          <w:rFonts w:ascii="Times New Roman" w:cs="Times New Roman" w:eastAsia="Times New Roman" w:hAnsi="Times New Roman"/>
          <w:sz w:val="16"/>
          <w:szCs w:val="16"/>
          <w:color w:val="auto"/>
        </w:rPr>
        <w:t>Dr. Coleman, Dr. Jeffs and Mr. Saad currently serve on the compensation committee, which is chaired by Dr. Coleman. Our board of</w:t>
      </w:r>
    </w:p>
    <w:p>
      <w:pPr>
        <w:spacing w:after="0" w:line="12" w:lineRule="exact"/>
        <w:rPr>
          <w:sz w:val="20"/>
          <w:szCs w:val="20"/>
          <w:color w:val="auto"/>
        </w:rPr>
      </w:pPr>
    </w:p>
    <w:p>
      <w:pPr>
        <w:ind w:right="220"/>
        <w:spacing w:after="0" w:line="220" w:lineRule="auto"/>
        <w:rPr>
          <w:sz w:val="20"/>
          <w:szCs w:val="20"/>
          <w:color w:val="auto"/>
        </w:rPr>
      </w:pPr>
      <w:r>
        <w:rPr>
          <w:rFonts w:ascii="Times New Roman" w:cs="Times New Roman" w:eastAsia="Times New Roman" w:hAnsi="Times New Roman"/>
          <w:sz w:val="16"/>
          <w:szCs w:val="16"/>
          <w:color w:val="auto"/>
        </w:rPr>
        <w:t>directors has determined that each of the members of our compensation committee satisfies Nasdaq and SEC independence requirements. The compensation committee operates under a written charter that satisfies the applicable standards of Nasdaq and which is available on our website at www.axsome.com. The inclusion of our website</w:t>
      </w:r>
    </w:p>
    <w:p>
      <w:pPr>
        <w:ind w:right="240"/>
        <w:spacing w:after="0" w:line="231" w:lineRule="auto"/>
        <w:rPr>
          <w:sz w:val="20"/>
          <w:szCs w:val="20"/>
          <w:color w:val="auto"/>
        </w:rPr>
      </w:pPr>
      <w:r>
        <w:rPr>
          <w:rFonts w:ascii="Times New Roman" w:cs="Times New Roman" w:eastAsia="Times New Roman" w:hAnsi="Times New Roman"/>
          <w:sz w:val="16"/>
          <w:szCs w:val="16"/>
          <w:color w:val="auto"/>
        </w:rPr>
        <w:t>address here and elsewhere in this proxy does not include or incorporate by reference the information on our website into this proxy. Our compensation committee met in person or by phone three times during the year ended December 31, 2021. The compensation committee’s responsibilities include:</w:t>
      </w:r>
    </w:p>
    <w:p>
      <w:pPr>
        <w:spacing w:after="0" w:line="60" w:lineRule="exact"/>
        <w:rPr>
          <w:sz w:val="20"/>
          <w:szCs w:val="20"/>
          <w:color w:val="auto"/>
        </w:rPr>
      </w:pPr>
    </w:p>
    <w:p>
      <w:pPr>
        <w:ind w:left="760" w:right="300" w:hanging="378"/>
        <w:spacing w:after="0" w:line="263" w:lineRule="auto"/>
        <w:tabs>
          <w:tab w:leader="none" w:pos="76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annually reviewing and making recommendations to the board of directors with respect to corporate goals and objectives relevant to the compensation of our chief executive officer;</w:t>
      </w:r>
    </w:p>
    <w:p>
      <w:pPr>
        <w:spacing w:after="0" w:line="42" w:lineRule="exact"/>
        <w:rPr>
          <w:rFonts w:ascii="Times New Roman" w:cs="Times New Roman" w:eastAsia="Times New Roman" w:hAnsi="Times New Roman"/>
          <w:sz w:val="16"/>
          <w:szCs w:val="16"/>
          <w:color w:val="auto"/>
        </w:rPr>
      </w:pPr>
    </w:p>
    <w:p>
      <w:pPr>
        <w:ind w:left="760" w:right="180" w:hanging="378"/>
        <w:spacing w:after="0" w:line="263" w:lineRule="auto"/>
        <w:tabs>
          <w:tab w:leader="none" w:pos="76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evaluating the performance of our chief executive officer in light of such corporate goals and objectives and making recommendations to the board of directors with respect to the compensation of our chief executive officer;</w:t>
      </w:r>
    </w:p>
    <w:p>
      <w:pPr>
        <w:spacing w:after="0" w:line="42"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approving the compensation of our other executive officers;</w:t>
      </w:r>
    </w:p>
    <w:p>
      <w:pPr>
        <w:spacing w:after="0" w:line="99"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establishing our overall management compensation, philosophy and policy;</w:t>
      </w:r>
    </w:p>
    <w:p>
      <w:pPr>
        <w:spacing w:after="0" w:line="86"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overseeing and administering our compensation and similar plans;</w:t>
      </w:r>
    </w:p>
    <w:p>
      <w:pPr>
        <w:spacing w:after="0" w:line="86"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approving our policies and procedures for the grant of equity-based awards;</w:t>
      </w:r>
    </w:p>
    <w:p>
      <w:pPr>
        <w:spacing w:after="0" w:line="99"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making recommendations to the board of directors with respect to director compensation;</w:t>
      </w:r>
    </w:p>
    <w:p>
      <w:pPr>
        <w:spacing w:after="0" w:line="86" w:lineRule="exact"/>
        <w:rPr>
          <w:rFonts w:ascii="Times New Roman" w:cs="Times New Roman" w:eastAsia="Times New Roman" w:hAnsi="Times New Roman"/>
          <w:sz w:val="16"/>
          <w:szCs w:val="16"/>
          <w:color w:val="auto"/>
        </w:rPr>
      </w:pPr>
    </w:p>
    <w:p>
      <w:pPr>
        <w:ind w:left="760" w:right="220" w:hanging="378"/>
        <w:spacing w:after="0" w:line="263" w:lineRule="auto"/>
        <w:tabs>
          <w:tab w:leader="none" w:pos="76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discussing with management the compensation discussion and analysis to be included in our annual proxy statement or Annual Report on Form 10-K;</w:t>
      </w:r>
    </w:p>
    <w:p>
      <w:pPr>
        <w:spacing w:after="0" w:line="42"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discussing with the board of directors corporate succession plans for the chief executive officer and other key officers; and</w:t>
      </w:r>
    </w:p>
    <w:p>
      <w:pPr>
        <w:spacing w:after="0" w:line="86"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hiring third party compensation consultants to review and make recommendations on the compensation of directors, executive officers and other key officers.</w:t>
      </w:r>
    </w:p>
    <w:p>
      <w:pPr>
        <w:spacing w:after="0" w:line="100" w:lineRule="exact"/>
        <w:rPr>
          <w:sz w:val="20"/>
          <w:szCs w:val="20"/>
          <w:color w:val="auto"/>
        </w:rPr>
      </w:pPr>
    </w:p>
    <w:p>
      <w:pPr>
        <w:ind w:right="120" w:firstLine="374"/>
        <w:spacing w:after="0" w:line="231" w:lineRule="auto"/>
        <w:rPr>
          <w:sz w:val="20"/>
          <w:szCs w:val="20"/>
          <w:color w:val="auto"/>
        </w:rPr>
      </w:pPr>
      <w:r>
        <w:rPr>
          <w:rFonts w:ascii="Times New Roman" w:cs="Times New Roman" w:eastAsia="Times New Roman" w:hAnsi="Times New Roman"/>
          <w:sz w:val="16"/>
          <w:szCs w:val="16"/>
          <w:color w:val="auto"/>
        </w:rPr>
        <w:t>During the year ended December 31, 2021 and December 31, 2020, our compensation committee retained Frederic W. Cook &amp; Co. Inc., or FW Cook, to review our compensation program and to provide them with independent compensation data and analysis. In connection with this analysis, FW Cook and the compensation committee</w:t>
      </w:r>
    </w:p>
    <w:p>
      <w:pPr>
        <w:spacing w:after="0" w:line="1" w:lineRule="exact"/>
        <w:rPr>
          <w:sz w:val="20"/>
          <w:szCs w:val="20"/>
          <w:color w:val="auto"/>
        </w:rPr>
      </w:pPr>
    </w:p>
    <w:p>
      <w:pPr>
        <w:ind w:right="120"/>
        <w:spacing w:after="0" w:line="217" w:lineRule="auto"/>
        <w:rPr>
          <w:sz w:val="20"/>
          <w:szCs w:val="20"/>
          <w:color w:val="auto"/>
        </w:rPr>
      </w:pPr>
      <w:r>
        <w:rPr>
          <w:rFonts w:ascii="Times New Roman" w:cs="Times New Roman" w:eastAsia="Times New Roman" w:hAnsi="Times New Roman"/>
          <w:sz w:val="16"/>
          <w:szCs w:val="16"/>
          <w:color w:val="auto"/>
        </w:rPr>
        <w:t>reviewed each component of compensation paid to our non-employee directors and executive officers against comparable positions at companies that were determined by FW Cook to be similar in scope of operation to Axsome. FW Cook reports directly and exclusively to the compensation committee. Our compensation committee analyzed whether the work of FW Cook as a compensation consultant has raised any conflict of interest, and, based on its analysis, determined that the work of FW Cook and the</w:t>
      </w:r>
    </w:p>
    <w:p>
      <w:pPr>
        <w:ind w:right="180"/>
        <w:spacing w:after="0" w:line="231" w:lineRule="auto"/>
        <w:rPr>
          <w:sz w:val="20"/>
          <w:szCs w:val="20"/>
          <w:color w:val="auto"/>
        </w:rPr>
      </w:pPr>
      <w:r>
        <w:rPr>
          <w:rFonts w:ascii="Times New Roman" w:cs="Times New Roman" w:eastAsia="Times New Roman" w:hAnsi="Times New Roman"/>
          <w:sz w:val="16"/>
          <w:szCs w:val="16"/>
          <w:color w:val="auto"/>
        </w:rPr>
        <w:t>individual compensation advisors employed by FW Cook as compensation consultants has not created any conflict of interest and the compensation committee is satisfied with the independence of FW Cook.</w:t>
      </w:r>
    </w:p>
    <w:p>
      <w:pPr>
        <w:spacing w:after="0" w:line="71" w:lineRule="exact"/>
        <w:rPr>
          <w:sz w:val="20"/>
          <w:szCs w:val="20"/>
          <w:color w:val="auto"/>
        </w:rPr>
      </w:pPr>
    </w:p>
    <w:p>
      <w:pPr>
        <w:ind w:right="40" w:firstLine="374"/>
        <w:spacing w:after="0" w:line="250" w:lineRule="auto"/>
        <w:rPr>
          <w:sz w:val="20"/>
          <w:szCs w:val="20"/>
          <w:color w:val="auto"/>
        </w:rPr>
      </w:pPr>
      <w:r>
        <w:rPr>
          <w:rFonts w:ascii="Times New Roman" w:cs="Times New Roman" w:eastAsia="Times New Roman" w:hAnsi="Times New Roman"/>
          <w:sz w:val="16"/>
          <w:szCs w:val="16"/>
          <w:i w:val="1"/>
          <w:iCs w:val="1"/>
          <w:color w:val="auto"/>
        </w:rPr>
        <w:t xml:space="preserve">Nominating and corporate governance committee. </w:t>
      </w:r>
      <w:r>
        <w:rPr>
          <w:rFonts w:ascii="Times New Roman" w:cs="Times New Roman" w:eastAsia="Times New Roman" w:hAnsi="Times New Roman"/>
          <w:sz w:val="16"/>
          <w:szCs w:val="16"/>
          <w:color w:val="auto"/>
        </w:rPr>
        <w:t>Dr. Coleman, Dr. Jeffs and Mr. Saad currently serve on the nominating and corporate governance committee, which</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is chaired by Dr. Jeffs. Our board of directors has determined that each member of the nominating and corporate governance committee is “independent” as defined in applicable Nasdaq rules. The nominating and corporate governance committee operates under a written charter that satisfies the applicable standards of Nasdaq and which is available on our website at www.axsome.com. The inclusion of our website address here and elsewhere in this proxy does not include or incorporate by reference the information on our website into this proxy. Our nominating and corporate governance committee met once during the year ended December 31, 2021. The nominating and corporate governance committee’s responsibilities include:</w:t>
      </w:r>
    </w:p>
    <w:p>
      <w:pPr>
        <w:spacing w:after="0" w:line="67" w:lineRule="exact"/>
        <w:rPr>
          <w:sz w:val="20"/>
          <w:szCs w:val="20"/>
          <w:color w:val="auto"/>
        </w:rPr>
      </w:pPr>
    </w:p>
    <w:p>
      <w:pPr>
        <w:ind w:left="760" w:hanging="378"/>
        <w:spacing w:after="0"/>
        <w:tabs>
          <w:tab w:leader="none" w:pos="76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developing and recommending to the board of directors criteria for board and committee membership;</w:t>
      </w:r>
    </w:p>
    <w:p>
      <w:pPr>
        <w:spacing w:after="0" w:line="113"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establishing procedures for identifying and evaluating board of director candidates, including nominees recommended by stockholders;</w:t>
      </w:r>
    </w:p>
    <w:p>
      <w:pPr>
        <w:spacing w:after="0" w:line="113"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the size and composition of the board of directors to ensure that it is composed of members containing the appropriate skills and expertise to advise us;</w:t>
      </w:r>
    </w:p>
    <w:p>
      <w:pPr>
        <w:spacing w:after="0" w:line="113"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identifying individuals qualified to become members of the board of directors;</w:t>
      </w:r>
    </w:p>
    <w:p>
      <w:pPr>
        <w:spacing w:after="0" w:line="113"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recommending to the board of directors the persons to be nominated for election as directors and to each of the board of director’s committees;</w:t>
      </w:r>
    </w:p>
    <w:p>
      <w:pPr>
        <w:spacing w:after="0" w:line="99"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developing and recommending to the board of directors a code of business conduct and ethics and a set of corporate governance guidelines;</w:t>
      </w:r>
    </w:p>
    <w:p>
      <w:pPr>
        <w:spacing w:after="0" w:line="113"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developing a mechanism by which violations of the code of business conduct and ethics can be reported in a confidential manner; and</w:t>
      </w:r>
    </w:p>
    <w:p>
      <w:pPr>
        <w:spacing w:after="0" w:line="113"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overseeing the evaluation of the board of directors and management.</w:t>
      </w:r>
    </w:p>
    <w:p>
      <w:pPr>
        <w:spacing w:after="0" w:line="11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Our board of directors may from time to time establish other committees.</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563C1"/>
        </w:rPr>
        <w:t>TABLE OF CONTENTS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Compensation Committee Interlocks and Insider Participation</w:t>
      </w:r>
    </w:p>
    <w:p>
      <w:pPr>
        <w:spacing w:after="0" w:line="115" w:lineRule="exact"/>
        <w:rPr>
          <w:sz w:val="20"/>
          <w:szCs w:val="20"/>
          <w:color w:val="auto"/>
        </w:rPr>
      </w:pPr>
    </w:p>
    <w:p>
      <w:pPr>
        <w:ind w:right="20" w:firstLine="374"/>
        <w:spacing w:after="0" w:line="263" w:lineRule="auto"/>
        <w:rPr>
          <w:sz w:val="20"/>
          <w:szCs w:val="20"/>
          <w:color w:val="auto"/>
        </w:rPr>
      </w:pPr>
      <w:r>
        <w:rPr>
          <w:rFonts w:ascii="Times New Roman" w:cs="Times New Roman" w:eastAsia="Times New Roman" w:hAnsi="Times New Roman"/>
          <w:sz w:val="16"/>
          <w:szCs w:val="16"/>
          <w:color w:val="auto"/>
        </w:rPr>
        <w:t>None of the members of our compensation committee has at any time during the prior three years been one of our officers or employees. None of our executive officers currently serves, or in the past fiscal year has served, as a member of the board of directors or compensation committee of any entity that has one or more executive officers serving on our board of directors or compensation committee.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Meetings of the Board of Directors</w:t>
      </w:r>
    </w:p>
    <w:p>
      <w:pPr>
        <w:spacing w:after="0" w:line="102" w:lineRule="exact"/>
        <w:rPr>
          <w:sz w:val="20"/>
          <w:szCs w:val="20"/>
          <w:color w:val="auto"/>
        </w:rPr>
      </w:pPr>
    </w:p>
    <w:p>
      <w:pPr>
        <w:jc w:val="both"/>
        <w:ind w:right="20" w:firstLine="374"/>
        <w:spacing w:after="0" w:line="263" w:lineRule="auto"/>
        <w:rPr>
          <w:sz w:val="20"/>
          <w:szCs w:val="20"/>
          <w:color w:val="auto"/>
        </w:rPr>
      </w:pPr>
      <w:r>
        <w:rPr>
          <w:rFonts w:ascii="Times New Roman" w:cs="Times New Roman" w:eastAsia="Times New Roman" w:hAnsi="Times New Roman"/>
          <w:sz w:val="16"/>
          <w:szCs w:val="16"/>
          <w:color w:val="auto"/>
        </w:rPr>
        <w:t>The full board of directors met in person or by phone six times during the year ended December 31, 2021 and also acted via unanimous written consent multiple times during the year as needed. No director attended fewer than 75% of the total number of meetings of the board of directors and of any committees of the board of directors of which he or she was a member during our year ended December 31, 2021.</w:t>
      </w:r>
    </w:p>
    <w:p>
      <w:pPr>
        <w:spacing w:after="0" w:line="70" w:lineRule="exact"/>
        <w:rPr>
          <w:sz w:val="20"/>
          <w:szCs w:val="20"/>
          <w:color w:val="auto"/>
        </w:rPr>
      </w:pPr>
    </w:p>
    <w:p>
      <w:pPr>
        <w:jc w:val="both"/>
        <w:ind w:right="60" w:firstLine="374"/>
        <w:spacing w:after="0" w:line="254" w:lineRule="auto"/>
        <w:rPr>
          <w:sz w:val="20"/>
          <w:szCs w:val="20"/>
          <w:color w:val="auto"/>
        </w:rPr>
      </w:pPr>
      <w:r>
        <w:rPr>
          <w:rFonts w:ascii="Times New Roman" w:cs="Times New Roman" w:eastAsia="Times New Roman" w:hAnsi="Times New Roman"/>
          <w:sz w:val="16"/>
          <w:szCs w:val="16"/>
          <w:color w:val="auto"/>
        </w:rPr>
        <w:t>It is our policy that directors are invited and encouraged to attend our annual meetings of stockholders. We have scheduled our Annual Meeting on the same day as a regularly scheduled board of directors meeting in order to facilitate attendance by the members of our board of directors. All of our directors at the time of our 2021 annual meeting of stockholders attended the 2021 annual meeting of stockholders.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Board Oversight of Risk</w:t>
      </w:r>
    </w:p>
    <w:p>
      <w:pPr>
        <w:spacing w:after="0" w:line="115" w:lineRule="exact"/>
        <w:rPr>
          <w:sz w:val="20"/>
          <w:szCs w:val="20"/>
          <w:color w:val="auto"/>
        </w:rPr>
      </w:pPr>
    </w:p>
    <w:p>
      <w:pPr>
        <w:ind w:right="40" w:firstLine="374"/>
        <w:spacing w:after="0" w:line="250" w:lineRule="auto"/>
        <w:rPr>
          <w:sz w:val="20"/>
          <w:szCs w:val="20"/>
          <w:color w:val="auto"/>
        </w:rPr>
      </w:pPr>
      <w:r>
        <w:rPr>
          <w:rFonts w:ascii="Times New Roman" w:cs="Times New Roman" w:eastAsia="Times New Roman" w:hAnsi="Times New Roman"/>
          <w:sz w:val="16"/>
          <w:szCs w:val="16"/>
          <w:color w:val="auto"/>
        </w:rPr>
        <w:t>Risk is inherent with every business, and how well a business manages risk can ultimately determine its success. We face a number of risks, including risks relating to our operations, strategic direction and intellectual property as more fully discussed under the section entitled “Risk Factors” in our most recent Annual Report on Form 10-K. Management is responsible for the day-to-day management of risks we face, while our board of directors, as a whole and through its committees, has responsibility for the oversight of risk management. In its risk oversight role, our board of directors has the responsibility to satisfy itself that the risk management processes designed and implemented by management are adequate and functioning as designed.</w:t>
      </w:r>
    </w:p>
    <w:p>
      <w:pPr>
        <w:spacing w:after="0" w:line="81" w:lineRule="exact"/>
        <w:rPr>
          <w:sz w:val="20"/>
          <w:szCs w:val="20"/>
          <w:color w:val="auto"/>
        </w:rPr>
      </w:pPr>
    </w:p>
    <w:p>
      <w:pPr>
        <w:ind w:right="20" w:firstLine="374"/>
        <w:spacing w:after="0" w:line="246" w:lineRule="auto"/>
        <w:rPr>
          <w:sz w:val="20"/>
          <w:szCs w:val="20"/>
          <w:color w:val="auto"/>
        </w:rPr>
      </w:pPr>
      <w:r>
        <w:rPr>
          <w:rFonts w:ascii="Times New Roman" w:cs="Times New Roman" w:eastAsia="Times New Roman" w:hAnsi="Times New Roman"/>
          <w:sz w:val="16"/>
          <w:szCs w:val="16"/>
          <w:color w:val="auto"/>
        </w:rPr>
        <w:t>The role of the board of directors in overseeing the management of our risks is conducted primarily through committees of the board of directors, as disclosed in the descriptions of each of the committees above and in the charters of each of the committees. For example, our audit committee is responsible for overseeing the management of risks associated with our financial reporting, accounting and auditing matters, and regulatory and legal compliance; our compensation committee oversees major risks associated with our compensation policies and programs; and our nominating and governance committee oversees the management of risks associated with director independence, conflicts of interest, composition and organization of our board of directors and director succession planning. The full board of directors (or the appropriate board committee in the case of risks that are under the purview of a particular committee) discusses with management our major risk exposures, their potential impact on Axsome, and the steps we take to manage them. When a board committee is responsible for evaluating and overseeing the management of a particular risk or risks, the chairman of the relevant committee reports on the discussion to the full board of directors during the committee reports portion of the next board meeting. This enables the board of directors and its committees to coordinate the risk oversight role, particularly with respect to risk interrelationships.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Commitment to Corporate Responsibility</w:t>
      </w:r>
    </w:p>
    <w:p>
      <w:pPr>
        <w:spacing w:after="0" w:line="115" w:lineRule="exact"/>
        <w:rPr>
          <w:sz w:val="20"/>
          <w:szCs w:val="20"/>
          <w:color w:val="auto"/>
        </w:rPr>
      </w:pPr>
    </w:p>
    <w:p>
      <w:pPr>
        <w:ind w:right="260" w:firstLine="374"/>
        <w:spacing w:after="0" w:line="280" w:lineRule="auto"/>
        <w:rPr>
          <w:sz w:val="20"/>
          <w:szCs w:val="20"/>
          <w:color w:val="auto"/>
        </w:rPr>
      </w:pPr>
      <w:r>
        <w:rPr>
          <w:rFonts w:ascii="Times New Roman" w:cs="Times New Roman" w:eastAsia="Times New Roman" w:hAnsi="Times New Roman"/>
          <w:sz w:val="16"/>
          <w:szCs w:val="16"/>
          <w:color w:val="auto"/>
        </w:rPr>
        <w:t>Axsome’s corporate responsibility is fundamental to our long-term success. It is also now more than ever important to our stakeholders. We have a commitment to environmental, social and governance (“ESG”) issues.</w:t>
      </w:r>
    </w:p>
    <w:p>
      <w:pPr>
        <w:spacing w:after="0" w:line="55"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6"/>
          <w:szCs w:val="16"/>
          <w:b w:val="1"/>
          <w:bCs w:val="1"/>
          <w:color w:val="auto"/>
        </w:rPr>
        <w:t>Environmental Factors</w:t>
      </w:r>
      <w:r>
        <w:rPr>
          <w:rFonts w:ascii="Times New Roman" w:cs="Times New Roman" w:eastAsia="Times New Roman" w:hAnsi="Times New Roman"/>
          <w:sz w:val="16"/>
          <w:szCs w:val="16"/>
          <w:color w:val="auto"/>
        </w:rPr>
        <w:t>: As we continue to expand our operations, we have initiated certain projects to begin tracking our environmental impact, and where feasible,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have taken measures to increase our sustainability efforts. Some of our efforts include our commitment to reduce, reuse or recycle where possible or appropriate, and energy efficient projects to lower energy use within our office areas.</w:t>
      </w:r>
    </w:p>
    <w:p>
      <w:pPr>
        <w:spacing w:after="0" w:line="73" w:lineRule="exact"/>
        <w:rPr>
          <w:sz w:val="20"/>
          <w:szCs w:val="20"/>
          <w:color w:val="auto"/>
        </w:rPr>
      </w:pPr>
    </w:p>
    <w:p>
      <w:pPr>
        <w:ind w:right="60" w:firstLine="374"/>
        <w:spacing w:after="0" w:line="249" w:lineRule="auto"/>
        <w:rPr>
          <w:sz w:val="20"/>
          <w:szCs w:val="20"/>
          <w:color w:val="auto"/>
        </w:rPr>
      </w:pPr>
      <w:r>
        <w:rPr>
          <w:rFonts w:ascii="Times New Roman" w:cs="Times New Roman" w:eastAsia="Times New Roman" w:hAnsi="Times New Roman"/>
          <w:sz w:val="16"/>
          <w:szCs w:val="16"/>
          <w:b w:val="1"/>
          <w:bCs w:val="1"/>
          <w:color w:val="auto"/>
        </w:rPr>
        <w:t>Social Factors</w:t>
      </w:r>
      <w:r>
        <w:rPr>
          <w:rFonts w:ascii="Times New Roman" w:cs="Times New Roman" w:eastAsia="Times New Roman" w:hAnsi="Times New Roman"/>
          <w:sz w:val="16"/>
          <w:szCs w:val="16"/>
          <w:color w:val="auto"/>
        </w:rPr>
        <w:t>: Our future performance depends significantly upon the continued service of our key employees and personnel and our continued ability to attract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retain highly skilled employees. We provide our employees with competitive salaries and bonuses, opportunities for equity ownership, development programs that enable continued learning and growth and a robust employment package that promotes well-being across all aspects of their lives. In addition to salaries, these programs include potential annual discretionary bonuses, stock awards, a 401(k) plan, healthcare and insurance benefits, health savings and flexible spending accounts, paid time off, family leave, and flexible work schedules, among other benefits. We have taken proactive steps throughout the COVID-19 pandemic to protect the health and safety of our employees. We expect to continue to implement these measures until we determine that the COVID-19 pandemic is adequately contained for purposes of our business. We may take further actions, in compliance with all appropriate government regulations, that we determine to be in the best interest of our employees.</w:t>
      </w:r>
    </w:p>
    <w:p>
      <w:pPr>
        <w:spacing w:after="0" w:line="2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4" w:right="3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563C1"/>
        </w:rPr>
        <w:t>TABLE OF CONTENTS</w:t>
      </w:r>
    </w:p>
    <w:p>
      <w:pPr>
        <w:spacing w:after="0" w:line="227" w:lineRule="exact"/>
        <w:rPr>
          <w:sz w:val="20"/>
          <w:szCs w:val="20"/>
          <w:color w:val="auto"/>
        </w:rPr>
      </w:pPr>
    </w:p>
    <w:p>
      <w:pPr>
        <w:ind w:right="120" w:firstLine="374"/>
        <w:spacing w:after="0" w:line="248" w:lineRule="auto"/>
        <w:rPr>
          <w:sz w:val="20"/>
          <w:szCs w:val="20"/>
          <w:color w:val="auto"/>
        </w:rPr>
      </w:pPr>
      <w:r>
        <w:rPr>
          <w:rFonts w:ascii="Times New Roman" w:cs="Times New Roman" w:eastAsia="Times New Roman" w:hAnsi="Times New Roman"/>
          <w:sz w:val="16"/>
          <w:szCs w:val="16"/>
          <w:b w:val="1"/>
          <w:bCs w:val="1"/>
          <w:color w:val="auto"/>
        </w:rPr>
        <w:t>Diversity and Inclusion</w:t>
      </w:r>
      <w:r>
        <w:rPr>
          <w:rFonts w:ascii="Times New Roman" w:cs="Times New Roman" w:eastAsia="Times New Roman" w:hAnsi="Times New Roman"/>
          <w:sz w:val="16"/>
          <w:szCs w:val="16"/>
          <w:color w:val="auto"/>
        </w:rPr>
        <w:t>: We strive to invest in and create ongoing opportunities for employee development to ensure a respectful, diverse and inclusive environment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 which each team member plays a unique and vital role. It starts at the top, where half of the members of our Board identify as a member of an underrepresented racial minority group (those self-identifying as African American, Hispanic or Latino, Asian, or being two or more races or ethnicities), including our CEO. We believe that a diverse workforce not only positively impacts our performance and strengthens our culture, but it also cultivates an essential pipeline of experienced leaders for management. We are also committed to building a diverse workforce, including hiring for diversity of thought, background and experience, and diversity of personal characteristics such as gender identity, sexual orientation, race, ethnicity, faith, disability, veteran and LGBTQ+ status. As of April 6, 2022, women make up approximately 54% of our global workforce and constitute approximately 43% of management. As of April 6, 2022, employees who identify as a member of an underrepresented racial minority group make up approximately 29% of our global workforce and approximately 14% of management (15% of our employees declined to self-identify, or otherwise did not provide us with this information).</w:t>
      </w:r>
    </w:p>
    <w:p>
      <w:pPr>
        <w:spacing w:after="0" w:line="84" w:lineRule="exact"/>
        <w:rPr>
          <w:sz w:val="20"/>
          <w:szCs w:val="20"/>
          <w:color w:val="auto"/>
        </w:rPr>
      </w:pPr>
    </w:p>
    <w:p>
      <w:pPr>
        <w:ind w:right="20" w:firstLine="374"/>
        <w:spacing w:after="0" w:line="251" w:lineRule="auto"/>
        <w:rPr>
          <w:sz w:val="20"/>
          <w:szCs w:val="20"/>
          <w:color w:val="auto"/>
        </w:rPr>
      </w:pPr>
      <w:r>
        <w:rPr>
          <w:rFonts w:ascii="Times New Roman" w:cs="Times New Roman" w:eastAsia="Times New Roman" w:hAnsi="Times New Roman"/>
          <w:sz w:val="16"/>
          <w:szCs w:val="16"/>
          <w:b w:val="1"/>
          <w:bCs w:val="1"/>
          <w:color w:val="auto"/>
        </w:rPr>
        <w:t>Ethics and Corporate Governance</w:t>
      </w:r>
      <w:r>
        <w:rPr>
          <w:rFonts w:ascii="Times New Roman" w:cs="Times New Roman" w:eastAsia="Times New Roman" w:hAnsi="Times New Roman"/>
          <w:sz w:val="16"/>
          <w:szCs w:val="16"/>
          <w:color w:val="auto"/>
        </w:rPr>
        <w:t>: We aspire to maintain the highest ethical standards. All of our employees are required to adhere to our Code of Business Conduct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and Ethics, which provides, among other things, that all of our employees, officers and directors must (i) act with integrity and observe the highest ethical standards of business conduct in his or her dealings with our customers, suppliers, partners, service providers, competitors, employees and anyone else with whom he or she has contact in the course of performing his or her job, and (ii) conduct relationships with colleagues and business relationships with competitors, suppliers and customers free of any discrimination, including based on race, color, creed, religion, age, gender identity, sexual orientation, national origin, marital status, veteran status, handicap or disability.</w:t>
      </w:r>
    </w:p>
    <w:p>
      <w:pPr>
        <w:spacing w:after="0" w:line="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We are committed to an ongoing focus on ESG issues during 2022 and beyond.</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Director Nomination Process</w:t>
      </w:r>
    </w:p>
    <w:p>
      <w:pPr>
        <w:spacing w:after="0" w:line="115" w:lineRule="exact"/>
        <w:rPr>
          <w:sz w:val="20"/>
          <w:szCs w:val="20"/>
          <w:color w:val="auto"/>
        </w:rPr>
      </w:pPr>
    </w:p>
    <w:p>
      <w:pPr>
        <w:ind w:right="80" w:firstLine="374"/>
        <w:spacing w:after="0" w:line="248" w:lineRule="auto"/>
        <w:rPr>
          <w:sz w:val="20"/>
          <w:szCs w:val="20"/>
          <w:color w:val="auto"/>
        </w:rPr>
      </w:pPr>
      <w:r>
        <w:rPr>
          <w:rFonts w:ascii="Times New Roman" w:cs="Times New Roman" w:eastAsia="Times New Roman" w:hAnsi="Times New Roman"/>
          <w:sz w:val="16"/>
          <w:szCs w:val="16"/>
          <w:color w:val="auto"/>
        </w:rPr>
        <w:t>In considering whether to recommend any candidate for inclusion in our board of directors’ slate of recommended directors, including candidates recommended by stockholders, the nominating and corporate governance committee applies a certain set of criteria, including, but not limited to, the candidate’s integrity, business acumen, experience, commitment, diligence, conflicts of interest and the ability to act in the interests of all stockholders. We believe that the value of diversity on the board of directors should be considered by the nominating and corporate governance committee in the director identification and nomination process. The nominating and corporate governance committee seeks nominees with a broad diversity of experience, professions, skills, geographic representation and backgrounds. The nominating and corporate governance committee does not assign specific weights to particular criteria and no particular criterion is necessarily applicable to all prospective nominees. We believe that the backgrounds and qualifications of the directors, considered as a group, should provide a significant breadth of experience, knowledge and abilities that will allow our board of directors to fulfill its responsibilities. Nominees are not discriminated against on the basis of race, religion, national origin, sex, gender identity, sexual orientation, disability or any other basis proscribed by law.</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Director Compensation</w:t>
      </w:r>
    </w:p>
    <w:p>
      <w:pPr>
        <w:spacing w:after="0" w:line="115" w:lineRule="exact"/>
        <w:rPr>
          <w:sz w:val="20"/>
          <w:szCs w:val="20"/>
          <w:color w:val="auto"/>
        </w:rPr>
      </w:pPr>
    </w:p>
    <w:p>
      <w:pPr>
        <w:ind w:firstLine="374"/>
        <w:spacing w:after="0" w:line="258" w:lineRule="auto"/>
        <w:rPr>
          <w:sz w:val="20"/>
          <w:szCs w:val="20"/>
          <w:color w:val="auto"/>
        </w:rPr>
      </w:pPr>
      <w:r>
        <w:rPr>
          <w:rFonts w:ascii="Times New Roman" w:cs="Times New Roman" w:eastAsia="Times New Roman" w:hAnsi="Times New Roman"/>
          <w:sz w:val="16"/>
          <w:szCs w:val="16"/>
          <w:color w:val="auto"/>
        </w:rPr>
        <w:t>Each year, the board of directors determines non-employee director compensation based upon the recommendation of the compensation committee. In doing so, the compensation committee considers market data for the Company’s peer group, which is the same peer group used for the Company’s executive compensation benchmarking, as well as data for a broader market of similarly-sized companies, and input regarding market practices for director compensation from the same independent consultant that is retained by the compensation committee for executive compensation services.</w:t>
      </w:r>
    </w:p>
    <w:p>
      <w:pPr>
        <w:spacing w:after="0" w:line="59" w:lineRule="exact"/>
        <w:rPr>
          <w:sz w:val="20"/>
          <w:szCs w:val="20"/>
          <w:color w:val="auto"/>
        </w:rPr>
      </w:pPr>
    </w:p>
    <w:p>
      <w:pPr>
        <w:ind w:right="60" w:firstLine="374"/>
        <w:spacing w:after="0" w:line="256" w:lineRule="auto"/>
        <w:rPr>
          <w:sz w:val="20"/>
          <w:szCs w:val="20"/>
          <w:color w:val="auto"/>
        </w:rPr>
      </w:pPr>
      <w:r>
        <w:rPr>
          <w:rFonts w:ascii="Times New Roman" w:cs="Times New Roman" w:eastAsia="Times New Roman" w:hAnsi="Times New Roman"/>
          <w:sz w:val="16"/>
          <w:szCs w:val="16"/>
          <w:color w:val="auto"/>
        </w:rPr>
        <w:t>Our non-employee directors receive an annual cash retainer and an annual equity retainer. A non-employee director may elect to receive, in lieu of the cash compensation, options to purchase shares of our common stock, with an exercise price per share equal to the fair market value of our common stock on the date of grant. Such options will be granted at the same time as all executive officer annual option grants. The annual equity grants to the directors will be made on the close of business on the date of the annual meeting. We also reimburse our non-employee directors for their reasonable out- of-pocket expenses incurred in attending board and committee meetings.</w:t>
      </w:r>
    </w:p>
    <w:p>
      <w:pPr>
        <w:spacing w:after="0" w:line="25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During our fiscal year ended December 31, 2021, our non-employee directors were granted an annual equity retainer of options with a grant date fair value of</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$325,000 to purchase shares of our common stock under our Amended and Restated 2015 Omnibus Incentive Compensation Plan. These stock options will vest in full on</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one-year anniversary of the date of the grant. In addition to the annual equity retainer, all members of the board of directors, elected to receive options to purchase shares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of our common stock in lieu of the cash fees earned in 2021, which options were granted in March 2022. The options granted in lieu of cash fees are immediately vested and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exercisable upon grant. All retainers are prorated for any portion of a year to which they apply for each non-employee director.</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563C1"/>
        </w:rPr>
        <w:t>TABLE OF CONTENTS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From January 1 to June 3, 2021, each of our non-employee directors received the following pro-rated cash compensation for board services, as applicable: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Board member:</w:t>
            </w:r>
          </w:p>
        </w:tc>
        <w:tc>
          <w:tcPr>
            <w:tcW w:w="3220" w:type="dxa"/>
            <w:vAlign w:val="bottom"/>
            <w:shd w:val="clear" w:color="auto" w:fill="CFF0FC"/>
          </w:tcPr>
          <w:p>
            <w:pPr>
              <w:jc w:val="right"/>
              <w:ind w:right="59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40,000</w:t>
            </w:r>
          </w:p>
        </w:tc>
      </w:tr>
      <w:tr>
        <w:trPr>
          <w:trHeight w:val="203"/>
        </w:trPr>
        <w:tc>
          <w:tcPr>
            <w:tcW w:w="6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Lead Director:</w:t>
            </w:r>
          </w:p>
        </w:tc>
        <w:tc>
          <w:tcPr>
            <w:tcW w:w="3220" w:type="dxa"/>
            <w:vAlign w:val="bottom"/>
          </w:tcPr>
          <w:p>
            <w:pPr>
              <w:jc w:val="right"/>
              <w:ind w:right="59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15,000</w:t>
            </w:r>
          </w:p>
        </w:tc>
      </w:tr>
      <w:tr>
        <w:trPr>
          <w:trHeight w:val="203"/>
        </w:trPr>
        <w:tc>
          <w:tcPr>
            <w:tcW w:w="6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Audit committee member:</w:t>
            </w:r>
          </w:p>
        </w:tc>
        <w:tc>
          <w:tcPr>
            <w:tcW w:w="3220" w:type="dxa"/>
            <w:vAlign w:val="bottom"/>
            <w:shd w:val="clear" w:color="auto" w:fill="CFF0FC"/>
          </w:tcPr>
          <w:p>
            <w:pPr>
              <w:jc w:val="right"/>
              <w:ind w:right="59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7,500</w:t>
            </w:r>
          </w:p>
        </w:tc>
      </w:tr>
      <w:tr>
        <w:trPr>
          <w:trHeight w:val="203"/>
        </w:trPr>
        <w:tc>
          <w:tcPr>
            <w:tcW w:w="6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Chairman of the audit committee:</w:t>
            </w:r>
          </w:p>
        </w:tc>
        <w:tc>
          <w:tcPr>
            <w:tcW w:w="3220" w:type="dxa"/>
            <w:vAlign w:val="bottom"/>
          </w:tcPr>
          <w:p>
            <w:pPr>
              <w:jc w:val="right"/>
              <w:ind w:right="59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15,000</w:t>
            </w:r>
          </w:p>
        </w:tc>
      </w:tr>
      <w:tr>
        <w:trPr>
          <w:trHeight w:val="203"/>
        </w:trPr>
        <w:tc>
          <w:tcPr>
            <w:tcW w:w="6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Compensation committee member:</w:t>
            </w:r>
          </w:p>
        </w:tc>
        <w:tc>
          <w:tcPr>
            <w:tcW w:w="3220" w:type="dxa"/>
            <w:vAlign w:val="bottom"/>
            <w:shd w:val="clear" w:color="auto" w:fill="CFF0FC"/>
          </w:tcPr>
          <w:p>
            <w:pPr>
              <w:jc w:val="right"/>
              <w:ind w:right="59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5,000</w:t>
            </w:r>
          </w:p>
        </w:tc>
      </w:tr>
      <w:tr>
        <w:trPr>
          <w:trHeight w:val="203"/>
        </w:trPr>
        <w:tc>
          <w:tcPr>
            <w:tcW w:w="6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Chairman of the compensation committee:</w:t>
            </w:r>
          </w:p>
        </w:tc>
        <w:tc>
          <w:tcPr>
            <w:tcW w:w="3220" w:type="dxa"/>
            <w:vAlign w:val="bottom"/>
          </w:tcPr>
          <w:p>
            <w:pPr>
              <w:jc w:val="right"/>
              <w:ind w:right="59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10,000</w:t>
            </w:r>
          </w:p>
        </w:tc>
      </w:tr>
      <w:tr>
        <w:trPr>
          <w:trHeight w:val="203"/>
        </w:trPr>
        <w:tc>
          <w:tcPr>
            <w:tcW w:w="6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Nominating and corporate governance committee member:</w:t>
            </w:r>
          </w:p>
        </w:tc>
        <w:tc>
          <w:tcPr>
            <w:tcW w:w="3220" w:type="dxa"/>
            <w:vAlign w:val="bottom"/>
            <w:shd w:val="clear" w:color="auto" w:fill="CFF0FC"/>
          </w:tcPr>
          <w:p>
            <w:pPr>
              <w:jc w:val="right"/>
              <w:ind w:right="59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4,000</w:t>
            </w:r>
          </w:p>
        </w:tc>
      </w:tr>
      <w:tr>
        <w:trPr>
          <w:trHeight w:val="210"/>
        </w:trPr>
        <w:tc>
          <w:tcPr>
            <w:tcW w:w="6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Chairman of the nominating and corporate governance committee:</w:t>
            </w:r>
          </w:p>
        </w:tc>
        <w:tc>
          <w:tcPr>
            <w:tcW w:w="3220" w:type="dxa"/>
            <w:vAlign w:val="bottom"/>
          </w:tcPr>
          <w:p>
            <w:pPr>
              <w:jc w:val="right"/>
              <w:ind w:right="59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8,000</w:t>
            </w:r>
          </w:p>
        </w:tc>
      </w:tr>
    </w:tbl>
    <w:p>
      <w:pPr>
        <w:spacing w:after="0" w:line="7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Beginning on June 4, 2021, each of our non-employee directors received the following pro-rated cash compensation for board services, as applicable: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Board member:</w:t>
            </w:r>
          </w:p>
        </w:tc>
        <w:tc>
          <w:tcPr>
            <w:tcW w:w="3240" w:type="dxa"/>
            <w:vAlign w:val="bottom"/>
            <w:shd w:val="clear" w:color="auto" w:fill="CFF0FC"/>
          </w:tcPr>
          <w:p>
            <w:pPr>
              <w:jc w:val="right"/>
              <w:ind w:right="63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45,000</w:t>
            </w:r>
          </w:p>
        </w:tc>
      </w:tr>
      <w:tr>
        <w:trPr>
          <w:trHeight w:val="203"/>
        </w:trPr>
        <w:tc>
          <w:tcPr>
            <w:tcW w:w="6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Lead Director:</w:t>
            </w:r>
          </w:p>
        </w:tc>
        <w:tc>
          <w:tcPr>
            <w:tcW w:w="3240" w:type="dxa"/>
            <w:vAlign w:val="bottom"/>
          </w:tcPr>
          <w:p>
            <w:pPr>
              <w:jc w:val="right"/>
              <w:ind w:right="63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25,000</w:t>
            </w:r>
          </w:p>
        </w:tc>
      </w:tr>
      <w:tr>
        <w:trPr>
          <w:trHeight w:val="203"/>
        </w:trPr>
        <w:tc>
          <w:tcPr>
            <w:tcW w:w="6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Audit committee member:</w:t>
            </w:r>
          </w:p>
        </w:tc>
        <w:tc>
          <w:tcPr>
            <w:tcW w:w="3240" w:type="dxa"/>
            <w:vAlign w:val="bottom"/>
            <w:shd w:val="clear" w:color="auto" w:fill="CFF0FC"/>
          </w:tcPr>
          <w:p>
            <w:pPr>
              <w:jc w:val="right"/>
              <w:ind w:right="63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10,000</w:t>
            </w:r>
          </w:p>
        </w:tc>
      </w:tr>
      <w:tr>
        <w:trPr>
          <w:trHeight w:val="203"/>
        </w:trPr>
        <w:tc>
          <w:tcPr>
            <w:tcW w:w="6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Chairman of the audit committee:</w:t>
            </w:r>
          </w:p>
        </w:tc>
        <w:tc>
          <w:tcPr>
            <w:tcW w:w="3240" w:type="dxa"/>
            <w:vAlign w:val="bottom"/>
          </w:tcPr>
          <w:p>
            <w:pPr>
              <w:jc w:val="right"/>
              <w:ind w:right="63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20,000</w:t>
            </w:r>
          </w:p>
        </w:tc>
      </w:tr>
      <w:tr>
        <w:trPr>
          <w:trHeight w:val="203"/>
        </w:trPr>
        <w:tc>
          <w:tcPr>
            <w:tcW w:w="6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Compensation committee member:</w:t>
            </w:r>
          </w:p>
        </w:tc>
        <w:tc>
          <w:tcPr>
            <w:tcW w:w="3240" w:type="dxa"/>
            <w:vAlign w:val="bottom"/>
            <w:shd w:val="clear" w:color="auto" w:fill="CFF0FC"/>
          </w:tcPr>
          <w:p>
            <w:pPr>
              <w:jc w:val="right"/>
              <w:ind w:right="63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7,500</w:t>
            </w:r>
          </w:p>
        </w:tc>
      </w:tr>
      <w:tr>
        <w:trPr>
          <w:trHeight w:val="203"/>
        </w:trPr>
        <w:tc>
          <w:tcPr>
            <w:tcW w:w="6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Chairman of the compensation committee:</w:t>
            </w:r>
          </w:p>
        </w:tc>
        <w:tc>
          <w:tcPr>
            <w:tcW w:w="3240" w:type="dxa"/>
            <w:vAlign w:val="bottom"/>
          </w:tcPr>
          <w:p>
            <w:pPr>
              <w:jc w:val="right"/>
              <w:ind w:right="63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w:t>
            </w:r>
          </w:p>
        </w:tc>
      </w:tr>
      <w:tr>
        <w:trPr>
          <w:trHeight w:val="203"/>
        </w:trPr>
        <w:tc>
          <w:tcPr>
            <w:tcW w:w="6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Nominating and corporate governance committee member:</w:t>
            </w:r>
          </w:p>
        </w:tc>
        <w:tc>
          <w:tcPr>
            <w:tcW w:w="3240" w:type="dxa"/>
            <w:vAlign w:val="bottom"/>
            <w:shd w:val="clear" w:color="auto" w:fill="CFF0FC"/>
          </w:tcPr>
          <w:p>
            <w:pPr>
              <w:jc w:val="right"/>
              <w:ind w:right="63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5,000</w:t>
            </w:r>
          </w:p>
        </w:tc>
      </w:tr>
      <w:tr>
        <w:trPr>
          <w:trHeight w:val="210"/>
        </w:trPr>
        <w:tc>
          <w:tcPr>
            <w:tcW w:w="6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Chairman of the nominating and corporate governance committee:</w:t>
            </w:r>
          </w:p>
        </w:tc>
        <w:tc>
          <w:tcPr>
            <w:tcW w:w="3240" w:type="dxa"/>
            <w:vAlign w:val="bottom"/>
          </w:tcPr>
          <w:p>
            <w:pPr>
              <w:jc w:val="right"/>
              <w:ind w:right="63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w:t>
            </w:r>
          </w:p>
        </w:tc>
      </w:tr>
    </w:tbl>
    <w:p>
      <w:pPr>
        <w:spacing w:after="0" w:line="275" w:lineRule="exact"/>
        <w:rPr>
          <w:sz w:val="20"/>
          <w:szCs w:val="20"/>
          <w:color w:val="auto"/>
        </w:rPr>
      </w:pPr>
    </w:p>
    <w:p>
      <w:pPr>
        <w:ind w:right="40" w:firstLine="374"/>
        <w:spacing w:after="0" w:line="263" w:lineRule="auto"/>
        <w:rPr>
          <w:sz w:val="20"/>
          <w:szCs w:val="20"/>
          <w:color w:val="auto"/>
        </w:rPr>
      </w:pPr>
      <w:r>
        <w:rPr>
          <w:rFonts w:ascii="Times New Roman" w:cs="Times New Roman" w:eastAsia="Times New Roman" w:hAnsi="Times New Roman"/>
          <w:sz w:val="16"/>
          <w:szCs w:val="16"/>
          <w:color w:val="auto"/>
        </w:rPr>
        <w:t>The table below sets forth the compensation earned by each of the Company’s independent directors during fiscal 2021. Dr. Tabuteau, our Chief Executive Officer and Chairman of our board of directors, did not receive any compensation from us during our fiscal year ended December 31, 2021 for his service as a director and is not included in the table below.</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right"/>
              <w:ind w:right="486"/>
              <w:spacing w:after="0"/>
              <w:rPr>
                <w:sz w:val="20"/>
                <w:szCs w:val="20"/>
                <w:color w:val="auto"/>
              </w:rPr>
            </w:pPr>
            <w:r>
              <w:rPr>
                <w:rFonts w:ascii="Times New Roman" w:cs="Times New Roman" w:eastAsia="Times New Roman" w:hAnsi="Times New Roman"/>
                <w:sz w:val="13"/>
                <w:szCs w:val="13"/>
                <w:b w:val="1"/>
                <w:bCs w:val="1"/>
                <w:color w:val="auto"/>
                <w:w w:val="98"/>
              </w:rPr>
              <w:t>Fees Earned</w:t>
            </w:r>
          </w:p>
        </w:tc>
        <w:tc>
          <w:tcPr>
            <w:tcW w:w="180" w:type="dxa"/>
            <w:vAlign w:val="bottom"/>
          </w:tcPr>
          <w:p>
            <w:pPr>
              <w:spacing w:after="0"/>
              <w:rPr>
                <w:sz w:val="12"/>
                <w:szCs w:val="12"/>
                <w:color w:val="auto"/>
              </w:rPr>
            </w:pPr>
          </w:p>
        </w:tc>
        <w:tc>
          <w:tcPr>
            <w:tcW w:w="1380" w:type="dxa"/>
            <w:vAlign w:val="bottom"/>
            <w:gridSpan w:val="2"/>
          </w:tcPr>
          <w:p>
            <w:pPr>
              <w:jc w:val="right"/>
              <w:ind w:right="786"/>
              <w:spacing w:after="0"/>
              <w:rPr>
                <w:sz w:val="20"/>
                <w:szCs w:val="20"/>
                <w:color w:val="auto"/>
              </w:rPr>
            </w:pPr>
            <w:r>
              <w:rPr>
                <w:rFonts w:ascii="Times New Roman" w:cs="Times New Roman" w:eastAsia="Times New Roman" w:hAnsi="Times New Roman"/>
                <w:sz w:val="13"/>
                <w:szCs w:val="13"/>
                <w:b w:val="1"/>
                <w:bCs w:val="1"/>
                <w:color w:val="auto"/>
              </w:rPr>
              <w:t>Option</w:t>
            </w: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207"/>
        </w:trPr>
        <w:tc>
          <w:tcPr>
            <w:tcW w:w="72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Name</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566"/>
              <w:spacing w:after="0"/>
              <w:rPr>
                <w:sz w:val="20"/>
                <w:szCs w:val="20"/>
                <w:color w:val="auto"/>
              </w:rPr>
            </w:pPr>
            <w:r>
              <w:rPr>
                <w:rFonts w:ascii="Times New Roman" w:cs="Times New Roman" w:eastAsia="Times New Roman" w:hAnsi="Times New Roman"/>
                <w:sz w:val="13"/>
                <w:szCs w:val="13"/>
                <w:b w:val="1"/>
                <w:bCs w:val="1"/>
                <w:color w:val="auto"/>
              </w:rPr>
              <w:t>in Cash</w:t>
            </w:r>
            <w:r>
              <w:rPr>
                <w:rFonts w:ascii="Times New Roman" w:cs="Times New Roman" w:eastAsia="Times New Roman" w:hAnsi="Times New Roman"/>
                <w:sz w:val="16"/>
                <w:szCs w:val="16"/>
                <w:b w:val="1"/>
                <w:bCs w:val="1"/>
                <w:color w:val="auto"/>
                <w:vertAlign w:val="superscript"/>
              </w:rPr>
              <w:t>(1)</w:t>
            </w:r>
          </w:p>
        </w:tc>
        <w:tc>
          <w:tcPr>
            <w:tcW w:w="180" w:type="dxa"/>
            <w:vAlign w:val="bottom"/>
          </w:tcPr>
          <w:p>
            <w:pPr>
              <w:spacing w:after="0"/>
              <w:rPr>
                <w:sz w:val="17"/>
                <w:szCs w:val="17"/>
                <w:color w:val="auto"/>
              </w:rPr>
            </w:pPr>
          </w:p>
        </w:tc>
        <w:tc>
          <w:tcPr>
            <w:tcW w:w="1380" w:type="dxa"/>
            <w:vAlign w:val="bottom"/>
            <w:gridSpan w:val="2"/>
          </w:tcPr>
          <w:p>
            <w:pPr>
              <w:jc w:val="right"/>
              <w:ind w:right="726"/>
              <w:spacing w:after="0"/>
              <w:rPr>
                <w:sz w:val="20"/>
                <w:szCs w:val="20"/>
                <w:color w:val="auto"/>
              </w:rPr>
            </w:pPr>
            <w:r>
              <w:rPr>
                <w:rFonts w:ascii="Times New Roman" w:cs="Times New Roman" w:eastAsia="Times New Roman" w:hAnsi="Times New Roman"/>
                <w:sz w:val="13"/>
                <w:szCs w:val="13"/>
                <w:b w:val="1"/>
                <w:bCs w:val="1"/>
                <w:color w:val="auto"/>
              </w:rPr>
              <w:t>Awards</w:t>
            </w:r>
            <w:r>
              <w:rPr>
                <w:rFonts w:ascii="Times New Roman" w:cs="Times New Roman" w:eastAsia="Times New Roman" w:hAnsi="Times New Roman"/>
                <w:sz w:val="16"/>
                <w:szCs w:val="16"/>
                <w:b w:val="1"/>
                <w:bCs w:val="1"/>
                <w:color w:val="auto"/>
                <w:vertAlign w:val="superscript"/>
              </w:rPr>
              <w:t>(2)</w:t>
            </w:r>
          </w:p>
        </w:tc>
        <w:tc>
          <w:tcPr>
            <w:tcW w:w="200" w:type="dxa"/>
            <w:vAlign w:val="bottom"/>
          </w:tcPr>
          <w:p>
            <w:pPr>
              <w:spacing w:after="0"/>
              <w:rPr>
                <w:sz w:val="17"/>
                <w:szCs w:val="17"/>
                <w:color w:val="auto"/>
              </w:rPr>
            </w:pPr>
          </w:p>
        </w:tc>
        <w:tc>
          <w:tcPr>
            <w:tcW w:w="720" w:type="dxa"/>
            <w:vAlign w:val="bottom"/>
          </w:tcPr>
          <w:p>
            <w:pPr>
              <w:jc w:val="right"/>
              <w:ind w:right="244"/>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96"/>
        </w:trPr>
        <w:tc>
          <w:tcPr>
            <w:tcW w:w="728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Mark Coleman, M.D.</w:t>
            </w:r>
          </w:p>
        </w:tc>
        <w:tc>
          <w:tcPr>
            <w:tcW w:w="1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83,606</w:t>
            </w:r>
          </w:p>
        </w:tc>
        <w:tc>
          <w:tcPr>
            <w:tcW w:w="400" w:type="dxa"/>
            <w:vAlign w:val="bottom"/>
            <w:shd w:val="clear" w:color="auto" w:fill="CFF0FC"/>
          </w:tcPr>
          <w:p>
            <w:pPr>
              <w:jc w:val="right"/>
              <w:ind w:right="206"/>
              <w:spacing w:after="0"/>
              <w:rPr>
                <w:sz w:val="20"/>
                <w:szCs w:val="20"/>
                <w:color w:val="auto"/>
              </w:rPr>
            </w:pPr>
            <w:r>
              <w:rPr>
                <w:rFonts w:ascii="Times New Roman" w:cs="Times New Roman" w:eastAsia="Times New Roman" w:hAnsi="Times New Roman"/>
                <w:sz w:val="11"/>
                <w:szCs w:val="11"/>
                <w:color w:val="auto"/>
                <w:w w:val="93"/>
              </w:rPr>
              <w:t>(1)</w:t>
            </w: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324,993</w:t>
            </w:r>
          </w:p>
        </w:tc>
        <w:tc>
          <w:tcPr>
            <w:tcW w:w="500" w:type="dxa"/>
            <w:vAlign w:val="bottom"/>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w w:val="93"/>
              </w:rPr>
              <w:t>(3)(5)</w:t>
            </w:r>
          </w:p>
        </w:tc>
        <w:tc>
          <w:tcPr>
            <w:tcW w:w="200" w:type="dxa"/>
            <w:vAlign w:val="bottom"/>
            <w:tcBorders>
              <w:top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408,599</w:t>
            </w:r>
          </w:p>
        </w:tc>
      </w:tr>
      <w:tr>
        <w:trPr>
          <w:trHeight w:val="203"/>
        </w:trPr>
        <w:tc>
          <w:tcPr>
            <w:tcW w:w="7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Roger Jeffs, Ph.D.</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206"/>
              <w:spacing w:after="0" w:line="203" w:lineRule="exact"/>
              <w:rPr>
                <w:sz w:val="20"/>
                <w:szCs w:val="20"/>
                <w:color w:val="auto"/>
              </w:rPr>
            </w:pPr>
            <w:r>
              <w:rPr>
                <w:rFonts w:ascii="Times New Roman" w:cs="Times New Roman" w:eastAsia="Times New Roman" w:hAnsi="Times New Roman"/>
                <w:sz w:val="16"/>
                <w:szCs w:val="16"/>
                <w:color w:val="auto"/>
              </w:rPr>
              <w:t xml:space="preserve">73,777 </w:t>
            </w:r>
            <w:r>
              <w:rPr>
                <w:rFonts w:ascii="Times New Roman" w:cs="Times New Roman" w:eastAsia="Times New Roman" w:hAnsi="Times New Roman"/>
                <w:sz w:val="21"/>
                <w:szCs w:val="21"/>
                <w:color w:val="auto"/>
                <w:vertAlign w:val="superscript"/>
              </w:rPr>
              <w:t>(1)</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gridSpan w:val="2"/>
          </w:tcPr>
          <w:p>
            <w:pPr>
              <w:jc w:val="right"/>
              <w:ind w:right="186"/>
              <w:spacing w:after="0" w:line="203" w:lineRule="exact"/>
              <w:rPr>
                <w:sz w:val="20"/>
                <w:szCs w:val="20"/>
                <w:color w:val="auto"/>
              </w:rPr>
            </w:pPr>
            <w:r>
              <w:rPr>
                <w:rFonts w:ascii="Times New Roman" w:cs="Times New Roman" w:eastAsia="Times New Roman" w:hAnsi="Times New Roman"/>
                <w:sz w:val="16"/>
                <w:szCs w:val="16"/>
                <w:color w:val="auto"/>
              </w:rPr>
              <w:t xml:space="preserve">324,993 </w:t>
            </w:r>
            <w:r>
              <w:rPr>
                <w:rFonts w:ascii="Times New Roman" w:cs="Times New Roman" w:eastAsia="Times New Roman" w:hAnsi="Times New Roman"/>
                <w:sz w:val="21"/>
                <w:szCs w:val="21"/>
                <w:color w:val="auto"/>
                <w:vertAlign w:val="superscript"/>
              </w:rPr>
              <w:t>(3)(4)</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398,770</w:t>
            </w:r>
          </w:p>
        </w:tc>
      </w:tr>
      <w:tr>
        <w:trPr>
          <w:trHeight w:val="202"/>
        </w:trPr>
        <w:tc>
          <w:tcPr>
            <w:tcW w:w="7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Mark Saad</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FF0FC"/>
          </w:tcPr>
          <w:p>
            <w:pPr>
              <w:jc w:val="right"/>
              <w:ind w:right="206"/>
              <w:spacing w:after="0" w:line="203" w:lineRule="exact"/>
              <w:rPr>
                <w:sz w:val="20"/>
                <w:szCs w:val="20"/>
                <w:color w:val="auto"/>
              </w:rPr>
            </w:pPr>
            <w:r>
              <w:rPr>
                <w:rFonts w:ascii="Times New Roman" w:cs="Times New Roman" w:eastAsia="Times New Roman" w:hAnsi="Times New Roman"/>
                <w:sz w:val="16"/>
                <w:szCs w:val="16"/>
                <w:color w:val="auto"/>
              </w:rPr>
              <w:t xml:space="preserve">71,751 </w:t>
            </w:r>
            <w:r>
              <w:rPr>
                <w:rFonts w:ascii="Times New Roman" w:cs="Times New Roman" w:eastAsia="Times New Roman" w:hAnsi="Times New Roman"/>
                <w:sz w:val="21"/>
                <w:szCs w:val="21"/>
                <w:color w:val="auto"/>
                <w:vertAlign w:val="superscript"/>
              </w:rPr>
              <w:t>(1)</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gridSpan w:val="2"/>
            <w:shd w:val="clear" w:color="auto" w:fill="CFF0FC"/>
          </w:tcPr>
          <w:p>
            <w:pPr>
              <w:jc w:val="right"/>
              <w:ind w:right="186"/>
              <w:spacing w:after="0" w:line="203" w:lineRule="exact"/>
              <w:rPr>
                <w:sz w:val="20"/>
                <w:szCs w:val="20"/>
                <w:color w:val="auto"/>
              </w:rPr>
            </w:pPr>
            <w:r>
              <w:rPr>
                <w:rFonts w:ascii="Times New Roman" w:cs="Times New Roman" w:eastAsia="Times New Roman" w:hAnsi="Times New Roman"/>
                <w:sz w:val="16"/>
                <w:szCs w:val="16"/>
                <w:color w:val="auto"/>
              </w:rPr>
              <w:t xml:space="preserve">324,993 </w:t>
            </w:r>
            <w:r>
              <w:rPr>
                <w:rFonts w:ascii="Times New Roman" w:cs="Times New Roman" w:eastAsia="Times New Roman" w:hAnsi="Times New Roman"/>
                <w:sz w:val="21"/>
                <w:szCs w:val="21"/>
                <w:color w:val="auto"/>
                <w:vertAlign w:val="superscript"/>
              </w:rPr>
              <w:t>(3)(6)</w:t>
            </w:r>
          </w:p>
        </w:tc>
        <w:tc>
          <w:tcPr>
            <w:tcW w:w="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396,744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90309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51" w:lineRule="exact"/>
        <w:rPr>
          <w:sz w:val="20"/>
          <w:szCs w:val="20"/>
          <w:color w:val="auto"/>
        </w:rPr>
      </w:pPr>
    </w:p>
    <w:p>
      <w:pPr>
        <w:ind w:left="380" w:hanging="372"/>
        <w:spacing w:after="0" w:line="238" w:lineRule="auto"/>
        <w:tabs>
          <w:tab w:leader="none" w:pos="380" w:val="left"/>
        </w:tabs>
        <w:numPr>
          <w:ilvl w:val="0"/>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Dr. Coleman, Dr. Jeffs, and Mr. Saad have elected to receive options to purchase our common stock in lieu of the fees earned in cash in 2021. The options have an exercise price equal to the fair market value on the date of the grant. These grants were made in March 2022.</w:t>
      </w:r>
    </w:p>
    <w:p>
      <w:pPr>
        <w:spacing w:after="0" w:line="1" w:lineRule="exact"/>
        <w:rPr>
          <w:rFonts w:ascii="Times New Roman" w:cs="Times New Roman" w:eastAsia="Times New Roman" w:hAnsi="Times New Roman"/>
          <w:sz w:val="13"/>
          <w:szCs w:val="13"/>
          <w:color w:val="auto"/>
        </w:rPr>
      </w:pPr>
    </w:p>
    <w:p>
      <w:pPr>
        <w:jc w:val="both"/>
        <w:ind w:left="380" w:right="20" w:hanging="372"/>
        <w:spacing w:after="0" w:line="231" w:lineRule="auto"/>
        <w:tabs>
          <w:tab w:leader="none" w:pos="380" w:val="left"/>
        </w:tabs>
        <w:numPr>
          <w:ilvl w:val="0"/>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accordance with SEC rules, this column reflects the aggregate grant date fair value of the option awards granted computed in accordance with Financial Accounting Standards Board Accounting Codification Topic 718 for stock-based compensation transactions (ASC 718). Assumptions used in the calculation of these amounts are included in Note 2 to our financial statements. These amounts do not reflect the actual economic value that will be realized by the director upon the vesting of the stock options, the exercise of the stock options, or the sale of the common stock underlying such stock options.</w:t>
      </w:r>
    </w:p>
    <w:p>
      <w:pPr>
        <w:ind w:left="380" w:hanging="372"/>
        <w:spacing w:after="0"/>
        <w:tabs>
          <w:tab w:leader="none" w:pos="380" w:val="left"/>
        </w:tabs>
        <w:numPr>
          <w:ilvl w:val="0"/>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June 2021, Dr. Coleman, Dr. Jeffs, and Mr. Saad received an option grant of 7,325 options for service as a board member, which options vest in full on the one-year anniversary of the date of grant.</w:t>
      </w:r>
    </w:p>
    <w:p>
      <w:pPr>
        <w:ind w:left="380" w:hanging="372"/>
        <w:spacing w:after="0"/>
        <w:tabs>
          <w:tab w:leader="none" w:pos="380" w:val="left"/>
        </w:tabs>
        <w:numPr>
          <w:ilvl w:val="0"/>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aggregate number of option awards held by Dr. Jeffs as of December 31, 2021 is 39,284.</w:t>
      </w:r>
    </w:p>
    <w:p>
      <w:pPr>
        <w:ind w:left="380" w:hanging="372"/>
        <w:spacing w:after="0"/>
        <w:tabs>
          <w:tab w:leader="none" w:pos="380" w:val="left"/>
        </w:tabs>
        <w:numPr>
          <w:ilvl w:val="0"/>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aggregate number of option awards held by Dr. Coleman as of December 31, 2021 is 220,982.</w:t>
      </w:r>
    </w:p>
    <w:p>
      <w:pPr>
        <w:ind w:left="380" w:hanging="372"/>
        <w:spacing w:after="0"/>
        <w:tabs>
          <w:tab w:leader="none" w:pos="380" w:val="left"/>
        </w:tabs>
        <w:numPr>
          <w:ilvl w:val="0"/>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aggregate number of option awards held by Mr. Saad as of December 31, 2021 is 182,064.</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Limitation of Liability and Indemnification Arrangements</w:t>
      </w:r>
    </w:p>
    <w:p>
      <w:pPr>
        <w:spacing w:after="0" w:line="115" w:lineRule="exact"/>
        <w:rPr>
          <w:sz w:val="20"/>
          <w:szCs w:val="20"/>
          <w:color w:val="auto"/>
        </w:rPr>
      </w:pPr>
    </w:p>
    <w:p>
      <w:pPr>
        <w:ind w:right="80" w:firstLine="374"/>
        <w:spacing w:after="0" w:line="263" w:lineRule="auto"/>
        <w:rPr>
          <w:sz w:val="20"/>
          <w:szCs w:val="20"/>
          <w:color w:val="auto"/>
        </w:rPr>
      </w:pPr>
      <w:r>
        <w:rPr>
          <w:rFonts w:ascii="Times New Roman" w:cs="Times New Roman" w:eastAsia="Times New Roman" w:hAnsi="Times New Roman"/>
          <w:sz w:val="16"/>
          <w:szCs w:val="16"/>
          <w:color w:val="auto"/>
        </w:rPr>
        <w:t>As permitted by the DGCL, we have adopted provisions in our amended and restated certificate of incorporation and amended and restated bylaws that limit or eliminate the personal liability of our directors. Consequently, a director will not be personally liable to us or our stockholders for monetary damages for breach of fiduciary duty as a director, except for liability for:</w:t>
      </w:r>
    </w:p>
    <w:p>
      <w:pPr>
        <w:spacing w:after="0" w:line="57" w:lineRule="exact"/>
        <w:rPr>
          <w:sz w:val="20"/>
          <w:szCs w:val="20"/>
          <w:color w:val="auto"/>
        </w:rPr>
      </w:pPr>
    </w:p>
    <w:p>
      <w:pPr>
        <w:ind w:left="760" w:hanging="378"/>
        <w:spacing w:after="0"/>
        <w:tabs>
          <w:tab w:leader="none" w:pos="76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breach of the director’s duty of loyalty to us or our stockholders;</w:t>
      </w:r>
    </w:p>
    <w:p>
      <w:pPr>
        <w:spacing w:after="0" w:line="113"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act or omission not in good faith or that involves intentional misconduct or a knowing violation of law;</w:t>
      </w:r>
    </w:p>
    <w:p>
      <w:pPr>
        <w:spacing w:after="0" w:line="113"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unlawful payments related to dividends or unlawful stock repurchases, redemptions or other distributions; or</w:t>
      </w:r>
    </w:p>
    <w:p>
      <w:pPr>
        <w:spacing w:after="0" w:line="113"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transaction from which the director derived an improper personal benefit.</w:t>
      </w:r>
    </w:p>
    <w:p>
      <w:pPr>
        <w:spacing w:after="0" w:line="113" w:lineRule="exact"/>
        <w:rPr>
          <w:sz w:val="20"/>
          <w:szCs w:val="20"/>
          <w:color w:val="auto"/>
        </w:rPr>
      </w:pPr>
    </w:p>
    <w:p>
      <w:pPr>
        <w:ind w:right="40" w:firstLine="374"/>
        <w:spacing w:after="0" w:line="263" w:lineRule="auto"/>
        <w:rPr>
          <w:sz w:val="20"/>
          <w:szCs w:val="20"/>
          <w:color w:val="auto"/>
        </w:rPr>
      </w:pPr>
      <w:r>
        <w:rPr>
          <w:rFonts w:ascii="Times New Roman" w:cs="Times New Roman" w:eastAsia="Times New Roman" w:hAnsi="Times New Roman"/>
          <w:sz w:val="16"/>
          <w:szCs w:val="16"/>
          <w:color w:val="auto"/>
        </w:rPr>
        <w:t>These limitations of liability do not alter director liability under the federal securities laws and do not affect the availability of equitable remedies such as an injunction or rescission.</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563C1"/>
        </w:rPr>
        <w:t>TABLE OF CONTENTS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In addition, our amended and restated bylaws provide that:</w:t>
      </w:r>
    </w:p>
    <w:p>
      <w:pPr>
        <w:spacing w:after="0" w:line="113" w:lineRule="exact"/>
        <w:rPr>
          <w:sz w:val="20"/>
          <w:szCs w:val="20"/>
          <w:color w:val="auto"/>
        </w:rPr>
      </w:pPr>
    </w:p>
    <w:p>
      <w:pPr>
        <w:ind w:left="760" w:hanging="378"/>
        <w:spacing w:after="0"/>
        <w:tabs>
          <w:tab w:leader="none" w:pos="76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will indemnify our directors, officers and, in the discretion of our board of directors, certain employees to the fullest extent permitted by the DGCL; and</w:t>
      </w:r>
    </w:p>
    <w:p>
      <w:pPr>
        <w:spacing w:after="0" w:line="113" w:lineRule="exact"/>
        <w:rPr>
          <w:rFonts w:ascii="Times New Roman" w:cs="Times New Roman" w:eastAsia="Times New Roman" w:hAnsi="Times New Roman"/>
          <w:sz w:val="16"/>
          <w:szCs w:val="16"/>
          <w:color w:val="auto"/>
        </w:rPr>
      </w:pPr>
    </w:p>
    <w:p>
      <w:pPr>
        <w:ind w:left="760" w:right="100" w:hanging="378"/>
        <w:spacing w:after="0" w:line="280" w:lineRule="auto"/>
        <w:tabs>
          <w:tab w:leader="none" w:pos="76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advance expenses, including attorneys’ fees, to our directors and, in the discretion of our board of directors, to our officers and certain employees, in connection with legal proceedings, subject to limited exceptions.</w:t>
      </w:r>
    </w:p>
    <w:p>
      <w:pPr>
        <w:spacing w:after="0" w:line="57" w:lineRule="exact"/>
        <w:rPr>
          <w:sz w:val="20"/>
          <w:szCs w:val="20"/>
          <w:color w:val="auto"/>
        </w:rPr>
      </w:pPr>
    </w:p>
    <w:p>
      <w:pPr>
        <w:ind w:firstLine="374"/>
        <w:spacing w:after="0" w:line="252" w:lineRule="auto"/>
        <w:rPr>
          <w:sz w:val="20"/>
          <w:szCs w:val="20"/>
          <w:color w:val="auto"/>
        </w:rPr>
      </w:pPr>
      <w:r>
        <w:rPr>
          <w:rFonts w:ascii="Times New Roman" w:cs="Times New Roman" w:eastAsia="Times New Roman" w:hAnsi="Times New Roman"/>
          <w:sz w:val="16"/>
          <w:szCs w:val="16"/>
          <w:color w:val="auto"/>
        </w:rPr>
        <w:t>We also maintain general liability insurance to provide insurance coverage to our directors and officers for losses arising out of claims based on acts or omissions in their capacities as directors or officers, including liabilities under the Securities Act of 1933, as amended, or the Securities Act. Insofar as indemnification for liabilities arising under the Securities Act may be permitted to directors, officers, or persons controlling the registrant pursuant to the foregoing provisions, we have been informed that in the opinion of the SEC such indemnification is against public policy as expressed in the Securities Act and is therefore unenforceable.</w:t>
      </w:r>
    </w:p>
    <w:p>
      <w:pPr>
        <w:spacing w:after="0" w:line="78" w:lineRule="exact"/>
        <w:rPr>
          <w:sz w:val="20"/>
          <w:szCs w:val="20"/>
          <w:color w:val="auto"/>
        </w:rPr>
      </w:pPr>
    </w:p>
    <w:p>
      <w:pPr>
        <w:ind w:right="40" w:firstLine="374"/>
        <w:spacing w:after="0" w:line="250" w:lineRule="auto"/>
        <w:rPr>
          <w:sz w:val="20"/>
          <w:szCs w:val="20"/>
          <w:color w:val="auto"/>
        </w:rPr>
      </w:pPr>
      <w:r>
        <w:rPr>
          <w:rFonts w:ascii="Times New Roman" w:cs="Times New Roman" w:eastAsia="Times New Roman" w:hAnsi="Times New Roman"/>
          <w:sz w:val="16"/>
          <w:szCs w:val="16"/>
          <w:color w:val="auto"/>
        </w:rPr>
        <w:t>These provisions may discourage stockholders from bringing a lawsuit against our directors in the future for any breach of their fiduciary duty. These provisions may also have the effect of reducing the likelihood of derivative litigation against directors and officers, even though such an action, if successful, might otherwise benefit us and our stockholders. Furthermore, a stockholder’s investment may be adversely affected to the extent we pay the costs of settlement and damage awards against directors, officers, and certain employees pursuant to these indemnification provisions. We believe that these provisions and the insurance are necessary to attract and retain talented and experienced directors and officers.</w:t>
      </w:r>
    </w:p>
    <w:p>
      <w:pPr>
        <w:spacing w:after="0" w:line="8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At present, there is no pending litigation or proceeding involving any of our directors, officers or employees in which indemnification will be required or permitted.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are not aware of any threatened litigation or proceeding that might result in a claim for such indemnification.</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Stockholder Communications with the Board of Directors</w:t>
      </w:r>
    </w:p>
    <w:p>
      <w:pPr>
        <w:spacing w:after="0" w:line="115" w:lineRule="exact"/>
        <w:rPr>
          <w:sz w:val="20"/>
          <w:szCs w:val="20"/>
          <w:color w:val="auto"/>
        </w:rPr>
      </w:pPr>
    </w:p>
    <w:p>
      <w:pPr>
        <w:ind w:right="20" w:firstLine="374"/>
        <w:spacing w:after="0" w:line="258" w:lineRule="auto"/>
        <w:rPr>
          <w:sz w:val="20"/>
          <w:szCs w:val="20"/>
          <w:color w:val="auto"/>
        </w:rPr>
      </w:pPr>
      <w:r>
        <w:rPr>
          <w:rFonts w:ascii="Times New Roman" w:cs="Times New Roman" w:eastAsia="Times New Roman" w:hAnsi="Times New Roman"/>
          <w:sz w:val="16"/>
          <w:szCs w:val="16"/>
          <w:color w:val="auto"/>
        </w:rPr>
        <w:t>Stockholders wishing to communicate with the board of directors or with an individual member of the board of directors may do so by writing to the board of directors or to the particular member of the board of directors, care of the Corporate Secretary by mail to our principal executive offices, Attention: Corporate Secretary. The envelope should indicate that it contains a stockholder communication. All such stockholder communications will be forwarded to the director or directors to whom the communications are addressed.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563C1"/>
        </w:rPr>
        <w:t>TABLE OF CONTENTS</w:t>
      </w:r>
    </w:p>
    <w:p>
      <w:pPr>
        <w:spacing w:after="0" w:line="119"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b w:val="1"/>
          <w:bCs w:val="1"/>
          <w:color w:val="auto"/>
        </w:rPr>
        <w:t>EXECUTIVE OFFICERS &amp; KEY PERSONNEL</w:t>
      </w:r>
    </w:p>
    <w:p>
      <w:pPr>
        <w:spacing w:after="0" w:line="11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The following table provides information concerning our executive officers and key personnel as of the Record Date:</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Name</w:t>
            </w:r>
          </w:p>
        </w:tc>
        <w:tc>
          <w:tcPr>
            <w:tcW w:w="120" w:type="dxa"/>
            <w:vAlign w:val="bottom"/>
          </w:tcPr>
          <w:p>
            <w:pPr>
              <w:spacing w:after="0"/>
              <w:rPr>
                <w:sz w:val="15"/>
                <w:szCs w:val="15"/>
                <w:color w:val="auto"/>
              </w:rPr>
            </w:pPr>
          </w:p>
        </w:tc>
        <w:tc>
          <w:tcPr>
            <w:tcW w:w="112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3"/>
                <w:szCs w:val="13"/>
                <w:b w:val="1"/>
                <w:bCs w:val="1"/>
                <w:color w:val="auto"/>
              </w:rPr>
              <w:t>Age</w:t>
            </w:r>
          </w:p>
        </w:tc>
        <w:tc>
          <w:tcPr>
            <w:tcW w:w="100" w:type="dxa"/>
            <w:vAlign w:val="bottom"/>
          </w:tcPr>
          <w:p>
            <w:pPr>
              <w:spacing w:after="0"/>
              <w:rPr>
                <w:sz w:val="15"/>
                <w:szCs w:val="15"/>
                <w:color w:val="auto"/>
              </w:rPr>
            </w:pPr>
          </w:p>
        </w:tc>
        <w:tc>
          <w:tcPr>
            <w:tcW w:w="6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Position</w:t>
            </w:r>
          </w:p>
        </w:tc>
      </w:tr>
      <w:tr>
        <w:trPr>
          <w:trHeight w:val="203"/>
        </w:trPr>
        <w:tc>
          <w:tcPr>
            <w:tcW w:w="3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Executive Officers</w:t>
            </w: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740" w:type="dxa"/>
            <w:vAlign w:val="bottom"/>
            <w:shd w:val="clear" w:color="auto" w:fill="CFF0FC"/>
          </w:tcPr>
          <w:p>
            <w:pPr>
              <w:spacing w:after="0"/>
              <w:rPr>
                <w:sz w:val="17"/>
                <w:szCs w:val="17"/>
                <w:color w:val="auto"/>
              </w:rPr>
            </w:pPr>
          </w:p>
        </w:tc>
      </w:tr>
      <w:tr>
        <w:trPr>
          <w:trHeight w:val="203"/>
        </w:trPr>
        <w:tc>
          <w:tcPr>
            <w:tcW w:w="3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Herriot Tabuteau, M.D.</w:t>
            </w:r>
          </w:p>
        </w:tc>
        <w:tc>
          <w:tcPr>
            <w:tcW w:w="124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tcPr>
          <w:p>
            <w:pPr>
              <w:spacing w:after="0"/>
              <w:rPr>
                <w:sz w:val="17"/>
                <w:szCs w:val="17"/>
                <w:color w:val="auto"/>
              </w:rPr>
            </w:pPr>
          </w:p>
        </w:tc>
        <w:tc>
          <w:tcPr>
            <w:tcW w:w="6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Executive Officer, President, and Chairman of the Board</w:t>
            </w:r>
          </w:p>
        </w:tc>
      </w:tr>
      <w:tr>
        <w:trPr>
          <w:trHeight w:val="203"/>
        </w:trPr>
        <w:tc>
          <w:tcPr>
            <w:tcW w:w="3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Nick Pizzie, C.P.A., M.B.A.</w:t>
            </w:r>
          </w:p>
        </w:tc>
        <w:tc>
          <w:tcPr>
            <w:tcW w:w="1240" w:type="dxa"/>
            <w:vAlign w:val="bottom"/>
            <w:gridSpan w:val="2"/>
            <w:shd w:val="clear" w:color="auto" w:fill="CFF0FC"/>
          </w:tcPr>
          <w:p>
            <w:pPr>
              <w:ind w:left="540"/>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shd w:val="clear" w:color="auto" w:fill="CFF0FC"/>
          </w:tcPr>
          <w:p>
            <w:pPr>
              <w:spacing w:after="0"/>
              <w:rPr>
                <w:sz w:val="17"/>
                <w:szCs w:val="17"/>
                <w:color w:val="auto"/>
              </w:rPr>
            </w:pPr>
          </w:p>
        </w:tc>
        <w:tc>
          <w:tcPr>
            <w:tcW w:w="6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Chief Financial Officer</w:t>
            </w:r>
          </w:p>
        </w:tc>
      </w:tr>
      <w:tr>
        <w:trPr>
          <w:trHeight w:val="203"/>
        </w:trPr>
        <w:tc>
          <w:tcPr>
            <w:tcW w:w="3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Mark Jacobson, M.A.</w:t>
            </w:r>
          </w:p>
        </w:tc>
        <w:tc>
          <w:tcPr>
            <w:tcW w:w="124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Pr>
          <w:p>
            <w:pPr>
              <w:spacing w:after="0"/>
              <w:rPr>
                <w:sz w:val="17"/>
                <w:szCs w:val="17"/>
                <w:color w:val="auto"/>
              </w:rPr>
            </w:pPr>
          </w:p>
        </w:tc>
        <w:tc>
          <w:tcPr>
            <w:tcW w:w="6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Operating Officer</w:t>
            </w:r>
          </w:p>
        </w:tc>
      </w:tr>
      <w:tr>
        <w:trPr>
          <w:trHeight w:val="203"/>
        </w:trPr>
        <w:tc>
          <w:tcPr>
            <w:tcW w:w="3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Key Personnel</w:t>
            </w: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740" w:type="dxa"/>
            <w:vAlign w:val="bottom"/>
            <w:shd w:val="clear" w:color="auto" w:fill="CFF0FC"/>
          </w:tcPr>
          <w:p>
            <w:pPr>
              <w:spacing w:after="0"/>
              <w:rPr>
                <w:sz w:val="17"/>
                <w:szCs w:val="17"/>
                <w:color w:val="auto"/>
              </w:rPr>
            </w:pPr>
          </w:p>
        </w:tc>
      </w:tr>
      <w:tr>
        <w:trPr>
          <w:trHeight w:val="203"/>
        </w:trPr>
        <w:tc>
          <w:tcPr>
            <w:tcW w:w="3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Lori Englebert, M.B.A.</w:t>
            </w:r>
          </w:p>
        </w:tc>
        <w:tc>
          <w:tcPr>
            <w:tcW w:w="124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tcPr>
          <w:p>
            <w:pPr>
              <w:spacing w:after="0"/>
              <w:rPr>
                <w:sz w:val="17"/>
                <w:szCs w:val="17"/>
                <w:color w:val="auto"/>
              </w:rPr>
            </w:pPr>
          </w:p>
        </w:tc>
        <w:tc>
          <w:tcPr>
            <w:tcW w:w="6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Executive Vice President, Commercial and Business Development</w:t>
            </w:r>
          </w:p>
        </w:tc>
      </w:tr>
      <w:tr>
        <w:trPr>
          <w:trHeight w:val="203"/>
        </w:trPr>
        <w:tc>
          <w:tcPr>
            <w:tcW w:w="3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Hunter Murdock, Esq.</w:t>
            </w:r>
          </w:p>
        </w:tc>
        <w:tc>
          <w:tcPr>
            <w:tcW w:w="1240" w:type="dxa"/>
            <w:vAlign w:val="bottom"/>
            <w:gridSpan w:val="2"/>
            <w:shd w:val="clear" w:color="auto" w:fill="CFF0FC"/>
          </w:tcPr>
          <w:p>
            <w:pPr>
              <w:ind w:left="540"/>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shd w:val="clear" w:color="auto" w:fill="CFF0FC"/>
          </w:tcPr>
          <w:p>
            <w:pPr>
              <w:spacing w:after="0"/>
              <w:rPr>
                <w:sz w:val="17"/>
                <w:szCs w:val="17"/>
                <w:color w:val="auto"/>
              </w:rPr>
            </w:pPr>
          </w:p>
        </w:tc>
        <w:tc>
          <w:tcPr>
            <w:tcW w:w="6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Executive Vice President, Legal and Compliance</w:t>
            </w:r>
          </w:p>
        </w:tc>
      </w:tr>
      <w:tr>
        <w:trPr>
          <w:trHeight w:val="210"/>
        </w:trPr>
        <w:tc>
          <w:tcPr>
            <w:tcW w:w="3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Amanda Jones, Pharm.D.</w:t>
            </w:r>
          </w:p>
        </w:tc>
        <w:tc>
          <w:tcPr>
            <w:tcW w:w="124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Pr>
          <w:p>
            <w:pPr>
              <w:spacing w:after="0"/>
              <w:rPr>
                <w:sz w:val="18"/>
                <w:szCs w:val="18"/>
                <w:color w:val="auto"/>
              </w:rPr>
            </w:pPr>
          </w:p>
        </w:tc>
        <w:tc>
          <w:tcPr>
            <w:tcW w:w="6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Vice President, Clinical Development</w:t>
            </w:r>
          </w:p>
        </w:tc>
      </w:tr>
    </w:tbl>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Executive Officers</w:t>
      </w:r>
    </w:p>
    <w:p>
      <w:pPr>
        <w:spacing w:after="0" w:line="11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i w:val="1"/>
          <w:iCs w:val="1"/>
          <w:color w:val="auto"/>
        </w:rPr>
        <w:t xml:space="preserve">Herriot Tabuteau, M.D. </w:t>
      </w:r>
      <w:r>
        <w:rPr>
          <w:rFonts w:ascii="Times New Roman" w:cs="Times New Roman" w:eastAsia="Times New Roman" w:hAnsi="Times New Roman"/>
          <w:sz w:val="16"/>
          <w:szCs w:val="16"/>
          <w:color w:val="auto"/>
        </w:rPr>
        <w:t>Please see Dr. Tabuteau’s biography in this proxy statement under the section entitled “Nominees for Class III Directors for a Term Expiring in</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2024.”</w:t>
      </w:r>
    </w:p>
    <w:p>
      <w:pPr>
        <w:spacing w:after="0" w:line="93" w:lineRule="exact"/>
        <w:rPr>
          <w:sz w:val="20"/>
          <w:szCs w:val="20"/>
          <w:color w:val="auto"/>
        </w:rPr>
      </w:pPr>
    </w:p>
    <w:p>
      <w:pPr>
        <w:ind w:right="160" w:firstLine="374"/>
        <w:spacing w:after="0" w:line="251" w:lineRule="auto"/>
        <w:rPr>
          <w:sz w:val="20"/>
          <w:szCs w:val="20"/>
          <w:color w:val="auto"/>
        </w:rPr>
      </w:pPr>
      <w:r>
        <w:rPr>
          <w:rFonts w:ascii="Times New Roman" w:cs="Times New Roman" w:eastAsia="Times New Roman" w:hAnsi="Times New Roman"/>
          <w:sz w:val="16"/>
          <w:szCs w:val="16"/>
          <w:i w:val="1"/>
          <w:iCs w:val="1"/>
          <w:color w:val="auto"/>
        </w:rPr>
        <w:t xml:space="preserve">Nick Pizzie, C.P.A., M.B.A. </w:t>
      </w:r>
      <w:r>
        <w:rPr>
          <w:rFonts w:ascii="Times New Roman" w:cs="Times New Roman" w:eastAsia="Times New Roman" w:hAnsi="Times New Roman"/>
          <w:sz w:val="16"/>
          <w:szCs w:val="16"/>
          <w:color w:val="auto"/>
        </w:rPr>
        <w:t>Mr. Pizzie has served as our Chief Financial Officer since May 2018. Prior to joining Axsome, from May 2013 to May 2018, Mr. Pizzie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was the Vice President and Chief Financial Officer of Pierre Fabre USA, the U.S. affiliate of Pierre Fabre. Previously, he was Senior Finance Director at Immucor. Prior to Immucor, he held positions of increasing responsibility in finance and accounting at Merck and Pfizer. Mr. Pizzie began his career at Arthur Andersen. He earned his Bachelor of Science in Accounting, Bachelor of Arts in Economics, and Master of Business Administration in Finance, and Supply Chain Logistics, from Rutgers University.</w:t>
      </w:r>
    </w:p>
    <w:p>
      <w:pPr>
        <w:spacing w:after="0" w:line="77" w:lineRule="exact"/>
        <w:rPr>
          <w:sz w:val="20"/>
          <w:szCs w:val="20"/>
          <w:color w:val="auto"/>
        </w:rPr>
      </w:pPr>
    </w:p>
    <w:p>
      <w:pPr>
        <w:ind w:right="100" w:firstLine="374"/>
        <w:spacing w:after="0" w:line="251" w:lineRule="auto"/>
        <w:rPr>
          <w:sz w:val="20"/>
          <w:szCs w:val="20"/>
          <w:color w:val="auto"/>
        </w:rPr>
      </w:pPr>
      <w:r>
        <w:rPr>
          <w:rFonts w:ascii="Times New Roman" w:cs="Times New Roman" w:eastAsia="Times New Roman" w:hAnsi="Times New Roman"/>
          <w:sz w:val="16"/>
          <w:szCs w:val="16"/>
          <w:i w:val="1"/>
          <w:iCs w:val="1"/>
          <w:color w:val="auto"/>
        </w:rPr>
        <w:t xml:space="preserve">Mark Jacobson, M.A. </w:t>
      </w:r>
      <w:r>
        <w:rPr>
          <w:rFonts w:ascii="Times New Roman" w:cs="Times New Roman" w:eastAsia="Times New Roman" w:hAnsi="Times New Roman"/>
          <w:sz w:val="16"/>
          <w:szCs w:val="16"/>
          <w:color w:val="auto"/>
        </w:rPr>
        <w:t>Mr. Jacobson has served as our Chief Operating Officer since March 2020. Prior to serving as our Chief Operating Officer, Mr. Jacobson served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as our Senior Vice President, Operations since September 2017 and has been a member of our company since April 2014. Prior to joining our company, Mr. Jacobson was Director of Corporate Development at Stemline Therapeutics, Inc., where his responsibilities covered corporate operations, investor relations, public relations, and intellectual property. Mr. Jacobson began his career in healthcare communications at Publicis Healthcare Communications Group. Mr. Jacobson earned a Master of Arts in Biotechnology from Columbia University and a Bachelor of Science in Biology from Iowa State University.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Key Personnel</w:t>
      </w:r>
    </w:p>
    <w:p>
      <w:pPr>
        <w:spacing w:after="0" w:line="100" w:lineRule="exact"/>
        <w:rPr>
          <w:sz w:val="20"/>
          <w:szCs w:val="20"/>
          <w:color w:val="auto"/>
        </w:rPr>
      </w:pPr>
    </w:p>
    <w:p>
      <w:pPr>
        <w:ind w:right="100" w:firstLine="374"/>
        <w:spacing w:after="0" w:line="258" w:lineRule="auto"/>
        <w:rPr>
          <w:sz w:val="20"/>
          <w:szCs w:val="20"/>
          <w:color w:val="auto"/>
        </w:rPr>
      </w:pPr>
      <w:r>
        <w:rPr>
          <w:rFonts w:ascii="Times New Roman" w:cs="Times New Roman" w:eastAsia="Times New Roman" w:hAnsi="Times New Roman"/>
          <w:sz w:val="16"/>
          <w:szCs w:val="16"/>
          <w:i w:val="1"/>
          <w:iCs w:val="1"/>
          <w:color w:val="auto"/>
        </w:rPr>
        <w:t xml:space="preserve">Lori Englebert, M.B.A. </w:t>
      </w:r>
      <w:r>
        <w:rPr>
          <w:rFonts w:ascii="Times New Roman" w:cs="Times New Roman" w:eastAsia="Times New Roman" w:hAnsi="Times New Roman"/>
          <w:sz w:val="16"/>
          <w:szCs w:val="16"/>
          <w:color w:val="auto"/>
        </w:rPr>
        <w:t>Ms. Englebert has served as our Executive Vice President, Commercial and Business Development since March 2022 and has been a member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of our management team since September 2019. Prior to joining us, Ms. Englebert spent 11 years at Amgen where she held leadership positions in commercial, corporate strategy, and business development, including responsibility for multiple commercial product launches. Prior to Amgen, Ms. Englebert started her career at Novartis where she held positions of increasing responsibility in corporate strategy. She earned her Bachelor of Arts and Master of Business Administration from Wake Forest University.</w:t>
      </w:r>
    </w:p>
    <w:p>
      <w:pPr>
        <w:spacing w:after="0" w:line="73" w:lineRule="exact"/>
        <w:rPr>
          <w:sz w:val="20"/>
          <w:szCs w:val="20"/>
          <w:color w:val="auto"/>
        </w:rPr>
      </w:pPr>
    </w:p>
    <w:p>
      <w:pPr>
        <w:ind w:right="100" w:firstLine="374"/>
        <w:spacing w:after="0" w:line="253" w:lineRule="auto"/>
        <w:rPr>
          <w:sz w:val="20"/>
          <w:szCs w:val="20"/>
          <w:color w:val="auto"/>
        </w:rPr>
      </w:pPr>
      <w:r>
        <w:rPr>
          <w:rFonts w:ascii="Times New Roman" w:cs="Times New Roman" w:eastAsia="Times New Roman" w:hAnsi="Times New Roman"/>
          <w:sz w:val="16"/>
          <w:szCs w:val="16"/>
          <w:i w:val="1"/>
          <w:iCs w:val="1"/>
          <w:color w:val="auto"/>
        </w:rPr>
        <w:t xml:space="preserve">Hunter Murdock, Esq. </w:t>
      </w:r>
      <w:r>
        <w:rPr>
          <w:rFonts w:ascii="Times New Roman" w:cs="Times New Roman" w:eastAsia="Times New Roman" w:hAnsi="Times New Roman"/>
          <w:sz w:val="16"/>
          <w:szCs w:val="16"/>
          <w:color w:val="auto"/>
        </w:rPr>
        <w:t>Mr. Murdock has served as our Executive Vice President, Legal and Compliance since December 2021. Mr. Murdock started his legal career in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private practice as an associate at White &amp; Case LLP and subsequently was an associate and then partner of Kirkland &amp; Ellis LLP. Mr. Murdock then served in various in-house counsel leadership positions of progressive responsibility within the pharmaceutical industry, most recently as the Vice President, General Counsel of Aurobindo Pharma USA, Inc. and Acrotech Biopharma LLC. He earned his BBA from the University of Wisconsin-Madison and JD from Georgetown University Law Center.</w:t>
      </w:r>
    </w:p>
    <w:p>
      <w:pPr>
        <w:spacing w:after="0" w:line="75" w:lineRule="exact"/>
        <w:rPr>
          <w:sz w:val="20"/>
          <w:szCs w:val="20"/>
          <w:color w:val="auto"/>
        </w:rPr>
      </w:pPr>
    </w:p>
    <w:p>
      <w:pPr>
        <w:ind w:right="20" w:firstLine="374"/>
        <w:spacing w:after="0" w:line="253" w:lineRule="auto"/>
        <w:rPr>
          <w:sz w:val="20"/>
          <w:szCs w:val="20"/>
          <w:color w:val="auto"/>
        </w:rPr>
      </w:pPr>
      <w:r>
        <w:rPr>
          <w:rFonts w:ascii="Times New Roman" w:cs="Times New Roman" w:eastAsia="Times New Roman" w:hAnsi="Times New Roman"/>
          <w:sz w:val="16"/>
          <w:szCs w:val="16"/>
          <w:i w:val="1"/>
          <w:iCs w:val="1"/>
          <w:color w:val="auto"/>
        </w:rPr>
        <w:t xml:space="preserve">Amanda Jones, Pharm.D. </w:t>
      </w:r>
      <w:r>
        <w:rPr>
          <w:rFonts w:ascii="Times New Roman" w:cs="Times New Roman" w:eastAsia="Times New Roman" w:hAnsi="Times New Roman"/>
          <w:sz w:val="16"/>
          <w:szCs w:val="16"/>
          <w:color w:val="auto"/>
        </w:rPr>
        <w:t>Dr. Jones has served as our Senior Vice President, Clinical Development since March 2020 and has been a member of our management team</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since June 2015. Prior to joining us, Dr. Jones had varying roles of increasing responsibility in clinical research &amp; development at Salix Pharmaceuticals and United Therapeutics. Dr. Jones earned her Doctor of Pharmacy degree and completed a post-doctoral fellowship in clinical research and drug development at the University of North Carolina Eshelman School of Pharmacy. She earned her Bachelor of Science in Biochemistry from Florida State University.</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563C1"/>
        </w:rPr>
        <w:t>TABLE OF CONTENTS</w:t>
      </w:r>
    </w:p>
    <w:p>
      <w:pPr>
        <w:spacing w:after="0" w:line="1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COMPENSATION DISCUSSION AND ANALYSIS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Overview of Executive Compensation Program</w:t>
      </w:r>
    </w:p>
    <w:p>
      <w:pPr>
        <w:spacing w:after="0" w:line="115" w:lineRule="exact"/>
        <w:rPr>
          <w:sz w:val="20"/>
          <w:szCs w:val="20"/>
          <w:color w:val="auto"/>
        </w:rPr>
      </w:pPr>
    </w:p>
    <w:p>
      <w:pPr>
        <w:ind w:right="880" w:firstLine="374"/>
        <w:spacing w:after="0" w:line="280" w:lineRule="auto"/>
        <w:rPr>
          <w:sz w:val="20"/>
          <w:szCs w:val="20"/>
          <w:color w:val="auto"/>
        </w:rPr>
      </w:pPr>
      <w:r>
        <w:rPr>
          <w:rFonts w:ascii="Times New Roman" w:cs="Times New Roman" w:eastAsia="Times New Roman" w:hAnsi="Times New Roman"/>
          <w:sz w:val="16"/>
          <w:szCs w:val="16"/>
          <w:color w:val="auto"/>
        </w:rPr>
        <w:t>This section explains the objectives of our named executive officer (“NEO”) compensation program, the compensation decisions we made with respect to compensation for our fiscal year ended December 31, 2021, and the factors we considered in making those decisions. The NEOs for fiscal year 2021 include:</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Name</w:t>
            </w:r>
          </w:p>
        </w:tc>
        <w:tc>
          <w:tcPr>
            <w:tcW w:w="140" w:type="dxa"/>
            <w:vAlign w:val="bottom"/>
          </w:tcPr>
          <w:p>
            <w:pPr>
              <w:spacing w:after="0"/>
              <w:rPr>
                <w:sz w:val="15"/>
                <w:szCs w:val="15"/>
                <w:color w:val="auto"/>
              </w:rPr>
            </w:pPr>
          </w:p>
        </w:tc>
        <w:tc>
          <w:tcPr>
            <w:tcW w:w="5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Position</w:t>
            </w:r>
          </w:p>
        </w:tc>
      </w:tr>
      <w:tr>
        <w:trPr>
          <w:trHeight w:val="203"/>
        </w:trPr>
        <w:tc>
          <w:tcPr>
            <w:tcW w:w="5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Herriot Tabuteau, M.D.</w:t>
            </w:r>
          </w:p>
        </w:tc>
        <w:tc>
          <w:tcPr>
            <w:tcW w:w="140" w:type="dxa"/>
            <w:vAlign w:val="bottom"/>
            <w:shd w:val="clear" w:color="auto" w:fill="CFF0FC"/>
          </w:tcPr>
          <w:p>
            <w:pPr>
              <w:spacing w:after="0"/>
              <w:rPr>
                <w:sz w:val="17"/>
                <w:szCs w:val="17"/>
                <w:color w:val="auto"/>
              </w:rPr>
            </w:pPr>
          </w:p>
        </w:tc>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Chief Executive Officer, President and Chairman of the Board</w:t>
            </w:r>
          </w:p>
        </w:tc>
      </w:tr>
      <w:tr>
        <w:trPr>
          <w:trHeight w:val="203"/>
        </w:trPr>
        <w:tc>
          <w:tcPr>
            <w:tcW w:w="5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Nick Pizzie, C.P.A., M.B.A.</w:t>
            </w:r>
          </w:p>
        </w:tc>
        <w:tc>
          <w:tcPr>
            <w:tcW w:w="140" w:type="dxa"/>
            <w:vAlign w:val="bottom"/>
          </w:tcPr>
          <w:p>
            <w:pPr>
              <w:spacing w:after="0"/>
              <w:rPr>
                <w:sz w:val="17"/>
                <w:szCs w:val="17"/>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6"/>
                <w:szCs w:val="16"/>
                <w:color w:val="auto"/>
              </w:rPr>
              <w:t>Chief Financial Officer</w:t>
            </w:r>
          </w:p>
        </w:tc>
      </w:tr>
      <w:tr>
        <w:trPr>
          <w:trHeight w:val="203"/>
        </w:trPr>
        <w:tc>
          <w:tcPr>
            <w:tcW w:w="5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Mark Jacobson, M.A.</w:t>
            </w:r>
          </w:p>
        </w:tc>
        <w:tc>
          <w:tcPr>
            <w:tcW w:w="140" w:type="dxa"/>
            <w:vAlign w:val="bottom"/>
            <w:shd w:val="clear" w:color="auto" w:fill="CFF0FC"/>
          </w:tcPr>
          <w:p>
            <w:pPr>
              <w:spacing w:after="0"/>
              <w:rPr>
                <w:sz w:val="17"/>
                <w:szCs w:val="17"/>
                <w:color w:val="auto"/>
              </w:rPr>
            </w:pPr>
          </w:p>
        </w:tc>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Chief Operating Officer</w:t>
            </w:r>
          </w:p>
        </w:tc>
      </w:tr>
    </w:tbl>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Executive Summary</w:t>
      </w:r>
    </w:p>
    <w:p>
      <w:pPr>
        <w:spacing w:after="0" w:line="115" w:lineRule="exact"/>
        <w:rPr>
          <w:sz w:val="20"/>
          <w:szCs w:val="20"/>
          <w:color w:val="auto"/>
        </w:rPr>
      </w:pPr>
    </w:p>
    <w:p>
      <w:pPr>
        <w:ind w:right="220" w:firstLine="374"/>
        <w:spacing w:after="0" w:line="263" w:lineRule="auto"/>
        <w:rPr>
          <w:sz w:val="20"/>
          <w:szCs w:val="20"/>
          <w:color w:val="auto"/>
        </w:rPr>
      </w:pPr>
      <w:r>
        <w:rPr>
          <w:rFonts w:ascii="Times New Roman" w:cs="Times New Roman" w:eastAsia="Times New Roman" w:hAnsi="Times New Roman"/>
          <w:sz w:val="16"/>
          <w:szCs w:val="16"/>
          <w:color w:val="auto"/>
        </w:rPr>
        <w:t>We are a biopharmaceutical company developing novel therapies for the management of central nervous system, or CNS, disorders for which there are limited treatment options. By focusing on this therapeutic area, we are addressing significant and growing markets where current treatment options are limited or inadequate. Our core CNS portfolio includes four CNS product candidates, AXS-05, AXS-07, AXS-12, and AXS-14 which are being developed for multiple indications.</w:t>
      </w:r>
    </w:p>
    <w:p>
      <w:pPr>
        <w:spacing w:after="0" w:line="57" w:lineRule="exact"/>
        <w:rPr>
          <w:sz w:val="20"/>
          <w:szCs w:val="20"/>
          <w:color w:val="auto"/>
        </w:rPr>
      </w:pPr>
    </w:p>
    <w:p>
      <w:pPr>
        <w:ind w:right="20" w:firstLine="374"/>
        <w:spacing w:after="0" w:line="248" w:lineRule="auto"/>
        <w:rPr>
          <w:sz w:val="20"/>
          <w:szCs w:val="20"/>
          <w:color w:val="auto"/>
        </w:rPr>
      </w:pPr>
      <w:r>
        <w:rPr>
          <w:rFonts w:ascii="Times New Roman" w:cs="Times New Roman" w:eastAsia="Times New Roman" w:hAnsi="Times New Roman"/>
          <w:sz w:val="16"/>
          <w:szCs w:val="16"/>
          <w:color w:val="auto"/>
        </w:rPr>
        <w:t>AXS-05 is being developed for the treatment of major depressive disorder, or MDD, for which a New Drug Application, or NDA, has been submitted and accepted for filing by the U.S. Food and Drug Administration, or the FDA. The FDA had set a Prescription Drug User Fee Act, or PDUFA, target action date for the AXS-05 NDA of August 22, 2021, which was not completed on such date and therefore the review of the application is ongoing. AXS-05 is also under development for the treatment of Alzheimer's disease agitation, or AD agitation. AXS-05 is also being developed for smoking cessation. AXS-07 is being developed for the acute treatment of migraine, for which an NDA has been submitted and accepted for filing by the FDA. The FDA has set a PDUFA target action date for the AXS-07 NDA of April 30, 2022. AXS-12 is being developed for the treatment of narcolepsy. AXS-14 is being developed for the treatment of fibromyalgia. Additionally, we are currently evaluating other product candidates, which we intend to develop for CNS disorders. We aim to become a fully integrated biopharmaceutical company that develops and commercializes differentiated therapies that increase available treatment options and improve the lives of patients living with CNS disorders.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214630</wp:posOffset>
            </wp:positionV>
            <wp:extent cx="5349240" cy="44488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349240" cy="4448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563C1"/>
        </w:rPr>
        <w:t>TABLE OF CONTENTS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Compensation Policies and Practices at a Glance</w:t>
      </w:r>
    </w:p>
    <w:p>
      <w:pPr>
        <w:spacing w:after="0" w:line="11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In executing our compensation program and determining executive compensation, we are guided by our executive compensation best practices:</w:t>
      </w:r>
    </w:p>
    <w:p>
      <w:pPr>
        <w:sectPr>
          <w:pgSz w:w="11900" w:h="16838" w:orient="portrait"/>
          <w:cols w:equalWidth="0" w:num="1">
            <w:col w:w="11200"/>
          </w:cols>
          <w:pgMar w:left="320" w:top="114" w:right="379" w:bottom="1440" w:gutter="0" w:footer="0" w:header="0"/>
        </w:sectPr>
      </w:pPr>
    </w:p>
    <w:p>
      <w:pPr>
        <w:spacing w:after="0" w:line="2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What we do</w:t>
      </w:r>
    </w:p>
    <w:p>
      <w:pPr>
        <w:spacing w:after="0" w:line="34" w:lineRule="exact"/>
        <w:rPr>
          <w:sz w:val="20"/>
          <w:szCs w:val="20"/>
          <w:color w:val="auto"/>
        </w:rPr>
      </w:pPr>
    </w:p>
    <w:p>
      <w:pPr>
        <w:ind w:left="380" w:right="280" w:hanging="359"/>
        <w:spacing w:after="0" w:line="238" w:lineRule="auto"/>
        <w:tabs>
          <w:tab w:leader="none" w:pos="380" w:val="left"/>
        </w:tabs>
        <w:numPr>
          <w:ilvl w:val="0"/>
          <w:numId w:val="4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Practice pay-for-performance, under which a significant percentage of our NEO compensation is at-risk and may not be realized if corporate and individual performance goals are not achieved</w:t>
      </w:r>
    </w:p>
    <w:p>
      <w:pPr>
        <w:ind w:left="380" w:hanging="359"/>
        <w:spacing w:after="0"/>
        <w:tabs>
          <w:tab w:leader="none" w:pos="380" w:val="left"/>
        </w:tabs>
        <w:numPr>
          <w:ilvl w:val="0"/>
          <w:numId w:val="4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Set challenging incentive plan goals</w:t>
      </w:r>
    </w:p>
    <w:p>
      <w:pPr>
        <w:spacing w:after="0" w:line="172" w:lineRule="exact"/>
        <w:rPr>
          <w:rFonts w:ascii="MS PGothic" w:cs="MS PGothic" w:eastAsia="MS PGothic" w:hAnsi="MS PGothic"/>
          <w:sz w:val="16"/>
          <w:szCs w:val="16"/>
          <w:color w:val="auto"/>
        </w:rPr>
      </w:pPr>
    </w:p>
    <w:p>
      <w:pPr>
        <w:ind w:left="380" w:right="220" w:hanging="359"/>
        <w:spacing w:after="0" w:line="242" w:lineRule="auto"/>
        <w:tabs>
          <w:tab w:leader="none" w:pos="380" w:val="left"/>
        </w:tabs>
        <w:numPr>
          <w:ilvl w:val="0"/>
          <w:numId w:val="4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Review our peer group annually and engage in annual benchmarking to align our executive compensation program with the market</w:t>
      </w:r>
    </w:p>
    <w:p>
      <w:pPr>
        <w:spacing w:after="0" w:line="1" w:lineRule="exact"/>
        <w:rPr>
          <w:rFonts w:ascii="MS PGothic" w:cs="MS PGothic" w:eastAsia="MS PGothic" w:hAnsi="MS PGothic"/>
          <w:sz w:val="16"/>
          <w:szCs w:val="16"/>
          <w:color w:val="auto"/>
        </w:rPr>
      </w:pPr>
    </w:p>
    <w:p>
      <w:pPr>
        <w:ind w:left="380" w:right="100" w:hanging="359"/>
        <w:spacing w:after="0" w:line="237" w:lineRule="auto"/>
        <w:tabs>
          <w:tab w:leader="none" w:pos="380" w:val="left"/>
        </w:tabs>
        <w:numPr>
          <w:ilvl w:val="0"/>
          <w:numId w:val="4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Offer market-competitive benefits for NEOs that are consistent with the rest of our employees</w:t>
      </w:r>
    </w:p>
    <w:p>
      <w:pPr>
        <w:spacing w:after="0" w:line="1" w:lineRule="exact"/>
        <w:rPr>
          <w:rFonts w:ascii="MS PGothic" w:cs="MS PGothic" w:eastAsia="MS PGothic" w:hAnsi="MS PGothic"/>
          <w:sz w:val="16"/>
          <w:szCs w:val="16"/>
          <w:color w:val="auto"/>
        </w:rPr>
      </w:pPr>
    </w:p>
    <w:p>
      <w:pPr>
        <w:ind w:left="380" w:hanging="359"/>
        <w:spacing w:after="0" w:line="237" w:lineRule="auto"/>
        <w:tabs>
          <w:tab w:leader="none" w:pos="380" w:val="left"/>
        </w:tabs>
        <w:numPr>
          <w:ilvl w:val="0"/>
          <w:numId w:val="4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Having a pre-established grant date practice for approving executive officer’s equity pay</w:t>
      </w:r>
    </w:p>
    <w:p>
      <w:pPr>
        <w:spacing w:after="0" w:line="1" w:lineRule="exact"/>
        <w:rPr>
          <w:rFonts w:ascii="MS PGothic" w:cs="MS PGothic" w:eastAsia="MS PGothic" w:hAnsi="MS PGothic"/>
          <w:sz w:val="16"/>
          <w:szCs w:val="16"/>
          <w:color w:val="auto"/>
        </w:rPr>
      </w:pPr>
    </w:p>
    <w:p>
      <w:pPr>
        <w:ind w:left="380" w:hanging="359"/>
        <w:spacing w:after="0"/>
        <w:tabs>
          <w:tab w:leader="none" w:pos="380" w:val="left"/>
        </w:tabs>
        <w:numPr>
          <w:ilvl w:val="0"/>
          <w:numId w:val="4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Maintain an independent Compensation Committee</w:t>
      </w:r>
    </w:p>
    <w:p>
      <w:pPr>
        <w:spacing w:after="0" w:line="28" w:lineRule="exact"/>
        <w:rPr>
          <w:rFonts w:ascii="MS PGothic" w:cs="MS PGothic" w:eastAsia="MS PGothic" w:hAnsi="MS PGothic"/>
          <w:sz w:val="16"/>
          <w:szCs w:val="16"/>
          <w:color w:val="auto"/>
        </w:rPr>
      </w:pPr>
    </w:p>
    <w:p>
      <w:pPr>
        <w:ind w:left="380" w:right="320" w:hanging="359"/>
        <w:spacing w:after="0" w:line="231" w:lineRule="auto"/>
        <w:tabs>
          <w:tab w:leader="none" w:pos="380" w:val="left"/>
        </w:tabs>
        <w:numPr>
          <w:ilvl w:val="0"/>
          <w:numId w:val="4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Consult with an independent compensation advisor on compensation levels and practices</w:t>
      </w:r>
    </w:p>
    <w:p>
      <w:pPr>
        <w:ind w:left="380" w:hanging="359"/>
        <w:spacing w:after="0"/>
        <w:tabs>
          <w:tab w:leader="none" w:pos="380" w:val="left"/>
        </w:tabs>
        <w:numPr>
          <w:ilvl w:val="0"/>
          <w:numId w:val="4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Maintain clawback and forfeiture provisions on our incentive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-1749425</wp:posOffset>
            </wp:positionV>
            <wp:extent cx="378904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789045" cy="8255"/>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Compensation Objectives and Philosophy</w:t>
      </w:r>
    </w:p>
    <w:p>
      <w:pPr>
        <w:spacing w:after="0" w:line="1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Our NEO compensation program is designed principally to:</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What we don’t do</w:t>
      </w:r>
    </w:p>
    <w:p>
      <w:pPr>
        <w:spacing w:after="0" w:line="34" w:lineRule="exact"/>
        <w:rPr>
          <w:sz w:val="20"/>
          <w:szCs w:val="20"/>
          <w:color w:val="auto"/>
        </w:rPr>
      </w:pPr>
    </w:p>
    <w:p>
      <w:pPr>
        <w:ind w:left="324" w:hanging="324"/>
        <w:spacing w:after="0"/>
        <w:tabs>
          <w:tab w:leader="none" w:pos="324"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Executives are prohibited from hedging or pledging our stock</w:t>
      </w:r>
    </w:p>
    <w:p>
      <w:pPr>
        <w:spacing w:after="0" w:line="356" w:lineRule="exact"/>
        <w:rPr>
          <w:rFonts w:ascii="Times New Roman" w:cs="Times New Roman" w:eastAsia="Times New Roman" w:hAnsi="Times New Roman"/>
          <w:sz w:val="16"/>
          <w:szCs w:val="16"/>
          <w:color w:val="auto"/>
        </w:rPr>
      </w:pPr>
    </w:p>
    <w:p>
      <w:pPr>
        <w:ind w:left="324" w:right="320" w:hanging="324"/>
        <w:spacing w:after="0" w:line="242" w:lineRule="auto"/>
        <w:tabs>
          <w:tab w:leader="none" w:pos="324"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Compensation Committee’s independent consultant performs no other work for the Company</w:t>
      </w:r>
    </w:p>
    <w:p>
      <w:pPr>
        <w:spacing w:after="0" w:line="1" w:lineRule="exact"/>
        <w:rPr>
          <w:rFonts w:ascii="Times New Roman" w:cs="Times New Roman" w:eastAsia="Times New Roman" w:hAnsi="Times New Roman"/>
          <w:sz w:val="16"/>
          <w:szCs w:val="16"/>
          <w:color w:val="auto"/>
        </w:rPr>
      </w:pPr>
    </w:p>
    <w:p>
      <w:pPr>
        <w:ind w:left="324" w:hanging="324"/>
        <w:spacing w:after="0"/>
        <w:tabs>
          <w:tab w:leader="none" w:pos="324"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guaranteed annual bonuses or guaranteed salary increases</w:t>
      </w:r>
    </w:p>
    <w:p>
      <w:pPr>
        <w:spacing w:after="0" w:line="172" w:lineRule="exact"/>
        <w:rPr>
          <w:rFonts w:ascii="Times New Roman" w:cs="Times New Roman" w:eastAsia="Times New Roman" w:hAnsi="Times New Roman"/>
          <w:sz w:val="16"/>
          <w:szCs w:val="16"/>
          <w:color w:val="auto"/>
        </w:rPr>
      </w:pPr>
    </w:p>
    <w:p>
      <w:pPr>
        <w:ind w:left="324" w:right="200" w:hanging="324"/>
        <w:spacing w:after="0" w:line="242" w:lineRule="auto"/>
        <w:tabs>
          <w:tab w:leader="none" w:pos="324"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severance benefits can be triggered automatically upon a change in control (i.e. all change in control provisions are “double trigger”)</w:t>
      </w:r>
    </w:p>
    <w:p>
      <w:pPr>
        <w:spacing w:after="0" w:line="1" w:lineRule="exact"/>
        <w:rPr>
          <w:rFonts w:ascii="Times New Roman" w:cs="Times New Roman" w:eastAsia="Times New Roman" w:hAnsi="Times New Roman"/>
          <w:sz w:val="16"/>
          <w:szCs w:val="16"/>
          <w:color w:val="auto"/>
        </w:rPr>
      </w:pPr>
    </w:p>
    <w:p>
      <w:pPr>
        <w:ind w:left="324" w:hanging="324"/>
        <w:spacing w:after="0"/>
        <w:tabs>
          <w:tab w:leader="none" w:pos="324"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excise tax gross-ups for any change-in-control payments</w:t>
      </w:r>
    </w:p>
    <w:p>
      <w:pPr>
        <w:spacing w:after="0" w:line="172" w:lineRule="exact"/>
        <w:rPr>
          <w:rFonts w:ascii="Times New Roman" w:cs="Times New Roman" w:eastAsia="Times New Roman" w:hAnsi="Times New Roman"/>
          <w:sz w:val="16"/>
          <w:szCs w:val="16"/>
          <w:color w:val="auto"/>
        </w:rPr>
      </w:pPr>
    </w:p>
    <w:p>
      <w:pPr>
        <w:ind w:left="324" w:hanging="324"/>
        <w:spacing w:after="0"/>
        <w:tabs>
          <w:tab w:leader="none" w:pos="324"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Repricing of stock options is prohibited without shareholder approval</w:t>
      </w:r>
    </w:p>
    <w:p>
      <w:pPr>
        <w:spacing w:after="0" w:line="26" w:lineRule="exact"/>
        <w:rPr>
          <w:rFonts w:ascii="Times New Roman" w:cs="Times New Roman" w:eastAsia="Times New Roman" w:hAnsi="Times New Roman"/>
          <w:sz w:val="16"/>
          <w:szCs w:val="16"/>
          <w:color w:val="auto"/>
        </w:rPr>
      </w:pPr>
    </w:p>
    <w:p>
      <w:pPr>
        <w:ind w:left="324" w:right="260" w:hanging="324"/>
        <w:spacing w:after="0" w:line="237" w:lineRule="auto"/>
        <w:tabs>
          <w:tab w:leader="none" w:pos="324"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excessive personal perquisites, such as automobile leases, country club memberships or personal use of aircraft</w:t>
      </w:r>
    </w:p>
    <w:p>
      <w:pPr>
        <w:spacing w:after="0" w:line="1" w:lineRule="exact"/>
        <w:rPr>
          <w:rFonts w:ascii="Times New Roman" w:cs="Times New Roman" w:eastAsia="Times New Roman" w:hAnsi="Times New Roman"/>
          <w:sz w:val="16"/>
          <w:szCs w:val="16"/>
          <w:color w:val="auto"/>
        </w:rPr>
      </w:pPr>
    </w:p>
    <w:p>
      <w:pPr>
        <w:ind w:left="324" w:hanging="324"/>
        <w:spacing w:after="0"/>
        <w:tabs>
          <w:tab w:leader="none" w:pos="324"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supplemental executive retirement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-1749425</wp:posOffset>
            </wp:positionV>
            <wp:extent cx="31972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766" w:lineRule="exact"/>
        <w:rPr>
          <w:sz w:val="20"/>
          <w:szCs w:val="20"/>
          <w:color w:val="auto"/>
        </w:rPr>
      </w:pPr>
    </w:p>
    <w:p>
      <w:pPr>
        <w:sectPr>
          <w:pgSz w:w="11900" w:h="16838" w:orient="portrait"/>
          <w:cols w:equalWidth="0" w:num="2">
            <w:col w:w="5840" w:space="256"/>
            <w:col w:w="5104"/>
          </w:cols>
          <w:pgMar w:left="320" w:top="114" w:right="379" w:bottom="1440" w:gutter="0" w:footer="0" w:header="0"/>
          <w:type w:val="continuous"/>
        </w:sectPr>
      </w:pPr>
    </w:p>
    <w:p>
      <w:pPr>
        <w:ind w:left="1020" w:hanging="503"/>
        <w:spacing w:after="0"/>
        <w:tabs>
          <w:tab w:leader="none" w:pos="102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attract, motivate, and retain talented and dedicated NEOs;</w:t>
      </w:r>
    </w:p>
    <w:p>
      <w:pPr>
        <w:spacing w:after="0" w:line="113"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correlate annual cash bonuses to the achievement of operational and financial objectives; and</w:t>
      </w:r>
    </w:p>
    <w:p>
      <w:pPr>
        <w:spacing w:after="0" w:line="113" w:lineRule="exact"/>
        <w:rPr>
          <w:rFonts w:ascii="Times New Roman" w:cs="Times New Roman" w:eastAsia="Times New Roman" w:hAnsi="Times New Roman"/>
          <w:sz w:val="16"/>
          <w:szCs w:val="16"/>
          <w:color w:val="auto"/>
        </w:rPr>
      </w:pPr>
    </w:p>
    <w:p>
      <w:pPr>
        <w:ind w:left="1020" w:right="440" w:hanging="503"/>
        <w:spacing w:after="0" w:line="280" w:lineRule="auto"/>
        <w:tabs>
          <w:tab w:leader="none" w:pos="102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 our NEOs with appropriate long-term incentives that directly correlate to the enhancement of stockholder value, as well as facilitate executive retention.</w:t>
      </w:r>
    </w:p>
    <w:p>
      <w:pPr>
        <w:spacing w:after="0" w:line="43" w:lineRule="exact"/>
        <w:rPr>
          <w:sz w:val="20"/>
          <w:szCs w:val="20"/>
          <w:color w:val="auto"/>
        </w:rPr>
      </w:pPr>
    </w:p>
    <w:p>
      <w:pPr>
        <w:ind w:firstLine="374"/>
        <w:spacing w:after="0" w:line="255" w:lineRule="auto"/>
        <w:rPr>
          <w:sz w:val="20"/>
          <w:szCs w:val="20"/>
          <w:color w:val="auto"/>
        </w:rPr>
      </w:pPr>
      <w:r>
        <w:rPr>
          <w:rFonts w:ascii="Times New Roman" w:cs="Times New Roman" w:eastAsia="Times New Roman" w:hAnsi="Times New Roman"/>
          <w:sz w:val="16"/>
          <w:szCs w:val="16"/>
          <w:color w:val="auto"/>
        </w:rPr>
        <w:t>To achieve these objectives, we establish (i) annual base salaries at levels that we believe are competitive with base salaries of executive officers in other comparable publicly-held biopharmaceutical companies, (ii) year-end annual cash bonuses based in part on the achievement of key operational and financial goals, and (iii) grant annual equity awards as a retention tool and to align the NEOs’ long-term interests with those of our stockholders. Our Compensation Committee does not have any formal policies for allocating compensation among the foregoing three components. Rather, our Compensation Committee uses its judgment to determine the appropriate level and mix of compensation on an annual basis with the goal to balance current cash compensation with equity awards to reward both short-term and long-term performance.</w:t>
      </w:r>
    </w:p>
    <w:p>
      <w:pPr>
        <w:spacing w:after="0" w:line="1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563C1"/>
        </w:rPr>
        <w:t>TABLE OF CONTENTS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Roles and Responsibilities</w:t>
      </w:r>
    </w:p>
    <w:p>
      <w:pPr>
        <w:spacing w:after="0" w:line="115" w:lineRule="exact"/>
        <w:rPr>
          <w:sz w:val="20"/>
          <w:szCs w:val="20"/>
          <w:color w:val="auto"/>
        </w:rPr>
      </w:pPr>
    </w:p>
    <w:p>
      <w:pPr>
        <w:jc w:val="both"/>
        <w:ind w:right="200" w:firstLine="374"/>
        <w:spacing w:after="0" w:line="263" w:lineRule="auto"/>
        <w:rPr>
          <w:sz w:val="20"/>
          <w:szCs w:val="20"/>
          <w:color w:val="auto"/>
        </w:rPr>
      </w:pPr>
      <w:r>
        <w:rPr>
          <w:rFonts w:ascii="Times New Roman" w:cs="Times New Roman" w:eastAsia="Times New Roman" w:hAnsi="Times New Roman"/>
          <w:sz w:val="16"/>
          <w:szCs w:val="16"/>
          <w:color w:val="auto"/>
        </w:rPr>
        <w:t>The Compensation Committee has engaged Frederic W. Cook &amp; Co., Inc. (“FW Cook”) as its independent compensation consultant. The Compensation Committee, FW Cook, and our CEO participated in a collaborative process to determine the compensation that our NEOs were granted and earned in 2021 (with the exception of our CEO’s compensation, which was evaluated solely by the Compensation Committee, based upon the advice of FW Cook):</w:t>
      </w:r>
    </w:p>
    <w:p>
      <w:pPr>
        <w:sectPr>
          <w:pgSz w:w="11900" w:h="16838" w:orient="portrait"/>
          <w:cols w:equalWidth="0" w:num="1">
            <w:col w:w="11240"/>
          </w:cols>
          <w:pgMar w:left="320" w:top="114" w:right="339" w:bottom="1440" w:gutter="0" w:footer="0" w:header="0"/>
        </w:sectPr>
      </w:pPr>
    </w:p>
    <w:p>
      <w:pPr>
        <w:spacing w:after="0" w:line="15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3"/>
          <w:szCs w:val="13"/>
          <w:b w:val="1"/>
          <w:bCs w:val="1"/>
          <w:color w:val="auto"/>
        </w:rPr>
        <w:t>Responsible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214312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26" w:lineRule="exact"/>
        <w:rPr>
          <w:sz w:val="20"/>
          <w:szCs w:val="20"/>
          <w:color w:val="auto"/>
        </w:rPr>
      </w:pPr>
    </w:p>
    <w:p>
      <w:pPr>
        <w:ind w:left="80"/>
        <w:spacing w:after="0" w:line="211" w:lineRule="auto"/>
        <w:rPr>
          <w:sz w:val="20"/>
          <w:szCs w:val="20"/>
          <w:color w:val="auto"/>
        </w:rPr>
      </w:pPr>
      <w:r>
        <w:rPr>
          <w:rFonts w:ascii="Times New Roman" w:cs="Times New Roman" w:eastAsia="Times New Roman" w:hAnsi="Times New Roman"/>
          <w:sz w:val="16"/>
          <w:szCs w:val="16"/>
          <w:color w:val="auto"/>
        </w:rPr>
        <w:t>Compensation Committee (composed solely of independent, non-employee Directors and reports</w:t>
      </w:r>
    </w:p>
    <w:p>
      <w:pPr>
        <w:spacing w:after="0" w:line="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to the Board)</w:t>
      </w:r>
      <w:r>
        <w:rPr>
          <w:rFonts w:ascii="Times New Roman" w:cs="Times New Roman" w:eastAsia="Times New Roman" w:hAnsi="Times New Roman"/>
          <w:sz w:val="21"/>
          <w:szCs w:val="21"/>
          <w:color w:val="auto"/>
          <w:vertAlign w:val="superscript"/>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80" w:right="280"/>
        <w:spacing w:after="0" w:line="245" w:lineRule="auto"/>
        <w:rPr>
          <w:sz w:val="20"/>
          <w:szCs w:val="20"/>
          <w:color w:val="auto"/>
        </w:rPr>
      </w:pPr>
      <w:r>
        <w:rPr>
          <w:rFonts w:ascii="Times New Roman" w:cs="Times New Roman" w:eastAsia="Times New Roman" w:hAnsi="Times New Roman"/>
          <w:sz w:val="16"/>
          <w:szCs w:val="16"/>
          <w:color w:val="auto"/>
        </w:rPr>
        <w:t>Independent Consultant to the Compensation Committee (FW Cook)</w:t>
      </w:r>
      <w:r>
        <w:rPr>
          <w:rFonts w:ascii="Times New Roman" w:cs="Times New Roman" w:eastAsia="Times New Roman" w:hAnsi="Times New Roman"/>
          <w:sz w:val="21"/>
          <w:szCs w:val="21"/>
          <w:color w:val="auto"/>
          <w:vertAlign w:val="superscript"/>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877570</wp:posOffset>
            </wp:positionV>
            <wp:extent cx="234886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b w:val="1"/>
          <w:bCs w:val="1"/>
          <w:color w:val="auto"/>
        </w:rPr>
        <w:t>Primary Role and Responsibilities Relating to Compensation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492061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920615" cy="8890"/>
                    </a:xfrm>
                    <a:prstGeom prst="rect">
                      <a:avLst/>
                    </a:prstGeom>
                    <a:noFill/>
                  </pic:spPr>
                </pic:pic>
              </a:graphicData>
            </a:graphic>
          </wp:anchor>
        </w:drawing>
      </w:r>
    </w:p>
    <w:p>
      <w:pPr>
        <w:spacing w:after="0" w:line="26" w:lineRule="exact"/>
        <w:rPr>
          <w:sz w:val="20"/>
          <w:szCs w:val="20"/>
          <w:color w:val="auto"/>
        </w:rPr>
      </w:pPr>
    </w:p>
    <w:p>
      <w:pPr>
        <w:ind w:left="660" w:right="200" w:firstLine="45"/>
        <w:spacing w:after="0" w:line="231" w:lineRule="auto"/>
        <w:rPr>
          <w:sz w:val="20"/>
          <w:szCs w:val="20"/>
          <w:color w:val="auto"/>
        </w:rPr>
      </w:pPr>
      <w:r>
        <w:rPr>
          <w:rFonts w:ascii="Times New Roman" w:cs="Times New Roman" w:eastAsia="Times New Roman" w:hAnsi="Times New Roman"/>
          <w:sz w:val="16"/>
          <w:szCs w:val="16"/>
          <w:color w:val="auto"/>
        </w:rPr>
        <w:t>Oversees the executive compensation program, policies, and practices, taking into account business goals and strategies, legal and regulatory developments, and evolving best practices;</w:t>
      </w:r>
    </w:p>
    <w:p>
      <w:pPr>
        <w:spacing w:after="0" w:line="1" w:lineRule="exact"/>
        <w:rPr>
          <w:sz w:val="20"/>
          <w:szCs w:val="20"/>
          <w:color w:val="auto"/>
        </w:rPr>
      </w:pPr>
    </w:p>
    <w:p>
      <w:pPr>
        <w:ind w:left="320"/>
        <w:spacing w:after="0" w:line="228" w:lineRule="auto"/>
        <w:rPr>
          <w:sz w:val="20"/>
          <w:szCs w:val="20"/>
          <w:color w:val="auto"/>
        </w:rPr>
      </w:pPr>
      <w:r>
        <w:rPr>
          <w:rFonts w:ascii="Times New Roman" w:cs="Times New Roman" w:eastAsia="Times New Roman" w:hAnsi="Times New Roman"/>
          <w:sz w:val="16"/>
          <w:szCs w:val="16"/>
          <w:color w:val="auto"/>
        </w:rPr>
        <w:t>Approves performance goals for purposes of compensation decisions for the NEOs;</w:t>
      </w:r>
    </w:p>
    <w:p>
      <w:pPr>
        <w:ind w:left="660" w:right="760" w:firstLine="45"/>
        <w:spacing w:after="0" w:line="228" w:lineRule="auto"/>
        <w:rPr>
          <w:sz w:val="20"/>
          <w:szCs w:val="20"/>
          <w:color w:val="auto"/>
        </w:rPr>
      </w:pPr>
      <w:r>
        <w:rPr>
          <w:rFonts w:ascii="Times New Roman" w:cs="Times New Roman" w:eastAsia="Times New Roman" w:hAnsi="Times New Roman"/>
          <w:sz w:val="16"/>
          <w:szCs w:val="16"/>
          <w:color w:val="auto"/>
        </w:rPr>
        <w:t>Conducts an annual evaluation of the CEO’s performance in consultation with the full Board and determines his compensation;</w:t>
      </w:r>
    </w:p>
    <w:p>
      <w:pPr>
        <w:spacing w:after="0" w:line="1" w:lineRule="exact"/>
        <w:rPr>
          <w:sz w:val="20"/>
          <w:szCs w:val="20"/>
          <w:color w:val="auto"/>
        </w:rPr>
      </w:pPr>
    </w:p>
    <w:p>
      <w:pPr>
        <w:ind w:left="660" w:right="520" w:firstLine="45"/>
        <w:spacing w:after="0" w:line="228" w:lineRule="auto"/>
        <w:rPr>
          <w:sz w:val="20"/>
          <w:szCs w:val="20"/>
          <w:color w:val="auto"/>
        </w:rPr>
      </w:pPr>
      <w:r>
        <w:rPr>
          <w:rFonts w:ascii="Times New Roman" w:cs="Times New Roman" w:eastAsia="Times New Roman" w:hAnsi="Times New Roman"/>
          <w:sz w:val="16"/>
          <w:szCs w:val="16"/>
          <w:color w:val="auto"/>
        </w:rPr>
        <w:t>Reviews and approves the CEO’s recommendations for compensation for the other NEOs and senior executives, making changes when deemed appropriate;</w:t>
      </w:r>
    </w:p>
    <w:p>
      <w:pPr>
        <w:spacing w:after="0" w:line="1" w:lineRule="exact"/>
        <w:rPr>
          <w:sz w:val="20"/>
          <w:szCs w:val="20"/>
          <w:color w:val="auto"/>
        </w:rPr>
      </w:pPr>
    </w:p>
    <w:p>
      <w:pPr>
        <w:ind w:left="320"/>
        <w:spacing w:after="0" w:line="228" w:lineRule="auto"/>
        <w:rPr>
          <w:sz w:val="20"/>
          <w:szCs w:val="20"/>
          <w:color w:val="auto"/>
        </w:rPr>
      </w:pPr>
      <w:r>
        <w:rPr>
          <w:rFonts w:ascii="Times New Roman" w:cs="Times New Roman" w:eastAsia="Times New Roman" w:hAnsi="Times New Roman"/>
          <w:sz w:val="16"/>
          <w:szCs w:val="16"/>
          <w:color w:val="auto"/>
        </w:rPr>
        <w:t>Approves all changes to the composition of the peer group; and</w:t>
      </w:r>
    </w:p>
    <w:p>
      <w:pPr>
        <w:ind w:left="320"/>
        <w:spacing w:after="0"/>
        <w:rPr>
          <w:sz w:val="20"/>
          <w:szCs w:val="20"/>
          <w:color w:val="auto"/>
        </w:rPr>
      </w:pPr>
      <w:r>
        <w:rPr>
          <w:rFonts w:ascii="Times New Roman" w:cs="Times New Roman" w:eastAsia="Times New Roman" w:hAnsi="Times New Roman"/>
          <w:sz w:val="16"/>
          <w:szCs w:val="16"/>
          <w:color w:val="auto"/>
        </w:rPr>
        <w:t>Reviews and makes recommendations to the Board with respect to Director compensation.</w:t>
      </w:r>
    </w:p>
    <w:p>
      <w:pPr>
        <w:spacing w:after="0" w:line="122" w:lineRule="exact"/>
        <w:rPr>
          <w:sz w:val="20"/>
          <w:szCs w:val="20"/>
          <w:color w:val="auto"/>
        </w:rPr>
      </w:pPr>
    </w:p>
    <w:p>
      <w:pPr>
        <w:ind w:left="660" w:right="40" w:firstLine="45"/>
        <w:spacing w:after="0" w:line="230" w:lineRule="auto"/>
        <w:rPr>
          <w:sz w:val="20"/>
          <w:szCs w:val="20"/>
          <w:color w:val="auto"/>
        </w:rPr>
      </w:pPr>
      <w:r>
        <w:rPr>
          <w:rFonts w:ascii="Times New Roman" w:cs="Times New Roman" w:eastAsia="Times New Roman" w:hAnsi="Times New Roman"/>
          <w:sz w:val="16"/>
          <w:szCs w:val="16"/>
          <w:color w:val="auto"/>
        </w:rPr>
        <w:t>Provides the Compensation Committee with analysis and advice pertaining to CEO, executive, and Director compensation program design, including industry survey analysis, explanation of current and developing best practices, and regulatory changes;</w:t>
      </w:r>
    </w:p>
    <w:p>
      <w:pPr>
        <w:spacing w:after="0" w:line="2" w:lineRule="exact"/>
        <w:rPr>
          <w:sz w:val="20"/>
          <w:szCs w:val="20"/>
          <w:color w:val="auto"/>
        </w:rPr>
      </w:pPr>
    </w:p>
    <w:p>
      <w:pPr>
        <w:ind w:left="660" w:right="200" w:firstLine="45"/>
        <w:spacing w:after="0" w:line="228" w:lineRule="auto"/>
        <w:rPr>
          <w:sz w:val="20"/>
          <w:szCs w:val="20"/>
          <w:color w:val="auto"/>
        </w:rPr>
      </w:pPr>
      <w:r>
        <w:rPr>
          <w:rFonts w:ascii="Times New Roman" w:cs="Times New Roman" w:eastAsia="Times New Roman" w:hAnsi="Times New Roman"/>
          <w:sz w:val="16"/>
          <w:szCs w:val="16"/>
          <w:color w:val="auto"/>
        </w:rPr>
        <w:t>Recommends a relevant group of peer companies and appropriate sources of survey data against which to compare the competitiveness and structure of CEO, executive, and Director compensation;</w:t>
      </w:r>
    </w:p>
    <w:p>
      <w:pPr>
        <w:spacing w:after="0" w:line="1" w:lineRule="exact"/>
        <w:rPr>
          <w:sz w:val="20"/>
          <w:szCs w:val="20"/>
          <w:color w:val="auto"/>
        </w:rPr>
      </w:pPr>
    </w:p>
    <w:p>
      <w:pPr>
        <w:ind w:left="660" w:right="60" w:firstLine="36"/>
        <w:spacing w:after="0" w:line="228" w:lineRule="auto"/>
        <w:rPr>
          <w:sz w:val="20"/>
          <w:szCs w:val="20"/>
          <w:color w:val="auto"/>
        </w:rPr>
      </w:pPr>
      <w:r>
        <w:rPr>
          <w:rFonts w:ascii="Times New Roman" w:cs="Times New Roman" w:eastAsia="Times New Roman" w:hAnsi="Times New Roman"/>
          <w:sz w:val="16"/>
          <w:szCs w:val="16"/>
          <w:color w:val="auto"/>
        </w:rPr>
        <w:t>Analyzes peer companies’ CEO, executive, and Director compensation annually to assist the Compensation Committee in determining the appropriateness and competitiveness of compensation;</w:t>
      </w:r>
    </w:p>
    <w:p>
      <w:pPr>
        <w:spacing w:after="0" w:line="1" w:lineRule="exact"/>
        <w:rPr>
          <w:sz w:val="20"/>
          <w:szCs w:val="20"/>
          <w:color w:val="auto"/>
        </w:rPr>
      </w:pPr>
    </w:p>
    <w:p>
      <w:pPr>
        <w:ind w:left="660" w:right="360" w:firstLine="45"/>
        <w:spacing w:after="0" w:line="220" w:lineRule="auto"/>
        <w:rPr>
          <w:sz w:val="20"/>
          <w:szCs w:val="20"/>
          <w:color w:val="auto"/>
        </w:rPr>
      </w:pPr>
      <w:r>
        <w:rPr>
          <w:rFonts w:ascii="Times New Roman" w:cs="Times New Roman" w:eastAsia="Times New Roman" w:hAnsi="Times New Roman"/>
          <w:sz w:val="16"/>
          <w:szCs w:val="16"/>
          <w:color w:val="auto"/>
        </w:rPr>
        <w:t>Reviews and advises on any proposed changes to CEO, executive, and Director compensation program design;</w:t>
      </w:r>
    </w:p>
    <w:p>
      <w:pPr>
        <w:ind w:left="320"/>
        <w:spacing w:after="0" w:line="228" w:lineRule="auto"/>
        <w:rPr>
          <w:sz w:val="20"/>
          <w:szCs w:val="20"/>
          <w:color w:val="auto"/>
        </w:rPr>
      </w:pPr>
      <w:r>
        <w:rPr>
          <w:rFonts w:ascii="Times New Roman" w:cs="Times New Roman" w:eastAsia="Times New Roman" w:hAnsi="Times New Roman"/>
          <w:sz w:val="16"/>
          <w:szCs w:val="16"/>
          <w:color w:val="auto"/>
        </w:rPr>
        <w:t>Reviews and assists with compensation disclosure materials; and</w:t>
      </w:r>
    </w:p>
    <w:p>
      <w:pPr>
        <w:ind w:left="320"/>
        <w:spacing w:after="0"/>
        <w:rPr>
          <w:sz w:val="20"/>
          <w:szCs w:val="20"/>
          <w:color w:val="auto"/>
        </w:rPr>
      </w:pPr>
      <w:r>
        <w:rPr>
          <w:rFonts w:ascii="Times New Roman" w:cs="Times New Roman" w:eastAsia="Times New Roman" w:hAnsi="Times New Roman"/>
          <w:sz w:val="16"/>
          <w:szCs w:val="16"/>
          <w:color w:val="auto"/>
        </w:rPr>
        <w:t>Provides specific analysis and advice periodically as requested by the Compensation Committee.</w:t>
      </w:r>
    </w:p>
    <w:p>
      <w:pPr>
        <w:spacing w:after="0" w:line="135" w:lineRule="exact"/>
        <w:rPr>
          <w:sz w:val="20"/>
          <w:szCs w:val="20"/>
          <w:color w:val="auto"/>
        </w:rPr>
      </w:pPr>
    </w:p>
    <w:p>
      <w:pPr>
        <w:ind w:left="660" w:right="20" w:firstLine="42"/>
        <w:spacing w:after="0"/>
        <w:rPr>
          <w:sz w:val="20"/>
          <w:szCs w:val="20"/>
          <w:color w:val="auto"/>
        </w:rPr>
      </w:pPr>
      <w:r>
        <w:rPr>
          <w:rFonts w:ascii="Times New Roman" w:cs="Times New Roman" w:eastAsia="Times New Roman" w:hAnsi="Times New Roman"/>
          <w:sz w:val="16"/>
          <w:szCs w:val="16"/>
          <w:color w:val="auto"/>
        </w:rPr>
        <w:t>The CEO recommends to the Compensation Committee annual compensation for the other NEOs and senior executives based on his assessment of their performance; and</w:t>
      </w:r>
    </w:p>
    <w:p>
      <w:pPr>
        <w:spacing w:after="0" w:line="1" w:lineRule="exact"/>
        <w:rPr>
          <w:sz w:val="20"/>
          <w:szCs w:val="20"/>
          <w:color w:val="auto"/>
        </w:rPr>
      </w:pPr>
    </w:p>
    <w:p>
      <w:pPr>
        <w:ind w:left="660" w:right="900" w:firstLine="42"/>
        <w:spacing w:after="0" w:line="231" w:lineRule="auto"/>
        <w:rPr>
          <w:sz w:val="20"/>
          <w:szCs w:val="20"/>
          <w:color w:val="auto"/>
        </w:rPr>
      </w:pPr>
      <w:r>
        <w:rPr>
          <w:rFonts w:ascii="Times New Roman" w:cs="Times New Roman" w:eastAsia="Times New Roman" w:hAnsi="Times New Roman"/>
          <w:sz w:val="16"/>
          <w:szCs w:val="16"/>
          <w:color w:val="auto"/>
        </w:rPr>
        <w:t>The CEO works with the Compensation Committee Chair to set agendas, prepare materials for Compensation Committee meetings, and generally attends meetings, as appropriate.</w:t>
      </w:r>
    </w:p>
    <w:p>
      <w:pPr>
        <w:spacing w:after="0" w:line="141"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16"/>
          <w:szCs w:val="16"/>
          <w:color w:val="auto"/>
        </w:rPr>
        <w:t>No member of management is present in Compensation Committee meetings when matters related to his or her individual compensation is under discussion, when the Compensation Committee is approving or deliberating on CEO compensation, or when the Compensation Committee otherwise meets in executive session.</w:t>
      </w:r>
    </w:p>
    <w:p>
      <w:pPr>
        <w:spacing w:after="0" w:line="159" w:lineRule="exact"/>
        <w:rPr>
          <w:sz w:val="20"/>
          <w:szCs w:val="20"/>
          <w:color w:val="auto"/>
        </w:rPr>
      </w:pPr>
    </w:p>
    <w:p>
      <w:pPr>
        <w:sectPr>
          <w:pgSz w:w="11900" w:h="16838" w:orient="portrait"/>
          <w:cols w:equalWidth="0" w:num="2">
            <w:col w:w="3280" w:space="220"/>
            <w:col w:w="7740"/>
          </w:cols>
          <w:pgMar w:left="320" w:top="114" w:right="339" w:bottom="1440" w:gutter="0" w:footer="0" w:header="0"/>
          <w:type w:val="continuous"/>
        </w:sectPr>
      </w:pPr>
    </w:p>
    <w:p>
      <w:pPr>
        <w:ind w:left="260" w:hanging="252"/>
        <w:spacing w:after="0"/>
        <w:tabs>
          <w:tab w:leader="none" w:pos="260" w:val="left"/>
        </w:tabs>
        <w:numPr>
          <w:ilvl w:val="0"/>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Board of Directors has determined that each member of our Compensation Committee is “independent” as that term is defined by applicable Nasdaq rules and is a “non-employee” director as defined under Section</w:t>
      </w:r>
    </w:p>
    <w:p>
      <w:pPr>
        <w:spacing w:after="0" w:line="2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3"/>
          <w:szCs w:val="13"/>
          <w:color w:val="auto"/>
        </w:rPr>
        <w:t>16 of the Exchange Act.</w:t>
      </w:r>
    </w:p>
    <w:p>
      <w:pPr>
        <w:ind w:left="380" w:hanging="372"/>
        <w:spacing w:after="0" w:line="233" w:lineRule="auto"/>
        <w:tabs>
          <w:tab w:leader="none" w:pos="258" w:val="left"/>
        </w:tabs>
        <w:numPr>
          <w:ilvl w:val="0"/>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During 2021, the Compensation Committee was assisted by its independent compensation consultant FW Cook. Other than the support that it provided to the Compensation Committee, FW Cook provided no other services to the Company or management and only received fees from the Company for the services provided to the Compensation Committee. The Compensation Committee conducted an evaluation of the independence of FW Cook considering the relevant regulations of the SEC and the Nasdaq listing standards. The Compensation Committee concluded that FW Cook was independent of management and the services performed by FW Cook and the individual compensation advisors employed by FW Cook raised no conflicts of interest.</w:t>
      </w: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563C1"/>
        </w:rPr>
        <w:t>TABLE OF CONTENTS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Peer and Industry Data</w:t>
      </w:r>
    </w:p>
    <w:p>
      <w:pPr>
        <w:spacing w:after="0" w:line="115" w:lineRule="exact"/>
        <w:rPr>
          <w:sz w:val="20"/>
          <w:szCs w:val="20"/>
          <w:color w:val="auto"/>
        </w:rPr>
      </w:pPr>
    </w:p>
    <w:p>
      <w:pPr>
        <w:ind w:firstLine="374"/>
        <w:spacing w:after="0" w:line="250" w:lineRule="auto"/>
        <w:rPr>
          <w:sz w:val="20"/>
          <w:szCs w:val="20"/>
          <w:color w:val="auto"/>
        </w:rPr>
      </w:pPr>
      <w:r>
        <w:rPr>
          <w:rFonts w:ascii="Times New Roman" w:cs="Times New Roman" w:eastAsia="Times New Roman" w:hAnsi="Times New Roman"/>
          <w:sz w:val="16"/>
          <w:szCs w:val="16"/>
          <w:color w:val="auto"/>
        </w:rPr>
        <w:t>The Compensation Committee believes that market data, including compensation data from a peer group of comparable companies, is essential to determining compensation targets and the actual awards for executives in an effort to attract and retain highly talented senior executives. Market data are used to assess the competitiveness of our compensation packages relative to similar companies and to ensure that our compensation program is consistent with our compensation philosophy. Annually, the Compensation Committee requests that FW Cook conduct a market benchmarking study for our executive officers and key personnel, including our CEO and our other NEOs. The Compensation Committee’s objective is to provide executives with target total direct compensation that generally corresponds with the market median.</w:t>
      </w:r>
    </w:p>
    <w:p>
      <w:pPr>
        <w:spacing w:after="0" w:line="81" w:lineRule="exact"/>
        <w:rPr>
          <w:sz w:val="20"/>
          <w:szCs w:val="20"/>
          <w:color w:val="auto"/>
        </w:rPr>
      </w:pPr>
    </w:p>
    <w:p>
      <w:pPr>
        <w:ind w:right="60" w:firstLine="374"/>
        <w:spacing w:after="0" w:line="258" w:lineRule="auto"/>
        <w:rPr>
          <w:sz w:val="20"/>
          <w:szCs w:val="20"/>
          <w:color w:val="auto"/>
        </w:rPr>
      </w:pPr>
      <w:r>
        <w:rPr>
          <w:rFonts w:ascii="Times New Roman" w:cs="Times New Roman" w:eastAsia="Times New Roman" w:hAnsi="Times New Roman"/>
          <w:sz w:val="16"/>
          <w:szCs w:val="16"/>
          <w:color w:val="auto"/>
        </w:rPr>
        <w:t>For purposes of compensation setting for 2021, our Compensation Committee, with the advice of FW Cook, examined our prior peer group in light of our continued growth, the stage of development of our clinical programs, and changes in our market capitalization. Based on its discussions with FW Cook, the Compensation Committee identified the following 16 peer companies that were selected from among publicly-held U.S. pharmaceutical and biotechnology companies with comparable operations based on the following criteria: number, stage and indication of development programs, number of employees, therapeutic area, and market capitalization:</w:t>
      </w:r>
    </w:p>
    <w:p>
      <w:pPr>
        <w:sectPr>
          <w:pgSz w:w="11900" w:h="16838" w:orient="portrait"/>
          <w:cols w:equalWidth="0" w:num="1">
            <w:col w:w="11200"/>
          </w:cols>
          <w:pgMar w:left="320" w:top="114" w:right="379" w:bottom="1440" w:gutter="0" w:footer="0" w:header="0"/>
        </w:sectPr>
      </w:pPr>
    </w:p>
    <w:p>
      <w:pPr>
        <w:spacing w:after="0" w:line="1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ACADIA Pharmaceuticals, Inc.</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jc w:val="center"/>
        <w:ind w:right="3980"/>
        <w:spacing w:after="0"/>
        <w:rPr>
          <w:sz w:val="20"/>
          <w:szCs w:val="20"/>
          <w:color w:val="auto"/>
        </w:rPr>
      </w:pPr>
      <w:r>
        <w:rPr>
          <w:rFonts w:ascii="Times New Roman" w:cs="Times New Roman" w:eastAsia="Times New Roman" w:hAnsi="Times New Roman"/>
          <w:sz w:val="16"/>
          <w:szCs w:val="16"/>
          <w:color w:val="auto"/>
        </w:rPr>
        <w:t>Insmed Incorporated</w:t>
      </w:r>
    </w:p>
    <w:p>
      <w:pPr>
        <w:spacing w:after="0" w:line="26" w:lineRule="exact"/>
        <w:rPr>
          <w:sz w:val="20"/>
          <w:szCs w:val="20"/>
          <w:color w:val="auto"/>
        </w:rPr>
      </w:pPr>
    </w:p>
    <w:p>
      <w:pPr>
        <w:sectPr>
          <w:pgSz w:w="11900" w:h="16838" w:orient="portrait"/>
          <w:cols w:equalWidth="0" w:num="2">
            <w:col w:w="5140" w:space="720"/>
            <w:col w:w="5340"/>
          </w:cols>
          <w:pgMar w:left="320" w:top="114" w:right="37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5"/>
          <w:szCs w:val="15"/>
          <w:color w:val="auto"/>
        </w:rPr>
        <w:t>Alector,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Intercept Pharmaceuticals, Inc.</w:t>
      </w:r>
    </w:p>
    <w:p>
      <w:pPr>
        <w:spacing w:after="0" w:line="19" w:lineRule="exact"/>
        <w:rPr>
          <w:sz w:val="20"/>
          <w:szCs w:val="20"/>
          <w:color w:val="auto"/>
        </w:rPr>
      </w:pPr>
    </w:p>
    <w:p>
      <w:pPr>
        <w:sectPr>
          <w:pgSz w:w="11900" w:h="16838" w:orient="portrait"/>
          <w:cols w:equalWidth="0" w:num="2">
            <w:col w:w="5140" w:space="720"/>
            <w:col w:w="5340"/>
          </w:cols>
          <w:pgMar w:left="320" w:top="114" w:right="37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6"/>
          <w:szCs w:val="16"/>
          <w:color w:val="auto"/>
        </w:rPr>
        <w:t>Allogene Therapeutics, Inc.</w:t>
      </w:r>
    </w:p>
    <w:p>
      <w:pPr>
        <w:spacing w:after="0" w:line="20" w:lineRule="exact"/>
        <w:rPr>
          <w:sz w:val="20"/>
          <w:szCs w:val="20"/>
          <w:color w:val="auto"/>
        </w:rPr>
      </w:pPr>
      <w:r>
        <w:rPr>
          <w:sz w:val="20"/>
          <w:szCs w:val="20"/>
          <w:color w:val="auto"/>
        </w:rPr>
        <w:br w:type="column"/>
      </w:r>
    </w:p>
    <w:p>
      <w:pPr>
        <w:jc w:val="center"/>
        <w:ind w:right="4020"/>
        <w:spacing w:after="0"/>
        <w:rPr>
          <w:sz w:val="20"/>
          <w:szCs w:val="20"/>
          <w:color w:val="auto"/>
        </w:rPr>
      </w:pPr>
      <w:r>
        <w:rPr>
          <w:rFonts w:ascii="Times New Roman" w:cs="Times New Roman" w:eastAsia="Times New Roman" w:hAnsi="Times New Roman"/>
          <w:sz w:val="16"/>
          <w:szCs w:val="16"/>
          <w:color w:val="auto"/>
        </w:rPr>
        <w:t>Nektar Therapeutics</w:t>
      </w:r>
    </w:p>
    <w:p>
      <w:pPr>
        <w:spacing w:after="0" w:line="19" w:lineRule="exact"/>
        <w:rPr>
          <w:sz w:val="20"/>
          <w:szCs w:val="20"/>
          <w:color w:val="auto"/>
        </w:rPr>
      </w:pPr>
    </w:p>
    <w:p>
      <w:pPr>
        <w:sectPr>
          <w:pgSz w:w="11900" w:h="16838" w:orient="portrait"/>
          <w:cols w:equalWidth="0" w:num="2">
            <w:col w:w="5140" w:space="720"/>
            <w:col w:w="5340"/>
          </w:cols>
          <w:pgMar w:left="320" w:top="114" w:right="37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6"/>
          <w:szCs w:val="16"/>
          <w:color w:val="auto"/>
        </w:rPr>
        <w:t>Amicus Therapeutics, Inc.</w:t>
      </w:r>
    </w:p>
    <w:p>
      <w:pPr>
        <w:spacing w:after="0" w:line="20" w:lineRule="exact"/>
        <w:rPr>
          <w:sz w:val="20"/>
          <w:szCs w:val="20"/>
          <w:color w:val="auto"/>
        </w:rPr>
      </w:pPr>
      <w:r>
        <w:rPr>
          <w:sz w:val="20"/>
          <w:szCs w:val="20"/>
          <w:color w:val="auto"/>
        </w:rPr>
        <w:br w:type="column"/>
      </w:r>
    </w:p>
    <w:p>
      <w:pPr>
        <w:jc w:val="center"/>
        <w:ind w:right="3820"/>
        <w:spacing w:after="0"/>
        <w:rPr>
          <w:sz w:val="20"/>
          <w:szCs w:val="20"/>
          <w:color w:val="auto"/>
        </w:rPr>
      </w:pPr>
      <w:r>
        <w:rPr>
          <w:rFonts w:ascii="Times New Roman" w:cs="Times New Roman" w:eastAsia="Times New Roman" w:hAnsi="Times New Roman"/>
          <w:sz w:val="16"/>
          <w:szCs w:val="16"/>
          <w:color w:val="auto"/>
        </w:rPr>
        <w:t>Sage Therapeutics, Inc.</w:t>
      </w:r>
    </w:p>
    <w:p>
      <w:pPr>
        <w:spacing w:after="0" w:line="19" w:lineRule="exact"/>
        <w:rPr>
          <w:sz w:val="20"/>
          <w:szCs w:val="20"/>
          <w:color w:val="auto"/>
        </w:rPr>
      </w:pPr>
    </w:p>
    <w:p>
      <w:pPr>
        <w:sectPr>
          <w:pgSz w:w="11900" w:h="16838" w:orient="portrait"/>
          <w:cols w:equalWidth="0" w:num="2">
            <w:col w:w="5140" w:space="720"/>
            <w:col w:w="5340"/>
          </w:cols>
          <w:pgMar w:left="320" w:top="114" w:right="37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6"/>
          <w:szCs w:val="16"/>
          <w:color w:val="auto"/>
        </w:rPr>
        <w:t>Biohaven Pharmaceutical Hld. Co.</w:t>
      </w:r>
    </w:p>
    <w:p>
      <w:pPr>
        <w:spacing w:after="0" w:line="20" w:lineRule="exact"/>
        <w:rPr>
          <w:sz w:val="20"/>
          <w:szCs w:val="20"/>
          <w:color w:val="auto"/>
        </w:rPr>
      </w:pPr>
      <w:r>
        <w:rPr>
          <w:sz w:val="20"/>
          <w:szCs w:val="20"/>
          <w:color w:val="auto"/>
        </w:rPr>
        <w:br w:type="column"/>
      </w:r>
    </w:p>
    <w:p>
      <w:pPr>
        <w:jc w:val="center"/>
        <w:ind w:right="3300"/>
        <w:spacing w:after="0"/>
        <w:rPr>
          <w:sz w:val="20"/>
          <w:szCs w:val="20"/>
          <w:color w:val="auto"/>
        </w:rPr>
      </w:pPr>
      <w:r>
        <w:rPr>
          <w:rFonts w:ascii="Times New Roman" w:cs="Times New Roman" w:eastAsia="Times New Roman" w:hAnsi="Times New Roman"/>
          <w:sz w:val="16"/>
          <w:szCs w:val="16"/>
          <w:color w:val="auto"/>
        </w:rPr>
        <w:t>Supernus Pharmaceuticals, Inc.</w:t>
      </w:r>
    </w:p>
    <w:p>
      <w:pPr>
        <w:spacing w:after="0" w:line="19" w:lineRule="exact"/>
        <w:rPr>
          <w:sz w:val="20"/>
          <w:szCs w:val="20"/>
          <w:color w:val="auto"/>
        </w:rPr>
      </w:pPr>
    </w:p>
    <w:p>
      <w:pPr>
        <w:sectPr>
          <w:pgSz w:w="11900" w:h="16838" w:orient="portrait"/>
          <w:cols w:equalWidth="0" w:num="2">
            <w:col w:w="5140" w:space="720"/>
            <w:col w:w="5340"/>
          </w:cols>
          <w:pgMar w:left="320" w:top="114" w:right="37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6"/>
          <w:szCs w:val="16"/>
          <w:color w:val="auto"/>
        </w:rPr>
        <w:t>bluebird bio,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Ultragenyx Pharmaceutical Inc.</w:t>
      </w:r>
    </w:p>
    <w:p>
      <w:pPr>
        <w:spacing w:after="0" w:line="19" w:lineRule="exact"/>
        <w:rPr>
          <w:sz w:val="20"/>
          <w:szCs w:val="20"/>
          <w:color w:val="auto"/>
        </w:rPr>
      </w:pPr>
    </w:p>
    <w:p>
      <w:pPr>
        <w:sectPr>
          <w:pgSz w:w="11900" w:h="16838" w:orient="portrait"/>
          <w:cols w:equalWidth="0" w:num="2">
            <w:col w:w="5140" w:space="720"/>
            <w:col w:w="5340"/>
          </w:cols>
          <w:pgMar w:left="320" w:top="114" w:right="37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6"/>
          <w:szCs w:val="16"/>
          <w:color w:val="auto"/>
        </w:rPr>
        <w:t>Denali Therapeutics</w:t>
      </w:r>
    </w:p>
    <w:p>
      <w:pPr>
        <w:spacing w:after="0" w:line="20" w:lineRule="exact"/>
        <w:rPr>
          <w:sz w:val="20"/>
          <w:szCs w:val="20"/>
          <w:color w:val="auto"/>
        </w:rPr>
      </w:pPr>
      <w:r>
        <w:rPr>
          <w:sz w:val="20"/>
          <w:szCs w:val="20"/>
          <w:color w:val="auto"/>
        </w:rPr>
        <w:br w:type="column"/>
      </w:r>
    </w:p>
    <w:p>
      <w:pPr>
        <w:jc w:val="center"/>
        <w:ind w:right="4460"/>
        <w:spacing w:after="0"/>
        <w:rPr>
          <w:sz w:val="20"/>
          <w:szCs w:val="20"/>
          <w:color w:val="auto"/>
        </w:rPr>
      </w:pPr>
      <w:r>
        <w:rPr>
          <w:rFonts w:ascii="Times New Roman" w:cs="Times New Roman" w:eastAsia="Times New Roman" w:hAnsi="Times New Roman"/>
          <w:sz w:val="16"/>
          <w:szCs w:val="16"/>
          <w:color w:val="auto"/>
        </w:rPr>
        <w:t>uniQure N.V.</w:t>
      </w:r>
    </w:p>
    <w:p>
      <w:pPr>
        <w:spacing w:after="0" w:line="19" w:lineRule="exact"/>
        <w:rPr>
          <w:sz w:val="20"/>
          <w:szCs w:val="20"/>
          <w:color w:val="auto"/>
        </w:rPr>
      </w:pPr>
    </w:p>
    <w:p>
      <w:pPr>
        <w:sectPr>
          <w:pgSz w:w="11900" w:h="16838" w:orient="portrait"/>
          <w:cols w:equalWidth="0" w:num="2">
            <w:col w:w="5140" w:space="720"/>
            <w:col w:w="5340"/>
          </w:cols>
          <w:pgMar w:left="320" w:top="114" w:right="37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6"/>
          <w:szCs w:val="16"/>
          <w:color w:val="auto"/>
        </w:rPr>
        <w:t>GW Pharmaceuticals plc</w:t>
      </w:r>
    </w:p>
    <w:p>
      <w:pPr>
        <w:spacing w:after="0" w:line="20" w:lineRule="exact"/>
        <w:rPr>
          <w:sz w:val="20"/>
          <w:szCs w:val="20"/>
          <w:color w:val="auto"/>
        </w:rPr>
      </w:pPr>
      <w:r>
        <w:rPr>
          <w:sz w:val="20"/>
          <w:szCs w:val="20"/>
          <w:color w:val="auto"/>
        </w:rPr>
        <w:br w:type="column"/>
      </w:r>
    </w:p>
    <w:p>
      <w:pPr>
        <w:jc w:val="center"/>
        <w:ind w:right="4460"/>
        <w:spacing w:after="0"/>
        <w:rPr>
          <w:sz w:val="20"/>
          <w:szCs w:val="20"/>
          <w:color w:val="auto"/>
        </w:rPr>
      </w:pPr>
      <w:r>
        <w:rPr>
          <w:rFonts w:ascii="Times New Roman" w:cs="Times New Roman" w:eastAsia="Times New Roman" w:hAnsi="Times New Roman"/>
          <w:sz w:val="16"/>
          <w:szCs w:val="16"/>
          <w:color w:val="auto"/>
        </w:rPr>
        <w:t>Zogenix, Inc.</w:t>
      </w:r>
    </w:p>
    <w:p>
      <w:pPr>
        <w:spacing w:after="0" w:line="200" w:lineRule="exact"/>
        <w:rPr>
          <w:sz w:val="20"/>
          <w:szCs w:val="20"/>
          <w:color w:val="auto"/>
        </w:rPr>
      </w:pPr>
    </w:p>
    <w:p>
      <w:pPr>
        <w:sectPr>
          <w:pgSz w:w="11900" w:h="16838" w:orient="portrait"/>
          <w:cols w:equalWidth="0" w:num="2">
            <w:col w:w="5140" w:space="720"/>
            <w:col w:w="5340"/>
          </w:cols>
          <w:pgMar w:left="320" w:top="114" w:right="379" w:bottom="1440" w:gutter="0" w:footer="0" w:header="0"/>
          <w:type w:val="continuous"/>
        </w:sectPr>
      </w:pPr>
    </w:p>
    <w:p>
      <w:pPr>
        <w:spacing w:after="0" w:line="94" w:lineRule="exact"/>
        <w:rPr>
          <w:sz w:val="20"/>
          <w:szCs w:val="20"/>
          <w:color w:val="auto"/>
        </w:rPr>
      </w:pPr>
    </w:p>
    <w:p>
      <w:pPr>
        <w:ind w:right="340" w:firstLine="374"/>
        <w:spacing w:after="0" w:line="263" w:lineRule="auto"/>
        <w:rPr>
          <w:sz w:val="20"/>
          <w:szCs w:val="20"/>
          <w:color w:val="auto"/>
        </w:rPr>
      </w:pPr>
      <w:r>
        <w:rPr>
          <w:rFonts w:ascii="Times New Roman" w:cs="Times New Roman" w:eastAsia="Times New Roman" w:hAnsi="Times New Roman"/>
          <w:sz w:val="16"/>
          <w:szCs w:val="16"/>
          <w:color w:val="auto"/>
        </w:rPr>
        <w:t>The Compensation Committee intends to maintain its practice of reviewing the peer group on an annual basis to ensure it continues to appropriately represent our competitive market for executive talent.</w:t>
      </w:r>
    </w:p>
    <w:p>
      <w:pPr>
        <w:spacing w:after="0" w:line="56" w:lineRule="exact"/>
        <w:rPr>
          <w:sz w:val="20"/>
          <w:szCs w:val="20"/>
          <w:color w:val="auto"/>
        </w:rPr>
      </w:pPr>
    </w:p>
    <w:p>
      <w:pPr>
        <w:ind w:right="320" w:firstLine="374"/>
        <w:spacing w:after="0" w:line="280" w:lineRule="auto"/>
        <w:rPr>
          <w:sz w:val="20"/>
          <w:szCs w:val="20"/>
          <w:color w:val="auto"/>
        </w:rPr>
      </w:pPr>
      <w:r>
        <w:rPr>
          <w:rFonts w:ascii="Times New Roman" w:cs="Times New Roman" w:eastAsia="Times New Roman" w:hAnsi="Times New Roman"/>
          <w:sz w:val="16"/>
          <w:szCs w:val="16"/>
          <w:color w:val="auto"/>
        </w:rPr>
        <w:t>In addition to peer group data, the Compensation Committee also considers general market data. Axsome ranked at the 48</w:t>
      </w:r>
      <w:r>
        <w:rPr>
          <w:rFonts w:ascii="Times New Roman" w:cs="Times New Roman" w:eastAsia="Times New Roman" w:hAnsi="Times New Roman"/>
          <w:sz w:val="10"/>
          <w:szCs w:val="10"/>
          <w:color w:val="auto"/>
        </w:rPr>
        <w:t>th</w:t>
      </w:r>
      <w:r>
        <w:rPr>
          <w:rFonts w:ascii="Times New Roman" w:cs="Times New Roman" w:eastAsia="Times New Roman" w:hAnsi="Times New Roman"/>
          <w:sz w:val="16"/>
          <w:szCs w:val="16"/>
          <w:color w:val="auto"/>
        </w:rPr>
        <w:t xml:space="preserve"> percentile of market cap of the above-referenced peer group companies as of August 2020, which is when this peer group was selected by the Compensation Committee.</w:t>
      </w:r>
    </w:p>
    <w:p>
      <w:pPr>
        <w:spacing w:after="0" w:line="43" w:lineRule="exact"/>
        <w:rPr>
          <w:sz w:val="20"/>
          <w:szCs w:val="20"/>
          <w:color w:val="auto"/>
        </w:rPr>
      </w:pPr>
    </w:p>
    <w:p>
      <w:pPr>
        <w:ind w:right="40" w:firstLine="374"/>
        <w:spacing w:after="0" w:line="255" w:lineRule="auto"/>
        <w:rPr>
          <w:sz w:val="20"/>
          <w:szCs w:val="20"/>
          <w:color w:val="auto"/>
        </w:rPr>
      </w:pPr>
      <w:r>
        <w:rPr>
          <w:rFonts w:ascii="Times New Roman" w:cs="Times New Roman" w:eastAsia="Times New Roman" w:hAnsi="Times New Roman"/>
          <w:sz w:val="16"/>
          <w:szCs w:val="16"/>
          <w:color w:val="auto"/>
        </w:rPr>
        <w:t>Our Compensation Committee and our Board of Directors use market data as one means of evaluating and establishing executive pay. In instances where an executive officer is believed to be especially suited to our Company or important to our success, the Compensation Committee may establish or recommend compensation that deviates from industry averages or other specific benchmarks. Upward or downward variations in total cash compensation and long-term incentives may also occur as a result of the individual’s experience level, the nature and level of the individual’s specific job responsibilities, the balance of the individual’s different elements of compensation, market factors and other strategic considerations.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Elements of NEO Compensation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Base Salary</w:t>
      </w:r>
    </w:p>
    <w:p>
      <w:pPr>
        <w:spacing w:after="0" w:line="115" w:lineRule="exact"/>
        <w:rPr>
          <w:sz w:val="20"/>
          <w:szCs w:val="20"/>
          <w:color w:val="auto"/>
        </w:rPr>
      </w:pPr>
    </w:p>
    <w:p>
      <w:pPr>
        <w:ind w:right="60" w:firstLine="374"/>
        <w:spacing w:after="0" w:line="263" w:lineRule="auto"/>
        <w:rPr>
          <w:sz w:val="20"/>
          <w:szCs w:val="20"/>
          <w:color w:val="auto"/>
        </w:rPr>
      </w:pPr>
      <w:r>
        <w:rPr>
          <w:rFonts w:ascii="Times New Roman" w:cs="Times New Roman" w:eastAsia="Times New Roman" w:hAnsi="Times New Roman"/>
          <w:sz w:val="16"/>
          <w:szCs w:val="16"/>
          <w:color w:val="auto"/>
        </w:rPr>
        <w:t>We provide our NEOs with base salary to compensate them for services rendered during the year. Generally, the base salaries reflect the experience, skills, knowledge and responsibilities required of each executive officer, and reflect our executive officers’ overall performance and contributions to our business. We set NEO salaries to be competitive in the context of the tight labor market for biotech employees in New York City.</w:t>
      </w:r>
    </w:p>
    <w:p>
      <w:pPr>
        <w:spacing w:after="0" w:line="5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During its review of base salaries for executives, the Compensation Committee primarily considers</w:t>
      </w:r>
    </w:p>
    <w:p>
      <w:pPr>
        <w:spacing w:after="0" w:line="113" w:lineRule="exact"/>
        <w:rPr>
          <w:sz w:val="20"/>
          <w:szCs w:val="20"/>
          <w:color w:val="auto"/>
        </w:rPr>
      </w:pPr>
    </w:p>
    <w:p>
      <w:pPr>
        <w:ind w:left="1020" w:hanging="503"/>
        <w:spacing w:after="0"/>
        <w:tabs>
          <w:tab w:leader="none" w:pos="102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internal review of the NEO’s compensation, both individually and relative to other NEOs; and</w:t>
      </w:r>
    </w:p>
    <w:p>
      <w:pPr>
        <w:spacing w:after="0" w:line="113"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 salaries paid by comparable companies in the biopharmaceutical industry that have a similar business and financial profile.</w:t>
      </w:r>
    </w:p>
    <w:p>
      <w:pPr>
        <w:spacing w:after="0" w:line="113" w:lineRule="exact"/>
        <w:rPr>
          <w:sz w:val="20"/>
          <w:szCs w:val="20"/>
          <w:color w:val="auto"/>
        </w:rPr>
      </w:pPr>
    </w:p>
    <w:p>
      <w:pPr>
        <w:ind w:right="260" w:firstLine="374"/>
        <w:spacing w:after="0" w:line="263" w:lineRule="auto"/>
        <w:rPr>
          <w:sz w:val="20"/>
          <w:szCs w:val="20"/>
          <w:color w:val="auto"/>
        </w:rPr>
      </w:pPr>
      <w:r>
        <w:rPr>
          <w:rFonts w:ascii="Times New Roman" w:cs="Times New Roman" w:eastAsia="Times New Roman" w:hAnsi="Times New Roman"/>
          <w:sz w:val="16"/>
          <w:szCs w:val="16"/>
          <w:color w:val="auto"/>
        </w:rPr>
        <w:t>Salary levels are considered annually as part of our Company’s performance review process. Merit-based increases to salaries are based on individual performance assessments, the recommendations made by the Chief Executive Officer to the Compensation Committee, and the comparative compensation at peer companies.</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563C1"/>
        </w:rPr>
        <w:t>TABLE OF CONTENTS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The base salary for each of our NEOs for our fiscal year ended December 31, 2021, is listed in the table below:</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400" w:type="dxa"/>
            <w:vAlign w:val="bottom"/>
          </w:tcPr>
          <w:p>
            <w:pPr>
              <w:spacing w:after="0"/>
              <w:rPr>
                <w:sz w:val="12"/>
                <w:szCs w:val="12"/>
                <w:color w:val="auto"/>
              </w:rPr>
            </w:pPr>
          </w:p>
        </w:tc>
        <w:tc>
          <w:tcPr>
            <w:tcW w:w="1660" w:type="dxa"/>
            <w:vAlign w:val="bottom"/>
            <w:gridSpan w:val="2"/>
          </w:tcPr>
          <w:p>
            <w:pPr>
              <w:jc w:val="right"/>
              <w:ind w:right="588"/>
              <w:spacing w:after="0"/>
              <w:rPr>
                <w:sz w:val="20"/>
                <w:szCs w:val="20"/>
                <w:color w:val="auto"/>
              </w:rPr>
            </w:pPr>
            <w:r>
              <w:rPr>
                <w:rFonts w:ascii="Times New Roman" w:cs="Times New Roman" w:eastAsia="Times New Roman" w:hAnsi="Times New Roman"/>
                <w:sz w:val="13"/>
                <w:szCs w:val="13"/>
                <w:b w:val="1"/>
                <w:bCs w:val="1"/>
                <w:color w:val="auto"/>
              </w:rPr>
              <w:t>2021</w:t>
            </w:r>
          </w:p>
        </w:tc>
        <w:tc>
          <w:tcPr>
            <w:tcW w:w="1600" w:type="dxa"/>
            <w:vAlign w:val="bottom"/>
            <w:gridSpan w:val="2"/>
          </w:tcPr>
          <w:p>
            <w:pPr>
              <w:jc w:val="right"/>
              <w:ind w:right="548"/>
              <w:spacing w:after="0"/>
              <w:rPr>
                <w:sz w:val="20"/>
                <w:szCs w:val="20"/>
                <w:color w:val="auto"/>
              </w:rPr>
            </w:pPr>
            <w:r>
              <w:rPr>
                <w:rFonts w:ascii="Times New Roman" w:cs="Times New Roman" w:eastAsia="Times New Roman" w:hAnsi="Times New Roman"/>
                <w:sz w:val="13"/>
                <w:szCs w:val="13"/>
                <w:b w:val="1"/>
                <w:bCs w:val="1"/>
                <w:color w:val="auto"/>
              </w:rPr>
              <w:t>2020</w:t>
            </w:r>
          </w:p>
        </w:tc>
        <w:tc>
          <w:tcPr>
            <w:tcW w:w="140" w:type="dxa"/>
            <w:vAlign w:val="bottom"/>
          </w:tcPr>
          <w:p>
            <w:pPr>
              <w:spacing w:after="0"/>
              <w:rPr>
                <w:sz w:val="12"/>
                <w:szCs w:val="12"/>
                <w:color w:val="auto"/>
              </w:rPr>
            </w:pPr>
          </w:p>
        </w:tc>
        <w:tc>
          <w:tcPr>
            <w:tcW w:w="1440" w:type="dxa"/>
            <w:vAlign w:val="bottom"/>
          </w:tcPr>
          <w:p>
            <w:pPr>
              <w:spacing w:after="0"/>
              <w:rPr>
                <w:sz w:val="12"/>
                <w:szCs w:val="12"/>
                <w:color w:val="auto"/>
              </w:rPr>
            </w:pPr>
          </w:p>
        </w:tc>
      </w:tr>
      <w:tr>
        <w:trPr>
          <w:trHeight w:val="176"/>
        </w:trPr>
        <w:tc>
          <w:tcPr>
            <w:tcW w:w="6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Name</w:t>
            </w:r>
          </w:p>
        </w:tc>
        <w:tc>
          <w:tcPr>
            <w:tcW w:w="160" w:type="dxa"/>
            <w:vAlign w:val="bottom"/>
          </w:tcPr>
          <w:p>
            <w:pPr>
              <w:spacing w:after="0"/>
              <w:rPr>
                <w:sz w:val="15"/>
                <w:szCs w:val="15"/>
                <w:color w:val="auto"/>
              </w:rPr>
            </w:pPr>
          </w:p>
        </w:tc>
        <w:tc>
          <w:tcPr>
            <w:tcW w:w="150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3"/>
                <w:szCs w:val="13"/>
                <w:b w:val="1"/>
                <w:bCs w:val="1"/>
                <w:color w:val="auto"/>
              </w:rPr>
              <w:t>Base Salary ($)</w:t>
            </w:r>
          </w:p>
        </w:tc>
        <w:tc>
          <w:tcPr>
            <w:tcW w:w="160" w:type="dxa"/>
            <w:vAlign w:val="bottom"/>
          </w:tcPr>
          <w:p>
            <w:pPr>
              <w:spacing w:after="0"/>
              <w:rPr>
                <w:sz w:val="15"/>
                <w:szCs w:val="15"/>
                <w:color w:val="auto"/>
              </w:rPr>
            </w:pPr>
          </w:p>
        </w:tc>
        <w:tc>
          <w:tcPr>
            <w:tcW w:w="144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3"/>
                <w:szCs w:val="13"/>
                <w:b w:val="1"/>
                <w:bCs w:val="1"/>
                <w:color w:val="auto"/>
              </w:rPr>
              <w:t>Base Salary ($)</w:t>
            </w:r>
          </w:p>
        </w:tc>
        <w:tc>
          <w:tcPr>
            <w:tcW w:w="140" w:type="dxa"/>
            <w:vAlign w:val="bottom"/>
          </w:tcPr>
          <w:p>
            <w:pPr>
              <w:spacing w:after="0"/>
              <w:rPr>
                <w:sz w:val="15"/>
                <w:szCs w:val="15"/>
                <w:color w:val="auto"/>
              </w:rPr>
            </w:pPr>
          </w:p>
        </w:tc>
        <w:tc>
          <w:tcPr>
            <w:tcW w:w="144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3"/>
                <w:szCs w:val="13"/>
                <w:b w:val="1"/>
                <w:bCs w:val="1"/>
                <w:color w:val="auto"/>
              </w:rPr>
              <w:t>Percentage Change</w:t>
            </w:r>
          </w:p>
        </w:tc>
      </w:tr>
      <w:tr>
        <w:trPr>
          <w:trHeight w:val="203"/>
        </w:trPr>
        <w:tc>
          <w:tcPr>
            <w:tcW w:w="6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Herriot Tabuteau, M.D.</w:t>
            </w:r>
          </w:p>
        </w:tc>
        <w:tc>
          <w:tcPr>
            <w:tcW w:w="16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6"/>
                <w:szCs w:val="16"/>
                <w:color w:val="auto"/>
              </w:rPr>
              <w:t>685,000</w:t>
            </w:r>
          </w:p>
        </w:tc>
        <w:tc>
          <w:tcPr>
            <w:tcW w:w="160" w:type="dxa"/>
            <w:vAlign w:val="bottom"/>
            <w:shd w:val="clear" w:color="auto" w:fill="CFF0FC"/>
          </w:tcPr>
          <w:p>
            <w:pPr>
              <w:spacing w:after="0"/>
              <w:rPr>
                <w:sz w:val="17"/>
                <w:szCs w:val="17"/>
                <w:color w:val="auto"/>
              </w:rPr>
            </w:pPr>
          </w:p>
        </w:tc>
        <w:tc>
          <w:tcPr>
            <w:tcW w:w="144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6"/>
                <w:szCs w:val="16"/>
                <w:color w:val="auto"/>
              </w:rPr>
              <w:t>575,000</w:t>
            </w:r>
          </w:p>
        </w:tc>
        <w:tc>
          <w:tcPr>
            <w:tcW w:w="140" w:type="dxa"/>
            <w:vAlign w:val="bottom"/>
            <w:shd w:val="clear" w:color="auto" w:fill="CFF0FC"/>
          </w:tcPr>
          <w:p>
            <w:pPr>
              <w:spacing w:after="0"/>
              <w:rPr>
                <w:sz w:val="17"/>
                <w:szCs w:val="17"/>
                <w:color w:val="auto"/>
              </w:rPr>
            </w:pPr>
          </w:p>
        </w:tc>
        <w:tc>
          <w:tcPr>
            <w:tcW w:w="144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6"/>
                <w:szCs w:val="16"/>
                <w:color w:val="auto"/>
              </w:rPr>
              <w:t>+19.1%</w:t>
            </w:r>
          </w:p>
        </w:tc>
      </w:tr>
      <w:tr>
        <w:trPr>
          <w:trHeight w:val="203"/>
        </w:trPr>
        <w:tc>
          <w:tcPr>
            <w:tcW w:w="6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Nick Pizzie, C.P.A., M.B.A.</w:t>
            </w:r>
          </w:p>
        </w:tc>
        <w:tc>
          <w:tcPr>
            <w:tcW w:w="1660" w:type="dxa"/>
            <w:vAlign w:val="bottom"/>
            <w:gridSpan w:val="2"/>
          </w:tcPr>
          <w:p>
            <w:pPr>
              <w:jc w:val="right"/>
              <w:ind w:right="28"/>
              <w:spacing w:after="0"/>
              <w:rPr>
                <w:sz w:val="20"/>
                <w:szCs w:val="20"/>
                <w:color w:val="auto"/>
              </w:rPr>
            </w:pPr>
            <w:r>
              <w:rPr>
                <w:rFonts w:ascii="Times New Roman" w:cs="Times New Roman" w:eastAsia="Times New Roman" w:hAnsi="Times New Roman"/>
                <w:sz w:val="16"/>
                <w:szCs w:val="16"/>
                <w:color w:val="auto"/>
              </w:rPr>
              <w:t>409,000</w:t>
            </w:r>
          </w:p>
        </w:tc>
        <w:tc>
          <w:tcPr>
            <w:tcW w:w="1600" w:type="dxa"/>
            <w:vAlign w:val="bottom"/>
            <w:gridSpan w:val="2"/>
          </w:tcPr>
          <w:p>
            <w:pPr>
              <w:jc w:val="right"/>
              <w:ind w:right="8"/>
              <w:spacing w:after="0"/>
              <w:rPr>
                <w:sz w:val="20"/>
                <w:szCs w:val="20"/>
                <w:color w:val="auto"/>
              </w:rPr>
            </w:pPr>
            <w:r>
              <w:rPr>
                <w:rFonts w:ascii="Times New Roman" w:cs="Times New Roman" w:eastAsia="Times New Roman" w:hAnsi="Times New Roman"/>
                <w:sz w:val="16"/>
                <w:szCs w:val="16"/>
                <w:color w:val="auto"/>
              </w:rPr>
              <w:t>375,000</w:t>
            </w:r>
          </w:p>
        </w:tc>
        <w:tc>
          <w:tcPr>
            <w:tcW w:w="1580" w:type="dxa"/>
            <w:vAlign w:val="bottom"/>
            <w:gridSpan w:val="2"/>
          </w:tcPr>
          <w:p>
            <w:pPr>
              <w:jc w:val="right"/>
              <w:ind w:right="108"/>
              <w:spacing w:after="0"/>
              <w:rPr>
                <w:sz w:val="20"/>
                <w:szCs w:val="20"/>
                <w:color w:val="auto"/>
              </w:rPr>
            </w:pPr>
            <w:r>
              <w:rPr>
                <w:rFonts w:ascii="Times New Roman" w:cs="Times New Roman" w:eastAsia="Times New Roman" w:hAnsi="Times New Roman"/>
                <w:sz w:val="16"/>
                <w:szCs w:val="16"/>
                <w:color w:val="auto"/>
              </w:rPr>
              <w:t>+9.1%</w:t>
            </w:r>
          </w:p>
        </w:tc>
      </w:tr>
      <w:tr>
        <w:trPr>
          <w:trHeight w:val="203"/>
        </w:trPr>
        <w:tc>
          <w:tcPr>
            <w:tcW w:w="6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Mark Jacobson, M.A.</w:t>
            </w:r>
          </w:p>
        </w:tc>
        <w:tc>
          <w:tcPr>
            <w:tcW w:w="166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6"/>
                <w:szCs w:val="16"/>
                <w:color w:val="auto"/>
              </w:rPr>
              <w:t>409,000</w:t>
            </w:r>
          </w:p>
        </w:tc>
        <w:tc>
          <w:tcPr>
            <w:tcW w:w="160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6"/>
                <w:szCs w:val="16"/>
                <w:color w:val="auto"/>
              </w:rPr>
              <w:t>375,000</w:t>
            </w:r>
          </w:p>
        </w:tc>
        <w:tc>
          <w:tcPr>
            <w:tcW w:w="158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6"/>
                <w:szCs w:val="16"/>
                <w:color w:val="auto"/>
              </w:rPr>
              <w:t>+9.1%</w:t>
            </w:r>
          </w:p>
        </w:tc>
      </w:tr>
    </w:tbl>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Annual Cash Incentive Bonuses</w:t>
      </w:r>
    </w:p>
    <w:p>
      <w:pPr>
        <w:spacing w:after="0" w:line="115" w:lineRule="exact"/>
        <w:rPr>
          <w:sz w:val="20"/>
          <w:szCs w:val="20"/>
          <w:color w:val="auto"/>
        </w:rPr>
      </w:pPr>
    </w:p>
    <w:p>
      <w:pPr>
        <w:ind w:right="60" w:firstLine="374"/>
        <w:spacing w:after="0" w:line="252" w:lineRule="auto"/>
        <w:rPr>
          <w:sz w:val="20"/>
          <w:szCs w:val="20"/>
          <w:color w:val="auto"/>
        </w:rPr>
      </w:pPr>
      <w:r>
        <w:rPr>
          <w:rFonts w:ascii="Times New Roman" w:cs="Times New Roman" w:eastAsia="Times New Roman" w:hAnsi="Times New Roman"/>
          <w:sz w:val="16"/>
          <w:szCs w:val="16"/>
          <w:color w:val="auto"/>
        </w:rPr>
        <w:t>We provide an opportunity for each of our NEOs to receive an annual cash incentive bonus based on the satisfaction of individual and corporate objectives established by our Board of Directors. For any given year, these objectives may include individualized goals or corporate goals that relate to operational, strategic, or financial factors such as progress in developing our product candidates, achieving certain manufacturing, intellectual property, clinical and regulatory objectives, and raising certain levels of capital.</w:t>
      </w:r>
    </w:p>
    <w:p>
      <w:pPr>
        <w:spacing w:after="0" w:line="78" w:lineRule="exact"/>
        <w:rPr>
          <w:sz w:val="20"/>
          <w:szCs w:val="20"/>
          <w:color w:val="auto"/>
        </w:rPr>
      </w:pPr>
    </w:p>
    <w:p>
      <w:pPr>
        <w:ind w:right="40" w:firstLine="374"/>
        <w:spacing w:after="0" w:line="252" w:lineRule="auto"/>
        <w:rPr>
          <w:sz w:val="20"/>
          <w:szCs w:val="20"/>
          <w:color w:val="auto"/>
        </w:rPr>
      </w:pPr>
      <w:r>
        <w:rPr>
          <w:rFonts w:ascii="Times New Roman" w:cs="Times New Roman" w:eastAsia="Times New Roman" w:hAnsi="Times New Roman"/>
          <w:sz w:val="16"/>
          <w:szCs w:val="16"/>
          <w:color w:val="auto"/>
        </w:rPr>
        <w:t>While the Board of Directors or the Compensation Committee adopts corporate objectives, it is typically the Compensation Committee that evaluates and approves the achievement level of corporate objectives, and subsequently reviews and approves the annual cash bonuses for NEOs as part of its final compensation deliberations. The Compensation Committee, or where appropriate, our Board of Directors may approve bonuses based on the foregoing determinations or, after considering market conditions, our financial position or other factors, may, in its sole discretion, determine not to award any bonuses or to award larger or smaller bonuses.</w:t>
      </w:r>
    </w:p>
    <w:p>
      <w:pPr>
        <w:spacing w:after="0" w:line="78" w:lineRule="exact"/>
        <w:rPr>
          <w:sz w:val="20"/>
          <w:szCs w:val="20"/>
          <w:color w:val="auto"/>
        </w:rPr>
      </w:pPr>
    </w:p>
    <w:p>
      <w:pPr>
        <w:ind w:right="260" w:firstLine="374"/>
        <w:spacing w:after="0" w:line="263" w:lineRule="auto"/>
        <w:rPr>
          <w:sz w:val="20"/>
          <w:szCs w:val="20"/>
          <w:color w:val="auto"/>
        </w:rPr>
      </w:pPr>
      <w:r>
        <w:rPr>
          <w:rFonts w:ascii="Times New Roman" w:cs="Times New Roman" w:eastAsia="Times New Roman" w:hAnsi="Times New Roman"/>
          <w:sz w:val="16"/>
          <w:szCs w:val="16"/>
          <w:color w:val="auto"/>
        </w:rPr>
        <w:t>Historically, at its annual meeting during the first quarter of our fiscal year to consider NEO compensation, the Compensation Committee, in consultation with management, has established corporate goals for the new fiscal year for purposes of, among other things, making its recommendations regarding its annual bonus awards (and equity grants) for the new year to our NEOs and all employees.</w:t>
      </w:r>
    </w:p>
    <w:p>
      <w:pPr>
        <w:spacing w:after="0" w:line="138" w:lineRule="exact"/>
        <w:rPr>
          <w:sz w:val="20"/>
          <w:szCs w:val="20"/>
          <w:color w:val="auto"/>
        </w:rPr>
      </w:pPr>
    </w:p>
    <w:p>
      <w:pPr>
        <w:ind w:right="40" w:firstLine="374"/>
        <w:spacing w:after="0" w:line="258" w:lineRule="auto"/>
        <w:rPr>
          <w:sz w:val="20"/>
          <w:szCs w:val="20"/>
          <w:color w:val="auto"/>
        </w:rPr>
      </w:pPr>
      <w:r>
        <w:rPr>
          <w:rFonts w:ascii="Times New Roman" w:cs="Times New Roman" w:eastAsia="Times New Roman" w:hAnsi="Times New Roman"/>
          <w:sz w:val="16"/>
          <w:szCs w:val="16"/>
          <w:color w:val="auto"/>
        </w:rPr>
        <w:t>While the Board of Directors or the Compensation Committee adopts corporate objectives, it is typically the Compensation Committee that evaluates and approves the achievement level of corporate objectives, and subsequently reviews and approves the annual cash bonuses for NEOs as part of its final compensation deliberations. The Compensation Committee, or where appropriate, our Board of Directors may approve bonuses based on the foregoing determinations or, after considering market conditions, our financial position or other factors, may, in its sole discretion, determine not to award any bonuses or to award larger or smaller bonuses.</w:t>
      </w:r>
    </w:p>
    <w:p>
      <w:pPr>
        <w:spacing w:after="0" w:line="140" w:lineRule="exact"/>
        <w:rPr>
          <w:sz w:val="20"/>
          <w:szCs w:val="20"/>
          <w:color w:val="auto"/>
        </w:rPr>
      </w:pPr>
    </w:p>
    <w:p>
      <w:pPr>
        <w:ind w:right="80" w:firstLine="374"/>
        <w:spacing w:after="0" w:line="258" w:lineRule="auto"/>
        <w:rPr>
          <w:sz w:val="20"/>
          <w:szCs w:val="20"/>
          <w:color w:val="auto"/>
        </w:rPr>
      </w:pPr>
      <w:r>
        <w:rPr>
          <w:rFonts w:ascii="Times New Roman" w:cs="Times New Roman" w:eastAsia="Times New Roman" w:hAnsi="Times New Roman"/>
          <w:sz w:val="16"/>
          <w:szCs w:val="16"/>
          <w:color w:val="auto"/>
        </w:rPr>
        <w:t>At the beginning of 2021, the Compensation Committee adopted corporate goals for the determination of cash bonuses to be paid for the 2021 fiscal year. Under the plan adopted by our Board of Directors, cash bonuses, if any, are paid to qualified participating officers and employees based upon (i) the achievement of corporate goals and (ii) a review of personal performance. The corporate goals, and the weight assigned to each of the goals, applies to all officers and employees, including our NEOs. The corporate goals and objectives for the 2021 calendar year were based on meeting certain goals with respect to our operational performance as follows:</w:t>
      </w:r>
    </w:p>
    <w:p>
      <w:pPr>
        <w:spacing w:after="0" w:line="179" w:lineRule="exact"/>
        <w:rPr>
          <w:sz w:val="20"/>
          <w:szCs w:val="20"/>
          <w:color w:val="auto"/>
        </w:rPr>
      </w:pPr>
    </w:p>
    <w:tbl>
      <w:tblPr>
        <w:tblLayout w:type="fixed"/>
        <w:tblInd w:w="340" w:type="dxa"/>
        <w:tblCellMar>
          <w:top w:w="0" w:type="dxa"/>
          <w:left w:w="0" w:type="dxa"/>
          <w:bottom w:w="0" w:type="dxa"/>
          <w:right w:w="0" w:type="dxa"/>
        </w:tblCellMar>
      </w:tblPr>
      <w:tr>
        <w:trPr>
          <w:trHeight w:val="212"/>
        </w:trPr>
        <w:tc>
          <w:tcPr>
            <w:tcW w:w="9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Approved Performance Measure</w:t>
            </w:r>
          </w:p>
        </w:tc>
        <w:tc>
          <w:tcPr>
            <w:tcW w:w="260" w:type="dxa"/>
            <w:vAlign w:val="bottom"/>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Weight</w:t>
            </w:r>
          </w:p>
        </w:tc>
      </w:tr>
      <w:tr>
        <w:trPr>
          <w:trHeight w:val="202"/>
        </w:trPr>
        <w:tc>
          <w:tcPr>
            <w:tcW w:w="9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Advance Our Pipeline</w:t>
            </w: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40%</w:t>
            </w:r>
          </w:p>
        </w:tc>
      </w:tr>
      <w:tr>
        <w:trPr>
          <w:trHeight w:val="203"/>
        </w:trPr>
        <w:tc>
          <w:tcPr>
            <w:tcW w:w="9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Drive Business Performance</w:t>
            </w:r>
          </w:p>
        </w:tc>
        <w:tc>
          <w:tcPr>
            <w:tcW w:w="1380" w:type="dxa"/>
            <w:vAlign w:val="bottom"/>
            <w:gridSpan w:val="2"/>
          </w:tcPr>
          <w:p>
            <w:pPr>
              <w:jc w:val="center"/>
              <w:ind w:left="199"/>
              <w:spacing w:after="0"/>
              <w:rPr>
                <w:sz w:val="20"/>
                <w:szCs w:val="20"/>
                <w:color w:val="auto"/>
              </w:rPr>
            </w:pPr>
            <w:r>
              <w:rPr>
                <w:rFonts w:ascii="Times New Roman" w:cs="Times New Roman" w:eastAsia="Times New Roman" w:hAnsi="Times New Roman"/>
                <w:sz w:val="16"/>
                <w:szCs w:val="16"/>
                <w:color w:val="auto"/>
              </w:rPr>
              <w:t>30%</w:t>
            </w:r>
          </w:p>
        </w:tc>
      </w:tr>
      <w:tr>
        <w:trPr>
          <w:trHeight w:val="203"/>
        </w:trPr>
        <w:tc>
          <w:tcPr>
            <w:tcW w:w="9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Drive Business Expansion</w:t>
            </w:r>
          </w:p>
        </w:tc>
        <w:tc>
          <w:tcPr>
            <w:tcW w:w="1380" w:type="dxa"/>
            <w:vAlign w:val="bottom"/>
            <w:gridSpan w:val="2"/>
            <w:shd w:val="clear" w:color="auto" w:fill="CCEEFF"/>
          </w:tcPr>
          <w:p>
            <w:pPr>
              <w:jc w:val="center"/>
              <w:ind w:left="199"/>
              <w:spacing w:after="0"/>
              <w:rPr>
                <w:sz w:val="20"/>
                <w:szCs w:val="20"/>
                <w:color w:val="auto"/>
              </w:rPr>
            </w:pPr>
            <w:r>
              <w:rPr>
                <w:rFonts w:ascii="Times New Roman" w:cs="Times New Roman" w:eastAsia="Times New Roman" w:hAnsi="Times New Roman"/>
                <w:sz w:val="16"/>
                <w:szCs w:val="16"/>
                <w:color w:val="auto"/>
              </w:rPr>
              <w:t>15%</w:t>
            </w:r>
          </w:p>
        </w:tc>
      </w:tr>
      <w:tr>
        <w:trPr>
          <w:trHeight w:val="210"/>
        </w:trPr>
        <w:tc>
          <w:tcPr>
            <w:tcW w:w="9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Increase Awareness of Our Science, Business, and Products</w:t>
            </w:r>
          </w:p>
        </w:tc>
        <w:tc>
          <w:tcPr>
            <w:tcW w:w="1380" w:type="dxa"/>
            <w:vAlign w:val="bottom"/>
            <w:gridSpan w:val="2"/>
          </w:tcPr>
          <w:p>
            <w:pPr>
              <w:jc w:val="center"/>
              <w:ind w:left="199"/>
              <w:spacing w:after="0"/>
              <w:rPr>
                <w:sz w:val="20"/>
                <w:szCs w:val="20"/>
                <w:color w:val="auto"/>
              </w:rPr>
            </w:pPr>
            <w:r>
              <w:rPr>
                <w:rFonts w:ascii="Times New Roman" w:cs="Times New Roman" w:eastAsia="Times New Roman" w:hAnsi="Times New Roman"/>
                <w:sz w:val="16"/>
                <w:szCs w:val="16"/>
                <w:color w:val="auto"/>
              </w:rPr>
              <w:t>15%</w:t>
            </w:r>
          </w:p>
        </w:tc>
      </w:tr>
    </w:tbl>
    <w:p>
      <w:pPr>
        <w:spacing w:after="0" w:line="181" w:lineRule="exact"/>
        <w:rPr>
          <w:sz w:val="20"/>
          <w:szCs w:val="20"/>
          <w:color w:val="auto"/>
        </w:rPr>
      </w:pPr>
    </w:p>
    <w:p>
      <w:pPr>
        <w:ind w:right="40" w:firstLine="374"/>
        <w:spacing w:after="0" w:line="263" w:lineRule="auto"/>
        <w:rPr>
          <w:sz w:val="20"/>
          <w:szCs w:val="20"/>
          <w:color w:val="auto"/>
        </w:rPr>
      </w:pPr>
      <w:r>
        <w:rPr>
          <w:rFonts w:ascii="Times New Roman" w:cs="Times New Roman" w:eastAsia="Times New Roman" w:hAnsi="Times New Roman"/>
          <w:sz w:val="16"/>
          <w:szCs w:val="16"/>
          <w:color w:val="auto"/>
        </w:rPr>
        <w:t>Based on its review of the Company’s performance and thoughtful deliberation around the efforts that drove that performance, the Compensation Committee approved payouts at 85% of target. The payout reflected the Company’s significant value-enhancing accomplishments, as well as accountability for the ongoing FDA review of the NDA for AXS-05.</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200" w:type="dxa"/>
            <w:vAlign w:val="bottom"/>
          </w:tcPr>
          <w:p>
            <w:pPr>
              <w:spacing w:after="0"/>
              <w:rPr>
                <w:sz w:val="12"/>
                <w:szCs w:val="12"/>
                <w:color w:val="auto"/>
              </w:rPr>
            </w:pPr>
          </w:p>
        </w:tc>
        <w:tc>
          <w:tcPr>
            <w:tcW w:w="1340" w:type="dxa"/>
            <w:vAlign w:val="bottom"/>
            <w:gridSpan w:val="2"/>
          </w:tcPr>
          <w:p>
            <w:pPr>
              <w:jc w:val="center"/>
              <w:ind w:left="337"/>
              <w:spacing w:after="0"/>
              <w:rPr>
                <w:sz w:val="20"/>
                <w:szCs w:val="20"/>
                <w:color w:val="auto"/>
              </w:rPr>
            </w:pPr>
            <w:r>
              <w:rPr>
                <w:rFonts w:ascii="Times New Roman" w:cs="Times New Roman" w:eastAsia="Times New Roman" w:hAnsi="Times New Roman"/>
                <w:sz w:val="13"/>
                <w:szCs w:val="13"/>
                <w:b w:val="1"/>
                <w:bCs w:val="1"/>
                <w:color w:val="auto"/>
                <w:w w:val="99"/>
              </w:rPr>
              <w:t>2021</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6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jc w:val="center"/>
              <w:ind w:left="237"/>
              <w:spacing w:after="0" w:line="128" w:lineRule="exact"/>
              <w:rPr>
                <w:sz w:val="20"/>
                <w:szCs w:val="20"/>
                <w:color w:val="auto"/>
              </w:rPr>
            </w:pPr>
            <w:r>
              <w:rPr>
                <w:rFonts w:ascii="Times New Roman" w:cs="Times New Roman" w:eastAsia="Times New Roman" w:hAnsi="Times New Roman"/>
                <w:sz w:val="13"/>
                <w:szCs w:val="13"/>
                <w:b w:val="1"/>
                <w:bCs w:val="1"/>
                <w:color w:val="auto"/>
                <w:w w:val="95"/>
              </w:rPr>
              <w:t>Target Bonus</w:t>
            </w: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vMerge w:val="restart"/>
          </w:tcPr>
          <w:p>
            <w:pPr>
              <w:jc w:val="center"/>
              <w:ind w:left="157"/>
              <w:spacing w:after="0"/>
              <w:rPr>
                <w:sz w:val="20"/>
                <w:szCs w:val="20"/>
                <w:color w:val="auto"/>
              </w:rPr>
            </w:pPr>
            <w:r>
              <w:rPr>
                <w:rFonts w:ascii="Times New Roman" w:cs="Times New Roman" w:eastAsia="Times New Roman" w:hAnsi="Times New Roman"/>
                <w:sz w:val="13"/>
                <w:szCs w:val="13"/>
                <w:b w:val="1"/>
                <w:bCs w:val="1"/>
                <w:color w:val="auto"/>
                <w:w w:val="97"/>
              </w:rPr>
              <w:t>Realization /</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vMerge w:val="restart"/>
          </w:tcPr>
          <w:p>
            <w:pPr>
              <w:jc w:val="right"/>
              <w:ind w:right="366"/>
              <w:spacing w:after="0"/>
              <w:rPr>
                <w:sz w:val="20"/>
                <w:szCs w:val="20"/>
                <w:color w:val="auto"/>
              </w:rPr>
            </w:pPr>
            <w:r>
              <w:rPr>
                <w:rFonts w:ascii="Times New Roman" w:cs="Times New Roman" w:eastAsia="Times New Roman" w:hAnsi="Times New Roman"/>
                <w:sz w:val="13"/>
                <w:szCs w:val="13"/>
                <w:b w:val="1"/>
                <w:bCs w:val="1"/>
                <w:color w:val="auto"/>
              </w:rPr>
              <w:t>Actual 2021</w:t>
            </w:r>
          </w:p>
        </w:tc>
        <w:tc>
          <w:tcPr>
            <w:tcW w:w="0" w:type="dxa"/>
            <w:vAlign w:val="bottom"/>
          </w:tcPr>
          <w:p>
            <w:pPr>
              <w:spacing w:after="0"/>
              <w:rPr>
                <w:sz w:val="1"/>
                <w:szCs w:val="1"/>
                <w:color w:val="auto"/>
              </w:rPr>
            </w:pPr>
          </w:p>
        </w:tc>
      </w:tr>
      <w:tr>
        <w:trPr>
          <w:trHeight w:val="128"/>
        </w:trPr>
        <w:tc>
          <w:tcPr>
            <w:tcW w:w="6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jc w:val="center"/>
              <w:ind w:left="217"/>
              <w:spacing w:after="0" w:line="128" w:lineRule="exact"/>
              <w:rPr>
                <w:sz w:val="20"/>
                <w:szCs w:val="20"/>
                <w:color w:val="auto"/>
              </w:rPr>
            </w:pPr>
            <w:r>
              <w:rPr>
                <w:rFonts w:ascii="Times New Roman" w:cs="Times New Roman" w:eastAsia="Times New Roman" w:hAnsi="Times New Roman"/>
                <w:sz w:val="13"/>
                <w:szCs w:val="13"/>
                <w:b w:val="1"/>
                <w:bCs w:val="1"/>
                <w:color w:val="auto"/>
                <w:w w:val="95"/>
              </w:rPr>
              <w:t>(% of Base</w:t>
            </w: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6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Name</w:t>
            </w:r>
          </w:p>
        </w:tc>
        <w:tc>
          <w:tcPr>
            <w:tcW w:w="120" w:type="dxa"/>
            <w:vAlign w:val="bottom"/>
          </w:tcPr>
          <w:p>
            <w:pPr>
              <w:spacing w:after="0"/>
              <w:rPr>
                <w:sz w:val="15"/>
                <w:szCs w:val="15"/>
                <w:color w:val="auto"/>
              </w:rPr>
            </w:pPr>
          </w:p>
        </w:tc>
        <w:tc>
          <w:tcPr>
            <w:tcW w:w="1220" w:type="dxa"/>
            <w:vAlign w:val="bottom"/>
            <w:tcBorders>
              <w:bottom w:val="single" w:sz="8" w:color="auto"/>
            </w:tcBorders>
          </w:tcPr>
          <w:p>
            <w:pPr>
              <w:jc w:val="center"/>
              <w:ind w:left="237"/>
              <w:spacing w:after="0"/>
              <w:rPr>
                <w:sz w:val="20"/>
                <w:szCs w:val="20"/>
                <w:color w:val="auto"/>
              </w:rPr>
            </w:pPr>
            <w:r>
              <w:rPr>
                <w:rFonts w:ascii="Times New Roman" w:cs="Times New Roman" w:eastAsia="Times New Roman" w:hAnsi="Times New Roman"/>
                <w:sz w:val="13"/>
                <w:szCs w:val="13"/>
                <w:b w:val="1"/>
                <w:bCs w:val="1"/>
                <w:color w:val="auto"/>
                <w:w w:val="98"/>
              </w:rPr>
              <w:t>Salary)</w:t>
            </w:r>
          </w:p>
        </w:tc>
        <w:tc>
          <w:tcPr>
            <w:tcW w:w="5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Borders>
              <w:bottom w:val="single" w:sz="8" w:color="auto"/>
            </w:tcBorders>
          </w:tcPr>
          <w:p>
            <w:pPr>
              <w:jc w:val="center"/>
              <w:ind w:left="177"/>
              <w:spacing w:after="0"/>
              <w:rPr>
                <w:sz w:val="20"/>
                <w:szCs w:val="20"/>
                <w:color w:val="auto"/>
              </w:rPr>
            </w:pPr>
            <w:r>
              <w:rPr>
                <w:rFonts w:ascii="Times New Roman" w:cs="Times New Roman" w:eastAsia="Times New Roman" w:hAnsi="Times New Roman"/>
                <w:sz w:val="13"/>
                <w:szCs w:val="13"/>
                <w:b w:val="1"/>
                <w:bCs w:val="1"/>
                <w:color w:val="auto"/>
                <w:w w:val="96"/>
              </w:rPr>
              <w:t>Payout (%)</w:t>
            </w:r>
          </w:p>
        </w:tc>
        <w:tc>
          <w:tcPr>
            <w:tcW w:w="4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26"/>
              <w:spacing w:after="0"/>
              <w:rPr>
                <w:sz w:val="20"/>
                <w:szCs w:val="20"/>
                <w:color w:val="auto"/>
              </w:rPr>
            </w:pPr>
            <w:r>
              <w:rPr>
                <w:rFonts w:ascii="Times New Roman" w:cs="Times New Roman" w:eastAsia="Times New Roman" w:hAnsi="Times New Roman"/>
                <w:sz w:val="13"/>
                <w:szCs w:val="13"/>
                <w:b w:val="1"/>
                <w:bCs w:val="1"/>
                <w:color w:val="auto"/>
              </w:rPr>
              <w:t>Bonus ($)</w:t>
            </w:r>
          </w:p>
        </w:tc>
        <w:tc>
          <w:tcPr>
            <w:tcW w:w="0" w:type="dxa"/>
            <w:vAlign w:val="bottom"/>
          </w:tcPr>
          <w:p>
            <w:pPr>
              <w:spacing w:after="0"/>
              <w:rPr>
                <w:sz w:val="1"/>
                <w:szCs w:val="1"/>
                <w:color w:val="auto"/>
              </w:rPr>
            </w:pPr>
          </w:p>
        </w:tc>
      </w:tr>
      <w:tr>
        <w:trPr>
          <w:trHeight w:val="203"/>
        </w:trPr>
        <w:tc>
          <w:tcPr>
            <w:tcW w:w="6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Herriot Tabuteau, M.D.</w:t>
            </w:r>
          </w:p>
        </w:tc>
        <w:tc>
          <w:tcPr>
            <w:tcW w:w="1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54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60 %</w:t>
            </w: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85 %</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6"/>
                <w:szCs w:val="16"/>
                <w:color w:val="auto"/>
              </w:rPr>
              <w:t>349,350</w:t>
            </w:r>
          </w:p>
        </w:tc>
        <w:tc>
          <w:tcPr>
            <w:tcW w:w="0" w:type="dxa"/>
            <w:vAlign w:val="bottom"/>
          </w:tcPr>
          <w:p>
            <w:pPr>
              <w:spacing w:after="0"/>
              <w:rPr>
                <w:sz w:val="1"/>
                <w:szCs w:val="1"/>
                <w:color w:val="auto"/>
              </w:rPr>
            </w:pPr>
          </w:p>
        </w:tc>
      </w:tr>
      <w:tr>
        <w:trPr>
          <w:trHeight w:val="203"/>
        </w:trPr>
        <w:tc>
          <w:tcPr>
            <w:tcW w:w="6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Nick Pizzie, C.P.A., M.B.A.</w:t>
            </w: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40 %</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85 %</w:t>
            </w:r>
          </w:p>
        </w:tc>
        <w:tc>
          <w:tcPr>
            <w:tcW w:w="3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6"/>
              <w:spacing w:after="0"/>
              <w:rPr>
                <w:sz w:val="20"/>
                <w:szCs w:val="20"/>
                <w:color w:val="auto"/>
              </w:rPr>
            </w:pPr>
            <w:r>
              <w:rPr>
                <w:rFonts w:ascii="Times New Roman" w:cs="Times New Roman" w:eastAsia="Times New Roman" w:hAnsi="Times New Roman"/>
                <w:sz w:val="16"/>
                <w:szCs w:val="16"/>
                <w:color w:val="auto"/>
              </w:rPr>
              <w:t>139,060</w:t>
            </w:r>
          </w:p>
        </w:tc>
        <w:tc>
          <w:tcPr>
            <w:tcW w:w="0" w:type="dxa"/>
            <w:vAlign w:val="bottom"/>
          </w:tcPr>
          <w:p>
            <w:pPr>
              <w:spacing w:after="0"/>
              <w:rPr>
                <w:sz w:val="1"/>
                <w:szCs w:val="1"/>
                <w:color w:val="auto"/>
              </w:rPr>
            </w:pPr>
          </w:p>
        </w:tc>
      </w:tr>
      <w:tr>
        <w:trPr>
          <w:trHeight w:val="203"/>
        </w:trPr>
        <w:tc>
          <w:tcPr>
            <w:tcW w:w="6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Mark Jacobson, M.A.</w:t>
            </w:r>
          </w:p>
        </w:tc>
        <w:tc>
          <w:tcPr>
            <w:tcW w:w="1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54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40 %</w:t>
            </w: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85 %</w:t>
            </w:r>
          </w:p>
        </w:tc>
        <w:tc>
          <w:tcPr>
            <w:tcW w:w="34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6"/>
                <w:szCs w:val="16"/>
                <w:color w:val="auto"/>
              </w:rPr>
              <w:t>139,060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563C1"/>
        </w:rPr>
        <w:t>TABLE OF CONTENTS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The corporate goals and objectives for the 2022 calendar year are based on meeting certain goals with respect to our operational performance as follows:</w:t>
      </w:r>
    </w:p>
    <w:p>
      <w:pPr>
        <w:spacing w:after="0" w:line="219" w:lineRule="exact"/>
        <w:rPr>
          <w:sz w:val="20"/>
          <w:szCs w:val="20"/>
          <w:color w:val="auto"/>
        </w:rPr>
      </w:pPr>
    </w:p>
    <w:tbl>
      <w:tblPr>
        <w:tblLayout w:type="fixed"/>
        <w:tblInd w:w="340" w:type="dxa"/>
        <w:tblCellMar>
          <w:top w:w="0" w:type="dxa"/>
          <w:left w:w="0" w:type="dxa"/>
          <w:bottom w:w="0" w:type="dxa"/>
          <w:right w:w="0" w:type="dxa"/>
        </w:tblCellMar>
      </w:tblPr>
      <w:tr>
        <w:trPr>
          <w:trHeight w:val="212"/>
        </w:trPr>
        <w:tc>
          <w:tcPr>
            <w:tcW w:w="9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Approved Performance Measure</w:t>
            </w:r>
          </w:p>
        </w:tc>
        <w:tc>
          <w:tcPr>
            <w:tcW w:w="260" w:type="dxa"/>
            <w:vAlign w:val="bottom"/>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Weight</w:t>
            </w:r>
          </w:p>
        </w:tc>
      </w:tr>
      <w:tr>
        <w:trPr>
          <w:trHeight w:val="202"/>
        </w:trPr>
        <w:tc>
          <w:tcPr>
            <w:tcW w:w="9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Advance Our Pipeline</w:t>
            </w: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30%</w:t>
            </w:r>
          </w:p>
        </w:tc>
      </w:tr>
      <w:tr>
        <w:trPr>
          <w:trHeight w:val="203"/>
        </w:trPr>
        <w:tc>
          <w:tcPr>
            <w:tcW w:w="9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Drive Business Performance</w:t>
            </w:r>
          </w:p>
        </w:tc>
        <w:tc>
          <w:tcPr>
            <w:tcW w:w="1380" w:type="dxa"/>
            <w:vAlign w:val="bottom"/>
            <w:gridSpan w:val="2"/>
          </w:tcPr>
          <w:p>
            <w:pPr>
              <w:jc w:val="center"/>
              <w:ind w:left="199"/>
              <w:spacing w:after="0"/>
              <w:rPr>
                <w:sz w:val="20"/>
                <w:szCs w:val="20"/>
                <w:color w:val="auto"/>
              </w:rPr>
            </w:pPr>
            <w:r>
              <w:rPr>
                <w:rFonts w:ascii="Times New Roman" w:cs="Times New Roman" w:eastAsia="Times New Roman" w:hAnsi="Times New Roman"/>
                <w:sz w:val="16"/>
                <w:szCs w:val="16"/>
                <w:color w:val="auto"/>
              </w:rPr>
              <w:t>30%</w:t>
            </w:r>
          </w:p>
        </w:tc>
      </w:tr>
      <w:tr>
        <w:trPr>
          <w:trHeight w:val="203"/>
        </w:trPr>
        <w:tc>
          <w:tcPr>
            <w:tcW w:w="9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Drive Business Expansion</w:t>
            </w:r>
          </w:p>
        </w:tc>
        <w:tc>
          <w:tcPr>
            <w:tcW w:w="1380" w:type="dxa"/>
            <w:vAlign w:val="bottom"/>
            <w:gridSpan w:val="2"/>
            <w:shd w:val="clear" w:color="auto" w:fill="CCEEFF"/>
          </w:tcPr>
          <w:p>
            <w:pPr>
              <w:jc w:val="center"/>
              <w:ind w:left="199"/>
              <w:spacing w:after="0"/>
              <w:rPr>
                <w:sz w:val="20"/>
                <w:szCs w:val="20"/>
                <w:color w:val="auto"/>
              </w:rPr>
            </w:pPr>
            <w:r>
              <w:rPr>
                <w:rFonts w:ascii="Times New Roman" w:cs="Times New Roman" w:eastAsia="Times New Roman" w:hAnsi="Times New Roman"/>
                <w:sz w:val="16"/>
                <w:szCs w:val="16"/>
                <w:color w:val="auto"/>
              </w:rPr>
              <w:t>20%</w:t>
            </w:r>
          </w:p>
        </w:tc>
      </w:tr>
      <w:tr>
        <w:trPr>
          <w:trHeight w:val="210"/>
        </w:trPr>
        <w:tc>
          <w:tcPr>
            <w:tcW w:w="9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Increase Awareness of Our Science, Business, and Products</w:t>
            </w:r>
          </w:p>
        </w:tc>
        <w:tc>
          <w:tcPr>
            <w:tcW w:w="1380" w:type="dxa"/>
            <w:vAlign w:val="bottom"/>
            <w:gridSpan w:val="2"/>
          </w:tcPr>
          <w:p>
            <w:pPr>
              <w:jc w:val="center"/>
              <w:ind w:left="199"/>
              <w:spacing w:after="0"/>
              <w:rPr>
                <w:sz w:val="20"/>
                <w:szCs w:val="20"/>
                <w:color w:val="auto"/>
              </w:rPr>
            </w:pPr>
            <w:r>
              <w:rPr>
                <w:rFonts w:ascii="Times New Roman" w:cs="Times New Roman" w:eastAsia="Times New Roman" w:hAnsi="Times New Roman"/>
                <w:sz w:val="16"/>
                <w:szCs w:val="16"/>
                <w:color w:val="auto"/>
              </w:rPr>
              <w:t>20%</w:t>
            </w: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Equity Incentive Compensation</w:t>
      </w:r>
    </w:p>
    <w:p>
      <w:pPr>
        <w:spacing w:after="0" w:line="102" w:lineRule="exact"/>
        <w:rPr>
          <w:sz w:val="20"/>
          <w:szCs w:val="20"/>
          <w:color w:val="auto"/>
        </w:rPr>
      </w:pPr>
    </w:p>
    <w:p>
      <w:pPr>
        <w:ind w:right="20" w:firstLine="374"/>
        <w:spacing w:after="0" w:line="258" w:lineRule="auto"/>
        <w:rPr>
          <w:sz w:val="20"/>
          <w:szCs w:val="20"/>
          <w:color w:val="auto"/>
        </w:rPr>
      </w:pPr>
      <w:r>
        <w:rPr>
          <w:rFonts w:ascii="Times New Roman" w:cs="Times New Roman" w:eastAsia="Times New Roman" w:hAnsi="Times New Roman"/>
          <w:sz w:val="16"/>
          <w:szCs w:val="16"/>
          <w:color w:val="auto"/>
        </w:rPr>
        <w:t>We believe that successful long-term corporate performance is more likely to be achieved with a corporate culture that encourages a long-term focus by our NEOs and other employees through the use of equity awards, the value of which depends on our stock performance. We established our Amended and Restated 2015 Omnibus Incentive Plan to provide all of our employees, including our NEOs, with incentives to help align our employees’ interests with the interests of our stockholders and to enable them to participate in the long-term appreciation of our stockholder value.</w:t>
      </w:r>
    </w:p>
    <w:p>
      <w:pPr>
        <w:spacing w:after="0" w:line="7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Additionally, equity awards provide an important retention tool for all employees, as the awards generally vest over four years following the grant date.</w:t>
      </w:r>
    </w:p>
    <w:p>
      <w:pPr>
        <w:spacing w:after="0" w:line="100" w:lineRule="exact"/>
        <w:rPr>
          <w:sz w:val="20"/>
          <w:szCs w:val="20"/>
          <w:color w:val="auto"/>
        </w:rPr>
      </w:pPr>
    </w:p>
    <w:p>
      <w:pPr>
        <w:ind w:firstLine="374"/>
        <w:spacing w:after="0" w:line="280" w:lineRule="auto"/>
        <w:rPr>
          <w:sz w:val="20"/>
          <w:szCs w:val="20"/>
          <w:color w:val="auto"/>
        </w:rPr>
      </w:pPr>
      <w:r>
        <w:rPr>
          <w:rFonts w:ascii="Times New Roman" w:cs="Times New Roman" w:eastAsia="Times New Roman" w:hAnsi="Times New Roman"/>
          <w:sz w:val="16"/>
          <w:szCs w:val="16"/>
          <w:color w:val="auto"/>
        </w:rPr>
        <w:t>Typically, we grant equity awards upon an employee’s hire. In addition, equity awards may also be granted on an annual or more frequent basis depending on position, performance, and tenure at the Company.</w:t>
      </w:r>
    </w:p>
    <w:p>
      <w:pPr>
        <w:spacing w:after="0" w:line="57" w:lineRule="exact"/>
        <w:rPr>
          <w:sz w:val="20"/>
          <w:szCs w:val="20"/>
          <w:color w:val="auto"/>
        </w:rPr>
      </w:pPr>
    </w:p>
    <w:p>
      <w:pPr>
        <w:ind w:firstLine="374"/>
        <w:spacing w:after="0" w:line="249" w:lineRule="auto"/>
        <w:rPr>
          <w:sz w:val="20"/>
          <w:szCs w:val="20"/>
          <w:color w:val="auto"/>
        </w:rPr>
      </w:pPr>
      <w:r>
        <w:rPr>
          <w:rFonts w:ascii="Times New Roman" w:cs="Times New Roman" w:eastAsia="Times New Roman" w:hAnsi="Times New Roman"/>
          <w:sz w:val="16"/>
          <w:szCs w:val="16"/>
          <w:color w:val="auto"/>
        </w:rPr>
        <w:t>The determination of whether to grant equity, as well as the size of such grants, to our NEOs involves subjective assessments by the Compensation Committee and our Board of Directors and, with respect to NEOs other than himself, our CEO. Generally, annual equity awards are driven by our desire to retain and motivate our NEOs, and we consider individual performance and contributions during the preceding year to the extent the Compensation Committee and our Board of Directors believe such factors are relevant. As with base salary and cash bonuses, in evaluating and determining equity grants to our NEOs, the Compensation Committee and our Board of Directors also consider publicly available data prepared by FW Cook at the request of the Compensation Committee from other similar companies identified by the Compensation Committee.</w:t>
      </w:r>
    </w:p>
    <w:p>
      <w:pPr>
        <w:spacing w:after="0" w:line="83" w:lineRule="exact"/>
        <w:rPr>
          <w:sz w:val="20"/>
          <w:szCs w:val="20"/>
          <w:color w:val="auto"/>
        </w:rPr>
      </w:pPr>
    </w:p>
    <w:p>
      <w:pPr>
        <w:ind w:right="20" w:firstLine="374"/>
        <w:spacing w:after="0" w:line="249" w:lineRule="auto"/>
        <w:rPr>
          <w:sz w:val="20"/>
          <w:szCs w:val="20"/>
          <w:color w:val="auto"/>
        </w:rPr>
      </w:pPr>
      <w:r>
        <w:rPr>
          <w:rFonts w:ascii="Times New Roman" w:cs="Times New Roman" w:eastAsia="Times New Roman" w:hAnsi="Times New Roman"/>
          <w:sz w:val="16"/>
          <w:szCs w:val="16"/>
          <w:color w:val="auto"/>
        </w:rPr>
        <w:t>We have no program, practice, or plan to grant equity awards in coordination with the release of material nonpublic information. We also have not timed the release of material nonpublic information for the purpose of affecting the value of equity awards or other compensation, and we have no plan to do so. Generally, the Compensation Committee approves the grant of annual equity awards to our NEOs on the third trading day following the filing of our Annual Report on Form 10-K. Additionally, our option and restricted stock unit (“RSU”) awards are subject to adjustment or recovery in connection with any breach of any restrictive covenant agreement between the recipient and the Company or if the participant otherwise engages in activities that constitute “cause” either while employed by, or providing service to, the Company or within a specified period of time thereafter. All equity awards are also subject to our insider trading policy and shall be subject to any applicable clawback or recoupment policies, additional share trading policies, or other policies that may be implemented by the Board from time to time.</w:t>
      </w:r>
    </w:p>
    <w:p>
      <w:pPr>
        <w:spacing w:after="0" w:line="68" w:lineRule="exact"/>
        <w:rPr>
          <w:sz w:val="20"/>
          <w:szCs w:val="20"/>
          <w:color w:val="auto"/>
        </w:rPr>
      </w:pPr>
    </w:p>
    <w:p>
      <w:pPr>
        <w:ind w:right="40" w:firstLine="374"/>
        <w:spacing w:after="0" w:line="246" w:lineRule="auto"/>
        <w:rPr>
          <w:sz w:val="20"/>
          <w:szCs w:val="20"/>
          <w:color w:val="auto"/>
        </w:rPr>
      </w:pPr>
      <w:r>
        <w:rPr>
          <w:rFonts w:ascii="Times New Roman" w:cs="Times New Roman" w:eastAsia="Times New Roman" w:hAnsi="Times New Roman"/>
          <w:sz w:val="16"/>
          <w:szCs w:val="16"/>
          <w:color w:val="auto"/>
        </w:rPr>
        <w:t>For 2021, the Compensation Committee approved annual equity awards to NEOs. To promote retention and provide a balanced portfolio of equity vehicles, as well as to better align with practices of companies with similar market capitalizations to our size as of the time of approval, the Compensation Committee determined to award a portion of the annual equity awards in the form of restricted stock units, or RSUs, as well as stock options. The NEOs’ annual equity grants were comprised of approximately 33% RSUs and 67% stock options, based on their grant date fair values. The RSUs vest in four even annual increments beginning on the first anniversary of grant. Additionally, the vested RSUs are subject to a post-vest holding period whereby the vested shares are delivered seven years after the date of grant. The stock options vest in 16 even quarterly increments over four years and have a ten-year term. These equity awards were granted on the fourth trading day following the filing of our Annual Report on Form 10-K, which was filed with the SEC on March 1, 2021. As such, the exercise price of $65.02 per share of the options was the closing price of our common stock on March 5, 2021. In addition, in November 2021, the Compensation Committee, in consideration of market dynamics driven by continued industry-wide regulatory disruptions, determined to make a one-time award in the form of stock options to all employees excluding the CEO to motivate and retain employees during a critical time for the Company. Such options had an exercise price of $39.26 per share and vest 25% on the first anniversary of grant and then in substantially equal quarterly installments over three years thereafter. The grants to the NEOs are included below:</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563C1"/>
        </w:rPr>
        <w:t>TABLE OF CONTENTS</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jc w:val="right"/>
              <w:ind w:right="231"/>
              <w:spacing w:after="0"/>
              <w:rPr>
                <w:sz w:val="20"/>
                <w:szCs w:val="20"/>
                <w:color w:val="auto"/>
              </w:rPr>
            </w:pPr>
            <w:r>
              <w:rPr>
                <w:rFonts w:ascii="Times New Roman" w:cs="Times New Roman" w:eastAsia="Times New Roman" w:hAnsi="Times New Roman"/>
                <w:sz w:val="13"/>
                <w:szCs w:val="13"/>
                <w:b w:val="1"/>
                <w:bCs w:val="1"/>
                <w:color w:val="auto"/>
              </w:rPr>
              <w:t>Stock Options</w:t>
            </w:r>
          </w:p>
        </w:tc>
        <w:tc>
          <w:tcPr>
            <w:tcW w:w="100" w:type="dxa"/>
            <w:vAlign w:val="bottom"/>
          </w:tcPr>
          <w:p>
            <w:pPr>
              <w:spacing w:after="0"/>
              <w:rPr>
                <w:sz w:val="12"/>
                <w:szCs w:val="12"/>
                <w:color w:val="auto"/>
              </w:rPr>
            </w:pPr>
          </w:p>
        </w:tc>
        <w:tc>
          <w:tcPr>
            <w:tcW w:w="1460" w:type="dxa"/>
            <w:vAlign w:val="bottom"/>
          </w:tcPr>
          <w:p>
            <w:pPr>
              <w:jc w:val="right"/>
              <w:ind w:right="506"/>
              <w:spacing w:after="0"/>
              <w:rPr>
                <w:sz w:val="20"/>
                <w:szCs w:val="20"/>
                <w:color w:val="auto"/>
              </w:rPr>
            </w:pPr>
            <w:r>
              <w:rPr>
                <w:rFonts w:ascii="Times New Roman" w:cs="Times New Roman" w:eastAsia="Times New Roman" w:hAnsi="Times New Roman"/>
                <w:sz w:val="13"/>
                <w:szCs w:val="13"/>
                <w:b w:val="1"/>
                <w:bCs w:val="1"/>
                <w:color w:val="auto"/>
              </w:rPr>
              <w:t>RSUs</w:t>
            </w:r>
          </w:p>
        </w:tc>
      </w:tr>
      <w:tr>
        <w:trPr>
          <w:trHeight w:val="176"/>
        </w:trPr>
        <w:tc>
          <w:tcPr>
            <w:tcW w:w="4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Name</w:t>
            </w:r>
          </w:p>
        </w:tc>
        <w:tc>
          <w:tcPr>
            <w:tcW w:w="120" w:type="dxa"/>
            <w:vAlign w:val="bottom"/>
          </w:tcPr>
          <w:p>
            <w:pPr>
              <w:spacing w:after="0"/>
              <w:rPr>
                <w:sz w:val="15"/>
                <w:szCs w:val="15"/>
                <w:color w:val="auto"/>
              </w:rPr>
            </w:pPr>
          </w:p>
        </w:tc>
        <w:tc>
          <w:tcPr>
            <w:tcW w:w="124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3"/>
                <w:szCs w:val="13"/>
                <w:b w:val="1"/>
                <w:bCs w:val="1"/>
                <w:color w:val="auto"/>
              </w:rPr>
              <w:t>Grant Date</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13"/>
                <w:szCs w:val="13"/>
                <w:b w:val="1"/>
                <w:bCs w:val="1"/>
                <w:color w:val="auto"/>
              </w:rPr>
              <w:t>Grant Date Fair Value</w:t>
            </w:r>
          </w:p>
        </w:tc>
        <w:tc>
          <w:tcPr>
            <w:tcW w:w="120" w:type="dxa"/>
            <w:vAlign w:val="bottom"/>
          </w:tcPr>
          <w:p>
            <w:pPr>
              <w:spacing w:after="0"/>
              <w:rPr>
                <w:sz w:val="15"/>
                <w:szCs w:val="15"/>
                <w:color w:val="auto"/>
              </w:rPr>
            </w:pPr>
          </w:p>
        </w:tc>
        <w:tc>
          <w:tcPr>
            <w:tcW w:w="134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3"/>
                <w:szCs w:val="13"/>
                <w:b w:val="1"/>
                <w:bCs w:val="1"/>
                <w:color w:val="auto"/>
              </w:rPr>
              <w:t>Granted</w:t>
            </w:r>
          </w:p>
        </w:tc>
        <w:tc>
          <w:tcPr>
            <w:tcW w:w="100" w:type="dxa"/>
            <w:vAlign w:val="bottom"/>
          </w:tcPr>
          <w:p>
            <w:pPr>
              <w:spacing w:after="0"/>
              <w:rPr>
                <w:sz w:val="15"/>
                <w:szCs w:val="15"/>
                <w:color w:val="auto"/>
              </w:rPr>
            </w:pPr>
          </w:p>
        </w:tc>
        <w:tc>
          <w:tcPr>
            <w:tcW w:w="1460" w:type="dxa"/>
            <w:vAlign w:val="bottom"/>
            <w:tcBorders>
              <w:bottom w:val="single" w:sz="8" w:color="auto"/>
            </w:tcBorders>
          </w:tcPr>
          <w:p>
            <w:pPr>
              <w:jc w:val="right"/>
              <w:ind w:right="426"/>
              <w:spacing w:after="0"/>
              <w:rPr>
                <w:sz w:val="20"/>
                <w:szCs w:val="20"/>
                <w:color w:val="auto"/>
              </w:rPr>
            </w:pPr>
            <w:r>
              <w:rPr>
                <w:rFonts w:ascii="Times New Roman" w:cs="Times New Roman" w:eastAsia="Times New Roman" w:hAnsi="Times New Roman"/>
                <w:sz w:val="13"/>
                <w:szCs w:val="13"/>
                <w:b w:val="1"/>
                <w:bCs w:val="1"/>
                <w:color w:val="auto"/>
              </w:rPr>
              <w:t>Granted</w:t>
            </w:r>
          </w:p>
        </w:tc>
      </w:tr>
      <w:tr>
        <w:trPr>
          <w:trHeight w:val="203"/>
        </w:trPr>
        <w:tc>
          <w:tcPr>
            <w:tcW w:w="4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Herriot Tabuteau, M.D.</w:t>
            </w:r>
          </w:p>
        </w:tc>
        <w:tc>
          <w:tcPr>
            <w:tcW w:w="12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3/5/2021</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6,999,606</w:t>
            </w:r>
          </w:p>
        </w:tc>
        <w:tc>
          <w:tcPr>
            <w:tcW w:w="1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97,155</w:t>
            </w: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51,715</w:t>
            </w:r>
          </w:p>
        </w:tc>
      </w:tr>
      <w:tr>
        <w:trPr>
          <w:trHeight w:val="189"/>
        </w:trPr>
        <w:tc>
          <w:tcPr>
            <w:tcW w:w="4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Nick Pizzie, C.P.A., M.B.A.</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3/5/2021</w:t>
            </w:r>
          </w:p>
        </w:tc>
        <w:tc>
          <w:tcPr>
            <w:tcW w:w="3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2,599,828</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36,086</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19,208</w:t>
            </w:r>
          </w:p>
        </w:tc>
      </w:tr>
      <w:tr>
        <w:trPr>
          <w:trHeight w:val="213"/>
        </w:trPr>
        <w:tc>
          <w:tcPr>
            <w:tcW w:w="496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11/12/2021</w:t>
            </w:r>
          </w:p>
        </w:tc>
        <w:tc>
          <w:tcPr>
            <w:tcW w:w="3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1,074,912</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36,086</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4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Mark Jacobson, M.A.</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3/5/2021</w:t>
            </w:r>
          </w:p>
        </w:tc>
        <w:tc>
          <w:tcPr>
            <w:tcW w:w="32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2,999,811</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41,638</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22,163</w:t>
            </w:r>
          </w:p>
        </w:tc>
      </w:tr>
      <w:tr>
        <w:trPr>
          <w:trHeight w:val="203"/>
        </w:trPr>
        <w:tc>
          <w:tcPr>
            <w:tcW w:w="496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11/12/2021</w:t>
            </w:r>
          </w:p>
        </w:tc>
        <w:tc>
          <w:tcPr>
            <w:tcW w:w="32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1,240,293</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41,638</w:t>
            </w: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Other Aspects of Our Compensation Program</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Retirement Plans, Perquisites and Other Personal Benefits</w:t>
      </w:r>
    </w:p>
    <w:p>
      <w:pPr>
        <w:spacing w:after="0" w:line="115" w:lineRule="exact"/>
        <w:rPr>
          <w:sz w:val="20"/>
          <w:szCs w:val="20"/>
          <w:color w:val="auto"/>
        </w:rPr>
      </w:pPr>
    </w:p>
    <w:p>
      <w:pPr>
        <w:ind w:right="500" w:firstLine="374"/>
        <w:spacing w:after="0" w:line="280" w:lineRule="auto"/>
        <w:rPr>
          <w:sz w:val="20"/>
          <w:szCs w:val="20"/>
          <w:color w:val="auto"/>
        </w:rPr>
      </w:pPr>
      <w:r>
        <w:rPr>
          <w:rFonts w:ascii="Times New Roman" w:cs="Times New Roman" w:eastAsia="Times New Roman" w:hAnsi="Times New Roman"/>
          <w:sz w:val="16"/>
          <w:szCs w:val="16"/>
          <w:color w:val="auto"/>
        </w:rPr>
        <w:t>Our NEOs are eligible to participate in the employee benefit plans on the same terms and conditions as they are available to our other regular employees. These benefits include medical, dental, vision, disability and life insurance, flexible spending accounts, and a 401(k) plan.</w:t>
      </w:r>
    </w:p>
    <w:p>
      <w:pPr>
        <w:spacing w:after="0" w:line="57" w:lineRule="exact"/>
        <w:rPr>
          <w:sz w:val="20"/>
          <w:szCs w:val="20"/>
          <w:color w:val="auto"/>
        </w:rPr>
      </w:pPr>
    </w:p>
    <w:p>
      <w:pPr>
        <w:ind w:right="260" w:firstLine="374"/>
        <w:spacing w:after="0" w:line="254" w:lineRule="auto"/>
        <w:rPr>
          <w:sz w:val="20"/>
          <w:szCs w:val="20"/>
          <w:color w:val="auto"/>
        </w:rPr>
      </w:pPr>
      <w:r>
        <w:rPr>
          <w:rFonts w:ascii="Times New Roman" w:cs="Times New Roman" w:eastAsia="Times New Roman" w:hAnsi="Times New Roman"/>
          <w:sz w:val="16"/>
          <w:szCs w:val="16"/>
          <w:color w:val="auto"/>
        </w:rPr>
        <w:t>Under the tax-qualified employee savings and retirement plan, our 401(k) plan, all eligible U.S. employees, including our NEOs, may elect to defer a percentage of their eligible compensation, subject to the annual IRS limit. Beginning in 2021, we match 50% of a participant's contributions to the 401(k) plan of the first 6% of their eligible compensation up to an annual maximum of $5,000.</w:t>
      </w:r>
    </w:p>
    <w:p>
      <w:pPr>
        <w:spacing w:after="0" w:line="77" w:lineRule="exact"/>
        <w:rPr>
          <w:sz w:val="20"/>
          <w:szCs w:val="20"/>
          <w:color w:val="auto"/>
        </w:rPr>
      </w:pPr>
    </w:p>
    <w:p>
      <w:pPr>
        <w:ind w:right="280" w:firstLine="374"/>
        <w:spacing w:after="0" w:line="280" w:lineRule="auto"/>
        <w:rPr>
          <w:sz w:val="20"/>
          <w:szCs w:val="20"/>
          <w:color w:val="auto"/>
        </w:rPr>
      </w:pPr>
      <w:r>
        <w:rPr>
          <w:rFonts w:ascii="Times New Roman" w:cs="Times New Roman" w:eastAsia="Times New Roman" w:hAnsi="Times New Roman"/>
          <w:sz w:val="16"/>
          <w:szCs w:val="16"/>
          <w:color w:val="auto"/>
        </w:rPr>
        <w:t>We do not provide perquisites or other personal benefits to our NEOs other than those that we provide to our employees. We do not provide any tax reimbursement payments (including “gross-ups”) on any personal benefits, except in the case of certain relocation benefits.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Severance Agreements</w:t>
      </w:r>
    </w:p>
    <w:p>
      <w:pPr>
        <w:spacing w:after="0" w:line="102" w:lineRule="exact"/>
        <w:rPr>
          <w:sz w:val="20"/>
          <w:szCs w:val="20"/>
          <w:color w:val="auto"/>
        </w:rPr>
      </w:pPr>
    </w:p>
    <w:p>
      <w:pPr>
        <w:ind w:right="40" w:firstLine="374"/>
        <w:spacing w:after="0" w:line="263" w:lineRule="auto"/>
        <w:rPr>
          <w:sz w:val="20"/>
          <w:szCs w:val="20"/>
          <w:color w:val="auto"/>
        </w:rPr>
      </w:pPr>
      <w:r>
        <w:rPr>
          <w:rFonts w:ascii="Times New Roman" w:cs="Times New Roman" w:eastAsia="Times New Roman" w:hAnsi="Times New Roman"/>
          <w:sz w:val="16"/>
          <w:szCs w:val="16"/>
          <w:color w:val="auto"/>
        </w:rPr>
        <w:t>Our Chief Financial Officer, Nick Pizzie, has included in his employment agreement that in the event we terminate his employment without cause within 12 months of a change in control of the Company, he will be eligible to receive severance payments equal to six months of his then existing base salary. Our other NEOs are not party to employment agreements with the Company.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Insider Trading Policy</w:t>
      </w:r>
    </w:p>
    <w:p>
      <w:pPr>
        <w:spacing w:after="0" w:line="102" w:lineRule="exact"/>
        <w:rPr>
          <w:sz w:val="20"/>
          <w:szCs w:val="20"/>
          <w:color w:val="auto"/>
        </w:rPr>
      </w:pPr>
    </w:p>
    <w:p>
      <w:pPr>
        <w:ind w:firstLine="374"/>
        <w:spacing w:after="0" w:line="249" w:lineRule="auto"/>
        <w:rPr>
          <w:sz w:val="20"/>
          <w:szCs w:val="20"/>
          <w:color w:val="auto"/>
        </w:rPr>
      </w:pPr>
      <w:r>
        <w:rPr>
          <w:rFonts w:ascii="Times New Roman" w:cs="Times New Roman" w:eastAsia="Times New Roman" w:hAnsi="Times New Roman"/>
          <w:sz w:val="16"/>
          <w:szCs w:val="16"/>
          <w:color w:val="auto"/>
        </w:rPr>
        <w:t>Our insider trading policy prohibits short sales and derivative transactions of our stock by our named executive officers, directors and all of our employees, including short sales of our securities, including short sales “against the box”; purchases or sales of puts, calls or other derivative securities of the Company or any derivative securities that provide the economic equivalent of ownership of any of our securities or an opportunity, direct or indirect, to profit from any change in the value of our securities; or other hedging or monetization transactions accomplished through the use of prepaid variable forwards, equity swaps, collars and exchange funds. In addition, our insider trading policy prohibits our named executive officers, directors and all of our employees from purchasing our securities on margin, borrowing against Company securities held in a margin account, or pledging our securities as collateral for a loan.</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Clawback and Forfeiture</w:t>
      </w:r>
    </w:p>
    <w:p>
      <w:pPr>
        <w:spacing w:after="0" w:line="115" w:lineRule="exact"/>
        <w:rPr>
          <w:sz w:val="20"/>
          <w:szCs w:val="20"/>
          <w:color w:val="auto"/>
        </w:rPr>
      </w:pPr>
    </w:p>
    <w:p>
      <w:pPr>
        <w:ind w:right="40" w:firstLine="374"/>
        <w:spacing w:after="0" w:line="249" w:lineRule="auto"/>
        <w:rPr>
          <w:sz w:val="20"/>
          <w:szCs w:val="20"/>
          <w:color w:val="auto"/>
        </w:rPr>
      </w:pPr>
      <w:r>
        <w:rPr>
          <w:rFonts w:ascii="Times New Roman" w:cs="Times New Roman" w:eastAsia="Times New Roman" w:hAnsi="Times New Roman"/>
          <w:sz w:val="16"/>
          <w:szCs w:val="16"/>
          <w:color w:val="auto"/>
        </w:rPr>
        <w:t>Our equity awards provide that if a plan participant breaches any restrictive covenant agreement with the Company or otherwise engages in activities that constitute “cause” (as defined in the agreements) either while employed or within two years after employment, the applicable award will terminate, and the Company may rescind any stock option exercise or vesting or settlement of shares subject to other awards, on such terms as the Committee determines, including the right to require that in the event of any such rescission, the participant return to the Company the shares received upon the exercise or settlement, or pay to the Company the amount of any gain realized or payment received as a result of any sale or other disposition of the shares, net of the price originally paid by the participant for the shares. Our equity awards are also subject to any future clawback or recoupment policies that may be implemented by the Board from time to time.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Compensation Committee Interlocks and Insider Participation</w:t>
      </w:r>
    </w:p>
    <w:p>
      <w:pPr>
        <w:spacing w:after="0" w:line="115" w:lineRule="exact"/>
        <w:rPr>
          <w:sz w:val="20"/>
          <w:szCs w:val="20"/>
          <w:color w:val="auto"/>
        </w:rPr>
      </w:pPr>
    </w:p>
    <w:p>
      <w:pPr>
        <w:ind w:right="320" w:firstLine="374"/>
        <w:spacing w:after="0" w:line="263" w:lineRule="auto"/>
        <w:rPr>
          <w:sz w:val="20"/>
          <w:szCs w:val="20"/>
          <w:color w:val="auto"/>
        </w:rPr>
      </w:pPr>
      <w:r>
        <w:rPr>
          <w:rFonts w:ascii="Times New Roman" w:cs="Times New Roman" w:eastAsia="Times New Roman" w:hAnsi="Times New Roman"/>
          <w:sz w:val="16"/>
          <w:szCs w:val="16"/>
          <w:color w:val="auto"/>
        </w:rPr>
        <w:t>During 2021, no member of the Compensation Committee served as one of our officers, former officers, or employees. During 2021, none of our named executive officers served as a member of the compensation committee of any other entity, one of whose executive officers served as a member of our Board of Directors or Compensation Committee, and none of our named executive officers served as a member of the Board of Directors of any other entity.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563C1"/>
        </w:rPr>
        <w:t>TABLE OF CONTENTS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Compensation Committee Report</w:t>
      </w:r>
    </w:p>
    <w:p>
      <w:pPr>
        <w:spacing w:after="0" w:line="115" w:lineRule="exact"/>
        <w:rPr>
          <w:sz w:val="20"/>
          <w:szCs w:val="20"/>
          <w:color w:val="auto"/>
        </w:rPr>
      </w:pPr>
    </w:p>
    <w:p>
      <w:pPr>
        <w:ind w:firstLine="373"/>
        <w:spacing w:after="0" w:line="263" w:lineRule="auto"/>
        <w:rPr>
          <w:sz w:val="20"/>
          <w:szCs w:val="20"/>
          <w:color w:val="auto"/>
        </w:rPr>
      </w:pPr>
      <w:r>
        <w:rPr>
          <w:rFonts w:ascii="Times New Roman" w:cs="Times New Roman" w:eastAsia="Times New Roman" w:hAnsi="Times New Roman"/>
          <w:sz w:val="16"/>
          <w:szCs w:val="16"/>
          <w:color w:val="auto"/>
        </w:rPr>
        <w:t>The Compensation Committee of our Board of Directors has reviewed and discussed with management the section captioned “Compensation Discussion and Analysis” and, based on such review and discussions, the Compensation Committee recommended to our Board of Directors that this “Compensation Discussion and Analysis” be included in this proxy statement.</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Submitted by the Compensation Committee of the Board of Directors: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Mark Coleman, M.D. (Chair)</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Roger Jeffs, Ph.D.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Mark Saad</w:t>
      </w:r>
    </w:p>
    <w:p>
      <w:pPr>
        <w:spacing w:after="0" w:line="21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80"/>
          </w:cols>
          <w:pgMar w:left="320" w:top="114" w:right="12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563C1"/>
        </w:rPr>
        <w:t>TABLE OF CONTENTS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Summary Compensation Table</w:t>
      </w:r>
    </w:p>
    <w:p>
      <w:pPr>
        <w:spacing w:after="0" w:line="115" w:lineRule="exact"/>
        <w:rPr>
          <w:sz w:val="20"/>
          <w:szCs w:val="20"/>
          <w:color w:val="auto"/>
        </w:rPr>
      </w:pPr>
    </w:p>
    <w:p>
      <w:pPr>
        <w:ind w:right="180" w:firstLine="374"/>
        <w:spacing w:after="0" w:line="280" w:lineRule="auto"/>
        <w:rPr>
          <w:sz w:val="20"/>
          <w:szCs w:val="20"/>
          <w:color w:val="auto"/>
        </w:rPr>
      </w:pPr>
      <w:r>
        <w:rPr>
          <w:rFonts w:ascii="Times New Roman" w:cs="Times New Roman" w:eastAsia="Times New Roman" w:hAnsi="Times New Roman"/>
          <w:sz w:val="16"/>
          <w:szCs w:val="16"/>
          <w:color w:val="auto"/>
        </w:rPr>
        <w:t>The following table provides information concerning the compensation paid to our Chief Executive Officer, Chief Financial Officer, and Chief Operating Officer for the fiscal years ended December 31, 2021, December 31, 2020 and December 31, 2019. We refer to these individuals as our named executive officers (“NEOs”).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Change in</w:t>
            </w: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8"/>
              </w:rPr>
              <w:t>Pension</w:t>
            </w: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3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jc w:val="center"/>
              <w:spacing w:after="0" w:line="120" w:lineRule="exact"/>
              <w:rPr>
                <w:sz w:val="20"/>
                <w:szCs w:val="20"/>
                <w:color w:val="auto"/>
              </w:rPr>
            </w:pPr>
            <w:r>
              <w:rPr>
                <w:rFonts w:ascii="Times New Roman" w:cs="Times New Roman" w:eastAsia="Times New Roman" w:hAnsi="Times New Roman"/>
                <w:sz w:val="11"/>
                <w:szCs w:val="11"/>
                <w:b w:val="1"/>
                <w:bCs w:val="1"/>
                <w:color w:val="auto"/>
                <w:w w:val="95"/>
              </w:rPr>
              <w:t>Value and</w:t>
            </w: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3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auto"/>
                <w:w w:val="98"/>
              </w:rPr>
              <w:t>Non-Equity</w:t>
            </w:r>
          </w:p>
        </w:tc>
        <w:tc>
          <w:tcPr>
            <w:tcW w:w="120" w:type="dxa"/>
            <w:vAlign w:val="bottom"/>
          </w:tcPr>
          <w:p>
            <w:pPr>
              <w:spacing w:after="0"/>
              <w:rPr>
                <w:sz w:val="9"/>
                <w:szCs w:val="9"/>
                <w:color w:val="auto"/>
              </w:rPr>
            </w:pPr>
          </w:p>
        </w:tc>
        <w:tc>
          <w:tcPr>
            <w:tcW w:w="1000" w:type="dxa"/>
            <w:vAlign w:val="bottom"/>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auto"/>
                <w:w w:val="98"/>
              </w:rPr>
              <w:t>Nonqualified</w:t>
            </w: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3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vMerge w:val="restart"/>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Salary</w:t>
            </w:r>
          </w:p>
        </w:tc>
        <w:tc>
          <w:tcPr>
            <w:tcW w:w="120" w:type="dxa"/>
            <w:vAlign w:val="bottom"/>
          </w:tcPr>
          <w:p>
            <w:pPr>
              <w:spacing w:after="0"/>
              <w:rPr>
                <w:sz w:val="10"/>
                <w:szCs w:val="10"/>
                <w:color w:val="auto"/>
              </w:rPr>
            </w:pP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Bonus</w:t>
            </w:r>
          </w:p>
        </w:tc>
        <w:tc>
          <w:tcPr>
            <w:tcW w:w="120" w:type="dxa"/>
            <w:vAlign w:val="bottom"/>
          </w:tcPr>
          <w:p>
            <w:pPr>
              <w:spacing w:after="0"/>
              <w:rPr>
                <w:sz w:val="10"/>
                <w:szCs w:val="10"/>
                <w:color w:val="auto"/>
              </w:rPr>
            </w:pPr>
          </w:p>
        </w:tc>
        <w:tc>
          <w:tcPr>
            <w:tcW w:w="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8"/>
              </w:rPr>
              <w:t>Stock</w:t>
            </w:r>
          </w:p>
        </w:tc>
        <w:tc>
          <w:tcPr>
            <w:tcW w:w="120" w:type="dxa"/>
            <w:vAlign w:val="bottom"/>
          </w:tcPr>
          <w:p>
            <w:pPr>
              <w:spacing w:after="0"/>
              <w:rPr>
                <w:sz w:val="10"/>
                <w:szCs w:val="10"/>
                <w:color w:val="auto"/>
              </w:rPr>
            </w:pPr>
          </w:p>
        </w:tc>
        <w:tc>
          <w:tcPr>
            <w:tcW w:w="6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rPr>
              <w:t>Option</w:t>
            </w:r>
          </w:p>
        </w:tc>
        <w:tc>
          <w:tcPr>
            <w:tcW w:w="100" w:type="dxa"/>
            <w:vAlign w:val="bottom"/>
          </w:tcPr>
          <w:p>
            <w:pPr>
              <w:spacing w:after="0"/>
              <w:rPr>
                <w:sz w:val="10"/>
                <w:szCs w:val="10"/>
                <w:color w:val="auto"/>
              </w:rPr>
            </w:pPr>
          </w:p>
        </w:tc>
        <w:tc>
          <w:tcPr>
            <w:tcW w:w="10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Incentive Plan</w:t>
            </w:r>
          </w:p>
        </w:tc>
        <w:tc>
          <w:tcPr>
            <w:tcW w:w="120" w:type="dxa"/>
            <w:vAlign w:val="bottom"/>
          </w:tcPr>
          <w:p>
            <w:pPr>
              <w:spacing w:after="0"/>
              <w:rPr>
                <w:sz w:val="10"/>
                <w:szCs w:val="10"/>
                <w:color w:val="auto"/>
              </w:rPr>
            </w:pPr>
          </w:p>
        </w:tc>
        <w:tc>
          <w:tcPr>
            <w:tcW w:w="10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4"/>
              </w:rPr>
              <w:t>Deferred</w:t>
            </w:r>
          </w:p>
        </w:tc>
        <w:tc>
          <w:tcPr>
            <w:tcW w:w="100" w:type="dxa"/>
            <w:vAlign w:val="bottom"/>
          </w:tcPr>
          <w:p>
            <w:pPr>
              <w:spacing w:after="0"/>
              <w:rPr>
                <w:sz w:val="10"/>
                <w:szCs w:val="10"/>
                <w:color w:val="auto"/>
              </w:rPr>
            </w:pPr>
          </w:p>
        </w:tc>
        <w:tc>
          <w:tcPr>
            <w:tcW w:w="1000" w:type="dxa"/>
            <w:vAlign w:val="bottom"/>
            <w:vMerge w:val="restart"/>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rPr>
              <w:t>All Other</w:t>
            </w:r>
          </w:p>
        </w:tc>
        <w:tc>
          <w:tcPr>
            <w:tcW w:w="260" w:type="dxa"/>
            <w:vAlign w:val="bottom"/>
          </w:tcPr>
          <w:p>
            <w:pPr>
              <w:spacing w:after="0"/>
              <w:rPr>
                <w:sz w:val="10"/>
                <w:szCs w:val="10"/>
                <w:color w:val="auto"/>
              </w:rPr>
            </w:pPr>
          </w:p>
        </w:tc>
        <w:tc>
          <w:tcPr>
            <w:tcW w:w="620" w:type="dxa"/>
            <w:vAlign w:val="bottom"/>
            <w:vMerge w:val="restart"/>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08"/>
        </w:trPr>
        <w:tc>
          <w:tcPr>
            <w:tcW w:w="3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8"/>
              </w:rPr>
              <w:t>Awards</w:t>
            </w:r>
          </w:p>
        </w:tc>
        <w:tc>
          <w:tcPr>
            <w:tcW w:w="120" w:type="dxa"/>
            <w:vAlign w:val="bottom"/>
          </w:tcPr>
          <w:p>
            <w:pPr>
              <w:spacing w:after="0"/>
              <w:rPr>
                <w:sz w:val="9"/>
                <w:szCs w:val="9"/>
                <w:color w:val="auto"/>
              </w:rPr>
            </w:pPr>
          </w:p>
        </w:tc>
        <w:tc>
          <w:tcPr>
            <w:tcW w:w="66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2"/>
              </w:rPr>
              <w:t>Awards</w:t>
            </w:r>
          </w:p>
        </w:tc>
        <w:tc>
          <w:tcPr>
            <w:tcW w:w="100" w:type="dxa"/>
            <w:vAlign w:val="bottom"/>
          </w:tcPr>
          <w:p>
            <w:pPr>
              <w:spacing w:after="0"/>
              <w:rPr>
                <w:sz w:val="9"/>
                <w:szCs w:val="9"/>
                <w:color w:val="auto"/>
              </w:rPr>
            </w:pPr>
          </w:p>
        </w:tc>
        <w:tc>
          <w:tcPr>
            <w:tcW w:w="100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7"/>
              </w:rPr>
              <w:t>Compensation</w:t>
            </w:r>
          </w:p>
        </w:tc>
        <w:tc>
          <w:tcPr>
            <w:tcW w:w="120" w:type="dxa"/>
            <w:vAlign w:val="bottom"/>
          </w:tcPr>
          <w:p>
            <w:pPr>
              <w:spacing w:after="0"/>
              <w:rPr>
                <w:sz w:val="9"/>
                <w:szCs w:val="9"/>
                <w:color w:val="auto"/>
              </w:rPr>
            </w:pPr>
          </w:p>
        </w:tc>
        <w:tc>
          <w:tcPr>
            <w:tcW w:w="100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7"/>
              </w:rPr>
              <w:t>Compensation</w:t>
            </w:r>
          </w:p>
        </w:tc>
        <w:tc>
          <w:tcPr>
            <w:tcW w:w="10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3620" w:type="dxa"/>
            <w:vAlign w:val="bottom"/>
          </w:tcPr>
          <w:p>
            <w:pPr>
              <w:ind w:left="1140"/>
              <w:spacing w:after="0"/>
              <w:rPr>
                <w:sz w:val="20"/>
                <w:szCs w:val="20"/>
                <w:color w:val="auto"/>
              </w:rPr>
            </w:pPr>
            <w:r>
              <w:rPr>
                <w:rFonts w:ascii="Times New Roman" w:cs="Times New Roman" w:eastAsia="Times New Roman" w:hAnsi="Times New Roman"/>
                <w:sz w:val="11"/>
                <w:szCs w:val="11"/>
                <w:b w:val="1"/>
                <w:bCs w:val="1"/>
                <w:color w:val="auto"/>
              </w:rPr>
              <w:t>Name and Principal Position</w:t>
            </w:r>
          </w:p>
        </w:tc>
        <w:tc>
          <w:tcPr>
            <w:tcW w:w="1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Times New Roman" w:cs="Times New Roman" w:eastAsia="Times New Roman" w:hAnsi="Times New Roman"/>
                <w:sz w:val="11"/>
                <w:szCs w:val="11"/>
                <w:b w:val="1"/>
                <w:bCs w:val="1"/>
                <w:color w:val="auto"/>
              </w:rPr>
              <w:t>Year</w:t>
            </w:r>
          </w:p>
        </w:tc>
        <w:tc>
          <w:tcPr>
            <w:tcW w:w="680" w:type="dxa"/>
            <w:vAlign w:val="bottom"/>
            <w:gridSpan w:val="2"/>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w:t>
            </w:r>
          </w:p>
        </w:tc>
        <w:tc>
          <w:tcPr>
            <w:tcW w:w="580" w:type="dxa"/>
            <w:vAlign w:val="bottom"/>
            <w:gridSpan w:val="2"/>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w:t>
            </w:r>
          </w:p>
        </w:tc>
        <w:tc>
          <w:tcPr>
            <w:tcW w:w="80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b w:val="1"/>
                <w:bCs w:val="1"/>
                <w:color w:val="auto"/>
                <w:w w:val="93"/>
              </w:rPr>
              <w:t>($)(2)</w:t>
            </w:r>
          </w:p>
        </w:tc>
        <w:tc>
          <w:tcPr>
            <w:tcW w:w="780" w:type="dxa"/>
            <w:vAlign w:val="bottom"/>
            <w:gridSpan w:val="2"/>
          </w:tcPr>
          <w:p>
            <w:pPr>
              <w:ind w:left="320"/>
              <w:spacing w:after="0"/>
              <w:rPr>
                <w:sz w:val="20"/>
                <w:szCs w:val="20"/>
                <w:color w:val="auto"/>
              </w:rPr>
            </w:pPr>
            <w:r>
              <w:rPr>
                <w:rFonts w:ascii="Times New Roman" w:cs="Times New Roman" w:eastAsia="Times New Roman" w:hAnsi="Times New Roman"/>
                <w:sz w:val="11"/>
                <w:szCs w:val="11"/>
                <w:b w:val="1"/>
                <w:bCs w:val="1"/>
                <w:color w:val="auto"/>
              </w:rPr>
              <w:t>($)(2)</w:t>
            </w:r>
          </w:p>
        </w:tc>
        <w:tc>
          <w:tcPr>
            <w:tcW w:w="110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b w:val="1"/>
                <w:bCs w:val="1"/>
                <w:color w:val="auto"/>
              </w:rPr>
              <w:t>($)(1)</w:t>
            </w:r>
          </w:p>
        </w:tc>
        <w:tc>
          <w:tcPr>
            <w:tcW w:w="120" w:type="dxa"/>
            <w:vAlign w:val="bottom"/>
          </w:tcPr>
          <w:p>
            <w:pPr>
              <w:spacing w:after="0"/>
              <w:rPr>
                <w:sz w:val="13"/>
                <w:szCs w:val="13"/>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Earnings ($)</w:t>
            </w: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96"/>
              </w:rPr>
              <w:t>Compensation ($) (3)</w:t>
            </w:r>
          </w:p>
        </w:tc>
        <w:tc>
          <w:tcPr>
            <w:tcW w:w="260" w:type="dxa"/>
            <w:vAlign w:val="bottom"/>
          </w:tcPr>
          <w:p>
            <w:pPr>
              <w:spacing w:after="0"/>
              <w:rPr>
                <w:sz w:val="13"/>
                <w:szCs w:val="13"/>
                <w:color w:val="auto"/>
              </w:rPr>
            </w:pPr>
          </w:p>
        </w:tc>
        <w:tc>
          <w:tcPr>
            <w:tcW w:w="620" w:type="dxa"/>
            <w:vAlign w:val="bottom"/>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19"/>
        </w:trPr>
        <w:tc>
          <w:tcPr>
            <w:tcW w:w="3620" w:type="dxa"/>
            <w:vAlign w:val="bottom"/>
            <w:tcBorders>
              <w:top w:val="single" w:sz="8" w:color="auto"/>
            </w:tcBorders>
            <w:shd w:val="clear" w:color="auto" w:fill="CFF0FC"/>
          </w:tcPr>
          <w:p>
            <w:pPr>
              <w:ind w:left="20"/>
              <w:spacing w:after="0" w:line="120" w:lineRule="exact"/>
              <w:rPr>
                <w:sz w:val="20"/>
                <w:szCs w:val="20"/>
                <w:color w:val="auto"/>
              </w:rPr>
            </w:pPr>
            <w:r>
              <w:rPr>
                <w:rFonts w:ascii="Times New Roman" w:cs="Times New Roman" w:eastAsia="Times New Roman" w:hAnsi="Times New Roman"/>
                <w:sz w:val="11"/>
                <w:szCs w:val="11"/>
                <w:color w:val="auto"/>
              </w:rPr>
              <w:t>Herriot Tabuteau, M.D.</w:t>
            </w:r>
          </w:p>
        </w:tc>
        <w:tc>
          <w:tcPr>
            <w:tcW w:w="120" w:type="dxa"/>
            <w:vAlign w:val="bottom"/>
            <w:shd w:val="clear" w:color="auto" w:fill="CFF0FC"/>
          </w:tcPr>
          <w:p>
            <w:pPr>
              <w:spacing w:after="0"/>
              <w:rPr>
                <w:sz w:val="10"/>
                <w:szCs w:val="10"/>
                <w:color w:val="auto"/>
              </w:rPr>
            </w:pPr>
          </w:p>
        </w:tc>
        <w:tc>
          <w:tcPr>
            <w:tcW w:w="460" w:type="dxa"/>
            <w:vAlign w:val="bottom"/>
            <w:tcBorders>
              <w:top w:val="single" w:sz="8" w:color="auto"/>
            </w:tcBorders>
            <w:shd w:val="clear" w:color="auto" w:fill="CFF0FC"/>
          </w:tcPr>
          <w:p>
            <w:pPr>
              <w:ind w:left="120"/>
              <w:spacing w:after="0" w:line="120" w:lineRule="exact"/>
              <w:rPr>
                <w:sz w:val="20"/>
                <w:szCs w:val="20"/>
                <w:color w:val="auto"/>
              </w:rPr>
            </w:pPr>
            <w:r>
              <w:rPr>
                <w:rFonts w:ascii="Times New Roman" w:cs="Times New Roman" w:eastAsia="Times New Roman" w:hAnsi="Times New Roman"/>
                <w:sz w:val="11"/>
                <w:szCs w:val="11"/>
                <w:color w:val="auto"/>
              </w:rPr>
              <w:t>2021</w:t>
            </w:r>
          </w:p>
        </w:tc>
        <w:tc>
          <w:tcPr>
            <w:tcW w:w="120" w:type="dxa"/>
            <w:vAlign w:val="bottom"/>
            <w:shd w:val="clear" w:color="auto" w:fill="CFF0FC"/>
          </w:tcPr>
          <w:p>
            <w:pPr>
              <w:spacing w:after="0"/>
              <w:rPr>
                <w:sz w:val="10"/>
                <w:szCs w:val="10"/>
                <w:color w:val="auto"/>
              </w:rPr>
            </w:pPr>
          </w:p>
        </w:tc>
        <w:tc>
          <w:tcPr>
            <w:tcW w:w="560" w:type="dxa"/>
            <w:vAlign w:val="bottom"/>
            <w:tcBorders>
              <w:top w:val="single" w:sz="8" w:color="auto"/>
            </w:tcBorders>
            <w:shd w:val="clear" w:color="auto" w:fill="CFF0FC"/>
          </w:tcPr>
          <w:p>
            <w:pPr>
              <w:jc w:val="right"/>
              <w:spacing w:after="0" w:line="120" w:lineRule="exact"/>
              <w:rPr>
                <w:sz w:val="20"/>
                <w:szCs w:val="20"/>
                <w:color w:val="auto"/>
              </w:rPr>
            </w:pPr>
            <w:r>
              <w:rPr>
                <w:rFonts w:ascii="Times New Roman" w:cs="Times New Roman" w:eastAsia="Times New Roman" w:hAnsi="Times New Roman"/>
                <w:sz w:val="11"/>
                <w:szCs w:val="11"/>
                <w:color w:val="auto"/>
              </w:rPr>
              <w:t>685,000</w:t>
            </w:r>
          </w:p>
        </w:tc>
        <w:tc>
          <w:tcPr>
            <w:tcW w:w="120" w:type="dxa"/>
            <w:vAlign w:val="bottom"/>
            <w:shd w:val="clear" w:color="auto" w:fill="CFF0FC"/>
          </w:tcPr>
          <w:p>
            <w:pPr>
              <w:spacing w:after="0"/>
              <w:rPr>
                <w:sz w:val="10"/>
                <w:szCs w:val="10"/>
                <w:color w:val="auto"/>
              </w:rPr>
            </w:pPr>
          </w:p>
        </w:tc>
        <w:tc>
          <w:tcPr>
            <w:tcW w:w="460" w:type="dxa"/>
            <w:vAlign w:val="bottom"/>
            <w:tcBorders>
              <w:top w:val="single" w:sz="8" w:color="auto"/>
            </w:tcBorders>
            <w:shd w:val="clear" w:color="auto" w:fill="CFF0FC"/>
          </w:tcPr>
          <w:p>
            <w:pPr>
              <w:ind w:left="340"/>
              <w:spacing w:after="0" w:line="120" w:lineRule="exact"/>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shd w:val="clear" w:color="auto" w:fill="CFF0FC"/>
          </w:tcPr>
          <w:p>
            <w:pPr>
              <w:spacing w:after="0"/>
              <w:rPr>
                <w:sz w:val="10"/>
                <w:szCs w:val="10"/>
                <w:color w:val="auto"/>
              </w:rPr>
            </w:pPr>
          </w:p>
        </w:tc>
        <w:tc>
          <w:tcPr>
            <w:tcW w:w="680" w:type="dxa"/>
            <w:vAlign w:val="bottom"/>
            <w:tcBorders>
              <w:top w:val="single" w:sz="8" w:color="auto"/>
            </w:tcBorders>
            <w:shd w:val="clear" w:color="auto" w:fill="CFF0FC"/>
          </w:tcPr>
          <w:p>
            <w:pPr>
              <w:jc w:val="right"/>
              <w:spacing w:after="0" w:line="120" w:lineRule="exact"/>
              <w:rPr>
                <w:sz w:val="20"/>
                <w:szCs w:val="20"/>
                <w:color w:val="auto"/>
              </w:rPr>
            </w:pPr>
            <w:r>
              <w:rPr>
                <w:rFonts w:ascii="Times New Roman" w:cs="Times New Roman" w:eastAsia="Times New Roman" w:hAnsi="Times New Roman"/>
                <w:sz w:val="11"/>
                <w:szCs w:val="11"/>
                <w:color w:val="auto"/>
              </w:rPr>
              <w:t>2,333,251</w:t>
            </w:r>
          </w:p>
        </w:tc>
        <w:tc>
          <w:tcPr>
            <w:tcW w:w="120" w:type="dxa"/>
            <w:vAlign w:val="bottom"/>
            <w:shd w:val="clear" w:color="auto" w:fill="CFF0FC"/>
          </w:tcPr>
          <w:p>
            <w:pPr>
              <w:spacing w:after="0"/>
              <w:rPr>
                <w:sz w:val="10"/>
                <w:szCs w:val="10"/>
                <w:color w:val="auto"/>
              </w:rPr>
            </w:pPr>
          </w:p>
        </w:tc>
        <w:tc>
          <w:tcPr>
            <w:tcW w:w="660" w:type="dxa"/>
            <w:vAlign w:val="bottom"/>
            <w:tcBorders>
              <w:top w:val="single" w:sz="8" w:color="auto"/>
            </w:tcBorders>
            <w:shd w:val="clear" w:color="auto" w:fill="CFF0FC"/>
          </w:tcPr>
          <w:p>
            <w:pPr>
              <w:ind w:left="220"/>
              <w:spacing w:after="0" w:line="120" w:lineRule="exact"/>
              <w:rPr>
                <w:sz w:val="20"/>
                <w:szCs w:val="20"/>
                <w:color w:val="auto"/>
              </w:rPr>
            </w:pPr>
            <w:r>
              <w:rPr>
                <w:rFonts w:ascii="Times New Roman" w:cs="Times New Roman" w:eastAsia="Times New Roman" w:hAnsi="Times New Roman"/>
                <w:sz w:val="11"/>
                <w:szCs w:val="11"/>
                <w:color w:val="auto"/>
                <w:w w:val="95"/>
              </w:rPr>
              <w:t>4,666,355</w:t>
            </w:r>
          </w:p>
        </w:tc>
        <w:tc>
          <w:tcPr>
            <w:tcW w:w="100" w:type="dxa"/>
            <w:vAlign w:val="bottom"/>
            <w:shd w:val="clear" w:color="auto" w:fill="CFF0FC"/>
          </w:tcPr>
          <w:p>
            <w:pPr>
              <w:spacing w:after="0"/>
              <w:rPr>
                <w:sz w:val="10"/>
                <w:szCs w:val="10"/>
                <w:color w:val="auto"/>
              </w:rPr>
            </w:pPr>
          </w:p>
        </w:tc>
        <w:tc>
          <w:tcPr>
            <w:tcW w:w="1000" w:type="dxa"/>
            <w:vAlign w:val="bottom"/>
            <w:tcBorders>
              <w:top w:val="single" w:sz="8" w:color="auto"/>
            </w:tcBorders>
            <w:shd w:val="clear" w:color="auto" w:fill="CFF0FC"/>
          </w:tcPr>
          <w:p>
            <w:pPr>
              <w:jc w:val="right"/>
              <w:spacing w:after="0" w:line="120" w:lineRule="exact"/>
              <w:rPr>
                <w:sz w:val="20"/>
                <w:szCs w:val="20"/>
                <w:color w:val="auto"/>
              </w:rPr>
            </w:pPr>
            <w:r>
              <w:rPr>
                <w:rFonts w:ascii="Times New Roman" w:cs="Times New Roman" w:eastAsia="Times New Roman" w:hAnsi="Times New Roman"/>
                <w:sz w:val="11"/>
                <w:szCs w:val="11"/>
                <w:color w:val="auto"/>
              </w:rPr>
              <w:t>349,350</w:t>
            </w:r>
          </w:p>
        </w:tc>
        <w:tc>
          <w:tcPr>
            <w:tcW w:w="120" w:type="dxa"/>
            <w:vAlign w:val="bottom"/>
            <w:shd w:val="clear" w:color="auto" w:fill="CFF0FC"/>
          </w:tcPr>
          <w:p>
            <w:pPr>
              <w:spacing w:after="0"/>
              <w:rPr>
                <w:sz w:val="10"/>
                <w:szCs w:val="10"/>
                <w:color w:val="auto"/>
              </w:rPr>
            </w:pPr>
          </w:p>
        </w:tc>
        <w:tc>
          <w:tcPr>
            <w:tcW w:w="1000" w:type="dxa"/>
            <w:vAlign w:val="bottom"/>
            <w:tcBorders>
              <w:top w:val="single" w:sz="8" w:color="auto"/>
            </w:tcBorders>
            <w:shd w:val="clear" w:color="auto" w:fill="CFF0FC"/>
          </w:tcPr>
          <w:p>
            <w:pPr>
              <w:ind w:left="880"/>
              <w:spacing w:after="0" w:line="120" w:lineRule="exact"/>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shd w:val="clear" w:color="auto" w:fill="CFF0FC"/>
          </w:tcPr>
          <w:p>
            <w:pPr>
              <w:spacing w:after="0"/>
              <w:rPr>
                <w:sz w:val="10"/>
                <w:szCs w:val="10"/>
                <w:color w:val="auto"/>
              </w:rPr>
            </w:pPr>
          </w:p>
        </w:tc>
        <w:tc>
          <w:tcPr>
            <w:tcW w:w="1000" w:type="dxa"/>
            <w:vAlign w:val="bottom"/>
            <w:tcBorders>
              <w:top w:val="single" w:sz="8" w:color="auto"/>
            </w:tcBorders>
            <w:shd w:val="clear" w:color="auto" w:fill="CFF0FC"/>
          </w:tcPr>
          <w:p>
            <w:pPr>
              <w:jc w:val="right"/>
              <w:spacing w:after="0" w:line="120" w:lineRule="exact"/>
              <w:rPr>
                <w:sz w:val="20"/>
                <w:szCs w:val="20"/>
                <w:color w:val="auto"/>
              </w:rPr>
            </w:pPr>
            <w:r>
              <w:rPr>
                <w:rFonts w:ascii="Times New Roman" w:cs="Times New Roman" w:eastAsia="Times New Roman" w:hAnsi="Times New Roman"/>
                <w:sz w:val="11"/>
                <w:szCs w:val="11"/>
                <w:color w:val="auto"/>
              </w:rPr>
              <w:t>20,675</w:t>
            </w:r>
          </w:p>
        </w:tc>
        <w:tc>
          <w:tcPr>
            <w:tcW w:w="260" w:type="dxa"/>
            <w:vAlign w:val="bottom"/>
            <w:shd w:val="clear" w:color="auto" w:fill="CFF0FC"/>
          </w:tcPr>
          <w:p>
            <w:pPr>
              <w:spacing w:after="0"/>
              <w:rPr>
                <w:sz w:val="10"/>
                <w:szCs w:val="10"/>
                <w:color w:val="auto"/>
              </w:rPr>
            </w:pPr>
          </w:p>
        </w:tc>
        <w:tc>
          <w:tcPr>
            <w:tcW w:w="620" w:type="dxa"/>
            <w:vAlign w:val="bottom"/>
            <w:tcBorders>
              <w:top w:val="single" w:sz="8" w:color="auto"/>
            </w:tcBorders>
            <w:shd w:val="clear" w:color="auto" w:fill="CFF0FC"/>
          </w:tcPr>
          <w:p>
            <w:pPr>
              <w:jc w:val="right"/>
              <w:spacing w:after="0" w:line="120" w:lineRule="exact"/>
              <w:rPr>
                <w:sz w:val="20"/>
                <w:szCs w:val="20"/>
                <w:color w:val="auto"/>
              </w:rPr>
            </w:pPr>
            <w:r>
              <w:rPr>
                <w:rFonts w:ascii="Times New Roman" w:cs="Times New Roman" w:eastAsia="Times New Roman" w:hAnsi="Times New Roman"/>
                <w:sz w:val="11"/>
                <w:szCs w:val="11"/>
                <w:color w:val="auto"/>
              </w:rPr>
              <w:t>8,054,631</w:t>
            </w:r>
          </w:p>
        </w:tc>
        <w:tc>
          <w:tcPr>
            <w:tcW w:w="0" w:type="dxa"/>
            <w:vAlign w:val="bottom"/>
          </w:tcPr>
          <w:p>
            <w:pPr>
              <w:spacing w:after="0"/>
              <w:rPr>
                <w:sz w:val="1"/>
                <w:szCs w:val="1"/>
                <w:color w:val="auto"/>
              </w:rPr>
            </w:pPr>
          </w:p>
        </w:tc>
      </w:tr>
      <w:tr>
        <w:trPr>
          <w:trHeight w:val="135"/>
        </w:trPr>
        <w:tc>
          <w:tcPr>
            <w:tcW w:w="3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i w:val="1"/>
                <w:iCs w:val="1"/>
                <w:color w:val="auto"/>
              </w:rPr>
              <w:t>Chief Executive Officer,</w:t>
            </w:r>
          </w:p>
        </w:tc>
        <w:tc>
          <w:tcPr>
            <w:tcW w:w="120" w:type="dxa"/>
            <w:vAlign w:val="bottom"/>
            <w:shd w:val="clear" w:color="auto" w:fill="CFF0FC"/>
          </w:tcPr>
          <w:p>
            <w:pPr>
              <w:spacing w:after="0"/>
              <w:rPr>
                <w:sz w:val="11"/>
                <w:szCs w:val="11"/>
                <w:color w:val="auto"/>
              </w:rPr>
            </w:pPr>
          </w:p>
        </w:tc>
        <w:tc>
          <w:tcPr>
            <w:tcW w:w="4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2020</w:t>
            </w: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575,000</w:t>
            </w:r>
          </w:p>
        </w:tc>
        <w:tc>
          <w:tcPr>
            <w:tcW w:w="120" w:type="dxa"/>
            <w:vAlign w:val="bottom"/>
            <w:shd w:val="clear" w:color="auto" w:fill="CFF0FC"/>
          </w:tcPr>
          <w:p>
            <w:pPr>
              <w:spacing w:after="0"/>
              <w:rPr>
                <w:sz w:val="11"/>
                <w:szCs w:val="11"/>
                <w:color w:val="auto"/>
              </w:rPr>
            </w:pPr>
          </w:p>
        </w:tc>
        <w:tc>
          <w:tcPr>
            <w:tcW w:w="4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1"/>
                <w:szCs w:val="11"/>
                <w:color w:val="auto"/>
                <w:w w:val="90"/>
              </w:rPr>
              <w:t>—</w:t>
            </w: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1,615,860</w:t>
            </w:r>
          </w:p>
        </w:tc>
        <w:tc>
          <w:tcPr>
            <w:tcW w:w="780" w:type="dxa"/>
            <w:vAlign w:val="bottom"/>
            <w:gridSpan w:val="2"/>
            <w:shd w:val="clear" w:color="auto" w:fill="CFF0FC"/>
          </w:tcPr>
          <w:p>
            <w:pPr>
              <w:ind w:left="340"/>
              <w:spacing w:after="0"/>
              <w:rPr>
                <w:sz w:val="20"/>
                <w:szCs w:val="20"/>
                <w:color w:val="auto"/>
              </w:rPr>
            </w:pPr>
            <w:r>
              <w:rPr>
                <w:rFonts w:ascii="Times New Roman" w:cs="Times New Roman" w:eastAsia="Times New Roman" w:hAnsi="Times New Roman"/>
                <w:sz w:val="11"/>
                <w:szCs w:val="11"/>
                <w:color w:val="auto"/>
                <w:w w:val="95"/>
              </w:rPr>
              <w:t>4,665,329</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448,500</w:t>
            </w: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ind w:left="880"/>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shd w:val="clear" w:color="auto" w:fill="CFF0FC"/>
          </w:tcPr>
          <w:p>
            <w:pPr>
              <w:spacing w:after="0"/>
              <w:rPr>
                <w:sz w:val="11"/>
                <w:szCs w:val="1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7,304,690</w:t>
            </w:r>
          </w:p>
        </w:tc>
        <w:tc>
          <w:tcPr>
            <w:tcW w:w="0" w:type="dxa"/>
            <w:vAlign w:val="bottom"/>
          </w:tcPr>
          <w:p>
            <w:pPr>
              <w:spacing w:after="0"/>
              <w:rPr>
                <w:sz w:val="1"/>
                <w:szCs w:val="1"/>
                <w:color w:val="auto"/>
              </w:rPr>
            </w:pPr>
          </w:p>
        </w:tc>
      </w:tr>
      <w:tr>
        <w:trPr>
          <w:trHeight w:val="151"/>
        </w:trPr>
        <w:tc>
          <w:tcPr>
            <w:tcW w:w="3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i w:val="1"/>
                <w:iCs w:val="1"/>
                <w:color w:val="auto"/>
              </w:rPr>
              <w:t>President and Chairman of the Board</w:t>
            </w:r>
          </w:p>
        </w:tc>
        <w:tc>
          <w:tcPr>
            <w:tcW w:w="120" w:type="dxa"/>
            <w:vAlign w:val="bottom"/>
            <w:shd w:val="clear" w:color="auto" w:fill="CFF0FC"/>
          </w:tcPr>
          <w:p>
            <w:pPr>
              <w:spacing w:after="0"/>
              <w:rPr>
                <w:sz w:val="13"/>
                <w:szCs w:val="13"/>
                <w:color w:val="auto"/>
              </w:rPr>
            </w:pPr>
          </w:p>
        </w:tc>
        <w:tc>
          <w:tcPr>
            <w:tcW w:w="4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2019</w:t>
            </w: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435,000</w:t>
            </w:r>
          </w:p>
        </w:tc>
        <w:tc>
          <w:tcPr>
            <w:tcW w:w="120" w:type="dxa"/>
            <w:vAlign w:val="bottom"/>
            <w:shd w:val="clear" w:color="auto" w:fill="CFF0FC"/>
          </w:tcPr>
          <w:p>
            <w:pPr>
              <w:spacing w:after="0"/>
              <w:rPr>
                <w:sz w:val="13"/>
                <w:szCs w:val="13"/>
                <w:color w:val="auto"/>
              </w:rPr>
            </w:pPr>
          </w:p>
        </w:tc>
        <w:tc>
          <w:tcPr>
            <w:tcW w:w="4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shd w:val="clear" w:color="auto" w:fill="CFF0FC"/>
          </w:tcPr>
          <w:p>
            <w:pPr>
              <w:ind w:left="340"/>
              <w:spacing w:after="0"/>
              <w:rPr>
                <w:sz w:val="20"/>
                <w:szCs w:val="20"/>
                <w:color w:val="auto"/>
              </w:rPr>
            </w:pPr>
            <w:r>
              <w:rPr>
                <w:rFonts w:ascii="Times New Roman" w:cs="Times New Roman" w:eastAsia="Times New Roman" w:hAnsi="Times New Roman"/>
                <w:sz w:val="11"/>
                <w:szCs w:val="11"/>
                <w:color w:val="auto"/>
                <w:w w:val="95"/>
              </w:rPr>
              <w:t>3,954,503</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326,250</w:t>
            </w:r>
          </w:p>
        </w:tc>
        <w:tc>
          <w:tcPr>
            <w:tcW w:w="120" w:type="dxa"/>
            <w:vAlign w:val="bottom"/>
            <w:shd w:val="clear" w:color="auto" w:fill="CFF0FC"/>
          </w:tcPr>
          <w:p>
            <w:pPr>
              <w:spacing w:after="0"/>
              <w:rPr>
                <w:sz w:val="13"/>
                <w:szCs w:val="13"/>
                <w:color w:val="auto"/>
              </w:rPr>
            </w:pPr>
          </w:p>
        </w:tc>
        <w:tc>
          <w:tcPr>
            <w:tcW w:w="1000" w:type="dxa"/>
            <w:vAlign w:val="bottom"/>
            <w:shd w:val="clear" w:color="auto" w:fill="CFF0FC"/>
          </w:tcPr>
          <w:p>
            <w:pPr>
              <w:ind w:left="880"/>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4,715,753</w:t>
            </w:r>
          </w:p>
        </w:tc>
        <w:tc>
          <w:tcPr>
            <w:tcW w:w="0" w:type="dxa"/>
            <w:vAlign w:val="bottom"/>
          </w:tcPr>
          <w:p>
            <w:pPr>
              <w:spacing w:after="0"/>
              <w:rPr>
                <w:sz w:val="1"/>
                <w:szCs w:val="1"/>
                <w:color w:val="auto"/>
              </w:rPr>
            </w:pPr>
          </w:p>
        </w:tc>
      </w:tr>
      <w:tr>
        <w:trPr>
          <w:trHeight w:val="119"/>
        </w:trPr>
        <w:tc>
          <w:tcPr>
            <w:tcW w:w="3620" w:type="dxa"/>
            <w:vAlign w:val="bottom"/>
          </w:tcPr>
          <w:p>
            <w:pPr>
              <w:ind w:left="20"/>
              <w:spacing w:after="0" w:line="120" w:lineRule="exact"/>
              <w:rPr>
                <w:sz w:val="20"/>
                <w:szCs w:val="20"/>
                <w:color w:val="auto"/>
              </w:rPr>
            </w:pPr>
            <w:r>
              <w:rPr>
                <w:rFonts w:ascii="Times New Roman" w:cs="Times New Roman" w:eastAsia="Times New Roman" w:hAnsi="Times New Roman"/>
                <w:sz w:val="11"/>
                <w:szCs w:val="11"/>
                <w:color w:val="auto"/>
              </w:rPr>
              <w:t>Nick Pizzie, C.P.A., M.B.A.</w:t>
            </w:r>
          </w:p>
        </w:tc>
        <w:tc>
          <w:tcPr>
            <w:tcW w:w="120" w:type="dxa"/>
            <w:vAlign w:val="bottom"/>
          </w:tcPr>
          <w:p>
            <w:pPr>
              <w:spacing w:after="0"/>
              <w:rPr>
                <w:sz w:val="10"/>
                <w:szCs w:val="10"/>
                <w:color w:val="auto"/>
              </w:rPr>
            </w:pPr>
          </w:p>
        </w:tc>
        <w:tc>
          <w:tcPr>
            <w:tcW w:w="460" w:type="dxa"/>
            <w:vAlign w:val="bottom"/>
          </w:tcPr>
          <w:p>
            <w:pPr>
              <w:ind w:left="120"/>
              <w:spacing w:after="0" w:line="120" w:lineRule="exact"/>
              <w:rPr>
                <w:sz w:val="20"/>
                <w:szCs w:val="20"/>
                <w:color w:val="auto"/>
              </w:rPr>
            </w:pPr>
            <w:r>
              <w:rPr>
                <w:rFonts w:ascii="Times New Roman" w:cs="Times New Roman" w:eastAsia="Times New Roman" w:hAnsi="Times New Roman"/>
                <w:sz w:val="11"/>
                <w:szCs w:val="11"/>
                <w:color w:val="auto"/>
              </w:rPr>
              <w:t>2021</w:t>
            </w:r>
          </w:p>
        </w:tc>
        <w:tc>
          <w:tcPr>
            <w:tcW w:w="680" w:type="dxa"/>
            <w:vAlign w:val="bottom"/>
            <w:gridSpan w:val="2"/>
          </w:tcPr>
          <w:p>
            <w:pPr>
              <w:jc w:val="right"/>
              <w:spacing w:after="0" w:line="120" w:lineRule="exact"/>
              <w:rPr>
                <w:sz w:val="20"/>
                <w:szCs w:val="20"/>
                <w:color w:val="auto"/>
              </w:rPr>
            </w:pPr>
            <w:r>
              <w:rPr>
                <w:rFonts w:ascii="Times New Roman" w:cs="Times New Roman" w:eastAsia="Times New Roman" w:hAnsi="Times New Roman"/>
                <w:sz w:val="11"/>
                <w:szCs w:val="11"/>
                <w:color w:val="auto"/>
              </w:rPr>
              <w:t>409,000</w:t>
            </w:r>
          </w:p>
        </w:tc>
        <w:tc>
          <w:tcPr>
            <w:tcW w:w="120" w:type="dxa"/>
            <w:vAlign w:val="bottom"/>
          </w:tcPr>
          <w:p>
            <w:pPr>
              <w:spacing w:after="0"/>
              <w:rPr>
                <w:sz w:val="10"/>
                <w:szCs w:val="10"/>
                <w:color w:val="auto"/>
              </w:rPr>
            </w:pPr>
          </w:p>
        </w:tc>
        <w:tc>
          <w:tcPr>
            <w:tcW w:w="460" w:type="dxa"/>
            <w:vAlign w:val="bottom"/>
          </w:tcPr>
          <w:p>
            <w:pPr>
              <w:ind w:left="340"/>
              <w:spacing w:after="0" w:line="120" w:lineRule="exact"/>
              <w:rPr>
                <w:sz w:val="20"/>
                <w:szCs w:val="20"/>
                <w:color w:val="auto"/>
              </w:rPr>
            </w:pPr>
            <w:r>
              <w:rPr>
                <w:rFonts w:ascii="Times New Roman" w:cs="Times New Roman" w:eastAsia="Times New Roman" w:hAnsi="Times New Roman"/>
                <w:sz w:val="11"/>
                <w:szCs w:val="11"/>
                <w:color w:val="auto"/>
                <w:w w:val="90"/>
              </w:rPr>
              <w:t>—</w:t>
            </w:r>
          </w:p>
        </w:tc>
        <w:tc>
          <w:tcPr>
            <w:tcW w:w="800" w:type="dxa"/>
            <w:vAlign w:val="bottom"/>
            <w:gridSpan w:val="2"/>
          </w:tcPr>
          <w:p>
            <w:pPr>
              <w:jc w:val="right"/>
              <w:spacing w:after="0" w:line="120" w:lineRule="exact"/>
              <w:rPr>
                <w:sz w:val="20"/>
                <w:szCs w:val="20"/>
                <w:color w:val="auto"/>
              </w:rPr>
            </w:pPr>
            <w:r>
              <w:rPr>
                <w:rFonts w:ascii="Times New Roman" w:cs="Times New Roman" w:eastAsia="Times New Roman" w:hAnsi="Times New Roman"/>
                <w:sz w:val="11"/>
                <w:szCs w:val="11"/>
                <w:color w:val="auto"/>
              </w:rPr>
              <w:t>866,617</w:t>
            </w:r>
          </w:p>
        </w:tc>
        <w:tc>
          <w:tcPr>
            <w:tcW w:w="780" w:type="dxa"/>
            <w:vAlign w:val="bottom"/>
            <w:gridSpan w:val="2"/>
          </w:tcPr>
          <w:p>
            <w:pPr>
              <w:ind w:left="340"/>
              <w:spacing w:after="0" w:line="120" w:lineRule="exact"/>
              <w:rPr>
                <w:sz w:val="20"/>
                <w:szCs w:val="20"/>
                <w:color w:val="auto"/>
              </w:rPr>
            </w:pPr>
            <w:r>
              <w:rPr>
                <w:rFonts w:ascii="Times New Roman" w:cs="Times New Roman" w:eastAsia="Times New Roman" w:hAnsi="Times New Roman"/>
                <w:sz w:val="11"/>
                <w:szCs w:val="11"/>
                <w:color w:val="auto"/>
                <w:w w:val="95"/>
              </w:rPr>
              <w:t>2,808,123</w:t>
            </w:r>
          </w:p>
        </w:tc>
        <w:tc>
          <w:tcPr>
            <w:tcW w:w="1100" w:type="dxa"/>
            <w:vAlign w:val="bottom"/>
            <w:gridSpan w:val="2"/>
          </w:tcPr>
          <w:p>
            <w:pPr>
              <w:jc w:val="right"/>
              <w:spacing w:after="0" w:line="120" w:lineRule="exact"/>
              <w:rPr>
                <w:sz w:val="20"/>
                <w:szCs w:val="20"/>
                <w:color w:val="auto"/>
              </w:rPr>
            </w:pPr>
            <w:r>
              <w:rPr>
                <w:rFonts w:ascii="Times New Roman" w:cs="Times New Roman" w:eastAsia="Times New Roman" w:hAnsi="Times New Roman"/>
                <w:sz w:val="11"/>
                <w:szCs w:val="11"/>
                <w:color w:val="auto"/>
              </w:rPr>
              <w:t>139,060</w:t>
            </w:r>
          </w:p>
        </w:tc>
        <w:tc>
          <w:tcPr>
            <w:tcW w:w="120" w:type="dxa"/>
            <w:vAlign w:val="bottom"/>
          </w:tcPr>
          <w:p>
            <w:pPr>
              <w:spacing w:after="0"/>
              <w:rPr>
                <w:sz w:val="10"/>
                <w:szCs w:val="10"/>
                <w:color w:val="auto"/>
              </w:rPr>
            </w:pPr>
          </w:p>
        </w:tc>
        <w:tc>
          <w:tcPr>
            <w:tcW w:w="1000" w:type="dxa"/>
            <w:vAlign w:val="bottom"/>
          </w:tcPr>
          <w:p>
            <w:pPr>
              <w:ind w:left="880"/>
              <w:spacing w:after="0" w:line="120" w:lineRule="exact"/>
              <w:rPr>
                <w:sz w:val="20"/>
                <w:szCs w:val="20"/>
                <w:color w:val="auto"/>
              </w:rPr>
            </w:pPr>
            <w:r>
              <w:rPr>
                <w:rFonts w:ascii="Times New Roman" w:cs="Times New Roman" w:eastAsia="Times New Roman" w:hAnsi="Times New Roman"/>
                <w:sz w:val="11"/>
                <w:szCs w:val="11"/>
                <w:color w:val="auto"/>
                <w:w w:val="90"/>
              </w:rPr>
              <w:t>—</w:t>
            </w:r>
          </w:p>
        </w:tc>
        <w:tc>
          <w:tcPr>
            <w:tcW w:w="1100" w:type="dxa"/>
            <w:vAlign w:val="bottom"/>
            <w:gridSpan w:val="2"/>
          </w:tcPr>
          <w:p>
            <w:pPr>
              <w:jc w:val="right"/>
              <w:spacing w:after="0" w:line="120" w:lineRule="exact"/>
              <w:rPr>
                <w:sz w:val="20"/>
                <w:szCs w:val="20"/>
                <w:color w:val="auto"/>
              </w:rPr>
            </w:pPr>
            <w:r>
              <w:rPr>
                <w:rFonts w:ascii="Times New Roman" w:cs="Times New Roman" w:eastAsia="Times New Roman" w:hAnsi="Times New Roman"/>
                <w:sz w:val="11"/>
                <w:szCs w:val="11"/>
                <w:color w:val="auto"/>
              </w:rPr>
              <w:t>5,910</w:t>
            </w:r>
          </w:p>
        </w:tc>
        <w:tc>
          <w:tcPr>
            <w:tcW w:w="260" w:type="dxa"/>
            <w:vAlign w:val="bottom"/>
          </w:tcPr>
          <w:p>
            <w:pPr>
              <w:spacing w:after="0"/>
              <w:rPr>
                <w:sz w:val="10"/>
                <w:szCs w:val="10"/>
                <w:color w:val="auto"/>
              </w:rPr>
            </w:pPr>
          </w:p>
        </w:tc>
        <w:tc>
          <w:tcPr>
            <w:tcW w:w="62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4,228,710</w:t>
            </w:r>
          </w:p>
        </w:tc>
        <w:tc>
          <w:tcPr>
            <w:tcW w:w="0" w:type="dxa"/>
            <w:vAlign w:val="bottom"/>
          </w:tcPr>
          <w:p>
            <w:pPr>
              <w:spacing w:after="0"/>
              <w:rPr>
                <w:sz w:val="1"/>
                <w:szCs w:val="1"/>
                <w:color w:val="auto"/>
              </w:rPr>
            </w:pPr>
          </w:p>
        </w:tc>
      </w:tr>
      <w:tr>
        <w:trPr>
          <w:trHeight w:val="137"/>
        </w:trPr>
        <w:tc>
          <w:tcPr>
            <w:tcW w:w="362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Chief Financial Officer</w:t>
            </w:r>
          </w:p>
        </w:tc>
        <w:tc>
          <w:tcPr>
            <w:tcW w:w="58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2020</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375,000</w:t>
            </w:r>
          </w:p>
        </w:tc>
        <w:tc>
          <w:tcPr>
            <w:tcW w:w="120" w:type="dxa"/>
            <w:vAlign w:val="bottom"/>
          </w:tcPr>
          <w:p>
            <w:pPr>
              <w:spacing w:after="0"/>
              <w:rPr>
                <w:sz w:val="11"/>
                <w:szCs w:val="11"/>
                <w:color w:val="auto"/>
              </w:rPr>
            </w:pPr>
          </w:p>
        </w:tc>
        <w:tc>
          <w:tcPr>
            <w:tcW w:w="460" w:type="dxa"/>
            <w:vAlign w:val="bottom"/>
          </w:tcPr>
          <w:p>
            <w:pPr>
              <w:ind w:left="340"/>
              <w:spacing w:after="0"/>
              <w:rPr>
                <w:sz w:val="20"/>
                <w:szCs w:val="20"/>
                <w:color w:val="auto"/>
              </w:rPr>
            </w:pPr>
            <w:r>
              <w:rPr>
                <w:rFonts w:ascii="Times New Roman" w:cs="Times New Roman" w:eastAsia="Times New Roman" w:hAnsi="Times New Roman"/>
                <w:sz w:val="11"/>
                <w:szCs w:val="11"/>
                <w:color w:val="auto"/>
                <w:w w:val="90"/>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461,629</w:t>
            </w:r>
          </w:p>
        </w:tc>
        <w:tc>
          <w:tcPr>
            <w:tcW w:w="780" w:type="dxa"/>
            <w:vAlign w:val="bottom"/>
            <w:gridSpan w:val="2"/>
          </w:tcPr>
          <w:p>
            <w:pPr>
              <w:ind w:left="340"/>
              <w:spacing w:after="0"/>
              <w:rPr>
                <w:sz w:val="20"/>
                <w:szCs w:val="20"/>
                <w:color w:val="auto"/>
              </w:rPr>
            </w:pPr>
            <w:r>
              <w:rPr>
                <w:rFonts w:ascii="Times New Roman" w:cs="Times New Roman" w:eastAsia="Times New Roman" w:hAnsi="Times New Roman"/>
                <w:sz w:val="11"/>
                <w:szCs w:val="11"/>
                <w:color w:val="auto"/>
                <w:w w:val="95"/>
              </w:rPr>
              <w:t>1,333,376</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195,000</w:t>
            </w:r>
          </w:p>
        </w:tc>
        <w:tc>
          <w:tcPr>
            <w:tcW w:w="120" w:type="dxa"/>
            <w:vAlign w:val="bottom"/>
          </w:tcPr>
          <w:p>
            <w:pPr>
              <w:spacing w:after="0"/>
              <w:rPr>
                <w:sz w:val="11"/>
                <w:szCs w:val="11"/>
                <w:color w:val="auto"/>
              </w:rPr>
            </w:pPr>
          </w:p>
        </w:tc>
        <w:tc>
          <w:tcPr>
            <w:tcW w:w="1000" w:type="dxa"/>
            <w:vAlign w:val="bottom"/>
          </w:tcPr>
          <w:p>
            <w:pPr>
              <w:ind w:left="880"/>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2,365,005</w:t>
            </w:r>
          </w:p>
        </w:tc>
        <w:tc>
          <w:tcPr>
            <w:tcW w:w="0" w:type="dxa"/>
            <w:vAlign w:val="bottom"/>
          </w:tcPr>
          <w:p>
            <w:pPr>
              <w:spacing w:after="0"/>
              <w:rPr>
                <w:sz w:val="1"/>
                <w:szCs w:val="1"/>
                <w:color w:val="auto"/>
              </w:rPr>
            </w:pPr>
          </w:p>
        </w:tc>
      </w:tr>
      <w:tr>
        <w:trPr>
          <w:trHeight w:val="135"/>
        </w:trPr>
        <w:tc>
          <w:tcPr>
            <w:tcW w:w="3620" w:type="dxa"/>
            <w:vAlign w:val="bottom"/>
          </w:tcPr>
          <w:p>
            <w:pPr>
              <w:spacing w:after="0"/>
              <w:rPr>
                <w:sz w:val="11"/>
                <w:szCs w:val="11"/>
                <w:color w:val="auto"/>
              </w:rPr>
            </w:pPr>
          </w:p>
        </w:tc>
        <w:tc>
          <w:tcPr>
            <w:tcW w:w="58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2019</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325,000</w:t>
            </w:r>
          </w:p>
        </w:tc>
        <w:tc>
          <w:tcPr>
            <w:tcW w:w="120" w:type="dxa"/>
            <w:vAlign w:val="bottom"/>
          </w:tcPr>
          <w:p>
            <w:pPr>
              <w:spacing w:after="0"/>
              <w:rPr>
                <w:sz w:val="11"/>
                <w:szCs w:val="11"/>
                <w:color w:val="auto"/>
              </w:rPr>
            </w:pPr>
          </w:p>
        </w:tc>
        <w:tc>
          <w:tcPr>
            <w:tcW w:w="460" w:type="dxa"/>
            <w:vAlign w:val="bottom"/>
          </w:tcPr>
          <w:p>
            <w:pPr>
              <w:ind w:left="340"/>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ind w:left="340"/>
              <w:spacing w:after="0"/>
              <w:rPr>
                <w:sz w:val="20"/>
                <w:szCs w:val="20"/>
                <w:color w:val="auto"/>
              </w:rPr>
            </w:pPr>
            <w:r>
              <w:rPr>
                <w:rFonts w:ascii="Times New Roman" w:cs="Times New Roman" w:eastAsia="Times New Roman" w:hAnsi="Times New Roman"/>
                <w:sz w:val="11"/>
                <w:szCs w:val="11"/>
                <w:color w:val="auto"/>
                <w:w w:val="95"/>
              </w:rPr>
              <w:t>1,049,837</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195,000</w:t>
            </w:r>
          </w:p>
        </w:tc>
        <w:tc>
          <w:tcPr>
            <w:tcW w:w="120" w:type="dxa"/>
            <w:vAlign w:val="bottom"/>
          </w:tcPr>
          <w:p>
            <w:pPr>
              <w:spacing w:after="0"/>
              <w:rPr>
                <w:sz w:val="11"/>
                <w:szCs w:val="11"/>
                <w:color w:val="auto"/>
              </w:rPr>
            </w:pPr>
          </w:p>
        </w:tc>
        <w:tc>
          <w:tcPr>
            <w:tcW w:w="1000" w:type="dxa"/>
            <w:vAlign w:val="bottom"/>
          </w:tcPr>
          <w:p>
            <w:pPr>
              <w:ind w:left="880"/>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vMerge w:val="restart"/>
          </w:tcPr>
          <w:p>
            <w:pPr>
              <w:jc w:val="right"/>
              <w:ind w:right="124"/>
              <w:spacing w:after="0"/>
              <w:rPr>
                <w:sz w:val="20"/>
                <w:szCs w:val="20"/>
                <w:color w:val="auto"/>
              </w:rPr>
            </w:pPr>
            <w:r>
              <w:rPr>
                <w:rFonts w:ascii="Times New Roman" w:cs="Times New Roman" w:eastAsia="Times New Roman" w:hAnsi="Times New Roman"/>
                <w:sz w:val="7"/>
                <w:szCs w:val="7"/>
                <w:color w:val="auto"/>
                <w:w w:val="97"/>
              </w:rPr>
              <w:t>(4)</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1,569,837</w:t>
            </w:r>
          </w:p>
        </w:tc>
        <w:tc>
          <w:tcPr>
            <w:tcW w:w="0" w:type="dxa"/>
            <w:vAlign w:val="bottom"/>
          </w:tcPr>
          <w:p>
            <w:pPr>
              <w:spacing w:after="0"/>
              <w:rPr>
                <w:sz w:val="1"/>
                <w:szCs w:val="1"/>
                <w:color w:val="auto"/>
              </w:rPr>
            </w:pPr>
          </w:p>
        </w:tc>
      </w:tr>
      <w:tr>
        <w:trPr>
          <w:trHeight w:val="133"/>
        </w:trPr>
        <w:tc>
          <w:tcPr>
            <w:tcW w:w="3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Mark Jacobson, M.A.</w:t>
            </w:r>
          </w:p>
        </w:tc>
        <w:tc>
          <w:tcPr>
            <w:tcW w:w="58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2021</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409,000</w:t>
            </w:r>
          </w:p>
        </w:tc>
        <w:tc>
          <w:tcPr>
            <w:tcW w:w="120" w:type="dxa"/>
            <w:vAlign w:val="bottom"/>
          </w:tcPr>
          <w:p>
            <w:pPr>
              <w:spacing w:after="0"/>
              <w:rPr>
                <w:sz w:val="11"/>
                <w:szCs w:val="11"/>
                <w:color w:val="auto"/>
              </w:rPr>
            </w:pPr>
          </w:p>
        </w:tc>
        <w:tc>
          <w:tcPr>
            <w:tcW w:w="460" w:type="dxa"/>
            <w:vAlign w:val="bottom"/>
          </w:tcPr>
          <w:p>
            <w:pPr>
              <w:ind w:left="340"/>
              <w:spacing w:after="0"/>
              <w:rPr>
                <w:sz w:val="20"/>
                <w:szCs w:val="20"/>
                <w:color w:val="auto"/>
              </w:rPr>
            </w:pPr>
            <w:r>
              <w:rPr>
                <w:rFonts w:ascii="Times New Roman" w:cs="Times New Roman" w:eastAsia="Times New Roman" w:hAnsi="Times New Roman"/>
                <w:sz w:val="11"/>
                <w:szCs w:val="11"/>
                <w:color w:val="auto"/>
                <w:w w:val="90"/>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999,938</w:t>
            </w:r>
          </w:p>
        </w:tc>
        <w:tc>
          <w:tcPr>
            <w:tcW w:w="780" w:type="dxa"/>
            <w:vAlign w:val="bottom"/>
            <w:gridSpan w:val="2"/>
          </w:tcPr>
          <w:p>
            <w:pPr>
              <w:ind w:left="340"/>
              <w:spacing w:after="0"/>
              <w:rPr>
                <w:sz w:val="20"/>
                <w:szCs w:val="20"/>
                <w:color w:val="auto"/>
              </w:rPr>
            </w:pPr>
            <w:r>
              <w:rPr>
                <w:rFonts w:ascii="Times New Roman" w:cs="Times New Roman" w:eastAsia="Times New Roman" w:hAnsi="Times New Roman"/>
                <w:sz w:val="11"/>
                <w:szCs w:val="11"/>
                <w:color w:val="auto"/>
                <w:w w:val="95"/>
              </w:rPr>
              <w:t>3,240,166</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139,060</w:t>
            </w:r>
          </w:p>
        </w:tc>
        <w:tc>
          <w:tcPr>
            <w:tcW w:w="120" w:type="dxa"/>
            <w:vAlign w:val="bottom"/>
          </w:tcPr>
          <w:p>
            <w:pPr>
              <w:spacing w:after="0"/>
              <w:rPr>
                <w:sz w:val="11"/>
                <w:szCs w:val="11"/>
                <w:color w:val="auto"/>
              </w:rPr>
            </w:pPr>
          </w:p>
        </w:tc>
        <w:tc>
          <w:tcPr>
            <w:tcW w:w="1000" w:type="dxa"/>
            <w:vAlign w:val="bottom"/>
          </w:tcPr>
          <w:p>
            <w:pPr>
              <w:ind w:left="880"/>
              <w:spacing w:after="0"/>
              <w:rPr>
                <w:sz w:val="20"/>
                <w:szCs w:val="20"/>
                <w:color w:val="auto"/>
              </w:rPr>
            </w:pPr>
            <w:r>
              <w:rPr>
                <w:rFonts w:ascii="Times New Roman" w:cs="Times New Roman" w:eastAsia="Times New Roman" w:hAnsi="Times New Roman"/>
                <w:sz w:val="11"/>
                <w:szCs w:val="11"/>
                <w:color w:val="auto"/>
                <w:w w:val="90"/>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6,660</w:t>
            </w:r>
          </w:p>
        </w:tc>
        <w:tc>
          <w:tcPr>
            <w:tcW w:w="260" w:type="dxa"/>
            <w:vAlign w:val="bottom"/>
            <w:vMerge w:val="continue"/>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4,794,824</w:t>
            </w:r>
          </w:p>
        </w:tc>
        <w:tc>
          <w:tcPr>
            <w:tcW w:w="0" w:type="dxa"/>
            <w:vAlign w:val="bottom"/>
          </w:tcPr>
          <w:p>
            <w:pPr>
              <w:spacing w:after="0"/>
              <w:rPr>
                <w:sz w:val="1"/>
                <w:szCs w:val="1"/>
                <w:color w:val="auto"/>
              </w:rPr>
            </w:pPr>
          </w:p>
        </w:tc>
      </w:tr>
      <w:tr>
        <w:trPr>
          <w:trHeight w:val="137"/>
        </w:trPr>
        <w:tc>
          <w:tcPr>
            <w:tcW w:w="3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i w:val="1"/>
                <w:iCs w:val="1"/>
                <w:color w:val="auto"/>
              </w:rPr>
              <w:t>Chief Operating Officer</w:t>
            </w:r>
          </w:p>
        </w:tc>
        <w:tc>
          <w:tcPr>
            <w:tcW w:w="120" w:type="dxa"/>
            <w:vAlign w:val="bottom"/>
            <w:shd w:val="clear" w:color="auto" w:fill="CFF0FC"/>
          </w:tcPr>
          <w:p>
            <w:pPr>
              <w:spacing w:after="0"/>
              <w:rPr>
                <w:sz w:val="11"/>
                <w:szCs w:val="11"/>
                <w:color w:val="auto"/>
              </w:rPr>
            </w:pPr>
          </w:p>
        </w:tc>
        <w:tc>
          <w:tcPr>
            <w:tcW w:w="4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2020</w:t>
            </w: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375,000</w:t>
            </w:r>
          </w:p>
        </w:tc>
        <w:tc>
          <w:tcPr>
            <w:tcW w:w="120" w:type="dxa"/>
            <w:vAlign w:val="bottom"/>
            <w:shd w:val="clear" w:color="auto" w:fill="CFF0FC"/>
          </w:tcPr>
          <w:p>
            <w:pPr>
              <w:spacing w:after="0"/>
              <w:rPr>
                <w:sz w:val="11"/>
                <w:szCs w:val="11"/>
                <w:color w:val="auto"/>
              </w:rPr>
            </w:pPr>
          </w:p>
        </w:tc>
        <w:tc>
          <w:tcPr>
            <w:tcW w:w="4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1"/>
                <w:szCs w:val="11"/>
                <w:color w:val="auto"/>
                <w:w w:val="90"/>
              </w:rPr>
              <w:t>—</w:t>
            </w: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461,629</w:t>
            </w:r>
          </w:p>
        </w:tc>
        <w:tc>
          <w:tcPr>
            <w:tcW w:w="780" w:type="dxa"/>
            <w:vAlign w:val="bottom"/>
            <w:gridSpan w:val="2"/>
            <w:shd w:val="clear" w:color="auto" w:fill="CFF0FC"/>
          </w:tcPr>
          <w:p>
            <w:pPr>
              <w:ind w:left="340"/>
              <w:spacing w:after="0"/>
              <w:rPr>
                <w:sz w:val="20"/>
                <w:szCs w:val="20"/>
                <w:color w:val="auto"/>
              </w:rPr>
            </w:pPr>
            <w:r>
              <w:rPr>
                <w:rFonts w:ascii="Times New Roman" w:cs="Times New Roman" w:eastAsia="Times New Roman" w:hAnsi="Times New Roman"/>
                <w:sz w:val="11"/>
                <w:szCs w:val="11"/>
                <w:color w:val="auto"/>
                <w:w w:val="95"/>
              </w:rPr>
              <w:t>1,333,376</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195,000</w:t>
            </w: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ind w:left="880"/>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shd w:val="clear" w:color="auto" w:fill="CFF0FC"/>
          </w:tcPr>
          <w:p>
            <w:pPr>
              <w:spacing w:after="0"/>
              <w:rPr>
                <w:sz w:val="11"/>
                <w:szCs w:val="1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2,365,005</w:t>
            </w:r>
          </w:p>
        </w:tc>
        <w:tc>
          <w:tcPr>
            <w:tcW w:w="0" w:type="dxa"/>
            <w:vAlign w:val="bottom"/>
          </w:tcPr>
          <w:p>
            <w:pPr>
              <w:spacing w:after="0"/>
              <w:rPr>
                <w:sz w:val="1"/>
                <w:szCs w:val="1"/>
                <w:color w:val="auto"/>
              </w:rPr>
            </w:pPr>
          </w:p>
        </w:tc>
      </w:tr>
      <w:tr>
        <w:trPr>
          <w:trHeight w:val="149"/>
        </w:trPr>
        <w:tc>
          <w:tcPr>
            <w:tcW w:w="36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2019</w:t>
            </w: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310,000</w:t>
            </w:r>
          </w:p>
        </w:tc>
        <w:tc>
          <w:tcPr>
            <w:tcW w:w="120" w:type="dxa"/>
            <w:vAlign w:val="bottom"/>
            <w:shd w:val="clear" w:color="auto" w:fill="CFF0FC"/>
          </w:tcPr>
          <w:p>
            <w:pPr>
              <w:spacing w:after="0"/>
              <w:rPr>
                <w:sz w:val="12"/>
                <w:szCs w:val="12"/>
                <w:color w:val="auto"/>
              </w:rPr>
            </w:pPr>
          </w:p>
        </w:tc>
        <w:tc>
          <w:tcPr>
            <w:tcW w:w="4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shd w:val="clear" w:color="auto" w:fill="CFF0FC"/>
          </w:tcPr>
          <w:p>
            <w:pPr>
              <w:ind w:left="340"/>
              <w:spacing w:after="0"/>
              <w:rPr>
                <w:sz w:val="20"/>
                <w:szCs w:val="20"/>
                <w:color w:val="auto"/>
              </w:rPr>
            </w:pPr>
            <w:r>
              <w:rPr>
                <w:rFonts w:ascii="Times New Roman" w:cs="Times New Roman" w:eastAsia="Times New Roman" w:hAnsi="Times New Roman"/>
                <w:sz w:val="11"/>
                <w:szCs w:val="11"/>
                <w:color w:val="auto"/>
                <w:w w:val="95"/>
              </w:rPr>
              <w:t>1,482,931</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162,750</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ind w:left="880"/>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1,955,681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-256540</wp:posOffset>
            </wp:positionV>
            <wp:extent cx="7132320" cy="857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5725"/>
                    </a:xfrm>
                    <a:prstGeom prst="rect">
                      <a:avLst/>
                    </a:prstGeom>
                    <a:noFill/>
                  </pic:spPr>
                </pic:pic>
              </a:graphicData>
            </a:graphic>
          </wp:anchor>
        </w:drawing>
      </w:r>
    </w:p>
    <w:p>
      <w:pPr>
        <w:spacing w:after="0" w:line="177" w:lineRule="exact"/>
        <w:rPr>
          <w:sz w:val="20"/>
          <w:szCs w:val="20"/>
          <w:color w:val="auto"/>
        </w:rPr>
      </w:pPr>
    </w:p>
    <w:p>
      <w:pPr>
        <w:ind w:left="380" w:hanging="372"/>
        <w:spacing w:after="0"/>
        <w:tabs>
          <w:tab w:leader="none" w:pos="380" w:val="left"/>
        </w:tabs>
        <w:numPr>
          <w:ilvl w:val="0"/>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cash incentive payments made under our annual incentive plans, paid in March following completion of the applicable performance year.</w:t>
      </w:r>
    </w:p>
    <w:p>
      <w:pPr>
        <w:ind w:left="380" w:right="20" w:hanging="372"/>
        <w:spacing w:after="0" w:line="258" w:lineRule="auto"/>
        <w:tabs>
          <w:tab w:leader="none" w:pos="380" w:val="left"/>
        </w:tabs>
        <w:numPr>
          <w:ilvl w:val="0"/>
          <w:numId w:val="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accordance with SEC rules, this column reflects the aggregate grant date fair value of the RSU / option awards granted computed in accordance with Financial Accounting Standard Board Accounting Codification Topic 718 for stock-based compensation transactions (ASC 718), as applicable. Assumptions used in the calculation of these amounts are included in Note 2 to our financial statements. These amounts do not reflect the actual economic value that will be realized by the named executive officer upon the vesting of the stock options, the exercise of the stock options, or the sale of the common stock underlying such stock options.</w:t>
      </w:r>
    </w:p>
    <w:p>
      <w:pPr>
        <w:ind w:left="380" w:hanging="372"/>
        <w:spacing w:after="0" w:line="216" w:lineRule="auto"/>
        <w:tabs>
          <w:tab w:leader="none" w:pos="380" w:val="left"/>
        </w:tabs>
        <w:numPr>
          <w:ilvl w:val="0"/>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NEO's portion of FICA and FUTA tax payments paid by the Company on behalf of the NEO due to delayed settlement of corresponding RSUs.</w:t>
      </w:r>
    </w:p>
    <w:p>
      <w:pPr>
        <w:ind w:left="380" w:hanging="372"/>
        <w:spacing w:after="0"/>
        <w:tabs>
          <w:tab w:leader="none" w:pos="380" w:val="left"/>
        </w:tabs>
        <w:numPr>
          <w:ilvl w:val="0"/>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company contributions under the 401(k) match program described for the named executive officer consistent with those provided to all of our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-554355</wp:posOffset>
            </wp:positionV>
            <wp:extent cx="190309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Equity Compensation</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2021 Grants of Plan-Based Awards</w:t>
      </w:r>
    </w:p>
    <w:p>
      <w:pPr>
        <w:spacing w:after="0" w:line="115" w:lineRule="exact"/>
        <w:rPr>
          <w:sz w:val="20"/>
          <w:szCs w:val="20"/>
          <w:color w:val="auto"/>
        </w:rPr>
      </w:pPr>
    </w:p>
    <w:p>
      <w:pPr>
        <w:ind w:right="440" w:firstLine="374"/>
        <w:spacing w:after="0" w:line="263" w:lineRule="auto"/>
        <w:rPr>
          <w:sz w:val="20"/>
          <w:szCs w:val="20"/>
          <w:color w:val="auto"/>
        </w:rPr>
      </w:pPr>
      <w:r>
        <w:rPr>
          <w:rFonts w:ascii="Times New Roman" w:cs="Times New Roman" w:eastAsia="Times New Roman" w:hAnsi="Times New Roman"/>
          <w:sz w:val="16"/>
          <w:szCs w:val="16"/>
          <w:color w:val="auto"/>
        </w:rPr>
        <w:t>In 2021, we granted the following non-equity incentive awards, stock options and RSUs to our NEOs under our Amended and Restated 2015 Omnibus Incentive Compensation Plan (the “2015 Plan”):</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rPr>
              <w:t>Grant Date</w:t>
            </w:r>
          </w:p>
        </w:tc>
        <w:tc>
          <w:tcPr>
            <w:tcW w:w="0" w:type="dxa"/>
            <w:vAlign w:val="bottom"/>
          </w:tcPr>
          <w:p>
            <w:pPr>
              <w:spacing w:after="0"/>
              <w:rPr>
                <w:sz w:val="1"/>
                <w:szCs w:val="1"/>
                <w:color w:val="auto"/>
              </w:rPr>
            </w:pPr>
          </w:p>
        </w:tc>
      </w:tr>
      <w:tr>
        <w:trPr>
          <w:trHeight w:val="122"/>
        </w:trPr>
        <w:tc>
          <w:tcPr>
            <w:tcW w:w="3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Number of</w:t>
            </w:r>
          </w:p>
        </w:tc>
        <w:tc>
          <w:tcPr>
            <w:tcW w:w="440" w:type="dxa"/>
            <w:vAlign w:val="bottom"/>
          </w:tcPr>
          <w:p>
            <w:pPr>
              <w:spacing w:after="0"/>
              <w:rPr>
                <w:sz w:val="10"/>
                <w:szCs w:val="10"/>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Number of</w:t>
            </w: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center"/>
              <w:ind w:right="46"/>
              <w:spacing w:after="0" w:line="122" w:lineRule="exact"/>
              <w:rPr>
                <w:sz w:val="20"/>
                <w:szCs w:val="20"/>
                <w:color w:val="auto"/>
              </w:rPr>
            </w:pPr>
            <w:r>
              <w:rPr>
                <w:rFonts w:ascii="Times New Roman" w:cs="Times New Roman" w:eastAsia="Times New Roman" w:hAnsi="Times New Roman"/>
                <w:sz w:val="11"/>
                <w:szCs w:val="11"/>
                <w:b w:val="1"/>
                <w:bCs w:val="1"/>
                <w:color w:val="auto"/>
              </w:rPr>
              <w:t>Exercise</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jc w:val="center"/>
              <w:ind w:right="46"/>
              <w:spacing w:after="0" w:line="122" w:lineRule="exact"/>
              <w:rPr>
                <w:sz w:val="20"/>
                <w:szCs w:val="20"/>
                <w:color w:val="auto"/>
              </w:rPr>
            </w:pPr>
            <w:r>
              <w:rPr>
                <w:rFonts w:ascii="Times New Roman" w:cs="Times New Roman" w:eastAsia="Times New Roman" w:hAnsi="Times New Roman"/>
                <w:sz w:val="11"/>
                <w:szCs w:val="11"/>
                <w:b w:val="1"/>
                <w:bCs w:val="1"/>
                <w:color w:val="auto"/>
                <w:w w:val="98"/>
              </w:rPr>
              <w:t>Fair</w:t>
            </w:r>
          </w:p>
        </w:tc>
        <w:tc>
          <w:tcPr>
            <w:tcW w:w="0" w:type="dxa"/>
            <w:vAlign w:val="bottom"/>
          </w:tcPr>
          <w:p>
            <w:pPr>
              <w:spacing w:after="0"/>
              <w:rPr>
                <w:sz w:val="1"/>
                <w:szCs w:val="1"/>
                <w:color w:val="auto"/>
              </w:rPr>
            </w:pPr>
          </w:p>
        </w:tc>
      </w:tr>
      <w:tr>
        <w:trPr>
          <w:trHeight w:val="108"/>
        </w:trPr>
        <w:tc>
          <w:tcPr>
            <w:tcW w:w="3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jc w:val="center"/>
              <w:ind w:right="46"/>
              <w:spacing w:after="0" w:line="108" w:lineRule="exact"/>
              <w:rPr>
                <w:sz w:val="20"/>
                <w:szCs w:val="20"/>
                <w:color w:val="auto"/>
              </w:rPr>
            </w:pPr>
            <w:r>
              <w:rPr>
                <w:rFonts w:ascii="Times New Roman" w:cs="Times New Roman" w:eastAsia="Times New Roman" w:hAnsi="Times New Roman"/>
                <w:sz w:val="11"/>
                <w:szCs w:val="11"/>
                <w:b w:val="1"/>
                <w:bCs w:val="1"/>
                <w:color w:val="auto"/>
              </w:rPr>
              <w:t>or Base</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jc w:val="center"/>
              <w:ind w:right="26"/>
              <w:spacing w:after="0" w:line="108" w:lineRule="exact"/>
              <w:rPr>
                <w:sz w:val="20"/>
                <w:szCs w:val="20"/>
                <w:color w:val="auto"/>
              </w:rPr>
            </w:pPr>
            <w:r>
              <w:rPr>
                <w:rFonts w:ascii="Times New Roman" w:cs="Times New Roman" w:eastAsia="Times New Roman" w:hAnsi="Times New Roman"/>
                <w:sz w:val="11"/>
                <w:szCs w:val="11"/>
                <w:b w:val="1"/>
                <w:bCs w:val="1"/>
                <w:color w:val="auto"/>
                <w:w w:val="96"/>
              </w:rPr>
              <w:t>Value of</w:t>
            </w:r>
          </w:p>
        </w:tc>
        <w:tc>
          <w:tcPr>
            <w:tcW w:w="0" w:type="dxa"/>
            <w:vAlign w:val="bottom"/>
          </w:tcPr>
          <w:p>
            <w:pPr>
              <w:spacing w:after="0"/>
              <w:rPr>
                <w:sz w:val="1"/>
                <w:szCs w:val="1"/>
                <w:color w:val="auto"/>
              </w:rPr>
            </w:pPr>
          </w:p>
        </w:tc>
      </w:tr>
      <w:tr>
        <w:trPr>
          <w:trHeight w:val="108"/>
        </w:trPr>
        <w:tc>
          <w:tcPr>
            <w:tcW w:w="3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6"/>
              </w:rPr>
              <w:t>Shares of</w:t>
            </w:r>
          </w:p>
        </w:tc>
        <w:tc>
          <w:tcPr>
            <w:tcW w:w="440" w:type="dxa"/>
            <w:vAlign w:val="bottom"/>
          </w:tcPr>
          <w:p>
            <w:pPr>
              <w:spacing w:after="0"/>
              <w:rPr>
                <w:sz w:val="9"/>
                <w:szCs w:val="9"/>
                <w:color w:val="auto"/>
              </w:rPr>
            </w:pPr>
          </w:p>
        </w:tc>
        <w:tc>
          <w:tcPr>
            <w:tcW w:w="78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5"/>
              </w:rPr>
              <w:t>Securities</w:t>
            </w: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jc w:val="center"/>
              <w:ind w:right="46"/>
              <w:spacing w:after="0" w:line="108" w:lineRule="exact"/>
              <w:rPr>
                <w:sz w:val="20"/>
                <w:szCs w:val="20"/>
                <w:color w:val="auto"/>
              </w:rPr>
            </w:pPr>
            <w:r>
              <w:rPr>
                <w:rFonts w:ascii="Times New Roman" w:cs="Times New Roman" w:eastAsia="Times New Roman" w:hAnsi="Times New Roman"/>
                <w:sz w:val="11"/>
                <w:szCs w:val="11"/>
                <w:b w:val="1"/>
                <w:bCs w:val="1"/>
                <w:color w:val="auto"/>
                <w:w w:val="98"/>
              </w:rPr>
              <w:t>Price of</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jc w:val="center"/>
              <w:ind w:right="26"/>
              <w:spacing w:after="0" w:line="108" w:lineRule="exact"/>
              <w:rPr>
                <w:sz w:val="20"/>
                <w:szCs w:val="20"/>
                <w:color w:val="auto"/>
              </w:rPr>
            </w:pPr>
            <w:r>
              <w:rPr>
                <w:rFonts w:ascii="Times New Roman" w:cs="Times New Roman" w:eastAsia="Times New Roman" w:hAnsi="Times New Roman"/>
                <w:sz w:val="11"/>
                <w:szCs w:val="11"/>
                <w:b w:val="1"/>
                <w:bCs w:val="1"/>
                <w:color w:val="auto"/>
                <w:w w:val="98"/>
              </w:rPr>
              <w:t>Stock and</w:t>
            </w:r>
          </w:p>
        </w:tc>
        <w:tc>
          <w:tcPr>
            <w:tcW w:w="0" w:type="dxa"/>
            <w:vAlign w:val="bottom"/>
          </w:tcPr>
          <w:p>
            <w:pPr>
              <w:spacing w:after="0"/>
              <w:rPr>
                <w:sz w:val="1"/>
                <w:szCs w:val="1"/>
                <w:color w:val="auto"/>
              </w:rPr>
            </w:pPr>
          </w:p>
        </w:tc>
      </w:tr>
      <w:tr>
        <w:trPr>
          <w:trHeight w:val="122"/>
        </w:trPr>
        <w:tc>
          <w:tcPr>
            <w:tcW w:w="3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60" w:type="dxa"/>
            <w:vAlign w:val="bottom"/>
            <w:gridSpan w:val="4"/>
          </w:tcPr>
          <w:p>
            <w:pPr>
              <w:jc w:val="center"/>
              <w:ind w:left="326"/>
              <w:spacing w:after="0" w:line="122" w:lineRule="exact"/>
              <w:rPr>
                <w:sz w:val="20"/>
                <w:szCs w:val="20"/>
                <w:color w:val="auto"/>
              </w:rPr>
            </w:pPr>
            <w:r>
              <w:rPr>
                <w:rFonts w:ascii="Times New Roman" w:cs="Times New Roman" w:eastAsia="Times New Roman" w:hAnsi="Times New Roman"/>
                <w:sz w:val="11"/>
                <w:szCs w:val="11"/>
                <w:b w:val="1"/>
                <w:bCs w:val="1"/>
                <w:color w:val="auto"/>
                <w:w w:val="97"/>
              </w:rPr>
              <w:t>Estimated Future Payouts</w:t>
            </w: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8"/>
              </w:rPr>
              <w:t>Stock</w:t>
            </w:r>
          </w:p>
        </w:tc>
        <w:tc>
          <w:tcPr>
            <w:tcW w:w="440" w:type="dxa"/>
            <w:vAlign w:val="bottom"/>
          </w:tcPr>
          <w:p>
            <w:pPr>
              <w:spacing w:after="0"/>
              <w:rPr>
                <w:sz w:val="10"/>
                <w:szCs w:val="10"/>
                <w:color w:val="auto"/>
              </w:rPr>
            </w:pPr>
          </w:p>
        </w:tc>
        <w:tc>
          <w:tcPr>
            <w:tcW w:w="7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Underlying</w:t>
            </w: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center"/>
              <w:ind w:right="46"/>
              <w:spacing w:after="0" w:line="122" w:lineRule="exact"/>
              <w:rPr>
                <w:sz w:val="20"/>
                <w:szCs w:val="20"/>
                <w:color w:val="auto"/>
              </w:rPr>
            </w:pPr>
            <w:r>
              <w:rPr>
                <w:rFonts w:ascii="Times New Roman" w:cs="Times New Roman" w:eastAsia="Times New Roman" w:hAnsi="Times New Roman"/>
                <w:sz w:val="11"/>
                <w:szCs w:val="11"/>
                <w:b w:val="1"/>
                <w:bCs w:val="1"/>
                <w:color w:val="auto"/>
                <w:w w:val="96"/>
              </w:rPr>
              <w:t>Option</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jc w:val="center"/>
              <w:ind w:right="26"/>
              <w:spacing w:after="0" w:line="122" w:lineRule="exact"/>
              <w:rPr>
                <w:sz w:val="20"/>
                <w:szCs w:val="20"/>
                <w:color w:val="auto"/>
              </w:rPr>
            </w:pPr>
            <w:r>
              <w:rPr>
                <w:rFonts w:ascii="Times New Roman" w:cs="Times New Roman" w:eastAsia="Times New Roman" w:hAnsi="Times New Roman"/>
                <w:sz w:val="11"/>
                <w:szCs w:val="11"/>
                <w:b w:val="1"/>
                <w:bCs w:val="1"/>
                <w:color w:val="auto"/>
              </w:rPr>
              <w:t>Option</w:t>
            </w:r>
          </w:p>
        </w:tc>
        <w:tc>
          <w:tcPr>
            <w:tcW w:w="0" w:type="dxa"/>
            <w:vAlign w:val="bottom"/>
          </w:tcPr>
          <w:p>
            <w:pPr>
              <w:spacing w:after="0"/>
              <w:rPr>
                <w:sz w:val="1"/>
                <w:szCs w:val="1"/>
                <w:color w:val="auto"/>
              </w:rPr>
            </w:pPr>
          </w:p>
        </w:tc>
      </w:tr>
      <w:tr>
        <w:trPr>
          <w:trHeight w:val="108"/>
        </w:trPr>
        <w:tc>
          <w:tcPr>
            <w:tcW w:w="3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jc w:val="center"/>
              <w:ind w:right="26"/>
              <w:spacing w:after="0" w:line="108" w:lineRule="exact"/>
              <w:rPr>
                <w:sz w:val="20"/>
                <w:szCs w:val="20"/>
                <w:color w:val="auto"/>
              </w:rPr>
            </w:pPr>
            <w:r>
              <w:rPr>
                <w:rFonts w:ascii="Times New Roman" w:cs="Times New Roman" w:eastAsia="Times New Roman" w:hAnsi="Times New Roman"/>
                <w:sz w:val="11"/>
                <w:szCs w:val="11"/>
                <w:b w:val="1"/>
                <w:bCs w:val="1"/>
                <w:color w:val="auto"/>
                <w:w w:val="96"/>
              </w:rPr>
              <w:t>Under Non-</w:t>
            </w: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rPr>
              <w:t>or Units (#)</w:t>
            </w:r>
          </w:p>
        </w:tc>
        <w:tc>
          <w:tcPr>
            <w:tcW w:w="440" w:type="dxa"/>
            <w:vAlign w:val="bottom"/>
          </w:tcPr>
          <w:p>
            <w:pPr>
              <w:spacing w:after="0"/>
              <w:rPr>
                <w:sz w:val="9"/>
                <w:szCs w:val="9"/>
                <w:color w:val="auto"/>
              </w:rPr>
            </w:pPr>
          </w:p>
        </w:tc>
        <w:tc>
          <w:tcPr>
            <w:tcW w:w="78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6"/>
              </w:rPr>
              <w:t>Options</w:t>
            </w: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jc w:val="center"/>
              <w:ind w:right="46"/>
              <w:spacing w:after="0" w:line="108" w:lineRule="exact"/>
              <w:rPr>
                <w:sz w:val="20"/>
                <w:szCs w:val="20"/>
                <w:color w:val="auto"/>
              </w:rPr>
            </w:pPr>
            <w:r>
              <w:rPr>
                <w:rFonts w:ascii="Times New Roman" w:cs="Times New Roman" w:eastAsia="Times New Roman" w:hAnsi="Times New Roman"/>
                <w:sz w:val="11"/>
                <w:szCs w:val="11"/>
                <w:b w:val="1"/>
                <w:bCs w:val="1"/>
                <w:color w:val="auto"/>
                <w:w w:val="98"/>
              </w:rPr>
              <w:t>Awards</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jc w:val="center"/>
              <w:ind w:right="26"/>
              <w:spacing w:after="0" w:line="108" w:lineRule="exact"/>
              <w:rPr>
                <w:sz w:val="20"/>
                <w:szCs w:val="20"/>
                <w:color w:val="auto"/>
              </w:rPr>
            </w:pPr>
            <w:r>
              <w:rPr>
                <w:rFonts w:ascii="Times New Roman" w:cs="Times New Roman" w:eastAsia="Times New Roman" w:hAnsi="Times New Roman"/>
                <w:sz w:val="11"/>
                <w:szCs w:val="11"/>
                <w:b w:val="1"/>
                <w:bCs w:val="1"/>
                <w:color w:val="auto"/>
                <w:w w:val="95"/>
              </w:rPr>
              <w:t>Awards ($)</w:t>
            </w:r>
          </w:p>
        </w:tc>
        <w:tc>
          <w:tcPr>
            <w:tcW w:w="0" w:type="dxa"/>
            <w:vAlign w:val="bottom"/>
          </w:tcPr>
          <w:p>
            <w:pPr>
              <w:spacing w:after="0"/>
              <w:rPr>
                <w:sz w:val="1"/>
                <w:szCs w:val="1"/>
                <w:color w:val="auto"/>
              </w:rPr>
            </w:pPr>
          </w:p>
        </w:tc>
      </w:tr>
      <w:tr>
        <w:trPr>
          <w:trHeight w:val="155"/>
        </w:trPr>
        <w:tc>
          <w:tcPr>
            <w:tcW w:w="3720" w:type="dxa"/>
            <w:vAlign w:val="bottom"/>
          </w:tcPr>
          <w:p>
            <w:pPr>
              <w:ind w:left="1720"/>
              <w:spacing w:after="0"/>
              <w:rPr>
                <w:sz w:val="20"/>
                <w:szCs w:val="20"/>
                <w:color w:val="auto"/>
              </w:rPr>
            </w:pPr>
            <w:r>
              <w:rPr>
                <w:rFonts w:ascii="Times New Roman" w:cs="Times New Roman" w:eastAsia="Times New Roman" w:hAnsi="Times New Roman"/>
                <w:sz w:val="11"/>
                <w:szCs w:val="11"/>
                <w:b w:val="1"/>
                <w:bCs w:val="1"/>
                <w:color w:val="auto"/>
              </w:rPr>
              <w:t>Name</w:t>
            </w:r>
          </w:p>
        </w:tc>
        <w:tc>
          <w:tcPr>
            <w:tcW w:w="120" w:type="dxa"/>
            <w:vAlign w:val="bottom"/>
          </w:tcPr>
          <w:p>
            <w:pPr>
              <w:spacing w:after="0"/>
              <w:rPr>
                <w:sz w:val="13"/>
                <w:szCs w:val="13"/>
                <w:color w:val="auto"/>
              </w:rPr>
            </w:pPr>
          </w:p>
        </w:tc>
        <w:tc>
          <w:tcPr>
            <w:tcW w:w="1000" w:type="dxa"/>
            <w:vAlign w:val="bottom"/>
            <w:gridSpan w:val="3"/>
          </w:tcPr>
          <w:p>
            <w:pPr>
              <w:jc w:val="right"/>
              <w:ind w:right="340"/>
              <w:spacing w:after="0"/>
              <w:rPr>
                <w:sz w:val="20"/>
                <w:szCs w:val="20"/>
                <w:color w:val="auto"/>
              </w:rPr>
            </w:pPr>
            <w:r>
              <w:rPr>
                <w:rFonts w:ascii="Times New Roman" w:cs="Times New Roman" w:eastAsia="Times New Roman" w:hAnsi="Times New Roman"/>
                <w:sz w:val="11"/>
                <w:szCs w:val="11"/>
                <w:b w:val="1"/>
                <w:bCs w:val="1"/>
                <w:color w:val="auto"/>
              </w:rPr>
              <w:t>Grant Date</w:t>
            </w:r>
          </w:p>
        </w:tc>
        <w:tc>
          <w:tcPr>
            <w:tcW w:w="1860" w:type="dxa"/>
            <w:vAlign w:val="bottom"/>
            <w:gridSpan w:val="4"/>
          </w:tcPr>
          <w:p>
            <w:pPr>
              <w:jc w:val="center"/>
              <w:ind w:left="326"/>
              <w:spacing w:after="0"/>
              <w:rPr>
                <w:sz w:val="20"/>
                <w:szCs w:val="20"/>
                <w:color w:val="auto"/>
              </w:rPr>
            </w:pPr>
            <w:r>
              <w:rPr>
                <w:rFonts w:ascii="Times New Roman" w:cs="Times New Roman" w:eastAsia="Times New Roman" w:hAnsi="Times New Roman"/>
                <w:sz w:val="11"/>
                <w:szCs w:val="11"/>
                <w:b w:val="1"/>
                <w:bCs w:val="1"/>
                <w:color w:val="auto"/>
                <w:w w:val="97"/>
              </w:rPr>
              <w:t>Equity Incentive Plan Awards*</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(RSUs)(1)</w:t>
            </w:r>
          </w:p>
        </w:tc>
        <w:tc>
          <w:tcPr>
            <w:tcW w:w="440" w:type="dxa"/>
            <w:vAlign w:val="bottom"/>
          </w:tcPr>
          <w:p>
            <w:pPr>
              <w:spacing w:after="0"/>
              <w:rPr>
                <w:sz w:val="13"/>
                <w:szCs w:val="13"/>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 (2)</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rPr>
              <w:t>($/Share)</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rPr>
              <w:t>(3)</w:t>
            </w:r>
          </w:p>
        </w:tc>
        <w:tc>
          <w:tcPr>
            <w:tcW w:w="0" w:type="dxa"/>
            <w:vAlign w:val="bottom"/>
          </w:tcPr>
          <w:p>
            <w:pPr>
              <w:spacing w:after="0"/>
              <w:rPr>
                <w:sz w:val="1"/>
                <w:szCs w:val="1"/>
                <w:color w:val="auto"/>
              </w:rPr>
            </w:pPr>
          </w:p>
        </w:tc>
      </w:tr>
      <w:tr>
        <w:trPr>
          <w:trHeight w:val="121"/>
        </w:trPr>
        <w:tc>
          <w:tcPr>
            <w:tcW w:w="37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ind w:left="20"/>
              <w:spacing w:after="0" w:line="122" w:lineRule="exact"/>
              <w:rPr>
                <w:sz w:val="20"/>
                <w:szCs w:val="20"/>
                <w:color w:val="auto"/>
              </w:rPr>
            </w:pPr>
            <w:r>
              <w:rPr>
                <w:rFonts w:ascii="Times New Roman" w:cs="Times New Roman" w:eastAsia="Times New Roman" w:hAnsi="Times New Roman"/>
                <w:sz w:val="11"/>
                <w:szCs w:val="11"/>
                <w:b w:val="1"/>
                <w:bCs w:val="1"/>
                <w:color w:val="auto"/>
              </w:rPr>
              <w:t>Threshold</w:t>
            </w:r>
          </w:p>
        </w:tc>
        <w:tc>
          <w:tcPr>
            <w:tcW w:w="1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right"/>
              <w:ind w:right="206"/>
              <w:spacing w:after="0" w:line="122" w:lineRule="exact"/>
              <w:rPr>
                <w:sz w:val="20"/>
                <w:szCs w:val="20"/>
                <w:color w:val="auto"/>
              </w:rPr>
            </w:pPr>
            <w:r>
              <w:rPr>
                <w:rFonts w:ascii="Times New Roman" w:cs="Times New Roman" w:eastAsia="Times New Roman" w:hAnsi="Times New Roman"/>
                <w:sz w:val="11"/>
                <w:szCs w:val="11"/>
                <w:b w:val="1"/>
                <w:bCs w:val="1"/>
                <w:color w:val="auto"/>
              </w:rPr>
              <w:t>Target</w:t>
            </w:r>
          </w:p>
        </w:tc>
        <w:tc>
          <w:tcPr>
            <w:tcW w:w="820" w:type="dxa"/>
            <w:vAlign w:val="bottom"/>
            <w:tcBorders>
              <w:top w:val="single" w:sz="8" w:color="auto"/>
            </w:tcBorders>
            <w:gridSpan w:val="2"/>
          </w:tcPr>
          <w:p>
            <w:pPr>
              <w:jc w:val="right"/>
              <w:ind w:right="86"/>
              <w:spacing w:after="0" w:line="122" w:lineRule="exact"/>
              <w:rPr>
                <w:sz w:val="20"/>
                <w:szCs w:val="20"/>
                <w:color w:val="auto"/>
              </w:rPr>
            </w:pPr>
            <w:r>
              <w:rPr>
                <w:rFonts w:ascii="Times New Roman" w:cs="Times New Roman" w:eastAsia="Times New Roman" w:hAnsi="Times New Roman"/>
                <w:sz w:val="11"/>
                <w:szCs w:val="11"/>
                <w:b w:val="1"/>
                <w:bCs w:val="1"/>
                <w:color w:val="auto"/>
              </w:rPr>
              <w:t>Maximum</w:t>
            </w:r>
          </w:p>
        </w:tc>
        <w:tc>
          <w:tcPr>
            <w:tcW w:w="12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Herriot Tabuteau, M.D.</w:t>
            </w:r>
          </w:p>
        </w:tc>
        <w:tc>
          <w:tcPr>
            <w:tcW w:w="1120" w:type="dxa"/>
            <w:vAlign w:val="bottom"/>
            <w:gridSpan w:val="4"/>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ind w:left="48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411,000</w:t>
            </w:r>
          </w:p>
        </w:tc>
        <w:tc>
          <w:tcPr>
            <w:tcW w:w="38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$822,000</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vMerge w:val="restart"/>
          </w:tcPr>
          <w:p>
            <w:pPr>
              <w:jc w:val="right"/>
              <w:ind w:right="304"/>
              <w:spacing w:after="0"/>
              <w:rPr>
                <w:sz w:val="20"/>
                <w:szCs w:val="20"/>
                <w:color w:val="auto"/>
              </w:rPr>
            </w:pPr>
            <w:r>
              <w:rPr>
                <w:rFonts w:ascii="Times New Roman" w:cs="Times New Roman" w:eastAsia="Times New Roman" w:hAnsi="Times New Roman"/>
                <w:sz w:val="7"/>
                <w:szCs w:val="7"/>
                <w:color w:val="auto"/>
                <w:w w:val="97"/>
              </w:rPr>
              <w:t>(4)</w:t>
            </w:r>
          </w:p>
        </w:tc>
        <w:tc>
          <w:tcPr>
            <w:tcW w:w="780" w:type="dxa"/>
            <w:vAlign w:val="bottom"/>
          </w:tcPr>
          <w:p>
            <w:pPr>
              <w:spacing w:after="0"/>
              <w:rPr>
                <w:sz w:val="11"/>
                <w:szCs w:val="11"/>
                <w:color w:val="auto"/>
              </w:rPr>
            </w:pPr>
          </w:p>
        </w:tc>
        <w:tc>
          <w:tcPr>
            <w:tcW w:w="420" w:type="dxa"/>
            <w:vAlign w:val="bottom"/>
            <w:vMerge w:val="restart"/>
          </w:tcPr>
          <w:p>
            <w:pPr>
              <w:spacing w:after="0"/>
              <w:rPr>
                <w:sz w:val="20"/>
                <w:szCs w:val="20"/>
                <w:color w:val="auto"/>
              </w:rPr>
            </w:pPr>
            <w:r>
              <w:rPr>
                <w:rFonts w:ascii="Times New Roman" w:cs="Times New Roman" w:eastAsia="Times New Roman" w:hAnsi="Times New Roman"/>
                <w:sz w:val="7"/>
                <w:szCs w:val="7"/>
                <w:color w:val="auto"/>
              </w:rPr>
              <w:t>(5)</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720" w:type="dxa"/>
            <w:vAlign w:val="bottom"/>
            <w:shd w:val="clear" w:color="auto" w:fill="CFF0FC"/>
          </w:tcPr>
          <w:p>
            <w:pPr>
              <w:spacing w:after="0"/>
              <w:rPr>
                <w:sz w:val="12"/>
                <w:szCs w:val="12"/>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3/5/2021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51,715</w:t>
            </w:r>
          </w:p>
        </w:tc>
        <w:tc>
          <w:tcPr>
            <w:tcW w:w="440" w:type="dxa"/>
            <w:vAlign w:val="bottom"/>
            <w:vMerge w:val="continue"/>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97,155</w:t>
            </w:r>
          </w:p>
        </w:tc>
        <w:tc>
          <w:tcPr>
            <w:tcW w:w="420" w:type="dxa"/>
            <w:vAlign w:val="bottom"/>
            <w:vMerge w:val="continue"/>
          </w:tcPr>
          <w:p>
            <w:pPr>
              <w:spacing w:after="0"/>
              <w:rPr>
                <w:sz w:val="12"/>
                <w:szCs w:val="1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65.02</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6,999,606</w:t>
            </w:r>
          </w:p>
        </w:tc>
        <w:tc>
          <w:tcPr>
            <w:tcW w:w="0" w:type="dxa"/>
            <w:vAlign w:val="bottom"/>
          </w:tcPr>
          <w:p>
            <w:pPr>
              <w:spacing w:after="0"/>
              <w:rPr>
                <w:sz w:val="1"/>
                <w:szCs w:val="1"/>
                <w:color w:val="auto"/>
              </w:rPr>
            </w:pPr>
          </w:p>
        </w:tc>
      </w:tr>
      <w:tr>
        <w:trPr>
          <w:trHeight w:val="121"/>
        </w:trPr>
        <w:tc>
          <w:tcPr>
            <w:tcW w:w="372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Nick Pizzie, C.P.A., M.B.A.</w:t>
            </w:r>
          </w:p>
        </w:tc>
        <w:tc>
          <w:tcPr>
            <w:tcW w:w="1120" w:type="dxa"/>
            <w:vAlign w:val="bottom"/>
            <w:gridSpan w:val="4"/>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ind w:left="4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ind w:right="26"/>
              <w:spacing w:after="0" w:line="122" w:lineRule="exact"/>
              <w:rPr>
                <w:sz w:val="20"/>
                <w:szCs w:val="20"/>
                <w:color w:val="auto"/>
              </w:rPr>
            </w:pPr>
            <w:r>
              <w:rPr>
                <w:rFonts w:ascii="Times New Roman" w:cs="Times New Roman" w:eastAsia="Times New Roman" w:hAnsi="Times New Roman"/>
                <w:sz w:val="11"/>
                <w:szCs w:val="11"/>
                <w:color w:val="auto"/>
              </w:rPr>
              <w:t>163,600</w:t>
            </w:r>
          </w:p>
        </w:tc>
        <w:tc>
          <w:tcPr>
            <w:tcW w:w="380" w:type="dxa"/>
            <w:vAlign w:val="bottom"/>
          </w:tcPr>
          <w:p>
            <w:pPr>
              <w:jc w:val="right"/>
              <w:ind w:right="206"/>
              <w:spacing w:after="0" w:line="122" w:lineRule="exact"/>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$327,200</w:t>
            </w: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vMerge w:val="restart"/>
          </w:tcPr>
          <w:p>
            <w:pPr>
              <w:jc w:val="right"/>
              <w:ind w:right="304"/>
              <w:spacing w:after="0"/>
              <w:rPr>
                <w:sz w:val="20"/>
                <w:szCs w:val="20"/>
                <w:color w:val="auto"/>
              </w:rPr>
            </w:pPr>
            <w:r>
              <w:rPr>
                <w:rFonts w:ascii="Times New Roman" w:cs="Times New Roman" w:eastAsia="Times New Roman" w:hAnsi="Times New Roman"/>
                <w:sz w:val="7"/>
                <w:szCs w:val="7"/>
                <w:color w:val="auto"/>
                <w:w w:val="97"/>
              </w:rPr>
              <w:t>(4)</w:t>
            </w:r>
          </w:p>
        </w:tc>
        <w:tc>
          <w:tcPr>
            <w:tcW w:w="780" w:type="dxa"/>
            <w:vAlign w:val="bottom"/>
          </w:tcPr>
          <w:p>
            <w:pPr>
              <w:spacing w:after="0"/>
              <w:rPr>
                <w:sz w:val="10"/>
                <w:szCs w:val="10"/>
                <w:color w:val="auto"/>
              </w:rPr>
            </w:pPr>
          </w:p>
        </w:tc>
        <w:tc>
          <w:tcPr>
            <w:tcW w:w="420" w:type="dxa"/>
            <w:vAlign w:val="bottom"/>
            <w:vMerge w:val="restart"/>
          </w:tcPr>
          <w:p>
            <w:pPr>
              <w:spacing w:after="0"/>
              <w:rPr>
                <w:sz w:val="20"/>
                <w:szCs w:val="20"/>
                <w:color w:val="auto"/>
              </w:rPr>
            </w:pPr>
            <w:r>
              <w:rPr>
                <w:rFonts w:ascii="Times New Roman" w:cs="Times New Roman" w:eastAsia="Times New Roman" w:hAnsi="Times New Roman"/>
                <w:sz w:val="7"/>
                <w:szCs w:val="7"/>
                <w:color w:val="auto"/>
              </w:rPr>
              <w:t>(1)(6)</w:t>
            </w:r>
            <w:r>
              <w:rPr>
                <w:rFonts w:ascii="Times New Roman" w:cs="Times New Roman" w:eastAsia="Times New Roman" w:hAnsi="Times New Roman"/>
                <w:sz w:val="14"/>
                <w:szCs w:val="14"/>
                <w:color w:val="auto"/>
                <w:vertAlign w:val="superscript"/>
              </w:rPr>
              <w:t>(1)(5)</w:t>
            </w: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372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3/5/2021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19,208</w:t>
            </w:r>
          </w:p>
        </w:tc>
        <w:tc>
          <w:tcPr>
            <w:tcW w:w="440" w:type="dxa"/>
            <w:vAlign w:val="bottom"/>
            <w:vMerge w:val="continue"/>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36,086</w:t>
            </w:r>
          </w:p>
        </w:tc>
        <w:tc>
          <w:tcPr>
            <w:tcW w:w="420" w:type="dxa"/>
            <w:vAlign w:val="bottom"/>
            <w:vMerge w:val="continue"/>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65.02</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2,599,828</w:t>
            </w:r>
          </w:p>
        </w:tc>
        <w:tc>
          <w:tcPr>
            <w:tcW w:w="0" w:type="dxa"/>
            <w:vAlign w:val="bottom"/>
          </w:tcPr>
          <w:p>
            <w:pPr>
              <w:spacing w:after="0"/>
              <w:rPr>
                <w:sz w:val="1"/>
                <w:szCs w:val="1"/>
                <w:color w:val="auto"/>
              </w:rPr>
            </w:pPr>
          </w:p>
        </w:tc>
      </w:tr>
      <w:tr>
        <w:trPr>
          <w:trHeight w:val="108"/>
        </w:trPr>
        <w:tc>
          <w:tcPr>
            <w:tcW w:w="3720" w:type="dxa"/>
            <w:vAlign w:val="bottom"/>
          </w:tcPr>
          <w:p>
            <w:pPr>
              <w:spacing w:after="0"/>
              <w:rPr>
                <w:sz w:val="9"/>
                <w:szCs w:val="9"/>
                <w:color w:val="auto"/>
              </w:rPr>
            </w:pPr>
          </w:p>
        </w:tc>
        <w:tc>
          <w:tcPr>
            <w:tcW w:w="920" w:type="dxa"/>
            <w:vAlign w:val="bottom"/>
            <w:gridSpan w:val="2"/>
          </w:tcPr>
          <w:p>
            <w:pPr>
              <w:jc w:val="right"/>
              <w:spacing w:after="0" w:line="108" w:lineRule="exact"/>
              <w:rPr>
                <w:sz w:val="20"/>
                <w:szCs w:val="20"/>
                <w:color w:val="auto"/>
              </w:rPr>
            </w:pPr>
            <w:r>
              <w:rPr>
                <w:rFonts w:ascii="Times New Roman" w:cs="Times New Roman" w:eastAsia="Times New Roman" w:hAnsi="Times New Roman"/>
                <w:sz w:val="11"/>
                <w:szCs w:val="11"/>
                <w:color w:val="auto"/>
              </w:rPr>
              <w:t>11/12/2021</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spacing w:after="0"/>
              <w:rPr>
                <w:sz w:val="9"/>
                <w:szCs w:val="9"/>
                <w:color w:val="auto"/>
              </w:rPr>
            </w:pPr>
          </w:p>
        </w:tc>
        <w:tc>
          <w:tcPr>
            <w:tcW w:w="78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36,086</w:t>
            </w:r>
          </w:p>
        </w:tc>
        <w:tc>
          <w:tcPr>
            <w:tcW w:w="420" w:type="dxa"/>
            <w:vAlign w:val="bottom"/>
          </w:tcPr>
          <w:p>
            <w:pPr>
              <w:spacing w:after="0"/>
              <w:rPr>
                <w:sz w:val="9"/>
                <w:szCs w:val="9"/>
                <w:color w:val="auto"/>
              </w:rPr>
            </w:pPr>
          </w:p>
        </w:tc>
        <w:tc>
          <w:tcPr>
            <w:tcW w:w="12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39.26</w:t>
            </w:r>
          </w:p>
        </w:tc>
        <w:tc>
          <w:tcPr>
            <w:tcW w:w="200" w:type="dxa"/>
            <w:vAlign w:val="bottom"/>
            <w:gridSpan w:val="2"/>
          </w:tcPr>
          <w:p>
            <w:pPr>
              <w:jc w:val="right"/>
              <w:ind w:right="20"/>
              <w:spacing w:after="0" w:line="108"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1,074,912</w:t>
            </w:r>
          </w:p>
        </w:tc>
        <w:tc>
          <w:tcPr>
            <w:tcW w:w="0" w:type="dxa"/>
            <w:vAlign w:val="bottom"/>
          </w:tcPr>
          <w:p>
            <w:pPr>
              <w:spacing w:after="0"/>
              <w:rPr>
                <w:sz w:val="1"/>
                <w:szCs w:val="1"/>
                <w:color w:val="auto"/>
              </w:rPr>
            </w:pPr>
          </w:p>
        </w:tc>
      </w:tr>
      <w:tr>
        <w:trPr>
          <w:trHeight w:val="135"/>
        </w:trPr>
        <w:tc>
          <w:tcPr>
            <w:tcW w:w="3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Mark Jacobson, M.A.</w:t>
            </w:r>
          </w:p>
        </w:tc>
        <w:tc>
          <w:tcPr>
            <w:tcW w:w="1120" w:type="dxa"/>
            <w:vAlign w:val="bottom"/>
            <w:gridSpan w:val="4"/>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ind w:left="48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163,600</w:t>
            </w:r>
          </w:p>
        </w:tc>
        <w:tc>
          <w:tcPr>
            <w:tcW w:w="38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$327,200</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vMerge w:val="restart"/>
          </w:tcPr>
          <w:p>
            <w:pPr>
              <w:jc w:val="right"/>
              <w:ind w:right="304"/>
              <w:spacing w:after="0"/>
              <w:rPr>
                <w:sz w:val="20"/>
                <w:szCs w:val="20"/>
                <w:color w:val="auto"/>
              </w:rPr>
            </w:pPr>
            <w:r>
              <w:rPr>
                <w:rFonts w:ascii="Times New Roman" w:cs="Times New Roman" w:eastAsia="Times New Roman" w:hAnsi="Times New Roman"/>
                <w:sz w:val="7"/>
                <w:szCs w:val="7"/>
                <w:color w:val="auto"/>
                <w:w w:val="97"/>
              </w:rPr>
              <w:t>(4)</w:t>
            </w:r>
          </w:p>
        </w:tc>
        <w:tc>
          <w:tcPr>
            <w:tcW w:w="780" w:type="dxa"/>
            <w:vAlign w:val="bottom"/>
          </w:tcPr>
          <w:p>
            <w:pPr>
              <w:spacing w:after="0"/>
              <w:rPr>
                <w:sz w:val="11"/>
                <w:szCs w:val="11"/>
                <w:color w:val="auto"/>
              </w:rPr>
            </w:pPr>
          </w:p>
        </w:tc>
        <w:tc>
          <w:tcPr>
            <w:tcW w:w="420" w:type="dxa"/>
            <w:vAlign w:val="bottom"/>
            <w:vMerge w:val="restart"/>
          </w:tcPr>
          <w:p>
            <w:pPr>
              <w:spacing w:after="0"/>
              <w:rPr>
                <w:sz w:val="20"/>
                <w:szCs w:val="20"/>
                <w:color w:val="auto"/>
              </w:rPr>
            </w:pPr>
            <w:r>
              <w:rPr>
                <w:rFonts w:ascii="Times New Roman" w:cs="Times New Roman" w:eastAsia="Times New Roman" w:hAnsi="Times New Roman"/>
                <w:sz w:val="7"/>
                <w:szCs w:val="7"/>
                <w:color w:val="auto"/>
              </w:rPr>
              <w:t>(1)(6)</w:t>
            </w:r>
            <w:r>
              <w:rPr>
                <w:rFonts w:ascii="Times New Roman" w:cs="Times New Roman" w:eastAsia="Times New Roman" w:hAnsi="Times New Roman"/>
                <w:sz w:val="14"/>
                <w:szCs w:val="14"/>
                <w:color w:val="auto"/>
                <w:vertAlign w:val="superscript"/>
              </w:rPr>
              <w:t>(1)(5)</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7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3/5/2021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22,163</w:t>
            </w:r>
          </w:p>
        </w:tc>
        <w:tc>
          <w:tcPr>
            <w:tcW w:w="440" w:type="dxa"/>
            <w:vAlign w:val="bottom"/>
            <w:vMerge w:val="continue"/>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41,638</w:t>
            </w:r>
          </w:p>
        </w:tc>
        <w:tc>
          <w:tcPr>
            <w:tcW w:w="420" w:type="dxa"/>
            <w:vAlign w:val="bottom"/>
            <w:vMerge w:val="continue"/>
          </w:tcPr>
          <w:p>
            <w:pPr>
              <w:spacing w:after="0"/>
              <w:rPr>
                <w:sz w:val="12"/>
                <w:szCs w:val="1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65.02</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2,999,811</w:t>
            </w:r>
          </w:p>
        </w:tc>
        <w:tc>
          <w:tcPr>
            <w:tcW w:w="0" w:type="dxa"/>
            <w:vAlign w:val="bottom"/>
          </w:tcPr>
          <w:p>
            <w:pPr>
              <w:spacing w:after="0"/>
              <w:rPr>
                <w:sz w:val="1"/>
                <w:szCs w:val="1"/>
                <w:color w:val="auto"/>
              </w:rPr>
            </w:pPr>
          </w:p>
        </w:tc>
      </w:tr>
      <w:tr>
        <w:trPr>
          <w:trHeight w:val="36"/>
        </w:trPr>
        <w:tc>
          <w:tcPr>
            <w:tcW w:w="3720" w:type="dxa"/>
            <w:vAlign w:val="bottom"/>
            <w:shd w:val="clear" w:color="auto" w:fill="CFF0FC"/>
          </w:tcPr>
          <w:p>
            <w:pPr>
              <w:spacing w:after="0"/>
              <w:rPr>
                <w:sz w:val="3"/>
                <w:szCs w:val="3"/>
                <w:color w:val="auto"/>
              </w:rPr>
            </w:pPr>
          </w:p>
        </w:tc>
        <w:tc>
          <w:tcPr>
            <w:tcW w:w="120" w:type="dxa"/>
            <w:vAlign w:val="bottom"/>
            <w:shd w:val="clear" w:color="auto" w:fill="CFF0FC"/>
          </w:tcPr>
          <w:p>
            <w:pPr>
              <w:spacing w:after="0"/>
              <w:rPr>
                <w:sz w:val="3"/>
                <w:szCs w:val="3"/>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11/12/2021</w:t>
            </w: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spacing w:after="0"/>
              <w:rPr>
                <w:sz w:val="3"/>
                <w:szCs w:val="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41,638</w:t>
            </w:r>
          </w:p>
        </w:tc>
        <w:tc>
          <w:tcPr>
            <w:tcW w:w="420" w:type="dxa"/>
            <w:vAlign w:val="bottom"/>
            <w:vMerge w:val="continue"/>
          </w:tcPr>
          <w:p>
            <w:pPr>
              <w:spacing w:after="0"/>
              <w:rPr>
                <w:sz w:val="3"/>
                <w:szCs w:val="3"/>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39.26</w:t>
            </w:r>
          </w:p>
        </w:tc>
        <w:tc>
          <w:tcPr>
            <w:tcW w:w="2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1,240,293</w:t>
            </w:r>
          </w:p>
        </w:tc>
        <w:tc>
          <w:tcPr>
            <w:tcW w:w="0" w:type="dxa"/>
            <w:vAlign w:val="bottom"/>
          </w:tcPr>
          <w:p>
            <w:pPr>
              <w:spacing w:after="0" w:line="20" w:lineRule="exact"/>
              <w:rPr>
                <w:sz w:val="1"/>
                <w:szCs w:val="1"/>
                <w:color w:val="auto"/>
              </w:rPr>
            </w:pPr>
          </w:p>
        </w:tc>
      </w:tr>
      <w:tr>
        <w:trPr>
          <w:trHeight w:val="99"/>
        </w:trPr>
        <w:tc>
          <w:tcPr>
            <w:tcW w:w="37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8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200" w:type="dxa"/>
            <w:vAlign w:val="bottom"/>
            <w:gridSpan w:val="2"/>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-685165</wp:posOffset>
            </wp:positionV>
            <wp:extent cx="7132320"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-256540</wp:posOffset>
            </wp:positionV>
            <wp:extent cx="7132320" cy="2571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128905</wp:posOffset>
            </wp:positionV>
            <wp:extent cx="190309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218" w:lineRule="exact"/>
        <w:rPr>
          <w:sz w:val="20"/>
          <w:szCs w:val="20"/>
          <w:color w:val="auto"/>
        </w:rPr>
      </w:pPr>
    </w:p>
    <w:p>
      <w:pPr>
        <w:ind w:left="320" w:hanging="312"/>
        <w:spacing w:after="0"/>
        <w:tabs>
          <w:tab w:leader="none" w:pos="320" w:val="left"/>
        </w:tabs>
        <w:numPr>
          <w:ilvl w:val="0"/>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Actual amounts set forth in the summary compensation table set forth above.</w:t>
      </w:r>
    </w:p>
    <w:p>
      <w:pPr>
        <w:ind w:left="380" w:hanging="372"/>
        <w:spacing w:after="0" w:line="237" w:lineRule="auto"/>
        <w:tabs>
          <w:tab w:leader="none" w:pos="380" w:val="left"/>
        </w:tabs>
        <w:numPr>
          <w:ilvl w:val="0"/>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shares of common stock, each of which vest over time.</w:t>
      </w:r>
    </w:p>
    <w:p>
      <w:pPr>
        <w:ind w:left="380" w:hanging="372"/>
        <w:spacing w:after="0"/>
        <w:tabs>
          <w:tab w:leader="none" w:pos="380" w:val="left"/>
        </w:tabs>
        <w:numPr>
          <w:ilvl w:val="0"/>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shares of our common stock underlying options awarded, each of which vest over time.</w:t>
      </w:r>
    </w:p>
    <w:p>
      <w:pPr>
        <w:ind w:left="380" w:hanging="372"/>
        <w:spacing w:after="0"/>
        <w:tabs>
          <w:tab w:leader="none" w:pos="380" w:val="left"/>
        </w:tabs>
        <w:numPr>
          <w:ilvl w:val="0"/>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the fair value of each equity award on the date of grant, as computed in accordance with FASB ASC 718.</w:t>
      </w:r>
    </w:p>
    <w:p>
      <w:pPr>
        <w:jc w:val="both"/>
        <w:ind w:left="380" w:right="20" w:hanging="372"/>
        <w:spacing w:after="0" w:line="231" w:lineRule="auto"/>
        <w:tabs>
          <w:tab w:leader="none" w:pos="380" w:val="left"/>
        </w:tabs>
        <w:numPr>
          <w:ilvl w:val="0"/>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25% of the RSU award vests on the one (1) year anniversary of the date of grant. The remaining RSUs substantially will vest in three substantially equal annual installments such that the RSUs will be fully vested on March 5, 2025. Vested shares will be delivered to the reporting person upon the earlier of (i) the closing of a Change in Control (as defined in the 2015 Plan), (ii) the NEO’s separation of service, (iii) NEO's death or disability, or (iv) seven years from the date of grant.</w:t>
      </w:r>
    </w:p>
    <w:p>
      <w:pPr>
        <w:ind w:left="380" w:hanging="372"/>
        <w:spacing w:after="0"/>
        <w:tabs>
          <w:tab w:leader="none" w:pos="380" w:val="left"/>
        </w:tabs>
        <w:numPr>
          <w:ilvl w:val="0"/>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option awards vest in substantially equal quarterly installments over four years such that the options will be fully vested on March 5, 2025.</w:t>
      </w:r>
    </w:p>
    <w:p>
      <w:pPr>
        <w:ind w:left="380" w:hanging="372"/>
        <w:spacing w:after="0"/>
        <w:tabs>
          <w:tab w:leader="none" w:pos="380" w:val="left"/>
        </w:tabs>
        <w:numPr>
          <w:ilvl w:val="0"/>
          <w:numId w:val="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25% of the option will start to vest one year from November 12, 2021 and then will vest in substantially equal quarterly installments over three years such that the option will be fully vested on November 12, 2025.</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563C1"/>
        </w:rPr>
        <w:t>TABLE OF CONTENTS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Outstanding Equity Awards as of December 31, 2021</w:t>
      </w:r>
    </w:p>
    <w:p>
      <w:pPr>
        <w:spacing w:after="0" w:line="115" w:lineRule="exact"/>
        <w:rPr>
          <w:sz w:val="20"/>
          <w:szCs w:val="20"/>
          <w:color w:val="auto"/>
        </w:rPr>
      </w:pPr>
    </w:p>
    <w:p>
      <w:pPr>
        <w:ind w:right="380" w:firstLine="374"/>
        <w:spacing w:after="0" w:line="280" w:lineRule="auto"/>
        <w:rPr>
          <w:sz w:val="20"/>
          <w:szCs w:val="20"/>
          <w:color w:val="auto"/>
        </w:rPr>
      </w:pPr>
      <w:r>
        <w:rPr>
          <w:rFonts w:ascii="Times New Roman" w:cs="Times New Roman" w:eastAsia="Times New Roman" w:hAnsi="Times New Roman"/>
          <w:sz w:val="16"/>
          <w:szCs w:val="16"/>
          <w:color w:val="auto"/>
        </w:rPr>
        <w:t>The following table sets forth information regarding each outstanding and unexercised option and RSU held by each of our NEOs as of December 31, 2021. The number of shares subject to each award and, where applicable, the exercise price per share, reflect all changes as a result of our capitalization adjustments.</w:t>
      </w:r>
    </w:p>
    <w:p>
      <w:pPr>
        <w:spacing w:after="0" w:line="5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The vesting and exercisability schedule applicable to each outstanding award is described in the footnotes to the table below.</w:t>
      </w:r>
    </w:p>
    <w:p>
      <w:pPr>
        <w:spacing w:after="0" w:line="188" w:lineRule="exact"/>
        <w:rPr>
          <w:sz w:val="20"/>
          <w:szCs w:val="20"/>
          <w:color w:val="auto"/>
        </w:rPr>
      </w:pPr>
    </w:p>
    <w:tbl>
      <w:tblPr>
        <w:tblLayout w:type="fixed"/>
        <w:tblInd w:w="80" w:type="dxa"/>
        <w:tblCellMar>
          <w:top w:w="0" w:type="dxa"/>
          <w:left w:w="0" w:type="dxa"/>
          <w:bottom w:w="0" w:type="dxa"/>
          <w:right w:w="0" w:type="dxa"/>
        </w:tblCellMar>
      </w:tblPr>
      <w:tr>
        <w:trPr>
          <w:trHeight w:val="176"/>
        </w:trPr>
        <w:tc>
          <w:tcPr>
            <w:tcW w:w="2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Option Awards</w:t>
            </w: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60" w:type="dxa"/>
            <w:vAlign w:val="bottom"/>
            <w:tcBorders>
              <w:bottom w:val="single" w:sz="8" w:color="auto"/>
            </w:tcBorders>
            <w:gridSpan w:val="2"/>
          </w:tcPr>
          <w:p>
            <w:pPr>
              <w:ind w:left="1060"/>
              <w:spacing w:after="0"/>
              <w:rPr>
                <w:sz w:val="20"/>
                <w:szCs w:val="20"/>
                <w:color w:val="auto"/>
              </w:rPr>
            </w:pPr>
            <w:r>
              <w:rPr>
                <w:rFonts w:ascii="Times New Roman" w:cs="Times New Roman" w:eastAsia="Times New Roman" w:hAnsi="Times New Roman"/>
                <w:sz w:val="13"/>
                <w:szCs w:val="13"/>
                <w:b w:val="1"/>
                <w:bCs w:val="1"/>
                <w:color w:val="auto"/>
              </w:rPr>
              <w:t>Stock Awards</w:t>
            </w: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Number of</w:t>
            </w:r>
          </w:p>
        </w:tc>
        <w:tc>
          <w:tcPr>
            <w:tcW w:w="140" w:type="dxa"/>
            <w:vAlign w:val="bottom"/>
          </w:tcPr>
          <w:p>
            <w:pPr>
              <w:spacing w:after="0"/>
              <w:rPr>
                <w:sz w:val="9"/>
                <w:szCs w:val="9"/>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Number of</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60" w:type="dxa"/>
            <w:vAlign w:val="bottom"/>
            <w:gridSpan w:val="2"/>
          </w:tcPr>
          <w:p>
            <w:pPr>
              <w:jc w:val="center"/>
              <w:ind w:right="540"/>
              <w:spacing w:after="0" w:line="115" w:lineRule="exact"/>
              <w:rPr>
                <w:sz w:val="20"/>
                <w:szCs w:val="20"/>
                <w:color w:val="auto"/>
              </w:rPr>
            </w:pPr>
            <w:r>
              <w:rPr>
                <w:rFonts w:ascii="Times New Roman" w:cs="Times New Roman" w:eastAsia="Times New Roman" w:hAnsi="Times New Roman"/>
                <w:sz w:val="13"/>
                <w:szCs w:val="13"/>
                <w:b w:val="1"/>
                <w:bCs w:val="1"/>
                <w:color w:val="auto"/>
                <w:w w:val="95"/>
              </w:rPr>
              <w:t>Number</w:t>
            </w:r>
          </w:p>
        </w:tc>
        <w:tc>
          <w:tcPr>
            <w:tcW w:w="120" w:type="dxa"/>
            <w:vAlign w:val="bottom"/>
          </w:tcPr>
          <w:p>
            <w:pPr>
              <w:spacing w:after="0"/>
              <w:rPr>
                <w:sz w:val="9"/>
                <w:szCs w:val="9"/>
                <w:color w:val="auto"/>
              </w:rPr>
            </w:pPr>
          </w:p>
        </w:tc>
        <w:tc>
          <w:tcPr>
            <w:tcW w:w="900" w:type="dxa"/>
            <w:vAlign w:val="bottom"/>
          </w:tcPr>
          <w:p>
            <w:pPr>
              <w:jc w:val="center"/>
              <w:ind w:right="77"/>
              <w:spacing w:after="0" w:line="115" w:lineRule="exact"/>
              <w:rPr>
                <w:sz w:val="20"/>
                <w:szCs w:val="20"/>
                <w:color w:val="auto"/>
              </w:rPr>
            </w:pPr>
            <w:r>
              <w:rPr>
                <w:rFonts w:ascii="Times New Roman" w:cs="Times New Roman" w:eastAsia="Times New Roman" w:hAnsi="Times New Roman"/>
                <w:sz w:val="13"/>
                <w:szCs w:val="13"/>
                <w:b w:val="1"/>
                <w:bCs w:val="1"/>
                <w:color w:val="auto"/>
                <w:w w:val="95"/>
              </w:rPr>
              <w:t>Market</w:t>
            </w:r>
          </w:p>
        </w:tc>
        <w:tc>
          <w:tcPr>
            <w:tcW w:w="0" w:type="dxa"/>
            <w:vAlign w:val="bottom"/>
          </w:tcPr>
          <w:p>
            <w:pPr>
              <w:spacing w:after="0"/>
              <w:rPr>
                <w:sz w:val="1"/>
                <w:szCs w:val="1"/>
                <w:color w:val="auto"/>
              </w:rPr>
            </w:pPr>
          </w:p>
        </w:tc>
      </w:tr>
      <w:tr>
        <w:trPr>
          <w:trHeight w:val="128"/>
        </w:trPr>
        <w:tc>
          <w:tcPr>
            <w:tcW w:w="2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60" w:type="dxa"/>
            <w:vAlign w:val="bottom"/>
            <w:gridSpan w:val="2"/>
          </w:tcPr>
          <w:p>
            <w:pPr>
              <w:jc w:val="center"/>
              <w:ind w:right="540"/>
              <w:spacing w:after="0" w:line="128" w:lineRule="exact"/>
              <w:rPr>
                <w:sz w:val="20"/>
                <w:szCs w:val="20"/>
                <w:color w:val="auto"/>
              </w:rPr>
            </w:pPr>
            <w:r>
              <w:rPr>
                <w:rFonts w:ascii="Times New Roman" w:cs="Times New Roman" w:eastAsia="Times New Roman" w:hAnsi="Times New Roman"/>
                <w:sz w:val="13"/>
                <w:szCs w:val="13"/>
                <w:b w:val="1"/>
                <w:bCs w:val="1"/>
                <w:color w:val="auto"/>
              </w:rPr>
              <w:t>of</w:t>
            </w:r>
          </w:p>
        </w:tc>
        <w:tc>
          <w:tcPr>
            <w:tcW w:w="120" w:type="dxa"/>
            <w:vAlign w:val="bottom"/>
          </w:tcPr>
          <w:p>
            <w:pPr>
              <w:spacing w:after="0"/>
              <w:rPr>
                <w:sz w:val="11"/>
                <w:szCs w:val="11"/>
                <w:color w:val="auto"/>
              </w:rPr>
            </w:pPr>
          </w:p>
        </w:tc>
        <w:tc>
          <w:tcPr>
            <w:tcW w:w="900" w:type="dxa"/>
            <w:vAlign w:val="bottom"/>
          </w:tcPr>
          <w:p>
            <w:pPr>
              <w:jc w:val="center"/>
              <w:ind w:right="57"/>
              <w:spacing w:after="0" w:line="128" w:lineRule="exact"/>
              <w:rPr>
                <w:sz w:val="20"/>
                <w:szCs w:val="20"/>
                <w:color w:val="auto"/>
              </w:rPr>
            </w:pPr>
            <w:r>
              <w:rPr>
                <w:rFonts w:ascii="Times New Roman" w:cs="Times New Roman" w:eastAsia="Times New Roman" w:hAnsi="Times New Roman"/>
                <w:sz w:val="13"/>
                <w:szCs w:val="13"/>
                <w:b w:val="1"/>
                <w:bCs w:val="1"/>
                <w:color w:val="auto"/>
                <w:w w:val="92"/>
              </w:rPr>
              <w:t>Value</w:t>
            </w:r>
          </w:p>
        </w:tc>
        <w:tc>
          <w:tcPr>
            <w:tcW w:w="0" w:type="dxa"/>
            <w:vAlign w:val="bottom"/>
          </w:tcPr>
          <w:p>
            <w:pPr>
              <w:spacing w:after="0"/>
              <w:rPr>
                <w:sz w:val="1"/>
                <w:szCs w:val="1"/>
                <w:color w:val="auto"/>
              </w:rPr>
            </w:pPr>
          </w:p>
        </w:tc>
      </w:tr>
      <w:tr>
        <w:trPr>
          <w:trHeight w:val="122"/>
        </w:trPr>
        <w:tc>
          <w:tcPr>
            <w:tcW w:w="2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5"/>
              </w:rPr>
              <w:t>Securities</w:t>
            </w:r>
          </w:p>
        </w:tc>
        <w:tc>
          <w:tcPr>
            <w:tcW w:w="140" w:type="dxa"/>
            <w:vAlign w:val="bottom"/>
          </w:tcPr>
          <w:p>
            <w:pPr>
              <w:spacing w:after="0"/>
              <w:rPr>
                <w:sz w:val="10"/>
                <w:szCs w:val="10"/>
                <w:color w:val="auto"/>
              </w:rPr>
            </w:pPr>
          </w:p>
        </w:tc>
        <w:tc>
          <w:tcPr>
            <w:tcW w:w="112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9"/>
              </w:rPr>
              <w:t>Securities</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60" w:type="dxa"/>
            <w:vAlign w:val="bottom"/>
            <w:gridSpan w:val="2"/>
          </w:tcPr>
          <w:p>
            <w:pPr>
              <w:jc w:val="center"/>
              <w:ind w:right="540"/>
              <w:spacing w:after="0" w:line="122" w:lineRule="exact"/>
              <w:rPr>
                <w:sz w:val="20"/>
                <w:szCs w:val="20"/>
                <w:color w:val="auto"/>
              </w:rPr>
            </w:pPr>
            <w:r>
              <w:rPr>
                <w:rFonts w:ascii="Times New Roman" w:cs="Times New Roman" w:eastAsia="Times New Roman" w:hAnsi="Times New Roman"/>
                <w:sz w:val="13"/>
                <w:szCs w:val="13"/>
                <w:b w:val="1"/>
                <w:bCs w:val="1"/>
                <w:color w:val="auto"/>
                <w:w w:val="97"/>
              </w:rPr>
              <w:t>Shares or Units</w:t>
            </w:r>
          </w:p>
        </w:tc>
        <w:tc>
          <w:tcPr>
            <w:tcW w:w="120" w:type="dxa"/>
            <w:vAlign w:val="bottom"/>
          </w:tcPr>
          <w:p>
            <w:pPr>
              <w:spacing w:after="0"/>
              <w:rPr>
                <w:sz w:val="10"/>
                <w:szCs w:val="10"/>
                <w:color w:val="auto"/>
              </w:rPr>
            </w:pPr>
          </w:p>
        </w:tc>
        <w:tc>
          <w:tcPr>
            <w:tcW w:w="900" w:type="dxa"/>
            <w:vAlign w:val="bottom"/>
          </w:tcPr>
          <w:p>
            <w:pPr>
              <w:jc w:val="center"/>
              <w:ind w:right="57"/>
              <w:spacing w:after="0" w:line="122" w:lineRule="exact"/>
              <w:rPr>
                <w:sz w:val="20"/>
                <w:szCs w:val="20"/>
                <w:color w:val="auto"/>
              </w:rPr>
            </w:pPr>
            <w:r>
              <w:rPr>
                <w:rFonts w:ascii="Times New Roman" w:cs="Times New Roman" w:eastAsia="Times New Roman" w:hAnsi="Times New Roman"/>
                <w:sz w:val="13"/>
                <w:szCs w:val="13"/>
                <w:b w:val="1"/>
                <w:bCs w:val="1"/>
                <w:color w:val="auto"/>
                <w:w w:val="98"/>
              </w:rPr>
              <w:t>of Shares or</w:t>
            </w:r>
          </w:p>
        </w:tc>
        <w:tc>
          <w:tcPr>
            <w:tcW w:w="0" w:type="dxa"/>
            <w:vAlign w:val="bottom"/>
          </w:tcPr>
          <w:p>
            <w:pPr>
              <w:spacing w:after="0"/>
              <w:rPr>
                <w:sz w:val="1"/>
                <w:szCs w:val="1"/>
                <w:color w:val="auto"/>
              </w:rPr>
            </w:pPr>
          </w:p>
        </w:tc>
      </w:tr>
      <w:tr>
        <w:trPr>
          <w:trHeight w:val="135"/>
        </w:trPr>
        <w:tc>
          <w:tcPr>
            <w:tcW w:w="2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Underlying</w:t>
            </w:r>
          </w:p>
        </w:tc>
        <w:tc>
          <w:tcPr>
            <w:tcW w:w="140" w:type="dxa"/>
            <w:vAlign w:val="bottom"/>
          </w:tcPr>
          <w:p>
            <w:pPr>
              <w:spacing w:after="0"/>
              <w:rPr>
                <w:sz w:val="11"/>
                <w:szCs w:val="11"/>
                <w:color w:val="auto"/>
              </w:rPr>
            </w:pPr>
          </w:p>
        </w:tc>
        <w:tc>
          <w:tcPr>
            <w:tcW w:w="11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Underlying-</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60" w:type="dxa"/>
            <w:vAlign w:val="bottom"/>
            <w:gridSpan w:val="2"/>
          </w:tcPr>
          <w:p>
            <w:pPr>
              <w:jc w:val="center"/>
              <w:ind w:right="5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of Stock</w:t>
            </w:r>
          </w:p>
        </w:tc>
        <w:tc>
          <w:tcPr>
            <w:tcW w:w="120" w:type="dxa"/>
            <w:vAlign w:val="bottom"/>
          </w:tcPr>
          <w:p>
            <w:pPr>
              <w:spacing w:after="0"/>
              <w:rPr>
                <w:sz w:val="11"/>
                <w:szCs w:val="11"/>
                <w:color w:val="auto"/>
              </w:rPr>
            </w:pPr>
          </w:p>
        </w:tc>
        <w:tc>
          <w:tcPr>
            <w:tcW w:w="90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6"/>
              </w:rPr>
              <w:t>Units of</w:t>
            </w:r>
          </w:p>
        </w:tc>
        <w:tc>
          <w:tcPr>
            <w:tcW w:w="0" w:type="dxa"/>
            <w:vAlign w:val="bottom"/>
          </w:tcPr>
          <w:p>
            <w:pPr>
              <w:spacing w:after="0"/>
              <w:rPr>
                <w:sz w:val="1"/>
                <w:szCs w:val="1"/>
                <w:color w:val="auto"/>
              </w:rPr>
            </w:pPr>
          </w:p>
        </w:tc>
      </w:tr>
      <w:tr>
        <w:trPr>
          <w:trHeight w:val="135"/>
        </w:trPr>
        <w:tc>
          <w:tcPr>
            <w:tcW w:w="2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Unexercised</w:t>
            </w:r>
          </w:p>
        </w:tc>
        <w:tc>
          <w:tcPr>
            <w:tcW w:w="140" w:type="dxa"/>
            <w:vAlign w:val="bottom"/>
          </w:tcPr>
          <w:p>
            <w:pPr>
              <w:spacing w:after="0"/>
              <w:rPr>
                <w:sz w:val="11"/>
                <w:szCs w:val="11"/>
                <w:color w:val="auto"/>
              </w:rPr>
            </w:pPr>
          </w:p>
        </w:tc>
        <w:tc>
          <w:tcPr>
            <w:tcW w:w="11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Unexercised</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right"/>
              <w:ind w:right="197"/>
              <w:spacing w:after="0" w:line="135" w:lineRule="exact"/>
              <w:rPr>
                <w:sz w:val="20"/>
                <w:szCs w:val="20"/>
                <w:color w:val="auto"/>
              </w:rPr>
            </w:pPr>
            <w:r>
              <w:rPr>
                <w:rFonts w:ascii="Times New Roman" w:cs="Times New Roman" w:eastAsia="Times New Roman" w:hAnsi="Times New Roman"/>
                <w:sz w:val="13"/>
                <w:szCs w:val="13"/>
                <w:b w:val="1"/>
                <w:bCs w:val="1"/>
                <w:color w:val="auto"/>
              </w:rPr>
              <w:t>Option</w:t>
            </w:r>
          </w:p>
        </w:tc>
        <w:tc>
          <w:tcPr>
            <w:tcW w:w="100" w:type="dxa"/>
            <w:vAlign w:val="bottom"/>
          </w:tcPr>
          <w:p>
            <w:pPr>
              <w:spacing w:after="0"/>
              <w:rPr>
                <w:sz w:val="11"/>
                <w:szCs w:val="11"/>
                <w:color w:val="auto"/>
              </w:rPr>
            </w:pPr>
          </w:p>
        </w:tc>
        <w:tc>
          <w:tcPr>
            <w:tcW w:w="11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Option</w:t>
            </w:r>
          </w:p>
        </w:tc>
        <w:tc>
          <w:tcPr>
            <w:tcW w:w="120" w:type="dxa"/>
            <w:vAlign w:val="bottom"/>
          </w:tcPr>
          <w:p>
            <w:pPr>
              <w:spacing w:after="0"/>
              <w:rPr>
                <w:sz w:val="11"/>
                <w:szCs w:val="11"/>
                <w:color w:val="auto"/>
              </w:rPr>
            </w:pPr>
          </w:p>
        </w:tc>
        <w:tc>
          <w:tcPr>
            <w:tcW w:w="1860" w:type="dxa"/>
            <w:vAlign w:val="bottom"/>
            <w:gridSpan w:val="2"/>
          </w:tcPr>
          <w:p>
            <w:pPr>
              <w:jc w:val="center"/>
              <w:ind w:right="540"/>
              <w:spacing w:after="0" w:line="135" w:lineRule="exact"/>
              <w:rPr>
                <w:sz w:val="20"/>
                <w:szCs w:val="20"/>
                <w:color w:val="auto"/>
              </w:rPr>
            </w:pPr>
            <w:r>
              <w:rPr>
                <w:rFonts w:ascii="Times New Roman" w:cs="Times New Roman" w:eastAsia="Times New Roman" w:hAnsi="Times New Roman"/>
                <w:sz w:val="13"/>
                <w:szCs w:val="13"/>
                <w:b w:val="1"/>
                <w:bCs w:val="1"/>
                <w:color w:val="auto"/>
                <w:w w:val="89"/>
              </w:rPr>
              <w:t>that</w:t>
            </w:r>
          </w:p>
        </w:tc>
        <w:tc>
          <w:tcPr>
            <w:tcW w:w="120" w:type="dxa"/>
            <w:vAlign w:val="bottom"/>
          </w:tcPr>
          <w:p>
            <w:pPr>
              <w:spacing w:after="0"/>
              <w:rPr>
                <w:sz w:val="11"/>
                <w:szCs w:val="11"/>
                <w:color w:val="auto"/>
              </w:rPr>
            </w:pPr>
          </w:p>
        </w:tc>
        <w:tc>
          <w:tcPr>
            <w:tcW w:w="90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0" w:type="dxa"/>
            <w:vAlign w:val="bottom"/>
          </w:tcPr>
          <w:p>
            <w:pPr>
              <w:spacing w:after="0"/>
              <w:rPr>
                <w:sz w:val="1"/>
                <w:szCs w:val="1"/>
                <w:color w:val="auto"/>
              </w:rPr>
            </w:pPr>
          </w:p>
        </w:tc>
      </w:tr>
      <w:tr>
        <w:trPr>
          <w:trHeight w:val="135"/>
        </w:trPr>
        <w:tc>
          <w:tcPr>
            <w:tcW w:w="2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Options</w:t>
            </w:r>
          </w:p>
        </w:tc>
        <w:tc>
          <w:tcPr>
            <w:tcW w:w="140" w:type="dxa"/>
            <w:vAlign w:val="bottom"/>
          </w:tcPr>
          <w:p>
            <w:pPr>
              <w:spacing w:after="0"/>
              <w:rPr>
                <w:sz w:val="11"/>
                <w:szCs w:val="11"/>
                <w:color w:val="auto"/>
              </w:rPr>
            </w:pPr>
          </w:p>
        </w:tc>
        <w:tc>
          <w:tcPr>
            <w:tcW w:w="11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Options</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right"/>
              <w:ind w:right="157"/>
              <w:spacing w:after="0" w:line="135" w:lineRule="exact"/>
              <w:rPr>
                <w:sz w:val="20"/>
                <w:szCs w:val="20"/>
                <w:color w:val="auto"/>
              </w:rPr>
            </w:pPr>
            <w:r>
              <w:rPr>
                <w:rFonts w:ascii="Times New Roman" w:cs="Times New Roman" w:eastAsia="Times New Roman" w:hAnsi="Times New Roman"/>
                <w:sz w:val="13"/>
                <w:szCs w:val="13"/>
                <w:b w:val="1"/>
                <w:bCs w:val="1"/>
                <w:color w:val="auto"/>
              </w:rPr>
              <w:t>Exercise</w:t>
            </w:r>
          </w:p>
        </w:tc>
        <w:tc>
          <w:tcPr>
            <w:tcW w:w="100" w:type="dxa"/>
            <w:vAlign w:val="bottom"/>
          </w:tcPr>
          <w:p>
            <w:pPr>
              <w:spacing w:after="0"/>
              <w:rPr>
                <w:sz w:val="11"/>
                <w:szCs w:val="11"/>
                <w:color w:val="auto"/>
              </w:rPr>
            </w:pPr>
          </w:p>
        </w:tc>
        <w:tc>
          <w:tcPr>
            <w:tcW w:w="11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Expiration</w:t>
            </w:r>
          </w:p>
        </w:tc>
        <w:tc>
          <w:tcPr>
            <w:tcW w:w="120" w:type="dxa"/>
            <w:vAlign w:val="bottom"/>
          </w:tcPr>
          <w:p>
            <w:pPr>
              <w:spacing w:after="0"/>
              <w:rPr>
                <w:sz w:val="11"/>
                <w:szCs w:val="11"/>
                <w:color w:val="auto"/>
              </w:rPr>
            </w:pPr>
          </w:p>
        </w:tc>
        <w:tc>
          <w:tcPr>
            <w:tcW w:w="1860" w:type="dxa"/>
            <w:vAlign w:val="bottom"/>
            <w:gridSpan w:val="2"/>
          </w:tcPr>
          <w:p>
            <w:pPr>
              <w:jc w:val="center"/>
              <w:ind w:right="5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have not</w:t>
            </w:r>
          </w:p>
        </w:tc>
        <w:tc>
          <w:tcPr>
            <w:tcW w:w="120" w:type="dxa"/>
            <w:vAlign w:val="bottom"/>
          </w:tcPr>
          <w:p>
            <w:pPr>
              <w:spacing w:after="0"/>
              <w:rPr>
                <w:sz w:val="11"/>
                <w:szCs w:val="11"/>
                <w:color w:val="auto"/>
              </w:rPr>
            </w:pPr>
          </w:p>
        </w:tc>
        <w:tc>
          <w:tcPr>
            <w:tcW w:w="90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5"/>
              </w:rPr>
              <w:t>that have not</w:t>
            </w:r>
          </w:p>
        </w:tc>
        <w:tc>
          <w:tcPr>
            <w:tcW w:w="0" w:type="dxa"/>
            <w:vAlign w:val="bottom"/>
          </w:tcPr>
          <w:p>
            <w:pPr>
              <w:spacing w:after="0"/>
              <w:rPr>
                <w:sz w:val="1"/>
                <w:szCs w:val="1"/>
                <w:color w:val="auto"/>
              </w:rPr>
            </w:pPr>
          </w:p>
        </w:tc>
      </w:tr>
      <w:tr>
        <w:trPr>
          <w:trHeight w:val="173"/>
        </w:trPr>
        <w:tc>
          <w:tcPr>
            <w:tcW w:w="2140" w:type="dxa"/>
            <w:vAlign w:val="bottom"/>
            <w:gridSpan w:val="2"/>
          </w:tcPr>
          <w:p>
            <w:pPr>
              <w:ind w:left="840"/>
              <w:spacing w:after="0"/>
              <w:rPr>
                <w:sz w:val="20"/>
                <w:szCs w:val="20"/>
                <w:color w:val="auto"/>
              </w:rPr>
            </w:pPr>
            <w:r>
              <w:rPr>
                <w:rFonts w:ascii="Times New Roman" w:cs="Times New Roman" w:eastAsia="Times New Roman" w:hAnsi="Times New Roman"/>
                <w:sz w:val="13"/>
                <w:szCs w:val="13"/>
                <w:b w:val="1"/>
                <w:bCs w:val="1"/>
                <w:color w:val="auto"/>
              </w:rPr>
              <w:t>Name</w:t>
            </w:r>
          </w:p>
        </w:tc>
        <w:tc>
          <w:tcPr>
            <w:tcW w:w="1140" w:type="dxa"/>
            <w:vAlign w:val="bottom"/>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Grant Date</w:t>
            </w:r>
          </w:p>
        </w:tc>
        <w:tc>
          <w:tcPr>
            <w:tcW w:w="12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Exercisable (#)</w:t>
            </w:r>
          </w:p>
        </w:tc>
        <w:tc>
          <w:tcPr>
            <w:tcW w:w="14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Unexercisable (#)</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Price ($)</w:t>
            </w:r>
          </w:p>
        </w:tc>
        <w:tc>
          <w:tcPr>
            <w:tcW w:w="10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Date</w:t>
            </w:r>
          </w:p>
        </w:tc>
        <w:tc>
          <w:tcPr>
            <w:tcW w:w="120" w:type="dxa"/>
            <w:vAlign w:val="bottom"/>
          </w:tcPr>
          <w:p>
            <w:pPr>
              <w:spacing w:after="0"/>
              <w:rPr>
                <w:sz w:val="15"/>
                <w:szCs w:val="15"/>
                <w:color w:val="auto"/>
              </w:rPr>
            </w:pPr>
          </w:p>
        </w:tc>
        <w:tc>
          <w:tcPr>
            <w:tcW w:w="1860" w:type="dxa"/>
            <w:vAlign w:val="bottom"/>
            <w:gridSpan w:val="2"/>
          </w:tcPr>
          <w:p>
            <w:pPr>
              <w:jc w:val="center"/>
              <w:ind w:right="540"/>
              <w:spacing w:after="0"/>
              <w:rPr>
                <w:sz w:val="20"/>
                <w:szCs w:val="20"/>
                <w:color w:val="auto"/>
              </w:rPr>
            </w:pPr>
            <w:r>
              <w:rPr>
                <w:rFonts w:ascii="Times New Roman" w:cs="Times New Roman" w:eastAsia="Times New Roman" w:hAnsi="Times New Roman"/>
                <w:sz w:val="13"/>
                <w:szCs w:val="13"/>
                <w:b w:val="1"/>
                <w:bCs w:val="1"/>
                <w:color w:val="auto"/>
                <w:w w:val="92"/>
              </w:rPr>
              <w:t>Vested (#)</w:t>
            </w:r>
          </w:p>
        </w:tc>
        <w:tc>
          <w:tcPr>
            <w:tcW w:w="120" w:type="dxa"/>
            <w:vAlign w:val="bottom"/>
          </w:tcPr>
          <w:p>
            <w:pPr>
              <w:spacing w:after="0"/>
              <w:rPr>
                <w:sz w:val="15"/>
                <w:szCs w:val="15"/>
                <w:color w:val="auto"/>
              </w:rPr>
            </w:pPr>
          </w:p>
        </w:tc>
        <w:tc>
          <w:tcPr>
            <w:tcW w:w="900" w:type="dxa"/>
            <w:vAlign w:val="bottom"/>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6"/>
              </w:rPr>
              <w:t>Vested ($)</w:t>
            </w:r>
          </w:p>
        </w:tc>
        <w:tc>
          <w:tcPr>
            <w:tcW w:w="0" w:type="dxa"/>
            <w:vAlign w:val="bottom"/>
          </w:tcPr>
          <w:p>
            <w:pPr>
              <w:spacing w:after="0"/>
              <w:rPr>
                <w:sz w:val="1"/>
                <w:szCs w:val="1"/>
                <w:color w:val="auto"/>
              </w:rPr>
            </w:pPr>
          </w:p>
        </w:tc>
      </w:tr>
      <w:tr>
        <w:trPr>
          <w:trHeight w:val="140"/>
        </w:trPr>
        <w:tc>
          <w:tcPr>
            <w:tcW w:w="2020" w:type="dxa"/>
            <w:vAlign w:val="bottom"/>
            <w:tcBorders>
              <w:top w:val="single" w:sz="8" w:color="auto"/>
            </w:tcBorders>
            <w:shd w:val="clear" w:color="auto" w:fill="CFF0FC"/>
          </w:tcPr>
          <w:p>
            <w:pPr>
              <w:spacing w:after="0" w:line="140" w:lineRule="exact"/>
              <w:rPr>
                <w:sz w:val="20"/>
                <w:szCs w:val="20"/>
                <w:color w:val="auto"/>
              </w:rPr>
            </w:pPr>
            <w:r>
              <w:rPr>
                <w:rFonts w:ascii="Times New Roman" w:cs="Times New Roman" w:eastAsia="Times New Roman" w:hAnsi="Times New Roman"/>
                <w:sz w:val="13"/>
                <w:szCs w:val="13"/>
                <w:color w:val="auto"/>
              </w:rPr>
              <w:t>Herriot Tabuteau, M.D.</w:t>
            </w:r>
          </w:p>
        </w:tc>
        <w:tc>
          <w:tcPr>
            <w:tcW w:w="120" w:type="dxa"/>
            <w:vAlign w:val="bottom"/>
            <w:shd w:val="clear" w:color="auto" w:fill="CFF0FC"/>
          </w:tcPr>
          <w:p>
            <w:pPr>
              <w:spacing w:after="0"/>
              <w:rPr>
                <w:sz w:val="12"/>
                <w:szCs w:val="12"/>
                <w:color w:val="auto"/>
              </w:rPr>
            </w:pPr>
          </w:p>
        </w:tc>
        <w:tc>
          <w:tcPr>
            <w:tcW w:w="1140" w:type="dxa"/>
            <w:vAlign w:val="bottom"/>
            <w:tcBorders>
              <w:top w:val="single" w:sz="8" w:color="auto"/>
            </w:tcBorders>
            <w:shd w:val="clear" w:color="auto" w:fill="CFF0FC"/>
          </w:tcPr>
          <w:p>
            <w:pPr>
              <w:jc w:val="right"/>
              <w:spacing w:after="0" w:line="140" w:lineRule="exact"/>
              <w:rPr>
                <w:sz w:val="20"/>
                <w:szCs w:val="20"/>
                <w:color w:val="auto"/>
              </w:rPr>
            </w:pPr>
            <w:r>
              <w:rPr>
                <w:rFonts w:ascii="Times New Roman" w:cs="Times New Roman" w:eastAsia="Times New Roman" w:hAnsi="Times New Roman"/>
                <w:sz w:val="13"/>
                <w:szCs w:val="13"/>
                <w:color w:val="auto"/>
              </w:rPr>
              <w:t>5/27/2016</w:t>
            </w:r>
          </w:p>
        </w:tc>
        <w:tc>
          <w:tcPr>
            <w:tcW w:w="120" w:type="dxa"/>
            <w:vAlign w:val="bottom"/>
            <w:shd w:val="clear" w:color="auto" w:fill="CFF0FC"/>
          </w:tcPr>
          <w:p>
            <w:pPr>
              <w:spacing w:after="0"/>
              <w:rPr>
                <w:sz w:val="12"/>
                <w:szCs w:val="12"/>
                <w:color w:val="auto"/>
              </w:rPr>
            </w:pPr>
          </w:p>
        </w:tc>
        <w:tc>
          <w:tcPr>
            <w:tcW w:w="1000" w:type="dxa"/>
            <w:vAlign w:val="bottom"/>
            <w:tcBorders>
              <w:top w:val="single" w:sz="8" w:color="auto"/>
            </w:tcBorders>
            <w:shd w:val="clear" w:color="auto" w:fill="CFF0FC"/>
          </w:tcPr>
          <w:p>
            <w:pPr>
              <w:jc w:val="right"/>
              <w:spacing w:after="0" w:line="140" w:lineRule="exact"/>
              <w:rPr>
                <w:sz w:val="20"/>
                <w:szCs w:val="20"/>
                <w:color w:val="auto"/>
              </w:rPr>
            </w:pPr>
            <w:r>
              <w:rPr>
                <w:rFonts w:ascii="Times New Roman" w:cs="Times New Roman" w:eastAsia="Times New Roman" w:hAnsi="Times New Roman"/>
                <w:sz w:val="13"/>
                <w:szCs w:val="13"/>
                <w:color w:val="auto"/>
              </w:rPr>
              <w:t>524,000</w:t>
            </w:r>
          </w:p>
        </w:tc>
        <w:tc>
          <w:tcPr>
            <w:tcW w:w="140" w:type="dxa"/>
            <w:vAlign w:val="bottom"/>
            <w:shd w:val="clear" w:color="auto" w:fill="CFF0FC"/>
          </w:tcPr>
          <w:p>
            <w:pPr>
              <w:spacing w:after="0"/>
              <w:rPr>
                <w:sz w:val="12"/>
                <w:szCs w:val="12"/>
                <w:color w:val="auto"/>
              </w:rPr>
            </w:pPr>
          </w:p>
        </w:tc>
        <w:tc>
          <w:tcPr>
            <w:tcW w:w="1120" w:type="dxa"/>
            <w:vAlign w:val="bottom"/>
            <w:tcBorders>
              <w:top w:val="single" w:sz="8" w:color="auto"/>
            </w:tcBorders>
            <w:shd w:val="clear" w:color="auto" w:fill="CFF0FC"/>
          </w:tcPr>
          <w:p>
            <w:pPr>
              <w:jc w:val="right"/>
              <w:spacing w:after="0" w:line="140"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jc w:val="right"/>
              <w:spacing w:after="0" w:line="140" w:lineRule="exact"/>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tcBorders>
            <w:shd w:val="clear" w:color="auto" w:fill="CFF0FC"/>
          </w:tcPr>
          <w:p>
            <w:pPr>
              <w:jc w:val="right"/>
              <w:spacing w:after="0" w:line="140" w:lineRule="exact"/>
              <w:rPr>
                <w:sz w:val="20"/>
                <w:szCs w:val="20"/>
                <w:color w:val="auto"/>
              </w:rPr>
            </w:pPr>
            <w:r>
              <w:rPr>
                <w:rFonts w:ascii="Times New Roman" w:cs="Times New Roman" w:eastAsia="Times New Roman" w:hAnsi="Times New Roman"/>
                <w:sz w:val="13"/>
                <w:szCs w:val="13"/>
                <w:color w:val="auto"/>
              </w:rPr>
              <w:t>8.02</w:t>
            </w:r>
          </w:p>
        </w:tc>
        <w:tc>
          <w:tcPr>
            <w:tcW w:w="100" w:type="dxa"/>
            <w:vAlign w:val="bottom"/>
            <w:shd w:val="clear" w:color="auto" w:fill="CFF0FC"/>
          </w:tcPr>
          <w:p>
            <w:pPr>
              <w:spacing w:after="0"/>
              <w:rPr>
                <w:sz w:val="12"/>
                <w:szCs w:val="12"/>
                <w:color w:val="auto"/>
              </w:rPr>
            </w:pPr>
          </w:p>
        </w:tc>
        <w:tc>
          <w:tcPr>
            <w:tcW w:w="1120" w:type="dxa"/>
            <w:vAlign w:val="bottom"/>
            <w:tcBorders>
              <w:top w:val="single" w:sz="8" w:color="auto"/>
            </w:tcBorders>
            <w:shd w:val="clear" w:color="auto" w:fill="CFF0FC"/>
          </w:tcPr>
          <w:p>
            <w:pPr>
              <w:jc w:val="right"/>
              <w:spacing w:after="0" w:line="140" w:lineRule="exact"/>
              <w:rPr>
                <w:sz w:val="20"/>
                <w:szCs w:val="20"/>
                <w:color w:val="auto"/>
              </w:rPr>
            </w:pPr>
            <w:r>
              <w:rPr>
                <w:rFonts w:ascii="Times New Roman" w:cs="Times New Roman" w:eastAsia="Times New Roman" w:hAnsi="Times New Roman"/>
                <w:sz w:val="13"/>
                <w:szCs w:val="13"/>
                <w:color w:val="auto"/>
              </w:rPr>
              <w:t>5/26/2026</w:t>
            </w:r>
          </w:p>
        </w:tc>
        <w:tc>
          <w:tcPr>
            <w:tcW w:w="120" w:type="dxa"/>
            <w:vAlign w:val="bottom"/>
            <w:shd w:val="clear" w:color="auto" w:fill="CFF0FC"/>
          </w:tcPr>
          <w:p>
            <w:pPr>
              <w:spacing w:after="0"/>
              <w:rPr>
                <w:sz w:val="12"/>
                <w:szCs w:val="12"/>
                <w:color w:val="auto"/>
              </w:rPr>
            </w:pPr>
          </w:p>
        </w:tc>
        <w:tc>
          <w:tcPr>
            <w:tcW w:w="1340" w:type="dxa"/>
            <w:vAlign w:val="bottom"/>
            <w:tcBorders>
              <w:top w:val="single" w:sz="8" w:color="auto"/>
            </w:tcBorders>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900" w:type="dxa"/>
            <w:vAlign w:val="bottom"/>
            <w:tcBorders>
              <w:top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3/15/2017</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149,000</w:t>
            </w:r>
          </w:p>
        </w:tc>
        <w:tc>
          <w:tcPr>
            <w:tcW w:w="14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8"/>
                <w:szCs w:val="8"/>
                <w:color w:val="auto"/>
              </w:rPr>
              <w:t>(2)</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4.95</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3/14/2027</w:t>
            </w:r>
          </w:p>
        </w:tc>
        <w:tc>
          <w:tcPr>
            <w:tcW w:w="12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0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3/12/2018</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175,902</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11,726</w:t>
            </w:r>
          </w:p>
        </w:tc>
        <w:tc>
          <w:tcPr>
            <w:tcW w:w="22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2.85</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3/11/2028</w:t>
            </w:r>
          </w:p>
        </w:tc>
        <w:tc>
          <w:tcPr>
            <w:tcW w:w="120" w:type="dxa"/>
            <w:vAlign w:val="bottom"/>
            <w:shd w:val="clear" w:color="auto" w:fill="CFF0FC"/>
          </w:tcPr>
          <w:p>
            <w:pPr>
              <w:spacing w:after="0"/>
              <w:rPr>
                <w:sz w:val="13"/>
                <w:szCs w:val="13"/>
                <w:color w:val="auto"/>
              </w:rPr>
            </w:pPr>
          </w:p>
        </w:tc>
        <w:tc>
          <w:tcPr>
            <w:tcW w:w="134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3/19/2019</w:t>
            </w: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219,461</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99,751</w:t>
            </w:r>
          </w:p>
        </w:tc>
        <w:tc>
          <w:tcPr>
            <w:tcW w:w="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8"/>
                <w:szCs w:val="8"/>
                <w:color w:val="auto"/>
              </w:rPr>
              <w:t>(3)</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12.95</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3/18/2029</w:t>
            </w:r>
          </w:p>
        </w:tc>
        <w:tc>
          <w:tcPr>
            <w:tcW w:w="12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10/10/2019</w:t>
            </w: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51,629</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17,208</w:t>
            </w:r>
          </w:p>
        </w:tc>
        <w:tc>
          <w:tcPr>
            <w:tcW w:w="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8"/>
                <w:szCs w:val="8"/>
                <w:color w:val="auto"/>
              </w:rPr>
              <w:t>(4)</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17.61</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10/9/2029</w:t>
            </w:r>
          </w:p>
        </w:tc>
        <w:tc>
          <w:tcPr>
            <w:tcW w:w="12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3/17/2020</w:t>
            </w:r>
          </w:p>
        </w:tc>
        <w:tc>
          <w:tcPr>
            <w:tcW w:w="12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73,843</w:t>
            </w:r>
          </w:p>
        </w:tc>
        <w:tc>
          <w:tcPr>
            <w:tcW w:w="14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94,933</w:t>
            </w:r>
          </w:p>
        </w:tc>
        <w:tc>
          <w:tcPr>
            <w:tcW w:w="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8"/>
                <w:szCs w:val="8"/>
                <w:color w:val="auto"/>
              </w:rPr>
              <w:t>(5)</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45.14</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3/16/2030</w:t>
            </w:r>
          </w:p>
        </w:tc>
        <w:tc>
          <w:tcPr>
            <w:tcW w:w="1980" w:type="dxa"/>
            <w:vAlign w:val="bottom"/>
            <w:gridSpan w:val="3"/>
            <w:vMerge w:val="restart"/>
            <w:shd w:val="clear" w:color="auto" w:fill="CFF0FC"/>
          </w:tcPr>
          <w:p>
            <w:pPr>
              <w:ind w:left="1080"/>
              <w:spacing w:after="0"/>
              <w:rPr>
                <w:sz w:val="20"/>
                <w:szCs w:val="20"/>
                <w:color w:val="auto"/>
              </w:rPr>
            </w:pPr>
            <w:r>
              <w:rPr>
                <w:rFonts w:ascii="Times New Roman" w:cs="Times New Roman" w:eastAsia="Times New Roman" w:hAnsi="Times New Roman"/>
                <w:sz w:val="13"/>
                <w:szCs w:val="13"/>
                <w:color w:val="auto"/>
              </w:rPr>
              <w:t xml:space="preserve">38,768 </w:t>
            </w:r>
            <w:r>
              <w:rPr>
                <w:rFonts w:ascii="Times New Roman" w:cs="Times New Roman" w:eastAsia="Times New Roman" w:hAnsi="Times New Roman"/>
                <w:sz w:val="16"/>
                <w:szCs w:val="16"/>
                <w:color w:val="auto"/>
                <w:vertAlign w:val="superscript"/>
              </w:rPr>
              <w:t>(8)(9)</w:t>
            </w: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3/17/2020</w:t>
            </w: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22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8"/>
                <w:szCs w:val="8"/>
                <w:color w:val="auto"/>
              </w:rPr>
              <w:t>(10)</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980" w:type="dxa"/>
            <w:vAlign w:val="bottom"/>
            <w:gridSpan w:val="3"/>
            <w:vMerge w:val="continue"/>
            <w:shd w:val="clear" w:color="auto" w:fill="CFF0FC"/>
          </w:tcPr>
          <w:p>
            <w:pPr>
              <w:spacing w:after="0"/>
              <w:rPr>
                <w:sz w:val="14"/>
                <w:szCs w:val="14"/>
                <w:color w:val="auto"/>
              </w:rPr>
            </w:pPr>
          </w:p>
        </w:tc>
        <w:tc>
          <w:tcPr>
            <w:tcW w:w="1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1,464,655</w:t>
            </w:r>
          </w:p>
        </w:tc>
        <w:tc>
          <w:tcPr>
            <w:tcW w:w="0" w:type="dxa"/>
            <w:vAlign w:val="bottom"/>
          </w:tcPr>
          <w:p>
            <w:pPr>
              <w:spacing w:after="0"/>
              <w:rPr>
                <w:sz w:val="1"/>
                <w:szCs w:val="1"/>
                <w:color w:val="auto"/>
              </w:rPr>
            </w:pPr>
          </w:p>
        </w:tc>
      </w:tr>
      <w:tr>
        <w:trPr>
          <w:trHeight w:val="162"/>
        </w:trPr>
        <w:tc>
          <w:tcPr>
            <w:tcW w:w="20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3/05/2021</w:t>
            </w: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18,217</w:t>
            </w:r>
          </w:p>
        </w:tc>
        <w:tc>
          <w:tcPr>
            <w:tcW w:w="14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78,938</w:t>
            </w:r>
          </w:p>
        </w:tc>
        <w:tc>
          <w:tcPr>
            <w:tcW w:w="22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65.02</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3/04/2031</w:t>
            </w:r>
          </w:p>
        </w:tc>
        <w:tc>
          <w:tcPr>
            <w:tcW w:w="1980" w:type="dxa"/>
            <w:vAlign w:val="bottom"/>
            <w:gridSpan w:val="3"/>
            <w:vMerge w:val="restart"/>
            <w:shd w:val="clear" w:color="auto" w:fill="CFF0FC"/>
          </w:tcPr>
          <w:p>
            <w:pPr>
              <w:ind w:left="1080"/>
              <w:spacing w:after="0"/>
              <w:rPr>
                <w:sz w:val="20"/>
                <w:szCs w:val="20"/>
                <w:color w:val="auto"/>
              </w:rPr>
            </w:pPr>
            <w:r>
              <w:rPr>
                <w:rFonts w:ascii="Times New Roman" w:cs="Times New Roman" w:eastAsia="Times New Roman" w:hAnsi="Times New Roman"/>
                <w:sz w:val="13"/>
                <w:szCs w:val="13"/>
                <w:color w:val="auto"/>
              </w:rPr>
              <w:t xml:space="preserve">51,715 </w:t>
            </w:r>
            <w:r>
              <w:rPr>
                <w:rFonts w:ascii="Times New Roman" w:cs="Times New Roman" w:eastAsia="Times New Roman" w:hAnsi="Times New Roman"/>
                <w:sz w:val="16"/>
                <w:szCs w:val="16"/>
                <w:color w:val="auto"/>
                <w:vertAlign w:val="superscript"/>
              </w:rPr>
              <w:t>(1)</w:t>
            </w: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3/05/2021</w:t>
            </w:r>
          </w:p>
        </w:tc>
        <w:tc>
          <w:tcPr>
            <w:tcW w:w="12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980" w:type="dxa"/>
            <w:vAlign w:val="bottom"/>
            <w:gridSpan w:val="3"/>
            <w:vMerge w:val="continue"/>
            <w:shd w:val="clear" w:color="auto" w:fill="CFF0FC"/>
          </w:tcPr>
          <w:p>
            <w:pPr>
              <w:spacing w:after="0"/>
              <w:rPr>
                <w:sz w:val="15"/>
                <w:szCs w:val="15"/>
                <w:color w:val="auto"/>
              </w:rPr>
            </w:pPr>
          </w:p>
        </w:tc>
        <w:tc>
          <w:tcPr>
            <w:tcW w:w="1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1,953,793</w:t>
            </w:r>
          </w:p>
        </w:tc>
        <w:tc>
          <w:tcPr>
            <w:tcW w:w="0" w:type="dxa"/>
            <w:vAlign w:val="bottom"/>
          </w:tcPr>
          <w:p>
            <w:pPr>
              <w:spacing w:after="0"/>
              <w:rPr>
                <w:sz w:val="1"/>
                <w:szCs w:val="1"/>
                <w:color w:val="auto"/>
              </w:rPr>
            </w:pPr>
          </w:p>
        </w:tc>
      </w:tr>
      <w:tr>
        <w:trPr>
          <w:trHeight w:val="133"/>
        </w:trPr>
        <w:tc>
          <w:tcPr>
            <w:tcW w:w="202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Nick Pizzie, C.P.A., M.B.A.</w:t>
            </w:r>
          </w:p>
        </w:tc>
        <w:tc>
          <w:tcPr>
            <w:tcW w:w="120" w:type="dxa"/>
            <w:vAlign w:val="bottom"/>
          </w:tcPr>
          <w:p>
            <w:pPr>
              <w:spacing w:after="0"/>
              <w:rPr>
                <w:sz w:val="11"/>
                <w:szCs w:val="11"/>
                <w:color w:val="auto"/>
              </w:rPr>
            </w:pPr>
          </w:p>
        </w:tc>
        <w:tc>
          <w:tcPr>
            <w:tcW w:w="114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5/16/2018</w:t>
            </w:r>
          </w:p>
        </w:tc>
        <w:tc>
          <w:tcPr>
            <w:tcW w:w="120" w:type="dxa"/>
            <w:vAlign w:val="bottom"/>
          </w:tcPr>
          <w:p>
            <w:pPr>
              <w:spacing w:after="0"/>
              <w:rPr>
                <w:sz w:val="11"/>
                <w:szCs w:val="11"/>
                <w:color w:val="auto"/>
              </w:rPr>
            </w:pPr>
          </w:p>
        </w:tc>
        <w:tc>
          <w:tcPr>
            <w:tcW w:w="100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115,500</w:t>
            </w:r>
          </w:p>
        </w:tc>
        <w:tc>
          <w:tcPr>
            <w:tcW w:w="140" w:type="dxa"/>
            <w:vAlign w:val="bottom"/>
          </w:tcPr>
          <w:p>
            <w:pPr>
              <w:spacing w:after="0"/>
              <w:rPr>
                <w:sz w:val="11"/>
                <w:szCs w:val="11"/>
                <w:color w:val="auto"/>
              </w:rPr>
            </w:pPr>
          </w:p>
        </w:tc>
        <w:tc>
          <w:tcPr>
            <w:tcW w:w="112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16,500</w:t>
            </w:r>
          </w:p>
        </w:tc>
        <w:tc>
          <w:tcPr>
            <w:tcW w:w="220" w:type="dxa"/>
            <w:vAlign w:val="bottom"/>
          </w:tcPr>
          <w:p>
            <w:pPr>
              <w:ind w:left="20"/>
              <w:spacing w:after="0"/>
              <w:rPr>
                <w:sz w:val="20"/>
                <w:szCs w:val="20"/>
                <w:color w:val="auto"/>
              </w:rPr>
            </w:pPr>
            <w:r>
              <w:rPr>
                <w:rFonts w:ascii="Times New Roman" w:cs="Times New Roman" w:eastAsia="Times New Roman" w:hAnsi="Times New Roman"/>
                <w:sz w:val="8"/>
                <w:szCs w:val="8"/>
                <w:color w:val="auto"/>
              </w:rPr>
              <w:t>(6)</w:t>
            </w:r>
          </w:p>
        </w:tc>
        <w:tc>
          <w:tcPr>
            <w:tcW w:w="100" w:type="dxa"/>
            <w:vAlign w:val="bottom"/>
          </w:tcPr>
          <w:p>
            <w:pPr>
              <w:spacing w:after="0"/>
              <w:rPr>
                <w:sz w:val="11"/>
                <w:szCs w:val="11"/>
                <w:color w:val="auto"/>
              </w:rPr>
            </w:pPr>
          </w:p>
        </w:tc>
        <w:tc>
          <w:tcPr>
            <w:tcW w:w="12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3.50</w:t>
            </w:r>
          </w:p>
        </w:tc>
        <w:tc>
          <w:tcPr>
            <w:tcW w:w="122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3"/>
                <w:szCs w:val="13"/>
                <w:color w:val="auto"/>
              </w:rPr>
              <w:t>5/15/2028</w:t>
            </w:r>
          </w:p>
        </w:tc>
        <w:tc>
          <w:tcPr>
            <w:tcW w:w="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3/19/2019</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51,634</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23,468</w:t>
            </w:r>
          </w:p>
        </w:tc>
        <w:tc>
          <w:tcPr>
            <w:tcW w:w="220" w:type="dxa"/>
            <w:vAlign w:val="bottom"/>
          </w:tcPr>
          <w:p>
            <w:pPr>
              <w:ind w:left="20"/>
              <w:spacing w:after="0"/>
              <w:rPr>
                <w:sz w:val="20"/>
                <w:szCs w:val="20"/>
                <w:color w:val="auto"/>
              </w:rPr>
            </w:pPr>
            <w:r>
              <w:rPr>
                <w:rFonts w:ascii="Times New Roman" w:cs="Times New Roman" w:eastAsia="Times New Roman" w:hAnsi="Times New Roman"/>
                <w:sz w:val="8"/>
                <w:szCs w:val="8"/>
                <w:color w:val="auto"/>
              </w:rPr>
              <w:t>(3)</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12.95</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3/18/2029</w:t>
            </w: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10/10/2019</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19,363</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6,450</w:t>
            </w:r>
          </w:p>
        </w:tc>
        <w:tc>
          <w:tcPr>
            <w:tcW w:w="220" w:type="dxa"/>
            <w:vAlign w:val="bottom"/>
          </w:tcPr>
          <w:p>
            <w:pPr>
              <w:ind w:left="20"/>
              <w:spacing w:after="0"/>
              <w:rPr>
                <w:sz w:val="20"/>
                <w:szCs w:val="20"/>
                <w:color w:val="auto"/>
              </w:rPr>
            </w:pPr>
            <w:r>
              <w:rPr>
                <w:rFonts w:ascii="Times New Roman" w:cs="Times New Roman" w:eastAsia="Times New Roman" w:hAnsi="Times New Roman"/>
                <w:sz w:val="8"/>
                <w:szCs w:val="8"/>
                <w:color w:val="auto"/>
              </w:rPr>
              <w:t>(4)</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17.61</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10/9/2029</w:t>
            </w: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3/17/2020</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21,105</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27,132</w:t>
            </w:r>
          </w:p>
        </w:tc>
        <w:tc>
          <w:tcPr>
            <w:tcW w:w="220" w:type="dxa"/>
            <w:vAlign w:val="bottom"/>
          </w:tcPr>
          <w:p>
            <w:pPr>
              <w:ind w:left="20"/>
              <w:spacing w:after="0"/>
              <w:rPr>
                <w:sz w:val="20"/>
                <w:szCs w:val="20"/>
                <w:color w:val="auto"/>
              </w:rPr>
            </w:pPr>
            <w:r>
              <w:rPr>
                <w:rFonts w:ascii="Times New Roman" w:cs="Times New Roman" w:eastAsia="Times New Roman" w:hAnsi="Times New Roman"/>
                <w:sz w:val="8"/>
                <w:szCs w:val="8"/>
                <w:color w:val="auto"/>
              </w:rPr>
              <w:t>(5)</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45.14</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3/16/2030</w:t>
            </w:r>
          </w:p>
        </w:tc>
        <w:tc>
          <w:tcPr>
            <w:tcW w:w="1980" w:type="dxa"/>
            <w:vAlign w:val="bottom"/>
            <w:gridSpan w:val="3"/>
            <w:vMerge w:val="restart"/>
          </w:tcPr>
          <w:p>
            <w:pPr>
              <w:ind w:left="1100"/>
              <w:spacing w:after="0"/>
              <w:rPr>
                <w:sz w:val="20"/>
                <w:szCs w:val="20"/>
                <w:color w:val="auto"/>
              </w:rPr>
            </w:pPr>
            <w:r>
              <w:rPr>
                <w:rFonts w:ascii="Times New Roman" w:cs="Times New Roman" w:eastAsia="Times New Roman" w:hAnsi="Times New Roman"/>
                <w:sz w:val="25"/>
                <w:szCs w:val="25"/>
                <w:color w:val="auto"/>
                <w:vertAlign w:val="subscript"/>
              </w:rPr>
              <w:t>11,075</w:t>
            </w:r>
            <w:r>
              <w:rPr>
                <w:rFonts w:ascii="Times New Roman" w:cs="Times New Roman" w:eastAsia="Times New Roman" w:hAnsi="Times New Roman"/>
                <w:sz w:val="8"/>
                <w:szCs w:val="8"/>
                <w:color w:val="auto"/>
              </w:rPr>
              <w:t xml:space="preserve"> (9)(12)</w:t>
            </w: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3/17/2020</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(10)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980" w:type="dxa"/>
            <w:vAlign w:val="bottom"/>
            <w:gridSpan w:val="3"/>
            <w:vMerge w:val="continue"/>
          </w:tcPr>
          <w:p>
            <w:pPr>
              <w:spacing w:after="0"/>
              <w:rPr>
                <w:sz w:val="14"/>
                <w:szCs w:val="14"/>
                <w:color w:val="auto"/>
              </w:rPr>
            </w:pPr>
          </w:p>
        </w:tc>
        <w:tc>
          <w:tcPr>
            <w:tcW w:w="12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418,414</w:t>
            </w:r>
          </w:p>
        </w:tc>
        <w:tc>
          <w:tcPr>
            <w:tcW w:w="0" w:type="dxa"/>
            <w:vAlign w:val="bottom"/>
          </w:tcPr>
          <w:p>
            <w:pPr>
              <w:spacing w:after="0"/>
              <w:rPr>
                <w:sz w:val="1"/>
                <w:szCs w:val="1"/>
                <w:color w:val="auto"/>
              </w:rPr>
            </w:pPr>
          </w:p>
        </w:tc>
      </w:tr>
      <w:tr>
        <w:trPr>
          <w:trHeight w:val="162"/>
        </w:trPr>
        <w:tc>
          <w:tcPr>
            <w:tcW w:w="2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3/05/2021</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6,767</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29,319</w:t>
            </w:r>
          </w:p>
        </w:tc>
        <w:tc>
          <w:tcPr>
            <w:tcW w:w="2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65.02</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3/04/2031</w:t>
            </w:r>
          </w:p>
        </w:tc>
        <w:tc>
          <w:tcPr>
            <w:tcW w:w="1980" w:type="dxa"/>
            <w:vAlign w:val="bottom"/>
            <w:gridSpan w:val="3"/>
            <w:vMerge w:val="restart"/>
          </w:tcPr>
          <w:p>
            <w:pPr>
              <w:ind w:left="1080"/>
              <w:spacing w:after="0"/>
              <w:rPr>
                <w:sz w:val="20"/>
                <w:szCs w:val="20"/>
                <w:color w:val="auto"/>
              </w:rPr>
            </w:pPr>
            <w:r>
              <w:rPr>
                <w:rFonts w:ascii="Times New Roman" w:cs="Times New Roman" w:eastAsia="Times New Roman" w:hAnsi="Times New Roman"/>
                <w:sz w:val="13"/>
                <w:szCs w:val="13"/>
                <w:color w:val="auto"/>
              </w:rPr>
              <w:t xml:space="preserve">19,208 </w:t>
            </w:r>
            <w:r>
              <w:rPr>
                <w:rFonts w:ascii="Times New Roman" w:cs="Times New Roman" w:eastAsia="Times New Roman" w:hAnsi="Times New Roman"/>
                <w:sz w:val="16"/>
                <w:szCs w:val="16"/>
                <w:color w:val="auto"/>
                <w:vertAlign w:val="superscript"/>
              </w:rPr>
              <w:t>(1)</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3/05/2021</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(11)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980" w:type="dxa"/>
            <w:vAlign w:val="bottom"/>
            <w:gridSpan w:val="3"/>
            <w:vMerge w:val="continue"/>
          </w:tcPr>
          <w:p>
            <w:pPr>
              <w:spacing w:after="0"/>
              <w:rPr>
                <w:sz w:val="14"/>
                <w:szCs w:val="14"/>
                <w:color w:val="auto"/>
              </w:rPr>
            </w:pPr>
          </w:p>
        </w:tc>
        <w:tc>
          <w:tcPr>
            <w:tcW w:w="12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725,678</w:t>
            </w:r>
          </w:p>
        </w:tc>
        <w:tc>
          <w:tcPr>
            <w:tcW w:w="0" w:type="dxa"/>
            <w:vAlign w:val="bottom"/>
          </w:tcPr>
          <w:p>
            <w:pPr>
              <w:spacing w:after="0"/>
              <w:rPr>
                <w:sz w:val="1"/>
                <w:szCs w:val="1"/>
                <w:color w:val="auto"/>
              </w:rPr>
            </w:pPr>
          </w:p>
        </w:tc>
      </w:tr>
      <w:tr>
        <w:trPr>
          <w:trHeight w:val="172"/>
        </w:trPr>
        <w:tc>
          <w:tcPr>
            <w:tcW w:w="2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11/12/2021</w:t>
            </w: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36,086</w:t>
            </w:r>
          </w:p>
        </w:tc>
        <w:tc>
          <w:tcPr>
            <w:tcW w:w="2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39.26</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11/11/2031</w:t>
            </w: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0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Mark Jacobson, M.A.</w:t>
            </w:r>
          </w:p>
        </w:tc>
        <w:tc>
          <w:tcPr>
            <w:tcW w:w="120" w:type="dxa"/>
            <w:vAlign w:val="bottom"/>
            <w:shd w:val="clear" w:color="auto" w:fill="CFF0FC"/>
          </w:tcPr>
          <w:p>
            <w:pPr>
              <w:spacing w:after="0"/>
              <w:rPr>
                <w:sz w:val="13"/>
                <w:szCs w:val="13"/>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4/3/2014</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24,662</w:t>
            </w:r>
          </w:p>
        </w:tc>
        <w:tc>
          <w:tcPr>
            <w:tcW w:w="140" w:type="dxa"/>
            <w:vAlign w:val="bottom"/>
            <w:shd w:val="clear" w:color="auto" w:fill="CFF0FC"/>
          </w:tcPr>
          <w:p>
            <w:pPr>
              <w:spacing w:after="0"/>
              <w:rPr>
                <w:sz w:val="13"/>
                <w:szCs w:val="13"/>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8"/>
                <w:szCs w:val="8"/>
                <w:color w:val="auto"/>
              </w:rPr>
              <w:t>(7)</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1.30</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4/3/2024</w:t>
            </w:r>
          </w:p>
        </w:tc>
        <w:tc>
          <w:tcPr>
            <w:tcW w:w="120" w:type="dxa"/>
            <w:vAlign w:val="bottom"/>
            <w:shd w:val="clear" w:color="auto" w:fill="CFF0FC"/>
          </w:tcPr>
          <w:p>
            <w:pPr>
              <w:spacing w:after="0"/>
              <w:rPr>
                <w:sz w:val="13"/>
                <w:szCs w:val="13"/>
                <w:color w:val="auto"/>
              </w:rPr>
            </w:pPr>
          </w:p>
        </w:tc>
        <w:tc>
          <w:tcPr>
            <w:tcW w:w="134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6/8/2014</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13,693</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6,169</w:t>
            </w:r>
          </w:p>
        </w:tc>
        <w:tc>
          <w:tcPr>
            <w:tcW w:w="22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1.30</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6/8/2024</w:t>
            </w:r>
          </w:p>
        </w:tc>
        <w:tc>
          <w:tcPr>
            <w:tcW w:w="12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12/29/2014</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47,739</w:t>
            </w:r>
          </w:p>
        </w:tc>
        <w:tc>
          <w:tcPr>
            <w:tcW w:w="14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4.04</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12/29/2024</w:t>
            </w:r>
          </w:p>
        </w:tc>
        <w:tc>
          <w:tcPr>
            <w:tcW w:w="12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9/15/2015</w:t>
            </w: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40,673</w:t>
            </w:r>
          </w:p>
        </w:tc>
        <w:tc>
          <w:tcPr>
            <w:tcW w:w="14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6.47</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9/15/2025</w:t>
            </w:r>
          </w:p>
        </w:tc>
        <w:tc>
          <w:tcPr>
            <w:tcW w:w="12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5/27/2016</w:t>
            </w: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25,000</w:t>
            </w:r>
          </w:p>
        </w:tc>
        <w:tc>
          <w:tcPr>
            <w:tcW w:w="14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8.02</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5/27/2026</w:t>
            </w:r>
          </w:p>
        </w:tc>
        <w:tc>
          <w:tcPr>
            <w:tcW w:w="12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3/15/2017</w:t>
            </w: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25,000</w:t>
            </w:r>
          </w:p>
        </w:tc>
        <w:tc>
          <w:tcPr>
            <w:tcW w:w="14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4.95</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3/15/2027</w:t>
            </w:r>
          </w:p>
        </w:tc>
        <w:tc>
          <w:tcPr>
            <w:tcW w:w="12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9/13/2017</w:t>
            </w: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15,000</w:t>
            </w:r>
          </w:p>
        </w:tc>
        <w:tc>
          <w:tcPr>
            <w:tcW w:w="14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8"/>
                <w:szCs w:val="8"/>
                <w:color w:val="auto"/>
              </w:rPr>
              <w:t>(2)</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4.85</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9/13/2027</w:t>
            </w:r>
          </w:p>
        </w:tc>
        <w:tc>
          <w:tcPr>
            <w:tcW w:w="12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0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3/12/2018</w:t>
            </w:r>
          </w:p>
        </w:tc>
        <w:tc>
          <w:tcPr>
            <w:tcW w:w="12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42,542</w:t>
            </w:r>
          </w:p>
        </w:tc>
        <w:tc>
          <w:tcPr>
            <w:tcW w:w="140" w:type="dxa"/>
            <w:vAlign w:val="bottom"/>
            <w:shd w:val="clear" w:color="auto" w:fill="CFF0FC"/>
          </w:tcPr>
          <w:p>
            <w:pPr>
              <w:spacing w:after="0"/>
              <w:rPr>
                <w:sz w:val="13"/>
                <w:szCs w:val="13"/>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2,836</w:t>
            </w:r>
          </w:p>
        </w:tc>
        <w:tc>
          <w:tcPr>
            <w:tcW w:w="22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2.85</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3/12/2028</w:t>
            </w:r>
          </w:p>
        </w:tc>
        <w:tc>
          <w:tcPr>
            <w:tcW w:w="120" w:type="dxa"/>
            <w:vAlign w:val="bottom"/>
            <w:shd w:val="clear" w:color="auto" w:fill="CFF0FC"/>
          </w:tcPr>
          <w:p>
            <w:pPr>
              <w:spacing w:after="0"/>
              <w:rPr>
                <w:sz w:val="13"/>
                <w:szCs w:val="13"/>
                <w:color w:val="auto"/>
              </w:rPr>
            </w:pPr>
          </w:p>
        </w:tc>
        <w:tc>
          <w:tcPr>
            <w:tcW w:w="134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3/19/2019</w:t>
            </w: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82,299</w:t>
            </w:r>
          </w:p>
        </w:tc>
        <w:tc>
          <w:tcPr>
            <w:tcW w:w="14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37,405</w:t>
            </w:r>
          </w:p>
        </w:tc>
        <w:tc>
          <w:tcPr>
            <w:tcW w:w="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8"/>
                <w:szCs w:val="8"/>
                <w:color w:val="auto"/>
              </w:rPr>
              <w:t>(3)</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12.95</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3/19/2029</w:t>
            </w:r>
          </w:p>
        </w:tc>
        <w:tc>
          <w:tcPr>
            <w:tcW w:w="12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10/10/2019</w:t>
            </w: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19,363</w:t>
            </w:r>
          </w:p>
        </w:tc>
        <w:tc>
          <w:tcPr>
            <w:tcW w:w="14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6,450</w:t>
            </w:r>
          </w:p>
        </w:tc>
        <w:tc>
          <w:tcPr>
            <w:tcW w:w="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8"/>
                <w:szCs w:val="8"/>
                <w:color w:val="auto"/>
              </w:rPr>
              <w:t>(4)</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17.61</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10/10/2029</w:t>
            </w:r>
          </w:p>
        </w:tc>
        <w:tc>
          <w:tcPr>
            <w:tcW w:w="12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3/17/2020</w:t>
            </w:r>
          </w:p>
        </w:tc>
        <w:tc>
          <w:tcPr>
            <w:tcW w:w="12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21,105</w:t>
            </w:r>
          </w:p>
        </w:tc>
        <w:tc>
          <w:tcPr>
            <w:tcW w:w="14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27,132</w:t>
            </w:r>
          </w:p>
        </w:tc>
        <w:tc>
          <w:tcPr>
            <w:tcW w:w="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8"/>
                <w:szCs w:val="8"/>
                <w:color w:val="auto"/>
              </w:rPr>
              <w:t>(5)</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45.14</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3/16/2030</w:t>
            </w:r>
          </w:p>
        </w:tc>
        <w:tc>
          <w:tcPr>
            <w:tcW w:w="1980" w:type="dxa"/>
            <w:vAlign w:val="bottom"/>
            <w:gridSpan w:val="3"/>
            <w:vMerge w:val="restart"/>
            <w:shd w:val="clear" w:color="auto" w:fill="CFF0FC"/>
          </w:tcPr>
          <w:p>
            <w:pPr>
              <w:ind w:left="1100"/>
              <w:spacing w:after="0"/>
              <w:rPr>
                <w:sz w:val="20"/>
                <w:szCs w:val="20"/>
                <w:color w:val="auto"/>
              </w:rPr>
            </w:pPr>
            <w:r>
              <w:rPr>
                <w:rFonts w:ascii="Times New Roman" w:cs="Times New Roman" w:eastAsia="Times New Roman" w:hAnsi="Times New Roman"/>
                <w:sz w:val="25"/>
                <w:szCs w:val="25"/>
                <w:color w:val="auto"/>
                <w:vertAlign w:val="subscript"/>
              </w:rPr>
              <w:t>11,075</w:t>
            </w:r>
            <w:r>
              <w:rPr>
                <w:rFonts w:ascii="Times New Roman" w:cs="Times New Roman" w:eastAsia="Times New Roman" w:hAnsi="Times New Roman"/>
                <w:sz w:val="8"/>
                <w:szCs w:val="8"/>
                <w:color w:val="auto"/>
              </w:rPr>
              <w:t xml:space="preserve"> (9)(12)</w:t>
            </w: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3/17/2020</w:t>
            </w: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22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8"/>
                <w:szCs w:val="8"/>
                <w:color w:val="auto"/>
              </w:rPr>
              <w:t>(10)</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980" w:type="dxa"/>
            <w:vAlign w:val="bottom"/>
            <w:gridSpan w:val="3"/>
            <w:vMerge w:val="continue"/>
            <w:shd w:val="clear" w:color="auto" w:fill="CFF0FC"/>
          </w:tcPr>
          <w:p>
            <w:pPr>
              <w:spacing w:after="0"/>
              <w:rPr>
                <w:sz w:val="14"/>
                <w:szCs w:val="14"/>
                <w:color w:val="auto"/>
              </w:rPr>
            </w:pPr>
          </w:p>
        </w:tc>
        <w:tc>
          <w:tcPr>
            <w:tcW w:w="1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1,203,067</w:t>
            </w:r>
          </w:p>
        </w:tc>
        <w:tc>
          <w:tcPr>
            <w:tcW w:w="0" w:type="dxa"/>
            <w:vAlign w:val="bottom"/>
          </w:tcPr>
          <w:p>
            <w:pPr>
              <w:spacing w:after="0"/>
              <w:rPr>
                <w:sz w:val="1"/>
                <w:szCs w:val="1"/>
                <w:color w:val="auto"/>
              </w:rPr>
            </w:pPr>
          </w:p>
        </w:tc>
      </w:tr>
      <w:tr>
        <w:trPr>
          <w:trHeight w:val="162"/>
        </w:trPr>
        <w:tc>
          <w:tcPr>
            <w:tcW w:w="20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3/05/2021</w:t>
            </w: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7,808</w:t>
            </w:r>
          </w:p>
        </w:tc>
        <w:tc>
          <w:tcPr>
            <w:tcW w:w="14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33,830</w:t>
            </w:r>
          </w:p>
        </w:tc>
        <w:tc>
          <w:tcPr>
            <w:tcW w:w="22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65.02</w:t>
            </w:r>
          </w:p>
        </w:tc>
        <w:tc>
          <w:tcPr>
            <w:tcW w:w="10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3/04/2031</w:t>
            </w:r>
          </w:p>
        </w:tc>
        <w:tc>
          <w:tcPr>
            <w:tcW w:w="12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3/05/2021</w:t>
            </w: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22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8"/>
                <w:szCs w:val="8"/>
                <w:color w:val="auto"/>
              </w:rPr>
              <w:t>(11)</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60" w:type="dxa"/>
            <w:vAlign w:val="bottom"/>
            <w:gridSpan w:val="2"/>
            <w:shd w:val="clear" w:color="auto" w:fill="CFF0FC"/>
          </w:tcPr>
          <w:p>
            <w:pPr>
              <w:ind w:left="960"/>
              <w:spacing w:after="0" w:line="162" w:lineRule="exact"/>
              <w:rPr>
                <w:sz w:val="20"/>
                <w:szCs w:val="20"/>
                <w:color w:val="auto"/>
              </w:rPr>
            </w:pPr>
            <w:r>
              <w:rPr>
                <w:rFonts w:ascii="Times New Roman" w:cs="Times New Roman" w:eastAsia="Times New Roman" w:hAnsi="Times New Roman"/>
                <w:sz w:val="13"/>
                <w:szCs w:val="13"/>
                <w:color w:val="auto"/>
              </w:rPr>
              <w:t xml:space="preserve">22,163 </w:t>
            </w:r>
            <w:r>
              <w:rPr>
                <w:rFonts w:ascii="Times New Roman" w:cs="Times New Roman" w:eastAsia="Times New Roman" w:hAnsi="Times New Roman"/>
                <w:sz w:val="16"/>
                <w:szCs w:val="16"/>
                <w:color w:val="auto"/>
                <w:vertAlign w:val="superscript"/>
              </w:rPr>
              <w:t>(1)</w:t>
            </w:r>
          </w:p>
        </w:tc>
        <w:tc>
          <w:tcPr>
            <w:tcW w:w="1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837,318</w:t>
            </w:r>
          </w:p>
        </w:tc>
        <w:tc>
          <w:tcPr>
            <w:tcW w:w="0" w:type="dxa"/>
            <w:vAlign w:val="bottom"/>
          </w:tcPr>
          <w:p>
            <w:pPr>
              <w:spacing w:after="0"/>
              <w:rPr>
                <w:sz w:val="1"/>
                <w:szCs w:val="1"/>
                <w:color w:val="auto"/>
              </w:rPr>
            </w:pPr>
          </w:p>
        </w:tc>
      </w:tr>
      <w:tr>
        <w:trPr>
          <w:trHeight w:val="180"/>
        </w:trPr>
        <w:tc>
          <w:tcPr>
            <w:tcW w:w="20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11/12/2021</w:t>
            </w:r>
          </w:p>
        </w:tc>
        <w:tc>
          <w:tcPr>
            <w:tcW w:w="12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line="157" w:lineRule="exact"/>
              <w:rPr>
                <w:sz w:val="20"/>
                <w:szCs w:val="20"/>
                <w:color w:val="auto"/>
              </w:rPr>
            </w:pPr>
            <w:r>
              <w:rPr>
                <w:rFonts w:ascii="Calibri" w:cs="Calibri" w:eastAsia="Calibri" w:hAnsi="Calibri"/>
                <w:sz w:val="13"/>
                <w:szCs w:val="13"/>
                <w:color w:val="auto"/>
              </w:rPr>
              <w:t>—</w:t>
            </w:r>
          </w:p>
        </w:tc>
        <w:tc>
          <w:tcPr>
            <w:tcW w:w="14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41,638</w:t>
            </w:r>
          </w:p>
        </w:tc>
        <w:tc>
          <w:tcPr>
            <w:tcW w:w="220" w:type="dxa"/>
            <w:vAlign w:val="bottom"/>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39.26</w:t>
            </w:r>
          </w:p>
        </w:tc>
        <w:tc>
          <w:tcPr>
            <w:tcW w:w="10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11/11/2031</w:t>
            </w:r>
          </w:p>
        </w:tc>
        <w:tc>
          <w:tcPr>
            <w:tcW w:w="12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380" w:right="40" w:hanging="372"/>
        <w:spacing w:after="0" w:line="238" w:lineRule="auto"/>
        <w:tabs>
          <w:tab w:leader="none" w:pos="380"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25% of the RSU award vests on the one (1) year anniversary of the date of grant. The remaining RSUs will vest in three substantially equal annual installments such that the RSUs will be fully vested on March 5, 2025. Vested Shares will be delivered to the reporting person upon the earlier of (i) the closing of a Change in Control (as defined in the Issuer’s Amended and Restated 2015 Omnibus Incentive Compensation Plan (the “Plan”), (ii) the reporting person’s separation of service from the Issuer (including termination with or without Cause (as defined in the Plan), or termination due to death or disability), or (iii) seven (7) years from the date of grant.</w:t>
      </w:r>
    </w:p>
    <w:p>
      <w:pPr>
        <w:spacing w:after="0" w:line="1" w:lineRule="exact"/>
        <w:rPr>
          <w:rFonts w:ascii="Times New Roman" w:cs="Times New Roman" w:eastAsia="Times New Roman" w:hAnsi="Times New Roman"/>
          <w:sz w:val="13"/>
          <w:szCs w:val="13"/>
          <w:color w:val="auto"/>
        </w:rPr>
      </w:pPr>
    </w:p>
    <w:p>
      <w:pPr>
        <w:ind w:left="380" w:right="300" w:hanging="372"/>
        <w:spacing w:after="0" w:line="238" w:lineRule="auto"/>
        <w:tabs>
          <w:tab w:leader="none" w:pos="380"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unexercisable options will vest and become exercisable in equal quarterly installments over four years such that the options will be fully vested on March 12, 2022, provided that the executive continues to provide services to us through the applicable dates.</w:t>
      </w:r>
    </w:p>
    <w:p>
      <w:pPr>
        <w:ind w:left="380" w:right="300" w:hanging="372"/>
        <w:spacing w:after="0" w:line="227" w:lineRule="auto"/>
        <w:tabs>
          <w:tab w:leader="none" w:pos="380"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unexercisable options will vest and become exercisable in equal quarterly installments over four years such that the options will be fully vested on March 19, 2023, provided that the executive continues to provide services to us through the applicable dates.</w:t>
      </w:r>
    </w:p>
    <w:p>
      <w:pPr>
        <w:ind w:left="380" w:right="100" w:hanging="372"/>
        <w:spacing w:after="0" w:line="238" w:lineRule="auto"/>
        <w:tabs>
          <w:tab w:leader="none" w:pos="380"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unexercisable options will vest and become exercisable in equal quarterly installments over four years such that the options will be fully vested on December 30, 2023, provided that the executive continues to provide services to us through the applicable dates.</w:t>
      </w:r>
    </w:p>
    <w:p>
      <w:pPr>
        <w:ind w:left="380" w:right="300" w:hanging="372"/>
        <w:spacing w:after="0" w:line="227" w:lineRule="auto"/>
        <w:tabs>
          <w:tab w:leader="none" w:pos="380"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unexercisable options will vest and become exercisable in equal quarterly installments over four years such that the options will be fully vested on March 16, 2024, provided that the executive continues to provide services to us through the applicable dates.</w:t>
      </w:r>
    </w:p>
    <w:p>
      <w:pPr>
        <w:ind w:left="380" w:right="200" w:hanging="372"/>
        <w:spacing w:after="0" w:line="227" w:lineRule="auto"/>
        <w:tabs>
          <w:tab w:leader="none" w:pos="380"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unexercisable options will vest over a four-year period as follows: 25% of the options will vest on the first anniversary of the Grant Date, and the remaining 75% of the options in equal increments thereafter each quarter of the remaining three years, provided that the executive continues to provide services to us through the applicable dates.</w:t>
      </w:r>
    </w:p>
    <w:p>
      <w:pPr>
        <w:ind w:left="380" w:hanging="372"/>
        <w:spacing w:after="0"/>
        <w:tabs>
          <w:tab w:leader="none" w:pos="380"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Performance based equity award based on a clinical development milestone that has not yet been earned.</w:t>
      </w:r>
    </w:p>
    <w:p>
      <w:pPr>
        <w:ind w:left="380" w:hanging="372"/>
        <w:spacing w:after="0"/>
        <w:tabs>
          <w:tab w:leader="none" w:pos="380"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Dr. Tabuteau's RSU grant on March 17, 2020 was 51,691 shares, of which 12,923 shares have vested but not settled.</w:t>
      </w:r>
    </w:p>
    <w:p>
      <w:pPr>
        <w:ind w:left="380" w:hanging="372"/>
        <w:spacing w:after="0"/>
        <w:tabs>
          <w:tab w:leader="none" w:pos="380" w:val="left"/>
        </w:tabs>
        <w:numPr>
          <w:ilvl w:val="0"/>
          <w:numId w:val="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RSU award vests in substantially equal annual installments over four years such that the RSU will be fully vested on March 17, 2024. Vested Shares will be delivered to the reporting person upon the earlier of</w:t>
      </w:r>
    </w:p>
    <w:p>
      <w:pPr>
        <w:spacing w:after="0" w:line="10" w:lineRule="exact"/>
        <w:rPr>
          <w:rFonts w:ascii="Times New Roman" w:cs="Times New Roman" w:eastAsia="Times New Roman" w:hAnsi="Times New Roman"/>
          <w:sz w:val="12"/>
          <w:szCs w:val="12"/>
          <w:color w:val="auto"/>
        </w:rPr>
      </w:pPr>
    </w:p>
    <w:p>
      <w:pPr>
        <w:ind w:left="380" w:right="240"/>
        <w:spacing w:after="0" w:line="227" w:lineRule="auto"/>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(i) the closing of a Change in Control (as defined in the Issuer’s Amended and Restated 2015 Omnibus Incentive Compensation Plan (the “Plan”), (ii) the reporting person’s separation of service from the Issuer (including termination with or without Cause (as defined in the Plan), or termination due to death or disability), or (iii) seven (7) years from the date of grant.</w:t>
      </w:r>
    </w:p>
    <w:p>
      <w:pPr>
        <w:ind w:left="380" w:right="360" w:hanging="372"/>
        <w:spacing w:after="0" w:line="227" w:lineRule="auto"/>
        <w:tabs>
          <w:tab w:leader="none" w:pos="380"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unexercisable options will vest and become exercisable in equal quarterly installments over four years such that the options will be fully vested on March 5, 2025, provided that the executive continues to provide services to us through the applicable dates.</w:t>
      </w:r>
    </w:p>
    <w:p>
      <w:pPr>
        <w:ind w:left="380" w:hanging="372"/>
        <w:spacing w:after="0"/>
        <w:tabs>
          <w:tab w:leader="none" w:pos="380" w:val="left"/>
        </w:tabs>
        <w:numPr>
          <w:ilvl w:val="0"/>
          <w:numId w:val="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25% of the option will start to vest one year from November 12, 2021 and then will vest in substantially equal quarterly installments over three years such that the option will be fully vested on November 12, 2025.</w:t>
      </w:r>
    </w:p>
    <w:p>
      <w:pPr>
        <w:spacing w:after="0" w:line="10" w:lineRule="exact"/>
        <w:rPr>
          <w:rFonts w:ascii="Times New Roman" w:cs="Times New Roman" w:eastAsia="Times New Roman" w:hAnsi="Times New Roman"/>
          <w:sz w:val="12"/>
          <w:szCs w:val="12"/>
          <w:color w:val="auto"/>
        </w:rPr>
      </w:pPr>
    </w:p>
    <w:p>
      <w:pPr>
        <w:ind w:left="380" w:hanging="372"/>
        <w:spacing w:after="0"/>
        <w:tabs>
          <w:tab w:leader="none" w:pos="380"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Mr. Pizzie's and Mr. Jacobson's RSU grant on March 17, 2020 was 14,767, of which 3,692 shares have vested but not settled.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-2123440</wp:posOffset>
            </wp:positionV>
            <wp:extent cx="190309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8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4" w:right="3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563C1"/>
        </w:rPr>
        <w:t>TABLE OF CONTENTS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2021 Option Exercises and Stock Vested</w:t>
      </w:r>
    </w:p>
    <w:p>
      <w:pPr>
        <w:spacing w:after="0" w:line="115" w:lineRule="exact"/>
        <w:rPr>
          <w:sz w:val="20"/>
          <w:szCs w:val="20"/>
          <w:color w:val="auto"/>
        </w:rPr>
      </w:pPr>
    </w:p>
    <w:p>
      <w:pPr>
        <w:ind w:right="80" w:firstLine="374"/>
        <w:spacing w:after="0" w:line="280" w:lineRule="auto"/>
        <w:rPr>
          <w:sz w:val="20"/>
          <w:szCs w:val="20"/>
          <w:color w:val="auto"/>
        </w:rPr>
      </w:pPr>
      <w:r>
        <w:rPr>
          <w:rFonts w:ascii="Times New Roman" w:cs="Times New Roman" w:eastAsia="Times New Roman" w:hAnsi="Times New Roman"/>
          <w:sz w:val="16"/>
          <w:szCs w:val="16"/>
          <w:color w:val="auto"/>
        </w:rPr>
        <w:t>The following table contains information for our NEOs concerning the option awards that were exercised and RSUs that were vested during the year ended December 31, 2021:</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20" w:type="dxa"/>
            <w:vAlign w:val="bottom"/>
            <w:gridSpan w:val="3"/>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700" w:type="dxa"/>
            <w:vAlign w:val="bottom"/>
            <w:gridSpan w:val="4"/>
          </w:tcPr>
          <w:p>
            <w:pPr>
              <w:jc w:val="right"/>
              <w:ind w:right="1026"/>
              <w:spacing w:after="0"/>
              <w:rPr>
                <w:sz w:val="20"/>
                <w:szCs w:val="20"/>
                <w:color w:val="auto"/>
              </w:rPr>
            </w:pPr>
            <w:r>
              <w:rPr>
                <w:rFonts w:ascii="Times New Roman" w:cs="Times New Roman" w:eastAsia="Times New Roman" w:hAnsi="Times New Roman"/>
                <w:sz w:val="14"/>
                <w:szCs w:val="14"/>
                <w:b w:val="1"/>
                <w:bCs w:val="1"/>
                <w:color w:val="auto"/>
              </w:rPr>
              <w:t>Stock Awards</w:t>
            </w:r>
          </w:p>
        </w:tc>
      </w:tr>
      <w:tr>
        <w:trPr>
          <w:trHeight w:val="131"/>
        </w:trPr>
        <w:tc>
          <w:tcPr>
            <w:tcW w:w="5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Borders>
              <w:top w:val="single" w:sz="8" w:color="auto"/>
            </w:tcBorders>
          </w:tcPr>
          <w:p>
            <w:pPr>
              <w:jc w:val="center"/>
              <w:ind w:left="108"/>
              <w:spacing w:after="0" w:line="131"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8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16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24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r>
      <w:tr>
        <w:trPr>
          <w:trHeight w:val="162"/>
        </w:trPr>
        <w:tc>
          <w:tcPr>
            <w:tcW w:w="5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4"/>
                <w:szCs w:val="14"/>
                <w:color w:val="auto"/>
              </w:rPr>
            </w:pPr>
          </w:p>
        </w:tc>
        <w:tc>
          <w:tcPr>
            <w:tcW w:w="1180" w:type="dxa"/>
            <w:vAlign w:val="bottom"/>
          </w:tcPr>
          <w:p>
            <w:pPr>
              <w:jc w:val="right"/>
              <w:ind w:right="164"/>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4"/>
                <w:szCs w:val="14"/>
                <w:color w:val="auto"/>
              </w:rPr>
            </w:pPr>
          </w:p>
        </w:tc>
        <w:tc>
          <w:tcPr>
            <w:tcW w:w="1300" w:type="dxa"/>
            <w:vAlign w:val="bottom"/>
            <w:gridSpan w:val="2"/>
          </w:tcPr>
          <w:p>
            <w:pPr>
              <w:jc w:val="center"/>
              <w:ind w:right="366"/>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148"/>
        </w:trPr>
        <w:tc>
          <w:tcPr>
            <w:tcW w:w="5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ind w:left="88"/>
              <w:spacing w:after="0" w:line="149" w:lineRule="exact"/>
              <w:rPr>
                <w:sz w:val="20"/>
                <w:szCs w:val="20"/>
                <w:color w:val="auto"/>
              </w:rPr>
            </w:pPr>
            <w:r>
              <w:rPr>
                <w:rFonts w:ascii="Times New Roman" w:cs="Times New Roman" w:eastAsia="Times New Roman" w:hAnsi="Times New Roman"/>
                <w:sz w:val="14"/>
                <w:szCs w:val="14"/>
                <w:b w:val="1"/>
                <w:bCs w:val="1"/>
                <w:color w:val="auto"/>
              </w:rPr>
              <w:t>Acquired on</w:t>
            </w:r>
          </w:p>
        </w:tc>
        <w:tc>
          <w:tcPr>
            <w:tcW w:w="18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Realized on</w:t>
            </w: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60" w:type="dxa"/>
            <w:vAlign w:val="bottom"/>
          </w:tcPr>
          <w:p>
            <w:pPr>
              <w:jc w:val="center"/>
              <w:ind w:right="5"/>
              <w:spacing w:after="0" w:line="149" w:lineRule="exact"/>
              <w:rPr>
                <w:sz w:val="20"/>
                <w:szCs w:val="20"/>
                <w:color w:val="auto"/>
              </w:rPr>
            </w:pPr>
            <w:r>
              <w:rPr>
                <w:rFonts w:ascii="Times New Roman" w:cs="Times New Roman" w:eastAsia="Times New Roman" w:hAnsi="Times New Roman"/>
                <w:sz w:val="14"/>
                <w:szCs w:val="14"/>
                <w:b w:val="1"/>
                <w:bCs w:val="1"/>
                <w:color w:val="auto"/>
              </w:rPr>
              <w:t>Acquired on</w:t>
            </w:r>
          </w:p>
        </w:tc>
        <w:tc>
          <w:tcPr>
            <w:tcW w:w="240" w:type="dxa"/>
            <w:vAlign w:val="bottom"/>
          </w:tcPr>
          <w:p>
            <w:pPr>
              <w:spacing w:after="0"/>
              <w:rPr>
                <w:sz w:val="12"/>
                <w:szCs w:val="12"/>
                <w:color w:val="auto"/>
              </w:rPr>
            </w:pPr>
          </w:p>
        </w:tc>
        <w:tc>
          <w:tcPr>
            <w:tcW w:w="1300" w:type="dxa"/>
            <w:vAlign w:val="bottom"/>
            <w:gridSpan w:val="2"/>
          </w:tcPr>
          <w:p>
            <w:pPr>
              <w:jc w:val="center"/>
              <w:ind w:right="366"/>
              <w:spacing w:after="0" w:line="149" w:lineRule="exact"/>
              <w:rPr>
                <w:sz w:val="20"/>
                <w:szCs w:val="20"/>
                <w:color w:val="auto"/>
              </w:rPr>
            </w:pPr>
            <w:r>
              <w:rPr>
                <w:rFonts w:ascii="Times New Roman" w:cs="Times New Roman" w:eastAsia="Times New Roman" w:hAnsi="Times New Roman"/>
                <w:sz w:val="14"/>
                <w:szCs w:val="14"/>
                <w:b w:val="1"/>
                <w:bCs w:val="1"/>
                <w:color w:val="auto"/>
              </w:rPr>
              <w:t>Realized on</w:t>
            </w:r>
          </w:p>
        </w:tc>
      </w:tr>
      <w:tr>
        <w:trPr>
          <w:trHeight w:val="207"/>
        </w:trPr>
        <w:tc>
          <w:tcPr>
            <w:tcW w:w="5620" w:type="dxa"/>
            <w:vAlign w:val="bottom"/>
            <w:gridSpan w:val="2"/>
          </w:tcPr>
          <w:p>
            <w:pPr>
              <w:ind w:left="2560"/>
              <w:spacing w:after="0"/>
              <w:rPr>
                <w:sz w:val="20"/>
                <w:szCs w:val="20"/>
                <w:color w:val="auto"/>
              </w:rPr>
            </w:pPr>
            <w:r>
              <w:rPr>
                <w:rFonts w:ascii="Times New Roman" w:cs="Times New Roman" w:eastAsia="Times New Roman" w:hAnsi="Times New Roman"/>
                <w:sz w:val="14"/>
                <w:szCs w:val="14"/>
                <w:b w:val="1"/>
                <w:bCs w:val="1"/>
                <w:color w:val="auto"/>
              </w:rPr>
              <w:t>Name</w:t>
            </w:r>
          </w:p>
        </w:tc>
        <w:tc>
          <w:tcPr>
            <w:tcW w:w="960" w:type="dxa"/>
            <w:vAlign w:val="bottom"/>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Exercise ($)</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Vesting</w:t>
            </w:r>
          </w:p>
        </w:tc>
        <w:tc>
          <w:tcPr>
            <w:tcW w:w="240" w:type="dxa"/>
            <w:vAlign w:val="bottom"/>
          </w:tcPr>
          <w:p>
            <w:pPr>
              <w:spacing w:after="0"/>
              <w:rPr>
                <w:sz w:val="17"/>
                <w:szCs w:val="17"/>
                <w:color w:val="auto"/>
              </w:rPr>
            </w:pPr>
          </w:p>
        </w:tc>
        <w:tc>
          <w:tcPr>
            <w:tcW w:w="1300" w:type="dxa"/>
            <w:vAlign w:val="bottom"/>
            <w:gridSpan w:val="2"/>
          </w:tcPr>
          <w:p>
            <w:pPr>
              <w:jc w:val="center"/>
              <w:ind w:right="366"/>
              <w:spacing w:after="0"/>
              <w:rPr>
                <w:sz w:val="20"/>
                <w:szCs w:val="20"/>
                <w:color w:val="auto"/>
              </w:rPr>
            </w:pPr>
            <w:r>
              <w:rPr>
                <w:rFonts w:ascii="Times New Roman" w:cs="Times New Roman" w:eastAsia="Times New Roman" w:hAnsi="Times New Roman"/>
                <w:sz w:val="14"/>
                <w:szCs w:val="14"/>
                <w:b w:val="1"/>
                <w:bCs w:val="1"/>
                <w:color w:val="auto"/>
                <w:w w:val="98"/>
              </w:rPr>
              <w:t>Vesting ($)</w:t>
            </w:r>
          </w:p>
        </w:tc>
      </w:tr>
      <w:tr>
        <w:trPr>
          <w:trHeight w:val="189"/>
        </w:trPr>
        <w:tc>
          <w:tcPr>
            <w:tcW w:w="548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Herriot Tabuteau, M.D.</w:t>
            </w:r>
          </w:p>
        </w:tc>
        <w:tc>
          <w:tcPr>
            <w:tcW w:w="140" w:type="dxa"/>
            <w:vAlign w:val="bottom"/>
            <w:tcBorders>
              <w:top w:val="single" w:sz="8" w:color="CFF0FC"/>
            </w:tcBorders>
            <w:shd w:val="clear" w:color="auto" w:fill="CFF0FC"/>
          </w:tcPr>
          <w:p>
            <w:pPr>
              <w:spacing w:after="0"/>
              <w:rPr>
                <w:sz w:val="16"/>
                <w:szCs w:val="16"/>
                <w:color w:val="auto"/>
              </w:rPr>
            </w:pPr>
          </w:p>
        </w:tc>
        <w:tc>
          <w:tcPr>
            <w:tcW w:w="960" w:type="dxa"/>
            <w:vAlign w:val="bottom"/>
            <w:tcBorders>
              <w:top w:val="single" w:sz="8" w:color="auto"/>
            </w:tcBorders>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CFF0FC"/>
            </w:tcBorders>
            <w:shd w:val="clear" w:color="auto" w:fill="CFF0FC"/>
          </w:tcPr>
          <w:p>
            <w:pPr>
              <w:jc w:val="right"/>
              <w:ind w:right="884"/>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top w:val="single" w:sz="8" w:color="CFF0FC"/>
            </w:tcBorders>
            <w:gridSpan w:val="2"/>
            <w:shd w:val="clear" w:color="auto" w:fill="CFF0FC"/>
          </w:tcPr>
          <w:p>
            <w:pPr>
              <w:ind w:left="40"/>
              <w:spacing w:after="0" w:line="190" w:lineRule="exact"/>
              <w:rPr>
                <w:sz w:val="20"/>
                <w:szCs w:val="20"/>
                <w:color w:val="auto"/>
              </w:rPr>
            </w:pP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9"/>
                <w:szCs w:val="9"/>
                <w:color w:val="auto"/>
              </w:rPr>
              <w:t xml:space="preserve"> (1)</w:t>
            </w:r>
          </w:p>
        </w:tc>
        <w:tc>
          <w:tcPr>
            <w:tcW w:w="1160" w:type="dxa"/>
            <w:vAlign w:val="bottom"/>
            <w:tcBorders>
              <w:top w:val="single" w:sz="8" w:color="auto"/>
            </w:tcBorders>
            <w:shd w:val="clear" w:color="auto" w:fill="CFF0FC"/>
          </w:tcPr>
          <w:p>
            <w:pPr>
              <w:jc w:val="right"/>
              <w:ind w:right="5"/>
              <w:spacing w:after="0"/>
              <w:rPr>
                <w:sz w:val="20"/>
                <w:szCs w:val="20"/>
                <w:color w:val="auto"/>
              </w:rPr>
            </w:pPr>
            <w:r>
              <w:rPr>
                <w:rFonts w:ascii="Times New Roman" w:cs="Times New Roman" w:eastAsia="Times New Roman" w:hAnsi="Times New Roman"/>
                <w:sz w:val="16"/>
                <w:szCs w:val="16"/>
                <w:color w:val="auto"/>
              </w:rPr>
              <w:t>12,923</w:t>
            </w:r>
          </w:p>
        </w:tc>
        <w:tc>
          <w:tcPr>
            <w:tcW w:w="24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top w:val="single" w:sz="8" w:color="CFF0FC"/>
            </w:tcBorders>
            <w:shd w:val="clear" w:color="auto" w:fill="CFF0FC"/>
          </w:tcPr>
          <w:p>
            <w:pPr>
              <w:jc w:val="right"/>
              <w:ind w:right="106"/>
              <w:spacing w:after="0" w:line="121" w:lineRule="exact"/>
              <w:rPr>
                <w:sz w:val="20"/>
                <w:szCs w:val="20"/>
                <w:color w:val="auto"/>
              </w:rPr>
            </w:pPr>
            <w:r>
              <w:rPr>
                <w:rFonts w:ascii="Times New Roman" w:cs="Times New Roman" w:eastAsia="Times New Roman" w:hAnsi="Times New Roman"/>
                <w:sz w:val="11"/>
                <w:szCs w:val="11"/>
                <w:color w:val="auto"/>
                <w:w w:val="93"/>
              </w:rPr>
              <w:t>(2)</w:t>
            </w:r>
          </w:p>
        </w:tc>
      </w:tr>
      <w:tr>
        <w:trPr>
          <w:trHeight w:val="203"/>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Nick Pizzie, C.P.A., M.B.A.</w:t>
            </w:r>
          </w:p>
        </w:tc>
        <w:tc>
          <w:tcPr>
            <w:tcW w:w="96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884"/>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9"/>
                <w:szCs w:val="9"/>
                <w:color w:val="auto"/>
              </w:rPr>
              <w:t xml:space="preserve"> (1)</w:t>
            </w:r>
          </w:p>
        </w:tc>
        <w:tc>
          <w:tcPr>
            <w:tcW w:w="116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3,692</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tcPr>
          <w:p>
            <w:pPr>
              <w:jc w:val="right"/>
              <w:ind w:right="106"/>
              <w:spacing w:after="0" w:line="202" w:lineRule="exact"/>
              <w:rPr>
                <w:sz w:val="20"/>
                <w:szCs w:val="20"/>
                <w:color w:val="auto"/>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9"/>
                <w:szCs w:val="9"/>
                <w:color w:val="auto"/>
              </w:rPr>
              <w:t xml:space="preserve"> (3)</w:t>
            </w:r>
          </w:p>
        </w:tc>
      </w:tr>
      <w:tr>
        <w:trPr>
          <w:trHeight w:val="203"/>
        </w:trPr>
        <w:tc>
          <w:tcPr>
            <w:tcW w:w="56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Mark Jacobson, M.A.</w:t>
            </w:r>
          </w:p>
        </w:tc>
        <w:tc>
          <w:tcPr>
            <w:tcW w:w="9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FF0FC"/>
          </w:tcPr>
          <w:p>
            <w:pPr>
              <w:jc w:val="right"/>
              <w:ind w:right="884"/>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shd w:val="clear" w:color="auto" w:fill="CFF0FC"/>
          </w:tcPr>
          <w:p>
            <w:pPr>
              <w:ind w:left="40"/>
              <w:spacing w:after="0" w:line="202" w:lineRule="exact"/>
              <w:rPr>
                <w:sz w:val="20"/>
                <w:szCs w:val="20"/>
                <w:color w:val="auto"/>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9"/>
                <w:szCs w:val="9"/>
                <w:color w:val="auto"/>
              </w:rPr>
              <w:t xml:space="preserve"> (1)</w:t>
            </w:r>
          </w:p>
        </w:tc>
        <w:tc>
          <w:tcPr>
            <w:tcW w:w="1160" w:type="dxa"/>
            <w:vAlign w:val="bottom"/>
            <w:shd w:val="clear" w:color="auto" w:fill="CFF0FC"/>
          </w:tcPr>
          <w:p>
            <w:pPr>
              <w:jc w:val="right"/>
              <w:ind w:right="5"/>
              <w:spacing w:after="0"/>
              <w:rPr>
                <w:sz w:val="20"/>
                <w:szCs w:val="20"/>
                <w:color w:val="auto"/>
              </w:rPr>
            </w:pPr>
            <w:r>
              <w:rPr>
                <w:rFonts w:ascii="Times New Roman" w:cs="Times New Roman" w:eastAsia="Times New Roman" w:hAnsi="Times New Roman"/>
                <w:sz w:val="16"/>
                <w:szCs w:val="16"/>
                <w:color w:val="auto"/>
              </w:rPr>
              <w:t>3,692</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shd w:val="clear" w:color="auto" w:fill="CFF0FC"/>
          </w:tcPr>
          <w:p>
            <w:pPr>
              <w:jc w:val="right"/>
              <w:ind w:right="106"/>
              <w:spacing w:after="0" w:line="202" w:lineRule="exact"/>
              <w:rPr>
                <w:sz w:val="20"/>
                <w:szCs w:val="20"/>
                <w:color w:val="auto"/>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9"/>
                <w:szCs w:val="9"/>
                <w:color w:val="auto"/>
              </w:rPr>
              <w:t xml:space="preserve"> (3)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6948805</wp:posOffset>
            </wp:positionH>
            <wp:positionV relativeFrom="paragraph">
              <wp:posOffset>-393700</wp:posOffset>
            </wp:positionV>
            <wp:extent cx="18859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88595" cy="8255"/>
                    </a:xfrm>
                    <a:prstGeom prst="rect">
                      <a:avLst/>
                    </a:prstGeom>
                    <a:noFill/>
                  </pic:spPr>
                </pic:pic>
              </a:graphicData>
            </a:graphic>
          </wp:anchor>
        </w:drawing>
      </w:r>
    </w:p>
    <w:p>
      <w:pPr>
        <w:spacing w:after="0" w:line="151" w:lineRule="exact"/>
        <w:rPr>
          <w:sz w:val="20"/>
          <w:szCs w:val="20"/>
          <w:color w:val="auto"/>
        </w:rPr>
      </w:pPr>
    </w:p>
    <w:p>
      <w:pPr>
        <w:ind w:left="380" w:hanging="372"/>
        <w:spacing w:after="0"/>
        <w:tabs>
          <w:tab w:leader="none" w:pos="380" w:val="left"/>
        </w:tabs>
        <w:numPr>
          <w:ilvl w:val="0"/>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options were exercised during the year ended December 31, 2021.</w:t>
      </w:r>
    </w:p>
    <w:p>
      <w:pPr>
        <w:spacing w:after="0" w:line="13" w:lineRule="exact"/>
        <w:rPr>
          <w:rFonts w:ascii="Times New Roman" w:cs="Times New Roman" w:eastAsia="Times New Roman" w:hAnsi="Times New Roman"/>
          <w:sz w:val="13"/>
          <w:szCs w:val="13"/>
          <w:color w:val="auto"/>
        </w:rPr>
      </w:pPr>
    </w:p>
    <w:p>
      <w:pPr>
        <w:ind w:left="380" w:right="80" w:hanging="372"/>
        <w:spacing w:after="0" w:line="227" w:lineRule="auto"/>
        <w:tabs>
          <w:tab w:leader="none" w:pos="380" w:val="left"/>
        </w:tabs>
        <w:numPr>
          <w:ilvl w:val="0"/>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Dr. Tabuteau's stock awards were valued at $879,798 as of the vesting date on March 17, 2021. However, the shares are subject to a post-vesting holding period and therefore, the actual realized value may be higher or lower.</w:t>
      </w:r>
    </w:p>
    <w:p>
      <w:pPr>
        <w:ind w:left="380" w:right="280" w:hanging="372"/>
        <w:spacing w:after="0" w:line="239" w:lineRule="auto"/>
        <w:tabs>
          <w:tab w:leader="none" w:pos="380" w:val="left"/>
        </w:tabs>
        <w:numPr>
          <w:ilvl w:val="0"/>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Mr. Pizzie's and Mr. Jacobson's stock awards were valued at $251,351 as of the vesting date on March 17, 2021. However, the shares are subject to a post-vesting holding period and therefore, the actual realized value may be higher or lower.</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Potential Payments Upon Termination/Change of Control and Employment Agreements</w:t>
      </w:r>
    </w:p>
    <w:p>
      <w:pPr>
        <w:spacing w:after="0" w:line="115" w:lineRule="exact"/>
        <w:rPr>
          <w:sz w:val="20"/>
          <w:szCs w:val="20"/>
          <w:color w:val="auto"/>
        </w:rPr>
      </w:pPr>
    </w:p>
    <w:p>
      <w:pPr>
        <w:jc w:val="both"/>
        <w:ind w:right="320" w:firstLine="374"/>
        <w:spacing w:after="0" w:line="263" w:lineRule="auto"/>
        <w:rPr>
          <w:sz w:val="20"/>
          <w:szCs w:val="20"/>
          <w:color w:val="auto"/>
        </w:rPr>
      </w:pPr>
      <w:r>
        <w:rPr>
          <w:rFonts w:ascii="Times New Roman" w:cs="Times New Roman" w:eastAsia="Times New Roman" w:hAnsi="Times New Roman"/>
          <w:sz w:val="16"/>
          <w:szCs w:val="16"/>
          <w:color w:val="auto"/>
        </w:rPr>
        <w:t>The following table sets forth information regarding payments that would have been made to our NEOs if they suffered an involuntary termination without cause, including a termination in connection with a change of control, and such termination payments were triggered on December 31, 2021. The closing price per share of our common stock on the Nasdaq Global Market on December 31, 2021 was $37.78.</w:t>
      </w:r>
    </w:p>
    <w:p>
      <w:pPr>
        <w:spacing w:after="0" w:line="144" w:lineRule="exact"/>
        <w:rPr>
          <w:sz w:val="20"/>
          <w:szCs w:val="20"/>
          <w:color w:val="auto"/>
        </w:rPr>
      </w:pPr>
    </w:p>
    <w:tbl>
      <w:tblPr>
        <w:tblLayout w:type="fixed"/>
        <w:tblInd w:w="80" w:type="dxa"/>
        <w:tblCellMar>
          <w:top w:w="0" w:type="dxa"/>
          <w:left w:w="0" w:type="dxa"/>
          <w:bottom w:w="0" w:type="dxa"/>
          <w:right w:w="0" w:type="dxa"/>
        </w:tblCellMar>
      </w:tblPr>
      <w:tr>
        <w:trPr>
          <w:trHeight w:val="149"/>
        </w:trPr>
        <w:tc>
          <w:tcPr>
            <w:tcW w:w="5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0" w:type="dxa"/>
            <w:vAlign w:val="bottom"/>
            <w:gridSpan w:val="5"/>
          </w:tcPr>
          <w:p>
            <w:pPr>
              <w:jc w:val="center"/>
              <w:ind w:right="446"/>
              <w:spacing w:after="0"/>
              <w:rPr>
                <w:sz w:val="20"/>
                <w:szCs w:val="20"/>
                <w:color w:val="auto"/>
              </w:rPr>
            </w:pPr>
            <w:r>
              <w:rPr>
                <w:rFonts w:ascii="Times New Roman" w:cs="Times New Roman" w:eastAsia="Times New Roman" w:hAnsi="Times New Roman"/>
                <w:sz w:val="13"/>
                <w:szCs w:val="13"/>
                <w:b w:val="1"/>
                <w:bCs w:val="1"/>
                <w:color w:val="auto"/>
                <w:w w:val="95"/>
              </w:rPr>
              <w:t>Termination Without</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5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0" w:type="dxa"/>
            <w:vAlign w:val="bottom"/>
            <w:gridSpan w:val="5"/>
          </w:tcPr>
          <w:p>
            <w:pPr>
              <w:jc w:val="center"/>
              <w:ind w:right="446"/>
              <w:spacing w:after="0" w:line="128" w:lineRule="exact"/>
              <w:rPr>
                <w:sz w:val="20"/>
                <w:szCs w:val="20"/>
                <w:color w:val="auto"/>
              </w:rPr>
            </w:pPr>
            <w:r>
              <w:rPr>
                <w:rFonts w:ascii="Times New Roman" w:cs="Times New Roman" w:eastAsia="Times New Roman" w:hAnsi="Times New Roman"/>
                <w:sz w:val="13"/>
                <w:szCs w:val="13"/>
                <w:b w:val="1"/>
                <w:bCs w:val="1"/>
                <w:color w:val="auto"/>
                <w:w w:val="96"/>
              </w:rPr>
              <w:t>Cause in Connection with</w:t>
            </w:r>
          </w:p>
        </w:tc>
        <w:tc>
          <w:tcPr>
            <w:tcW w:w="120" w:type="dxa"/>
            <w:vAlign w:val="bottom"/>
          </w:tcPr>
          <w:p>
            <w:pPr>
              <w:spacing w:after="0"/>
              <w:rPr>
                <w:sz w:val="11"/>
                <w:szCs w:val="11"/>
                <w:color w:val="auto"/>
              </w:rPr>
            </w:pPr>
          </w:p>
        </w:tc>
        <w:tc>
          <w:tcPr>
            <w:tcW w:w="2300" w:type="dxa"/>
            <w:vAlign w:val="bottom"/>
            <w:gridSpan w:val="5"/>
            <w:vMerge w:val="restart"/>
          </w:tcPr>
          <w:p>
            <w:pPr>
              <w:jc w:val="right"/>
              <w:ind w:right="506"/>
              <w:spacing w:after="0"/>
              <w:rPr>
                <w:sz w:val="20"/>
                <w:szCs w:val="20"/>
                <w:color w:val="auto"/>
              </w:rPr>
            </w:pPr>
            <w:r>
              <w:rPr>
                <w:rFonts w:ascii="Times New Roman" w:cs="Times New Roman" w:eastAsia="Times New Roman" w:hAnsi="Times New Roman"/>
                <w:sz w:val="13"/>
                <w:szCs w:val="13"/>
                <w:b w:val="1"/>
                <w:bCs w:val="1"/>
                <w:color w:val="auto"/>
              </w:rPr>
              <w:t>Termination Without Cause</w:t>
            </w:r>
          </w:p>
        </w:tc>
        <w:tc>
          <w:tcPr>
            <w:tcW w:w="0" w:type="dxa"/>
            <w:vAlign w:val="bottom"/>
          </w:tcPr>
          <w:p>
            <w:pPr>
              <w:spacing w:after="0"/>
              <w:rPr>
                <w:sz w:val="1"/>
                <w:szCs w:val="1"/>
                <w:color w:val="auto"/>
              </w:rPr>
            </w:pPr>
          </w:p>
        </w:tc>
      </w:tr>
      <w:tr>
        <w:trPr>
          <w:trHeight w:val="169"/>
        </w:trPr>
        <w:tc>
          <w:tcPr>
            <w:tcW w:w="5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0" w:type="dxa"/>
            <w:vAlign w:val="bottom"/>
            <w:gridSpan w:val="5"/>
          </w:tcPr>
          <w:p>
            <w:pPr>
              <w:jc w:val="center"/>
              <w:ind w:right="426"/>
              <w:spacing w:after="0"/>
              <w:rPr>
                <w:sz w:val="20"/>
                <w:szCs w:val="20"/>
                <w:color w:val="auto"/>
              </w:rPr>
            </w:pPr>
            <w:r>
              <w:rPr>
                <w:rFonts w:ascii="Times New Roman" w:cs="Times New Roman" w:eastAsia="Times New Roman" w:hAnsi="Times New Roman"/>
                <w:sz w:val="13"/>
                <w:szCs w:val="13"/>
                <w:b w:val="1"/>
                <w:bCs w:val="1"/>
                <w:color w:val="auto"/>
                <w:w w:val="96"/>
              </w:rPr>
              <w:t>Change in Control</w:t>
            </w:r>
          </w:p>
        </w:tc>
        <w:tc>
          <w:tcPr>
            <w:tcW w:w="120" w:type="dxa"/>
            <w:vAlign w:val="bottom"/>
          </w:tcPr>
          <w:p>
            <w:pPr>
              <w:spacing w:after="0"/>
              <w:rPr>
                <w:sz w:val="14"/>
                <w:szCs w:val="14"/>
                <w:color w:val="auto"/>
              </w:rPr>
            </w:pPr>
          </w:p>
        </w:tc>
        <w:tc>
          <w:tcPr>
            <w:tcW w:w="23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5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220" w:type="dxa"/>
            <w:vAlign w:val="bottom"/>
            <w:tcBorders>
              <w:top w:val="single" w:sz="8" w:color="auto"/>
            </w:tcBorders>
            <w:gridSpan w:val="2"/>
          </w:tcPr>
          <w:p>
            <w:pPr>
              <w:jc w:val="center"/>
              <w:ind w:right="446"/>
              <w:spacing w:after="0" w:line="115" w:lineRule="exact"/>
              <w:rPr>
                <w:sz w:val="20"/>
                <w:szCs w:val="20"/>
                <w:color w:val="auto"/>
              </w:rPr>
            </w:pPr>
            <w:r>
              <w:rPr>
                <w:rFonts w:ascii="Times New Roman" w:cs="Times New Roman" w:eastAsia="Times New Roman" w:hAnsi="Times New Roman"/>
                <w:sz w:val="13"/>
                <w:szCs w:val="13"/>
                <w:b w:val="1"/>
                <w:bCs w:val="1"/>
                <w:color w:val="auto"/>
                <w:w w:val="99"/>
              </w:rPr>
              <w:t>Salary</w:t>
            </w:r>
          </w:p>
        </w:tc>
        <w:tc>
          <w:tcPr>
            <w:tcW w:w="200" w:type="dxa"/>
            <w:vAlign w:val="bottom"/>
            <w:tcBorders>
              <w:top w:val="single" w:sz="8" w:color="auto"/>
            </w:tcBorders>
          </w:tcPr>
          <w:p>
            <w:pPr>
              <w:spacing w:after="0"/>
              <w:rPr>
                <w:sz w:val="9"/>
                <w:szCs w:val="9"/>
                <w:color w:val="auto"/>
              </w:rPr>
            </w:pPr>
          </w:p>
        </w:tc>
        <w:tc>
          <w:tcPr>
            <w:tcW w:w="1060" w:type="dxa"/>
            <w:vAlign w:val="bottom"/>
            <w:tcBorders>
              <w:top w:val="single" w:sz="8" w:color="auto"/>
            </w:tcBorders>
          </w:tcPr>
          <w:p>
            <w:pPr>
              <w:jc w:val="center"/>
              <w:ind w:right="148"/>
              <w:spacing w:after="0" w:line="115" w:lineRule="exact"/>
              <w:rPr>
                <w:sz w:val="20"/>
                <w:szCs w:val="20"/>
                <w:color w:val="auto"/>
              </w:rPr>
            </w:pPr>
            <w:r>
              <w:rPr>
                <w:rFonts w:ascii="Times New Roman" w:cs="Times New Roman" w:eastAsia="Times New Roman" w:hAnsi="Times New Roman"/>
                <w:sz w:val="13"/>
                <w:szCs w:val="13"/>
                <w:b w:val="1"/>
                <w:bCs w:val="1"/>
                <w:color w:val="auto"/>
                <w:w w:val="95"/>
              </w:rPr>
              <w:t>Equity</w:t>
            </w:r>
          </w:p>
        </w:tc>
        <w:tc>
          <w:tcPr>
            <w:tcW w:w="3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080" w:type="dxa"/>
            <w:vAlign w:val="bottom"/>
            <w:tcBorders>
              <w:top w:val="single" w:sz="8" w:color="auto"/>
            </w:tcBorders>
            <w:gridSpan w:val="2"/>
          </w:tcPr>
          <w:p>
            <w:pPr>
              <w:jc w:val="center"/>
              <w:ind w:right="386"/>
              <w:spacing w:after="0" w:line="115" w:lineRule="exact"/>
              <w:rPr>
                <w:sz w:val="20"/>
                <w:szCs w:val="20"/>
                <w:color w:val="auto"/>
              </w:rPr>
            </w:pPr>
            <w:r>
              <w:rPr>
                <w:rFonts w:ascii="Times New Roman" w:cs="Times New Roman" w:eastAsia="Times New Roman" w:hAnsi="Times New Roman"/>
                <w:sz w:val="13"/>
                <w:szCs w:val="13"/>
                <w:b w:val="1"/>
                <w:bCs w:val="1"/>
                <w:color w:val="auto"/>
                <w:w w:val="99"/>
              </w:rPr>
              <w:t>Salary</w:t>
            </w:r>
          </w:p>
        </w:tc>
        <w:tc>
          <w:tcPr>
            <w:tcW w:w="120" w:type="dxa"/>
            <w:vAlign w:val="bottom"/>
            <w:tcBorders>
              <w:top w:val="single" w:sz="8" w:color="auto"/>
            </w:tcBorders>
          </w:tcPr>
          <w:p>
            <w:pPr>
              <w:spacing w:after="0"/>
              <w:rPr>
                <w:sz w:val="9"/>
                <w:szCs w:val="9"/>
                <w:color w:val="auto"/>
              </w:rPr>
            </w:pPr>
          </w:p>
        </w:tc>
        <w:tc>
          <w:tcPr>
            <w:tcW w:w="880" w:type="dxa"/>
            <w:vAlign w:val="bottom"/>
            <w:tcBorders>
              <w:top w:val="single" w:sz="8" w:color="auto"/>
            </w:tcBorders>
          </w:tcPr>
          <w:p>
            <w:pPr>
              <w:jc w:val="center"/>
              <w:ind w:right="60"/>
              <w:spacing w:after="0" w:line="115" w:lineRule="exact"/>
              <w:rPr>
                <w:sz w:val="20"/>
                <w:szCs w:val="20"/>
                <w:color w:val="auto"/>
              </w:rPr>
            </w:pPr>
            <w:r>
              <w:rPr>
                <w:rFonts w:ascii="Times New Roman" w:cs="Times New Roman" w:eastAsia="Times New Roman" w:hAnsi="Times New Roman"/>
                <w:sz w:val="13"/>
                <w:szCs w:val="13"/>
                <w:b w:val="1"/>
                <w:bCs w:val="1"/>
                <w:color w:val="auto"/>
                <w:w w:val="95"/>
              </w:rPr>
              <w:t>Equity</w:t>
            </w: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5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446"/>
              <w:spacing w:after="0"/>
              <w:rPr>
                <w:sz w:val="20"/>
                <w:szCs w:val="20"/>
                <w:color w:val="auto"/>
              </w:rPr>
            </w:pPr>
            <w:r>
              <w:rPr>
                <w:rFonts w:ascii="Times New Roman" w:cs="Times New Roman" w:eastAsia="Times New Roman" w:hAnsi="Times New Roman"/>
                <w:sz w:val="13"/>
                <w:szCs w:val="13"/>
                <w:b w:val="1"/>
                <w:bCs w:val="1"/>
                <w:color w:val="auto"/>
                <w:w w:val="95"/>
              </w:rPr>
              <w:t>and Bonus</w:t>
            </w:r>
          </w:p>
        </w:tc>
        <w:tc>
          <w:tcPr>
            <w:tcW w:w="200" w:type="dxa"/>
            <w:vAlign w:val="bottom"/>
          </w:tcPr>
          <w:p>
            <w:pPr>
              <w:spacing w:after="0"/>
              <w:rPr>
                <w:sz w:val="14"/>
                <w:szCs w:val="14"/>
                <w:color w:val="auto"/>
              </w:rPr>
            </w:pPr>
          </w:p>
        </w:tc>
        <w:tc>
          <w:tcPr>
            <w:tcW w:w="1380" w:type="dxa"/>
            <w:vAlign w:val="bottom"/>
            <w:gridSpan w:val="2"/>
          </w:tcPr>
          <w:p>
            <w:pPr>
              <w:jc w:val="center"/>
              <w:ind w:right="486"/>
              <w:spacing w:after="0"/>
              <w:rPr>
                <w:sz w:val="20"/>
                <w:szCs w:val="20"/>
                <w:color w:val="auto"/>
              </w:rPr>
            </w:pPr>
            <w:r>
              <w:rPr>
                <w:rFonts w:ascii="Times New Roman" w:cs="Times New Roman" w:eastAsia="Times New Roman" w:hAnsi="Times New Roman"/>
                <w:sz w:val="13"/>
                <w:szCs w:val="13"/>
                <w:b w:val="1"/>
                <w:bCs w:val="1"/>
                <w:color w:val="auto"/>
                <w:w w:val="97"/>
              </w:rPr>
              <w:t>Acceleration</w:t>
            </w:r>
          </w:p>
        </w:tc>
        <w:tc>
          <w:tcPr>
            <w:tcW w:w="120" w:type="dxa"/>
            <w:vAlign w:val="bottom"/>
          </w:tcPr>
          <w:p>
            <w:pPr>
              <w:spacing w:after="0"/>
              <w:rPr>
                <w:sz w:val="14"/>
                <w:szCs w:val="14"/>
                <w:color w:val="auto"/>
              </w:rPr>
            </w:pPr>
          </w:p>
        </w:tc>
        <w:tc>
          <w:tcPr>
            <w:tcW w:w="1080" w:type="dxa"/>
            <w:vAlign w:val="bottom"/>
            <w:gridSpan w:val="2"/>
          </w:tcPr>
          <w:p>
            <w:pPr>
              <w:jc w:val="center"/>
              <w:ind w:right="386"/>
              <w:spacing w:after="0"/>
              <w:rPr>
                <w:sz w:val="20"/>
                <w:szCs w:val="20"/>
                <w:color w:val="auto"/>
              </w:rPr>
            </w:pPr>
            <w:r>
              <w:rPr>
                <w:rFonts w:ascii="Times New Roman" w:cs="Times New Roman" w:eastAsia="Times New Roman" w:hAnsi="Times New Roman"/>
                <w:sz w:val="13"/>
                <w:szCs w:val="13"/>
                <w:b w:val="1"/>
                <w:bCs w:val="1"/>
                <w:color w:val="auto"/>
                <w:w w:val="95"/>
              </w:rPr>
              <w:t>and Bonus</w:t>
            </w:r>
          </w:p>
        </w:tc>
        <w:tc>
          <w:tcPr>
            <w:tcW w:w="120" w:type="dxa"/>
            <w:vAlign w:val="bottom"/>
          </w:tcPr>
          <w:p>
            <w:pPr>
              <w:spacing w:after="0"/>
              <w:rPr>
                <w:sz w:val="14"/>
                <w:szCs w:val="14"/>
                <w:color w:val="auto"/>
              </w:rPr>
            </w:pPr>
          </w:p>
        </w:tc>
        <w:tc>
          <w:tcPr>
            <w:tcW w:w="1100" w:type="dxa"/>
            <w:vAlign w:val="bottom"/>
            <w:gridSpan w:val="2"/>
          </w:tcPr>
          <w:p>
            <w:pPr>
              <w:jc w:val="center"/>
              <w:ind w:right="286"/>
              <w:spacing w:after="0"/>
              <w:rPr>
                <w:sz w:val="20"/>
                <w:szCs w:val="20"/>
                <w:color w:val="auto"/>
              </w:rPr>
            </w:pPr>
            <w:r>
              <w:rPr>
                <w:rFonts w:ascii="Times New Roman" w:cs="Times New Roman" w:eastAsia="Times New Roman" w:hAnsi="Times New Roman"/>
                <w:sz w:val="13"/>
                <w:szCs w:val="13"/>
                <w:b w:val="1"/>
                <w:bCs w:val="1"/>
                <w:color w:val="auto"/>
                <w:w w:val="97"/>
              </w:rPr>
              <w:t>Acceleration</w:t>
            </w:r>
          </w:p>
        </w:tc>
        <w:tc>
          <w:tcPr>
            <w:tcW w:w="0" w:type="dxa"/>
            <w:vAlign w:val="bottom"/>
          </w:tcPr>
          <w:p>
            <w:pPr>
              <w:spacing w:after="0"/>
              <w:rPr>
                <w:sz w:val="1"/>
                <w:szCs w:val="1"/>
                <w:color w:val="auto"/>
              </w:rPr>
            </w:pPr>
          </w:p>
        </w:tc>
      </w:tr>
      <w:tr>
        <w:trPr>
          <w:trHeight w:val="176"/>
        </w:trPr>
        <w:tc>
          <w:tcPr>
            <w:tcW w:w="57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140" w:type="dxa"/>
            <w:vAlign w:val="bottom"/>
          </w:tcPr>
          <w:p>
            <w:pPr>
              <w:spacing w:after="0"/>
              <w:rPr>
                <w:sz w:val="15"/>
                <w:szCs w:val="15"/>
                <w:color w:val="auto"/>
              </w:rPr>
            </w:pPr>
          </w:p>
        </w:tc>
        <w:tc>
          <w:tcPr>
            <w:tcW w:w="880" w:type="dxa"/>
            <w:vAlign w:val="bottom"/>
          </w:tcPr>
          <w:p>
            <w:pPr>
              <w:jc w:val="center"/>
              <w:ind w:right="95"/>
              <w:spacing w:after="0"/>
              <w:rPr>
                <w:sz w:val="20"/>
                <w:szCs w:val="20"/>
                <w:color w:val="auto"/>
              </w:rPr>
            </w:pPr>
            <w:r>
              <w:rPr>
                <w:rFonts w:ascii="Times New Roman" w:cs="Times New Roman" w:eastAsia="Times New Roman" w:hAnsi="Times New Roman"/>
                <w:sz w:val="13"/>
                <w:szCs w:val="13"/>
                <w:b w:val="1"/>
                <w:bCs w:val="1"/>
                <w:color w:val="auto"/>
              </w:rPr>
              <w:t>($)</w:t>
            </w: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jc w:val="center"/>
              <w:ind w:right="128"/>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center"/>
              <w:ind w:right="59"/>
              <w:spacing w:after="0"/>
              <w:rPr>
                <w:sz w:val="20"/>
                <w:szCs w:val="20"/>
                <w:color w:val="auto"/>
              </w:rPr>
            </w:pPr>
            <w:r>
              <w:rPr>
                <w:rFonts w:ascii="Times New Roman" w:cs="Times New Roman" w:eastAsia="Times New Roman" w:hAnsi="Times New Roman"/>
                <w:sz w:val="13"/>
                <w:szCs w:val="13"/>
                <w:b w:val="1"/>
                <w:bCs w:val="1"/>
                <w:color w:val="auto"/>
              </w:rPr>
              <w:t>($)</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6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Herriot Tabuteau, M.D.</w:t>
            </w:r>
          </w:p>
        </w:tc>
        <w:tc>
          <w:tcPr>
            <w:tcW w:w="12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w w:val="93"/>
              </w:rPr>
              <w:t>(1)</w:t>
            </w:r>
          </w:p>
        </w:tc>
        <w:tc>
          <w:tcPr>
            <w:tcW w:w="200" w:type="dxa"/>
            <w:vAlign w:val="bottom"/>
            <w:tcBorders>
              <w:top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40,260,911</w:t>
            </w:r>
          </w:p>
        </w:tc>
        <w:tc>
          <w:tcPr>
            <w:tcW w:w="32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w w:val="77"/>
              </w:rPr>
              <w:t>(2)</w:t>
            </w: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FF0FC"/>
          </w:tcPr>
          <w:p>
            <w:pPr>
              <w:ind w:left="580"/>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w w:val="93"/>
              </w:rPr>
              <w:t>(1)</w:t>
            </w: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w w:val="93"/>
              </w:rPr>
              <w:t>(2)</w:t>
            </w:r>
          </w:p>
        </w:tc>
        <w:tc>
          <w:tcPr>
            <w:tcW w:w="0" w:type="dxa"/>
            <w:vAlign w:val="bottom"/>
          </w:tcPr>
          <w:p>
            <w:pPr>
              <w:spacing w:after="0"/>
              <w:rPr>
                <w:sz w:val="1"/>
                <w:szCs w:val="1"/>
                <w:color w:val="auto"/>
              </w:rPr>
            </w:pPr>
          </w:p>
        </w:tc>
      </w:tr>
      <w:tr>
        <w:trPr>
          <w:trHeight w:val="203"/>
        </w:trPr>
        <w:tc>
          <w:tcPr>
            <w:tcW w:w="5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Nick Pizzie, C.P.A., M.B.A.</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gridSpan w:val="2"/>
          </w:tcPr>
          <w:p>
            <w:pPr>
              <w:jc w:val="right"/>
              <w:ind w:right="146"/>
              <w:spacing w:after="0" w:line="203" w:lineRule="exact"/>
              <w:rPr>
                <w:sz w:val="20"/>
                <w:szCs w:val="20"/>
                <w:color w:val="auto"/>
              </w:rPr>
            </w:pPr>
            <w:r>
              <w:rPr>
                <w:rFonts w:ascii="Times New Roman" w:cs="Times New Roman" w:eastAsia="Times New Roman" w:hAnsi="Times New Roman"/>
                <w:sz w:val="16"/>
                <w:szCs w:val="16"/>
                <w:color w:val="auto"/>
              </w:rPr>
              <w:t xml:space="preserve">204,500 </w:t>
            </w:r>
            <w:r>
              <w:rPr>
                <w:rFonts w:ascii="Times New Roman" w:cs="Times New Roman" w:eastAsia="Times New Roman" w:hAnsi="Times New Roman"/>
                <w:sz w:val="21"/>
                <w:szCs w:val="21"/>
                <w:color w:val="auto"/>
                <w:vertAlign w:val="superscript"/>
              </w:rPr>
              <w:t>(3)</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gridSpan w:val="2"/>
          </w:tcPr>
          <w:p>
            <w:pPr>
              <w:jc w:val="right"/>
              <w:ind w:right="146"/>
              <w:spacing w:after="0" w:line="203" w:lineRule="exact"/>
              <w:rPr>
                <w:sz w:val="20"/>
                <w:szCs w:val="20"/>
                <w:color w:val="auto"/>
              </w:rPr>
            </w:pPr>
            <w:r>
              <w:rPr>
                <w:rFonts w:ascii="Times New Roman" w:cs="Times New Roman" w:eastAsia="Times New Roman" w:hAnsi="Times New Roman"/>
                <w:sz w:val="16"/>
                <w:szCs w:val="16"/>
                <w:color w:val="auto"/>
              </w:rPr>
              <w:t xml:space="preserve">8,193,966 </w:t>
            </w:r>
            <w:r>
              <w:rPr>
                <w:rFonts w:ascii="Times New Roman" w:cs="Times New Roman" w:eastAsia="Times New Roman" w:hAnsi="Times New Roman"/>
                <w:sz w:val="21"/>
                <w:szCs w:val="21"/>
                <w:color w:val="auto"/>
                <w:vertAlign w:val="superscript"/>
              </w:rPr>
              <w:t>(2)</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gridSpan w:val="2"/>
          </w:tcPr>
          <w:p>
            <w:pPr>
              <w:jc w:val="right"/>
              <w:ind w:right="126"/>
              <w:spacing w:after="0" w:line="202" w:lineRule="exact"/>
              <w:rPr>
                <w:sz w:val="20"/>
                <w:szCs w:val="20"/>
                <w:color w:val="auto"/>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9"/>
                <w:szCs w:val="9"/>
                <w:color w:val="auto"/>
              </w:rPr>
              <w:t xml:space="preserve"> (3)</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tcPr>
          <w:p>
            <w:pPr>
              <w:jc w:val="right"/>
              <w:ind w:right="26"/>
              <w:spacing w:after="0" w:line="202" w:lineRule="exact"/>
              <w:rPr>
                <w:sz w:val="20"/>
                <w:szCs w:val="20"/>
                <w:color w:val="auto"/>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9"/>
                <w:szCs w:val="9"/>
                <w:color w:val="auto"/>
              </w:rPr>
              <w:t xml:space="preserve"> (2)</w:t>
            </w:r>
          </w:p>
        </w:tc>
        <w:tc>
          <w:tcPr>
            <w:tcW w:w="0" w:type="dxa"/>
            <w:vAlign w:val="bottom"/>
          </w:tcPr>
          <w:p>
            <w:pPr>
              <w:spacing w:after="0"/>
              <w:rPr>
                <w:sz w:val="1"/>
                <w:szCs w:val="1"/>
                <w:color w:val="auto"/>
              </w:rPr>
            </w:pPr>
          </w:p>
        </w:tc>
      </w:tr>
      <w:tr>
        <w:trPr>
          <w:trHeight w:val="203"/>
        </w:trPr>
        <w:tc>
          <w:tcPr>
            <w:tcW w:w="5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Mark Jacobson, M.A.</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gridSpan w:val="2"/>
            <w:shd w:val="clear" w:color="auto" w:fill="CFF0FC"/>
          </w:tcPr>
          <w:p>
            <w:pPr>
              <w:jc w:val="right"/>
              <w:ind w:right="146"/>
              <w:spacing w:after="0" w:line="202" w:lineRule="exact"/>
              <w:rPr>
                <w:sz w:val="20"/>
                <w:szCs w:val="20"/>
                <w:color w:val="auto"/>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9"/>
                <w:szCs w:val="9"/>
                <w:color w:val="auto"/>
              </w:rPr>
              <w:t xml:space="preserve"> (1)</w:t>
            </w:r>
          </w:p>
        </w:tc>
        <w:tc>
          <w:tcPr>
            <w:tcW w:w="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gridSpan w:val="2"/>
            <w:shd w:val="clear" w:color="auto" w:fill="CFF0FC"/>
          </w:tcPr>
          <w:p>
            <w:pPr>
              <w:jc w:val="right"/>
              <w:ind w:right="146"/>
              <w:spacing w:after="0" w:line="203" w:lineRule="exact"/>
              <w:rPr>
                <w:sz w:val="20"/>
                <w:szCs w:val="20"/>
                <w:color w:val="auto"/>
              </w:rPr>
            </w:pPr>
            <w:r>
              <w:rPr>
                <w:rFonts w:ascii="Times New Roman" w:cs="Times New Roman" w:eastAsia="Times New Roman" w:hAnsi="Times New Roman"/>
                <w:sz w:val="16"/>
                <w:szCs w:val="16"/>
                <w:color w:val="auto"/>
              </w:rPr>
              <w:t xml:space="preserve">13,040,288 </w:t>
            </w:r>
            <w:r>
              <w:rPr>
                <w:rFonts w:ascii="Times New Roman" w:cs="Times New Roman" w:eastAsia="Times New Roman" w:hAnsi="Times New Roman"/>
                <w:sz w:val="21"/>
                <w:szCs w:val="21"/>
                <w:color w:val="auto"/>
                <w:vertAlign w:val="superscript"/>
              </w:rPr>
              <w:t>(2)</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gridSpan w:val="2"/>
            <w:shd w:val="clear" w:color="auto" w:fill="CFF0FC"/>
          </w:tcPr>
          <w:p>
            <w:pPr>
              <w:jc w:val="right"/>
              <w:ind w:right="126"/>
              <w:spacing w:after="0" w:line="202" w:lineRule="exact"/>
              <w:rPr>
                <w:sz w:val="20"/>
                <w:szCs w:val="20"/>
                <w:color w:val="auto"/>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9"/>
                <w:szCs w:val="9"/>
                <w:color w:val="auto"/>
              </w:rPr>
              <w:t xml:space="preserve"> (1)</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shd w:val="clear" w:color="auto" w:fill="CFF0FC"/>
          </w:tcPr>
          <w:p>
            <w:pPr>
              <w:jc w:val="right"/>
              <w:ind w:right="26"/>
              <w:spacing w:after="0" w:line="202" w:lineRule="exact"/>
              <w:rPr>
                <w:sz w:val="20"/>
                <w:szCs w:val="20"/>
                <w:color w:val="auto"/>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9"/>
                <w:szCs w:val="9"/>
                <w:color w:val="auto"/>
              </w:rPr>
              <w:t xml:space="preserve"> (2)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90309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151" w:lineRule="exact"/>
        <w:rPr>
          <w:sz w:val="20"/>
          <w:szCs w:val="20"/>
          <w:color w:val="auto"/>
        </w:rPr>
      </w:pPr>
    </w:p>
    <w:p>
      <w:pPr>
        <w:ind w:left="260" w:hanging="252"/>
        <w:spacing w:after="0"/>
        <w:tabs>
          <w:tab w:leader="none" w:pos="260" w:val="left"/>
        </w:tabs>
        <w:numPr>
          <w:ilvl w:val="0"/>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Pursuant to the 2015 plan, any acceleration of the equity awards granted to non-exempt employees upon the employee’s death, disability or retirement would be at the discretion of the Compensation Committee.</w:t>
      </w:r>
    </w:p>
    <w:p>
      <w:pPr>
        <w:ind w:left="380" w:hanging="372"/>
        <w:spacing w:after="0" w:line="237" w:lineRule="auto"/>
        <w:tabs>
          <w:tab w:leader="none" w:pos="380" w:val="left"/>
        </w:tabs>
        <w:numPr>
          <w:ilvl w:val="0"/>
          <w:numId w:val="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Dr. Tabuteau and Mr. Jacobson will not receive any severance payments upon an involuntary termination without cause, including a termination in connection with a change of control.</w:t>
      </w:r>
    </w:p>
    <w:p>
      <w:pPr>
        <w:ind w:left="380" w:right="180" w:hanging="372"/>
        <w:spacing w:after="0" w:line="258" w:lineRule="auto"/>
        <w:tabs>
          <w:tab w:leader="none" w:pos="380" w:val="left"/>
        </w:tabs>
        <w:numPr>
          <w:ilvl w:val="0"/>
          <w:numId w:val="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2015 Plan includes a double-trigger provision, whereby the unvested portion of each NEO's outstanding equity awards shall become immediately vested and exercisable upon such NEO’s termination without cause in connection with a change in control. The 2015 Plan does not otherwise provide for acceleration of equity in connection with a termination without cause not in connection with a change in control.</w:t>
      </w:r>
    </w:p>
    <w:p>
      <w:pPr>
        <w:ind w:left="380" w:right="80" w:hanging="372"/>
        <w:spacing w:after="0" w:line="239" w:lineRule="auto"/>
        <w:tabs>
          <w:tab w:leader="none" w:pos="380" w:val="left"/>
        </w:tabs>
        <w:numPr>
          <w:ilvl w:val="0"/>
          <w:numId w:val="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Mr. Pizzie’s employment agreement includes a double-trigger provision, whereby Mr. Pizzie will receive a severance payment equal to six months of his then-base salary for termination without cause in connection with a Change in Control. His employment agreement does not provide for severance payments in connection with a termination without cause not in connection with a change in control.</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Chief Executive Officer Pay Ratio</w:t>
      </w:r>
    </w:p>
    <w:p>
      <w:pPr>
        <w:spacing w:after="0" w:line="115" w:lineRule="exact"/>
        <w:rPr>
          <w:sz w:val="20"/>
          <w:szCs w:val="20"/>
          <w:color w:val="auto"/>
        </w:rPr>
      </w:pPr>
    </w:p>
    <w:p>
      <w:pPr>
        <w:ind w:right="100" w:firstLine="374"/>
        <w:spacing w:after="0" w:line="252" w:lineRule="auto"/>
        <w:rPr>
          <w:sz w:val="20"/>
          <w:szCs w:val="20"/>
          <w:color w:val="auto"/>
        </w:rPr>
      </w:pPr>
      <w:r>
        <w:rPr>
          <w:rFonts w:ascii="Times New Roman" w:cs="Times New Roman" w:eastAsia="Times New Roman" w:hAnsi="Times New Roman"/>
          <w:sz w:val="16"/>
          <w:szCs w:val="16"/>
          <w:color w:val="auto"/>
        </w:rPr>
        <w:t>We are providing the following information about the relationship of the annual total compensation of our employees and the annual total compensation of our CEO. Based on the information for fiscal year 2021, we reasonably estimate that the ratio of our CEO’s annual total compensation to the annual total compensation of our median employee was 12:1. Our pay ratio estimate has been calculated in a manner consistent with Item 402(u) of Regulation S-K using the data and assumptions summarized below.</w:t>
      </w:r>
    </w:p>
    <w:p>
      <w:pPr>
        <w:spacing w:after="0" w:line="78" w:lineRule="exact"/>
        <w:rPr>
          <w:sz w:val="20"/>
          <w:szCs w:val="20"/>
          <w:color w:val="auto"/>
        </w:rPr>
      </w:pPr>
    </w:p>
    <w:p>
      <w:pPr>
        <w:ind w:firstLine="374"/>
        <w:spacing w:after="0" w:line="250" w:lineRule="auto"/>
        <w:rPr>
          <w:sz w:val="20"/>
          <w:szCs w:val="20"/>
          <w:color w:val="auto"/>
        </w:rPr>
      </w:pPr>
      <w:r>
        <w:rPr>
          <w:rFonts w:ascii="Times New Roman" w:cs="Times New Roman" w:eastAsia="Times New Roman" w:hAnsi="Times New Roman"/>
          <w:sz w:val="16"/>
          <w:szCs w:val="16"/>
          <w:color w:val="auto"/>
        </w:rPr>
        <w:t>We identified the median employee by aggregating, for each employee (other than Dr. Tabuteau) as of December 31, 2021 the annual base pay in 2021. Once the median employee was identified, we applied the actual cash incentive paid for performance in 2021 and the grant date fair value for equity awards granted in 2021. Once we calculated the median employee’s annual total compensation, we compared it to Dr. Tabuteau’s total compensation in accordance with the requirements of the Summary Compensation Table. The total annual compensation of the median employee for 2021 was $690,964. The total annual compensation for our CEO for 2021 was $8,054,631. Therefore, the ratio of CEO total annual compensation to the median employee total annual compensation for 2021 was approximately 12 to 1.</w:t>
      </w:r>
    </w:p>
    <w:p>
      <w:pPr>
        <w:spacing w:after="0" w:line="81" w:lineRule="exact"/>
        <w:rPr>
          <w:sz w:val="20"/>
          <w:szCs w:val="20"/>
          <w:color w:val="auto"/>
        </w:rPr>
      </w:pPr>
    </w:p>
    <w:p>
      <w:pPr>
        <w:ind w:right="180" w:firstLine="374"/>
        <w:spacing w:after="0" w:line="258" w:lineRule="auto"/>
        <w:rPr>
          <w:sz w:val="20"/>
          <w:szCs w:val="20"/>
          <w:color w:val="auto"/>
        </w:rPr>
      </w:pPr>
      <w:r>
        <w:rPr>
          <w:rFonts w:ascii="Times New Roman" w:cs="Times New Roman" w:eastAsia="Times New Roman" w:hAnsi="Times New Roman"/>
          <w:sz w:val="16"/>
          <w:szCs w:val="16"/>
          <w:color w:val="auto"/>
        </w:rPr>
        <w:t>SEC rules for identifying the median employee and calculating the pay ratio allow companies to adopt a variety of methodologies, to apply certain exclusions and to make reasonable estimates and assumptions that reflect their employee populations and compensation practices. As a result, the pay ratio reported above may not be comparable to the pay ratio reported by other companies, as other companies may have utilized different methodologies and have different employment and compensation practices. The pay ratio above is a reasonable estimate calculated in a manner consistent with SEC rules.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563C1"/>
        </w:rPr>
        <w:t>TABLE OF CONTENTS</w:t>
      </w:r>
    </w:p>
    <w:p>
      <w:pPr>
        <w:spacing w:after="0" w:line="119"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6"/>
          <w:szCs w:val="16"/>
          <w:b w:val="1"/>
          <w:bCs w:val="1"/>
          <w:color w:val="auto"/>
        </w:rPr>
        <w:t>SECURITY OWNERSHIP OF CERTAIN BENEFICIAL OWNERS AND MANAGEMENT</w:t>
      </w:r>
    </w:p>
    <w:p>
      <w:pPr>
        <w:spacing w:after="0" w:line="11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The following table sets forth certain information with respect to the beneficial ownership of our common stock as of the Record Date for:</w:t>
      </w:r>
    </w:p>
    <w:p>
      <w:pPr>
        <w:spacing w:after="0" w:line="113" w:lineRule="exact"/>
        <w:rPr>
          <w:sz w:val="20"/>
          <w:szCs w:val="20"/>
          <w:color w:val="auto"/>
        </w:rPr>
      </w:pPr>
    </w:p>
    <w:p>
      <w:pPr>
        <w:ind w:left="760" w:hanging="378"/>
        <w:spacing w:after="0"/>
        <w:tabs>
          <w:tab w:leader="none" w:pos="76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our NEOs;</w:t>
      </w:r>
    </w:p>
    <w:p>
      <w:pPr>
        <w:spacing w:after="0" w:line="113"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our directors;</w:t>
      </w:r>
    </w:p>
    <w:p>
      <w:pPr>
        <w:spacing w:after="0" w:line="99"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of our executive officers and directors as a group; and</w:t>
      </w:r>
    </w:p>
    <w:p>
      <w:pPr>
        <w:spacing w:after="0" w:line="113"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persons known by us to beneficially own more than 5% of our common stock.</w:t>
      </w:r>
    </w:p>
    <w:p>
      <w:pPr>
        <w:spacing w:after="0" w:line="113" w:lineRule="exact"/>
        <w:rPr>
          <w:sz w:val="20"/>
          <w:szCs w:val="20"/>
          <w:color w:val="auto"/>
        </w:rPr>
      </w:pPr>
    </w:p>
    <w:p>
      <w:pPr>
        <w:ind w:right="200" w:firstLine="374"/>
        <w:spacing w:after="0" w:line="263" w:lineRule="auto"/>
        <w:rPr>
          <w:sz w:val="20"/>
          <w:szCs w:val="20"/>
          <w:color w:val="auto"/>
        </w:rPr>
      </w:pPr>
      <w:r>
        <w:rPr>
          <w:rFonts w:ascii="Times New Roman" w:cs="Times New Roman" w:eastAsia="Times New Roman" w:hAnsi="Times New Roman"/>
          <w:sz w:val="16"/>
          <w:szCs w:val="16"/>
          <w:color w:val="auto"/>
        </w:rPr>
        <w:t>We have determined beneficial ownership in accordance with the rules of the SEC. Except as indicated by the footnotes below, we believe, based on the information furnished to us, that the persons and entities named in the table below have sole voting and investment power with respect to all shares of common stock that they beneficially own, subject to applicable community property laws.</w:t>
      </w:r>
    </w:p>
    <w:p>
      <w:pPr>
        <w:spacing w:after="0" w:line="57" w:lineRule="exact"/>
        <w:rPr>
          <w:sz w:val="20"/>
          <w:szCs w:val="20"/>
          <w:color w:val="auto"/>
        </w:rPr>
      </w:pPr>
    </w:p>
    <w:p>
      <w:pPr>
        <w:ind w:right="60" w:firstLine="374"/>
        <w:spacing w:after="0" w:line="255" w:lineRule="auto"/>
        <w:rPr>
          <w:sz w:val="20"/>
          <w:szCs w:val="20"/>
          <w:color w:val="auto"/>
        </w:rPr>
      </w:pPr>
      <w:r>
        <w:rPr>
          <w:rFonts w:ascii="Times New Roman" w:cs="Times New Roman" w:eastAsia="Times New Roman" w:hAnsi="Times New Roman"/>
          <w:sz w:val="16"/>
          <w:szCs w:val="16"/>
          <w:color w:val="auto"/>
        </w:rPr>
        <w:t>Applicable percentage ownership is based on 38,913,445 shares of common stock outstanding on the Record Date. In computing the number of shares of common stock beneficially owned by a person and the percentage ownership of that person, we deemed to be outstanding all shares of common stock subject to options or warrants held by that person or entity that are currently exercisable or that will become exercisable or releasable within 60 days of the Record Date. We did not deem these shares outstanding, however, for the purpose of computing the percentage ownership of any other person. Unless otherwise indicated, the address of each beneficial owner listed in the table below is c/o Axsome Therapeutics, Inc., 22 Cortlandt Street, 16</w:t>
      </w:r>
      <w:r>
        <w:rPr>
          <w:rFonts w:ascii="Times New Roman" w:cs="Times New Roman" w:eastAsia="Times New Roman" w:hAnsi="Times New Roman"/>
          <w:sz w:val="13"/>
          <w:szCs w:val="13"/>
          <w:color w:val="auto"/>
        </w:rPr>
        <w:t>th</w:t>
      </w:r>
      <w:r>
        <w:rPr>
          <w:rFonts w:ascii="Times New Roman" w:cs="Times New Roman" w:eastAsia="Times New Roman" w:hAnsi="Times New Roman"/>
          <w:sz w:val="16"/>
          <w:szCs w:val="16"/>
          <w:color w:val="auto"/>
        </w:rPr>
        <w:t xml:space="preserve"> Floor, New York, New York 10007.</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60" w:type="dxa"/>
            <w:vAlign w:val="bottom"/>
          </w:tcPr>
          <w:p>
            <w:pPr>
              <w:spacing w:after="0"/>
              <w:rPr>
                <w:sz w:val="14"/>
                <w:szCs w:val="14"/>
                <w:color w:val="auto"/>
              </w:rPr>
            </w:pPr>
          </w:p>
        </w:tc>
        <w:tc>
          <w:tcPr>
            <w:tcW w:w="17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48"/>
        </w:trPr>
        <w:tc>
          <w:tcPr>
            <w:tcW w:w="7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 of Beneficial Owner</w:t>
            </w:r>
            <w:r>
              <w:rPr>
                <w:rFonts w:ascii="Times New Roman" w:cs="Times New Roman" w:eastAsia="Times New Roman" w:hAnsi="Times New Roman"/>
                <w:sz w:val="19"/>
                <w:szCs w:val="19"/>
                <w:b w:val="1"/>
                <w:bCs w:val="1"/>
                <w:color w:val="auto"/>
                <w:vertAlign w:val="superscript"/>
              </w:rPr>
              <w:t>(1)</w:t>
            </w:r>
          </w:p>
        </w:tc>
        <w:tc>
          <w:tcPr>
            <w:tcW w:w="18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Beneficially</w:t>
            </w:r>
          </w:p>
        </w:tc>
        <w:tc>
          <w:tcPr>
            <w:tcW w:w="260" w:type="dxa"/>
            <w:vAlign w:val="bottom"/>
          </w:tcPr>
          <w:p>
            <w:pPr>
              <w:spacing w:after="0"/>
              <w:rPr>
                <w:sz w:val="12"/>
                <w:szCs w:val="12"/>
                <w:color w:val="auto"/>
              </w:rPr>
            </w:pPr>
          </w:p>
        </w:tc>
        <w:tc>
          <w:tcPr>
            <w:tcW w:w="17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Shares Beneficially</w:t>
            </w:r>
          </w:p>
        </w:tc>
        <w:tc>
          <w:tcPr>
            <w:tcW w:w="0" w:type="dxa"/>
            <w:vAlign w:val="bottom"/>
          </w:tcPr>
          <w:p>
            <w:pPr>
              <w:spacing w:after="0"/>
              <w:rPr>
                <w:sz w:val="1"/>
                <w:szCs w:val="1"/>
                <w:color w:val="auto"/>
              </w:rPr>
            </w:pPr>
          </w:p>
        </w:tc>
      </w:tr>
      <w:tr>
        <w:trPr>
          <w:trHeight w:val="187"/>
        </w:trPr>
        <w:tc>
          <w:tcPr>
            <w:tcW w:w="74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Owned</w:t>
            </w:r>
          </w:p>
        </w:tc>
        <w:tc>
          <w:tcPr>
            <w:tcW w:w="260" w:type="dxa"/>
            <w:vAlign w:val="bottom"/>
          </w:tcPr>
          <w:p>
            <w:pPr>
              <w:spacing w:after="0"/>
              <w:rPr>
                <w:sz w:val="16"/>
                <w:szCs w:val="16"/>
                <w:color w:val="auto"/>
              </w:rPr>
            </w:pPr>
          </w:p>
        </w:tc>
        <w:tc>
          <w:tcPr>
            <w:tcW w:w="17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Owned</w:t>
            </w:r>
          </w:p>
        </w:tc>
        <w:tc>
          <w:tcPr>
            <w:tcW w:w="0" w:type="dxa"/>
            <w:vAlign w:val="bottom"/>
          </w:tcPr>
          <w:p>
            <w:pPr>
              <w:spacing w:after="0"/>
              <w:rPr>
                <w:sz w:val="1"/>
                <w:szCs w:val="1"/>
                <w:color w:val="auto"/>
              </w:rPr>
            </w:pPr>
          </w:p>
        </w:tc>
      </w:tr>
      <w:tr>
        <w:trPr>
          <w:trHeight w:val="209"/>
        </w:trPr>
        <w:tc>
          <w:tcPr>
            <w:tcW w:w="744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5% or Greater Stockholders</w:t>
            </w:r>
          </w:p>
        </w:tc>
        <w:tc>
          <w:tcPr>
            <w:tcW w:w="180" w:type="dxa"/>
            <w:vAlign w:val="bottom"/>
            <w:shd w:val="clear" w:color="auto" w:fill="CFF0FC"/>
          </w:tcPr>
          <w:p>
            <w:pPr>
              <w:spacing w:after="0"/>
              <w:rPr>
                <w:sz w:val="18"/>
                <w:szCs w:val="18"/>
                <w:color w:val="auto"/>
              </w:rPr>
            </w:pPr>
          </w:p>
        </w:tc>
        <w:tc>
          <w:tcPr>
            <w:tcW w:w="164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6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Antecip Capital LLC</w:t>
            </w:r>
            <w:r>
              <w:rPr>
                <w:rFonts w:ascii="Times New Roman" w:cs="Times New Roman" w:eastAsia="Times New Roman" w:hAnsi="Times New Roman"/>
                <w:sz w:val="24"/>
                <w:szCs w:val="24"/>
                <w:color w:val="auto"/>
                <w:vertAlign w:val="superscript"/>
              </w:rPr>
              <w:t>(2)</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7,344,500</w:t>
            </w:r>
          </w:p>
        </w:tc>
        <w:tc>
          <w:tcPr>
            <w:tcW w:w="1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18.9 %</w:t>
            </w:r>
          </w:p>
        </w:tc>
        <w:tc>
          <w:tcPr>
            <w:tcW w:w="0" w:type="dxa"/>
            <w:vAlign w:val="bottom"/>
          </w:tcPr>
          <w:p>
            <w:pPr>
              <w:spacing w:after="0"/>
              <w:rPr>
                <w:sz w:val="1"/>
                <w:szCs w:val="1"/>
                <w:color w:val="auto"/>
              </w:rPr>
            </w:pPr>
          </w:p>
        </w:tc>
      </w:tr>
      <w:tr>
        <w:trPr>
          <w:trHeight w:val="216"/>
        </w:trPr>
        <w:tc>
          <w:tcPr>
            <w:tcW w:w="7440" w:type="dxa"/>
            <w:vAlign w:val="bottom"/>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The Vanguard Group, Inc. </w:t>
            </w:r>
            <w:r>
              <w:rPr>
                <w:rFonts w:ascii="Times New Roman" w:cs="Times New Roman" w:eastAsia="Times New Roman" w:hAnsi="Times New Roman"/>
                <w:sz w:val="24"/>
                <w:szCs w:val="24"/>
                <w:color w:val="auto"/>
                <w:vertAlign w:val="superscript"/>
              </w:rPr>
              <w:t>(3)</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2,685,622</w:t>
            </w:r>
          </w:p>
        </w:tc>
        <w:tc>
          <w:tcPr>
            <w:tcW w:w="198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6.9 %</w:t>
            </w:r>
          </w:p>
        </w:tc>
        <w:tc>
          <w:tcPr>
            <w:tcW w:w="0" w:type="dxa"/>
            <w:vAlign w:val="bottom"/>
          </w:tcPr>
          <w:p>
            <w:pPr>
              <w:spacing w:after="0"/>
              <w:rPr>
                <w:sz w:val="1"/>
                <w:szCs w:val="1"/>
                <w:color w:val="auto"/>
              </w:rPr>
            </w:pPr>
          </w:p>
        </w:tc>
      </w:tr>
      <w:tr>
        <w:trPr>
          <w:trHeight w:val="216"/>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Named Executive Officers and Directors</w:t>
            </w: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Herriot Tabuteau, M.D.</w:t>
            </w:r>
            <w:r>
              <w:rPr>
                <w:rFonts w:ascii="Times New Roman" w:cs="Times New Roman" w:eastAsia="Times New Roman" w:hAnsi="Times New Roman"/>
                <w:sz w:val="24"/>
                <w:szCs w:val="24"/>
                <w:color w:val="auto"/>
                <w:vertAlign w:val="superscript"/>
              </w:rPr>
              <w:t>(4)</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8,672,181</w:t>
            </w:r>
          </w:p>
        </w:tc>
        <w:tc>
          <w:tcPr>
            <w:tcW w:w="198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21.6 %</w:t>
            </w:r>
          </w:p>
        </w:tc>
        <w:tc>
          <w:tcPr>
            <w:tcW w:w="0" w:type="dxa"/>
            <w:vAlign w:val="bottom"/>
          </w:tcPr>
          <w:p>
            <w:pPr>
              <w:spacing w:after="0"/>
              <w:rPr>
                <w:sz w:val="1"/>
                <w:szCs w:val="1"/>
                <w:color w:val="auto"/>
              </w:rPr>
            </w:pPr>
          </w:p>
        </w:tc>
      </w:tr>
      <w:tr>
        <w:trPr>
          <w:trHeight w:val="216"/>
        </w:trPr>
        <w:tc>
          <w:tcPr>
            <w:tcW w:w="744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Nick Pizzie, C.P.A., M.B.A.</w:t>
            </w:r>
            <w:r>
              <w:rPr>
                <w:rFonts w:ascii="Times New Roman" w:cs="Times New Roman" w:eastAsia="Times New Roman" w:hAnsi="Times New Roman"/>
                <w:sz w:val="24"/>
                <w:szCs w:val="24"/>
                <w:color w:val="auto"/>
                <w:vertAlign w:val="superscript"/>
              </w:rPr>
              <w:t>(5)</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303,225</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Mark Jacobson, M.A.</w:t>
            </w:r>
            <w:r>
              <w:rPr>
                <w:rFonts w:ascii="Times New Roman" w:cs="Times New Roman" w:eastAsia="Times New Roman" w:hAnsi="Times New Roman"/>
                <w:sz w:val="24"/>
                <w:szCs w:val="24"/>
                <w:color w:val="auto"/>
                <w:vertAlign w:val="superscript"/>
              </w:rPr>
              <w:t>(6)</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402,740</w:t>
            </w:r>
          </w:p>
        </w:tc>
        <w:tc>
          <w:tcPr>
            <w:tcW w:w="198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16"/>
        </w:trPr>
        <w:tc>
          <w:tcPr>
            <w:tcW w:w="744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Mark Coleman, M.D.</w:t>
            </w:r>
            <w:r>
              <w:rPr>
                <w:rFonts w:ascii="Times New Roman" w:cs="Times New Roman" w:eastAsia="Times New Roman" w:hAnsi="Times New Roman"/>
                <w:sz w:val="24"/>
                <w:szCs w:val="24"/>
                <w:color w:val="auto"/>
                <w:vertAlign w:val="superscript"/>
              </w:rPr>
              <w:t>(7)</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650,308</w:t>
            </w:r>
          </w:p>
        </w:tc>
        <w:tc>
          <w:tcPr>
            <w:tcW w:w="1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16"/>
        </w:trPr>
        <w:tc>
          <w:tcPr>
            <w:tcW w:w="7440" w:type="dxa"/>
            <w:vAlign w:val="bottom"/>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Roger Jeffs, Ph.D.</w:t>
            </w:r>
            <w:r>
              <w:rPr>
                <w:rFonts w:ascii="Times New Roman" w:cs="Times New Roman" w:eastAsia="Times New Roman" w:hAnsi="Times New Roman"/>
                <w:sz w:val="24"/>
                <w:szCs w:val="24"/>
                <w:color w:val="auto"/>
                <w:vertAlign w:val="superscript"/>
              </w:rPr>
              <w:t>(8)</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209,299</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Mark Saad</w:t>
            </w:r>
            <w:r>
              <w:rPr>
                <w:rFonts w:ascii="Times New Roman" w:cs="Times New Roman" w:eastAsia="Times New Roman" w:hAnsi="Times New Roman"/>
                <w:sz w:val="24"/>
                <w:szCs w:val="24"/>
                <w:color w:val="auto"/>
                <w:vertAlign w:val="superscript"/>
              </w:rPr>
              <w:t>(9)</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194,703</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All directors, and executive officers as a group (6 persons)**</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10,432,456</w:t>
            </w:r>
          </w:p>
        </w:tc>
        <w:tc>
          <w:tcPr>
            <w:tcW w:w="198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26.0 %</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360" w:hanging="352"/>
        <w:spacing w:after="0"/>
        <w:tabs>
          <w:tab w:leader="none" w:pos="360" w:val="left"/>
        </w:tabs>
        <w:numPr>
          <w:ilvl w:val="0"/>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beneficial ownership of less than 1% of the outstanding shares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190309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ind w:left="360" w:hanging="352"/>
        <w:spacing w:after="0"/>
        <w:tabs>
          <w:tab w:leader="none" w:pos="360"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all of our current executive officers as of the record date who served during 2021 until the record date.</w:t>
      </w:r>
    </w:p>
    <w:p>
      <w:pPr>
        <w:spacing w:after="0" w:line="93" w:lineRule="exact"/>
        <w:rPr>
          <w:sz w:val="20"/>
          <w:szCs w:val="20"/>
          <w:color w:val="auto"/>
        </w:rPr>
      </w:pPr>
    </w:p>
    <w:p>
      <w:pPr>
        <w:ind w:left="380" w:right="100" w:hanging="372"/>
        <w:spacing w:after="0" w:line="239" w:lineRule="auto"/>
        <w:tabs>
          <w:tab w:leader="none" w:pos="380" w:val="left"/>
        </w:tabs>
        <w:numPr>
          <w:ilvl w:val="0"/>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table is based upon information supplied by officers, directors and stockholders known by us to be beneficial owners of more than five percent of our common stock as well as Schedules 13G or 13D filed with the SEC. Unless otherwise indicated in the footnotes to this table and subject to community property laws where applicable, we believe each of the stockholders named in this table have sole voting power with respect to the common stock indicated as beneficially owned.</w:t>
      </w:r>
    </w:p>
    <w:p>
      <w:pPr>
        <w:spacing w:after="0" w:line="93" w:lineRule="exact"/>
        <w:rPr>
          <w:rFonts w:ascii="Times New Roman" w:cs="Times New Roman" w:eastAsia="Times New Roman" w:hAnsi="Times New Roman"/>
          <w:sz w:val="13"/>
          <w:szCs w:val="13"/>
          <w:color w:val="auto"/>
        </w:rPr>
      </w:pPr>
    </w:p>
    <w:p>
      <w:pPr>
        <w:ind w:left="380" w:right="180" w:hanging="372"/>
        <w:spacing w:after="0" w:line="262" w:lineRule="auto"/>
        <w:tabs>
          <w:tab w:leader="none" w:pos="380" w:val="left"/>
        </w:tabs>
        <w:numPr>
          <w:ilvl w:val="0"/>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principal address of Antecip Capital LLC is 630 5th Avenue, Suite 2000, New York, NY 10111. Dr. Tabuteau is the managing member of Antecip Capital LLC and exercises sole dispositive and voting power over these shares.</w:t>
      </w:r>
    </w:p>
    <w:p>
      <w:pPr>
        <w:spacing w:after="0" w:line="78" w:lineRule="exact"/>
        <w:rPr>
          <w:rFonts w:ascii="Times New Roman" w:cs="Times New Roman" w:eastAsia="Times New Roman" w:hAnsi="Times New Roman"/>
          <w:sz w:val="13"/>
          <w:szCs w:val="13"/>
          <w:color w:val="auto"/>
        </w:rPr>
      </w:pPr>
    </w:p>
    <w:p>
      <w:pPr>
        <w:ind w:left="380" w:right="180" w:hanging="372"/>
        <w:spacing w:after="0" w:line="239" w:lineRule="auto"/>
        <w:tabs>
          <w:tab w:leader="none" w:pos="380" w:val="left"/>
        </w:tabs>
        <w:numPr>
          <w:ilvl w:val="0"/>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information disclosed in a Schedule 13G filed with the SEC on February 9, 2022 by Vanguard Group Inc. (“Vanguard”), according to which Vanguard beneficially owns 2,685,622 shares of our common stock, with shared voting power over 52,007 shares, sole dispositive power over 2,611,832 shares, and shared dispositive power over 73,790 shares. The principal address of Vanguard is 100 Vanguard Blvd., Malvern, PA 19355.</w:t>
      </w:r>
    </w:p>
    <w:p>
      <w:pPr>
        <w:spacing w:after="0" w:line="93" w:lineRule="exact"/>
        <w:rPr>
          <w:rFonts w:ascii="Times New Roman" w:cs="Times New Roman" w:eastAsia="Times New Roman" w:hAnsi="Times New Roman"/>
          <w:sz w:val="13"/>
          <w:szCs w:val="13"/>
          <w:color w:val="auto"/>
        </w:rPr>
      </w:pPr>
    </w:p>
    <w:p>
      <w:pPr>
        <w:ind w:left="380" w:right="300" w:hanging="372"/>
        <w:spacing w:after="0" w:line="280" w:lineRule="auto"/>
        <w:tabs>
          <w:tab w:leader="none" w:pos="380" w:val="left"/>
        </w:tabs>
        <w:numPr>
          <w:ilvl w:val="0"/>
          <w:numId w:val="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(a) 7,229 shares of common stock owned by Dr. Tabuteau; (b) 1,320,452 shares of common stock that Dr. Tabuteau has the right to acquire from us within 60 days of the Record Date and (c) 7,344,500 shares of common stock held by an affiliate, Antecip Capital LLC. Dr. Tabuteau is the managing member of Antecip Capital LLC and so may be deemed to beneficially own such shares of common stock.</w:t>
      </w:r>
    </w:p>
    <w:p>
      <w:pPr>
        <w:spacing w:after="0" w:line="69" w:lineRule="exact"/>
        <w:rPr>
          <w:rFonts w:ascii="Times New Roman" w:cs="Times New Roman" w:eastAsia="Times New Roman" w:hAnsi="Times New Roman"/>
          <w:sz w:val="12"/>
          <w:szCs w:val="12"/>
          <w:color w:val="auto"/>
        </w:rPr>
      </w:pPr>
    </w:p>
    <w:p>
      <w:pPr>
        <w:ind w:left="380" w:hanging="372"/>
        <w:spacing w:after="0" w:line="239" w:lineRule="auto"/>
        <w:tabs>
          <w:tab w:leader="none" w:pos="380" w:val="left"/>
        </w:tabs>
        <w:numPr>
          <w:ilvl w:val="0"/>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(a) 41,789 shares of common stock owned by Mr. Pizzie; (b) 201 shares of common stock that may be deemed to be indirectly beneficially owned by Mr. Pizzie as custodian for his son’s UTMA account; (c) 145 shares of common stock that may be deemed to be indirectly beneficially owned by Mr. Pizzie as custodian for his daughter’s UTMA account; (d) 142 shares of common stock that may be deemed to be indirectly beneficially owned by Mr. Pizzie as custodian for his other son’s UTMA account and (e) 260,948 shares of common stock that Mr. Pizzie has the right to acquire from us within 60 days of the Record Date. Mr. Pizzie disclaims beneficial ownership of the 488 shares of common stock held in his children's UTMA accounts.</w:t>
      </w:r>
    </w:p>
    <w:p>
      <w:pPr>
        <w:spacing w:after="0" w:line="93" w:lineRule="exact"/>
        <w:rPr>
          <w:rFonts w:ascii="Times New Roman" w:cs="Times New Roman" w:eastAsia="Times New Roman" w:hAnsi="Times New Roman"/>
          <w:sz w:val="13"/>
          <w:szCs w:val="13"/>
          <w:color w:val="auto"/>
        </w:rPr>
      </w:pPr>
    </w:p>
    <w:p>
      <w:pPr>
        <w:ind w:left="380" w:hanging="372"/>
        <w:spacing w:after="0"/>
        <w:tabs>
          <w:tab w:leader="none" w:pos="380" w:val="left"/>
        </w:tabs>
        <w:numPr>
          <w:ilvl w:val="0"/>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402,740 shares of common stock that Mr. Jacobson has the right to acquire from us within 60 days of the Record Date.</w:t>
      </w:r>
    </w:p>
    <w:p>
      <w:pPr>
        <w:spacing w:after="0" w:line="107" w:lineRule="exact"/>
        <w:rPr>
          <w:rFonts w:ascii="Times New Roman" w:cs="Times New Roman" w:eastAsia="Times New Roman" w:hAnsi="Times New Roman"/>
          <w:sz w:val="13"/>
          <w:szCs w:val="13"/>
          <w:color w:val="auto"/>
        </w:rPr>
      </w:pPr>
    </w:p>
    <w:p>
      <w:pPr>
        <w:ind w:left="380" w:right="280" w:hanging="372"/>
        <w:spacing w:after="0"/>
        <w:tabs>
          <w:tab w:leader="none" w:pos="380" w:val="left"/>
        </w:tabs>
        <w:numPr>
          <w:ilvl w:val="0"/>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(a) 7,596 shares of common stock owned by Dr. Coleman, (b) 422,428 shares of common stock owned by entities of which Dr. Coleman has sole voting and dispositive power and (c) 220,284 shares of common stock that Dr. Coleman has the right to acquire from us within 60 days of the Record Date.</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563C1"/>
        </w:rPr>
        <w:t>TABLE OF CONTENTS</w:t>
      </w:r>
    </w:p>
    <w:p>
      <w:pPr>
        <w:spacing w:after="0" w:line="238" w:lineRule="exact"/>
        <w:rPr>
          <w:sz w:val="20"/>
          <w:szCs w:val="20"/>
          <w:color w:val="auto"/>
        </w:rPr>
      </w:pPr>
    </w:p>
    <w:p>
      <w:pPr>
        <w:ind w:left="380" w:hanging="372"/>
        <w:spacing w:after="0"/>
        <w:tabs>
          <w:tab w:leader="none" w:pos="380" w:val="left"/>
        </w:tabs>
        <w:numPr>
          <w:ilvl w:val="0"/>
          <w:numId w:val="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(a) 167,668 shares of common stock owned by Dr. Jeffs and (b) 41,631 shares of common stock that Dr. Jeffs has the right to acquire from us within 60 days of the Record Date.</w:t>
      </w:r>
    </w:p>
    <w:p>
      <w:pPr>
        <w:spacing w:after="0" w:line="107" w:lineRule="exact"/>
        <w:rPr>
          <w:rFonts w:ascii="Times New Roman" w:cs="Times New Roman" w:eastAsia="Times New Roman" w:hAnsi="Times New Roman"/>
          <w:sz w:val="13"/>
          <w:szCs w:val="13"/>
          <w:color w:val="auto"/>
        </w:rPr>
      </w:pPr>
    </w:p>
    <w:p>
      <w:pPr>
        <w:ind w:left="380" w:hanging="372"/>
        <w:spacing w:after="0" w:line="239" w:lineRule="auto"/>
        <w:tabs>
          <w:tab w:leader="none" w:pos="380" w:val="left"/>
        </w:tabs>
        <w:numPr>
          <w:ilvl w:val="0"/>
          <w:numId w:val="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(a) 10,002 shares of common stock owned by Mr. Saad; (b) 100 shares of common stock that may be deemed to be indirectly beneficially owned by Mr. Saad as custodian for his child’s UTMA account; (c) 100 shares of common stock that may be deemed to be indirectly beneficially owned by Mr. Saad as custodian for his second child’s UTMA account; (d) 100 shares of common stock that may be deemed to be indirectly beneficially owned by Mr. Saad as custodian for his third child’s UTMA account and (e) 184,401 shares of common stock that Mr. Saad has the right to acquire from us within 60 days of the Record Date. Mr. Saad disclaims beneficial ownership of the 300 shares of common stock held in his children's UTMA accounts.</w:t>
      </w:r>
    </w:p>
    <w:p>
      <w:pPr>
        <w:spacing w:after="0" w:line="20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4" w:right="3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0563C1"/>
        </w:rPr>
        <w:t>TABLE OF CONTENTS</w:t>
      </w:r>
    </w:p>
    <w:p>
      <w:pPr>
        <w:spacing w:after="0" w:line="119"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6"/>
          <w:szCs w:val="16"/>
          <w:b w:val="1"/>
          <w:bCs w:val="1"/>
          <w:color w:val="auto"/>
        </w:rPr>
        <w:t>EQUITY COMPENSATION PLAN INFORMATION</w:t>
      </w:r>
    </w:p>
    <w:p>
      <w:pPr>
        <w:spacing w:after="0" w:line="11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The following table contains information about our equity compensation plans as of December 31, 2021.</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Equity Compensation Plan Information</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r>
      <w:tr>
        <w:trPr>
          <w:trHeight w:val="176"/>
        </w:trPr>
        <w:tc>
          <w:tcPr>
            <w:tcW w:w="6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securities</w:t>
            </w:r>
          </w:p>
        </w:tc>
      </w:tr>
      <w:tr>
        <w:trPr>
          <w:trHeight w:val="176"/>
        </w:trPr>
        <w:tc>
          <w:tcPr>
            <w:tcW w:w="6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gridSpan w:val="2"/>
          </w:tcPr>
          <w:p>
            <w:pPr>
              <w:jc w:val="center"/>
              <w:ind w:right="286"/>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w:t>
            </w:r>
          </w:p>
        </w:tc>
      </w:tr>
      <w:tr>
        <w:trPr>
          <w:trHeight w:val="175"/>
        </w:trPr>
        <w:tc>
          <w:tcPr>
            <w:tcW w:w="6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gridSpan w:val="2"/>
          </w:tcPr>
          <w:p>
            <w:pPr>
              <w:jc w:val="center"/>
              <w:ind w:right="286"/>
              <w:spacing w:after="0"/>
              <w:rPr>
                <w:sz w:val="20"/>
                <w:szCs w:val="20"/>
                <w:color w:val="auto"/>
              </w:rPr>
            </w:pPr>
            <w:r>
              <w:rPr>
                <w:rFonts w:ascii="Times New Roman" w:cs="Times New Roman" w:eastAsia="Times New Roman" w:hAnsi="Times New Roman"/>
                <w:sz w:val="14"/>
                <w:szCs w:val="14"/>
                <w:b w:val="1"/>
                <w:bCs w:val="1"/>
                <w:color w:val="auto"/>
              </w:rPr>
              <w:t>securities to be</w:t>
            </w:r>
          </w:p>
        </w:tc>
        <w:tc>
          <w:tcPr>
            <w:tcW w:w="220" w:type="dxa"/>
            <w:vAlign w:val="bottom"/>
          </w:tcPr>
          <w:p>
            <w:pPr>
              <w:spacing w:after="0"/>
              <w:rPr>
                <w:sz w:val="15"/>
                <w:szCs w:val="15"/>
                <w:color w:val="auto"/>
              </w:rPr>
            </w:pPr>
          </w:p>
        </w:tc>
        <w:tc>
          <w:tcPr>
            <w:tcW w:w="1560" w:type="dxa"/>
            <w:vAlign w:val="bottom"/>
            <w:gridSpan w:val="2"/>
          </w:tcPr>
          <w:p>
            <w:pPr>
              <w:jc w:val="center"/>
              <w:ind w:right="486"/>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available for</w:t>
            </w:r>
          </w:p>
        </w:tc>
      </w:tr>
      <w:tr>
        <w:trPr>
          <w:trHeight w:val="176"/>
        </w:trPr>
        <w:tc>
          <w:tcPr>
            <w:tcW w:w="6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gridSpan w:val="2"/>
          </w:tcPr>
          <w:p>
            <w:pPr>
              <w:jc w:val="center"/>
              <w:ind w:right="286"/>
              <w:spacing w:after="0"/>
              <w:rPr>
                <w:sz w:val="20"/>
                <w:szCs w:val="20"/>
                <w:color w:val="auto"/>
              </w:rPr>
            </w:pPr>
            <w:r>
              <w:rPr>
                <w:rFonts w:ascii="Times New Roman" w:cs="Times New Roman" w:eastAsia="Times New Roman" w:hAnsi="Times New Roman"/>
                <w:sz w:val="14"/>
                <w:szCs w:val="14"/>
                <w:b w:val="1"/>
                <w:bCs w:val="1"/>
                <w:color w:val="auto"/>
              </w:rPr>
              <w:t>issued upon</w:t>
            </w:r>
          </w:p>
        </w:tc>
        <w:tc>
          <w:tcPr>
            <w:tcW w:w="220" w:type="dxa"/>
            <w:vAlign w:val="bottom"/>
          </w:tcPr>
          <w:p>
            <w:pPr>
              <w:spacing w:after="0"/>
              <w:rPr>
                <w:sz w:val="15"/>
                <w:szCs w:val="15"/>
                <w:color w:val="auto"/>
              </w:rPr>
            </w:pPr>
          </w:p>
        </w:tc>
        <w:tc>
          <w:tcPr>
            <w:tcW w:w="1560" w:type="dxa"/>
            <w:vAlign w:val="bottom"/>
            <w:gridSpan w:val="2"/>
          </w:tcPr>
          <w:p>
            <w:pPr>
              <w:jc w:val="center"/>
              <w:ind w:right="506"/>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future issuance</w:t>
            </w:r>
          </w:p>
        </w:tc>
      </w:tr>
      <w:tr>
        <w:trPr>
          <w:trHeight w:val="175"/>
        </w:trPr>
        <w:tc>
          <w:tcPr>
            <w:tcW w:w="6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gridSpan w:val="2"/>
          </w:tcPr>
          <w:p>
            <w:pPr>
              <w:jc w:val="center"/>
              <w:ind w:right="286"/>
              <w:spacing w:after="0"/>
              <w:rPr>
                <w:sz w:val="20"/>
                <w:szCs w:val="20"/>
                <w:color w:val="auto"/>
              </w:rPr>
            </w:pPr>
            <w:r>
              <w:rPr>
                <w:rFonts w:ascii="Times New Roman" w:cs="Times New Roman" w:eastAsia="Times New Roman" w:hAnsi="Times New Roman"/>
                <w:sz w:val="14"/>
                <w:szCs w:val="14"/>
                <w:b w:val="1"/>
                <w:bCs w:val="1"/>
                <w:color w:val="auto"/>
              </w:rPr>
              <w:t>exercise of</w:t>
            </w:r>
          </w:p>
        </w:tc>
        <w:tc>
          <w:tcPr>
            <w:tcW w:w="220" w:type="dxa"/>
            <w:vAlign w:val="bottom"/>
          </w:tcPr>
          <w:p>
            <w:pPr>
              <w:spacing w:after="0"/>
              <w:rPr>
                <w:sz w:val="15"/>
                <w:szCs w:val="15"/>
                <w:color w:val="auto"/>
              </w:rPr>
            </w:pPr>
          </w:p>
        </w:tc>
        <w:tc>
          <w:tcPr>
            <w:tcW w:w="1560" w:type="dxa"/>
            <w:vAlign w:val="bottom"/>
            <w:gridSpan w:val="2"/>
          </w:tcPr>
          <w:p>
            <w:pPr>
              <w:jc w:val="center"/>
              <w:ind w:right="486"/>
              <w:spacing w:after="0"/>
              <w:rPr>
                <w:sz w:val="20"/>
                <w:szCs w:val="20"/>
                <w:color w:val="auto"/>
              </w:rPr>
            </w:pPr>
            <w:r>
              <w:rPr>
                <w:rFonts w:ascii="Times New Roman" w:cs="Times New Roman" w:eastAsia="Times New Roman" w:hAnsi="Times New Roman"/>
                <w:sz w:val="14"/>
                <w:szCs w:val="14"/>
                <w:b w:val="1"/>
                <w:bCs w:val="1"/>
                <w:color w:val="auto"/>
              </w:rPr>
              <w:t>exercise price of</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under equity</w:t>
            </w:r>
          </w:p>
        </w:tc>
      </w:tr>
      <w:tr>
        <w:trPr>
          <w:trHeight w:val="176"/>
        </w:trPr>
        <w:tc>
          <w:tcPr>
            <w:tcW w:w="6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gridSpan w:val="2"/>
          </w:tcPr>
          <w:p>
            <w:pPr>
              <w:jc w:val="center"/>
              <w:ind w:right="286"/>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20" w:type="dxa"/>
            <w:vAlign w:val="bottom"/>
          </w:tcPr>
          <w:p>
            <w:pPr>
              <w:spacing w:after="0"/>
              <w:rPr>
                <w:sz w:val="15"/>
                <w:szCs w:val="15"/>
                <w:color w:val="auto"/>
              </w:rPr>
            </w:pPr>
          </w:p>
        </w:tc>
        <w:tc>
          <w:tcPr>
            <w:tcW w:w="1560" w:type="dxa"/>
            <w:vAlign w:val="bottom"/>
            <w:gridSpan w:val="2"/>
          </w:tcPr>
          <w:p>
            <w:pPr>
              <w:jc w:val="center"/>
              <w:ind w:right="486"/>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w:t>
            </w:r>
          </w:p>
        </w:tc>
      </w:tr>
      <w:tr>
        <w:trPr>
          <w:trHeight w:val="175"/>
        </w:trPr>
        <w:tc>
          <w:tcPr>
            <w:tcW w:w="6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gridSpan w:val="2"/>
          </w:tcPr>
          <w:p>
            <w:pPr>
              <w:jc w:val="center"/>
              <w:ind w:right="286"/>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20" w:type="dxa"/>
            <w:vAlign w:val="bottom"/>
          </w:tcPr>
          <w:p>
            <w:pPr>
              <w:spacing w:after="0"/>
              <w:rPr>
                <w:sz w:val="15"/>
                <w:szCs w:val="15"/>
                <w:color w:val="auto"/>
              </w:rPr>
            </w:pPr>
          </w:p>
        </w:tc>
        <w:tc>
          <w:tcPr>
            <w:tcW w:w="1560" w:type="dxa"/>
            <w:vAlign w:val="bottom"/>
            <w:gridSpan w:val="2"/>
          </w:tcPr>
          <w:p>
            <w:pPr>
              <w:jc w:val="center"/>
              <w:ind w:right="506"/>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plans (excluding</w:t>
            </w:r>
          </w:p>
        </w:tc>
      </w:tr>
      <w:tr>
        <w:trPr>
          <w:trHeight w:val="176"/>
        </w:trPr>
        <w:tc>
          <w:tcPr>
            <w:tcW w:w="6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gridSpan w:val="2"/>
          </w:tcPr>
          <w:p>
            <w:pPr>
              <w:jc w:val="center"/>
              <w:ind w:right="286"/>
              <w:spacing w:after="0"/>
              <w:rPr>
                <w:sz w:val="20"/>
                <w:szCs w:val="20"/>
                <w:color w:val="auto"/>
              </w:rPr>
            </w:pPr>
            <w:r>
              <w:rPr>
                <w:rFonts w:ascii="Times New Roman" w:cs="Times New Roman" w:eastAsia="Times New Roman" w:hAnsi="Times New Roman"/>
                <w:sz w:val="14"/>
                <w:szCs w:val="14"/>
                <w:b w:val="1"/>
                <w:bCs w:val="1"/>
                <w:color w:val="auto"/>
              </w:rPr>
              <w:t>warrants, and</w:t>
            </w:r>
          </w:p>
        </w:tc>
        <w:tc>
          <w:tcPr>
            <w:tcW w:w="220" w:type="dxa"/>
            <w:vAlign w:val="bottom"/>
          </w:tcPr>
          <w:p>
            <w:pPr>
              <w:spacing w:after="0"/>
              <w:rPr>
                <w:sz w:val="15"/>
                <w:szCs w:val="15"/>
                <w:color w:val="auto"/>
              </w:rPr>
            </w:pPr>
          </w:p>
        </w:tc>
        <w:tc>
          <w:tcPr>
            <w:tcW w:w="1560" w:type="dxa"/>
            <w:vAlign w:val="bottom"/>
            <w:gridSpan w:val="2"/>
          </w:tcPr>
          <w:p>
            <w:pPr>
              <w:jc w:val="center"/>
              <w:ind w:right="486"/>
              <w:spacing w:after="0"/>
              <w:rPr>
                <w:sz w:val="20"/>
                <w:szCs w:val="20"/>
                <w:color w:val="auto"/>
              </w:rPr>
            </w:pPr>
            <w:r>
              <w:rPr>
                <w:rFonts w:ascii="Times New Roman" w:cs="Times New Roman" w:eastAsia="Times New Roman" w:hAnsi="Times New Roman"/>
                <w:sz w:val="14"/>
                <w:szCs w:val="14"/>
                <w:b w:val="1"/>
                <w:bCs w:val="1"/>
                <w:color w:val="auto"/>
              </w:rPr>
              <w:t>warrants, and</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securities reflected</w:t>
            </w:r>
          </w:p>
        </w:tc>
      </w:tr>
      <w:tr>
        <w:trPr>
          <w:trHeight w:val="187"/>
        </w:trPr>
        <w:tc>
          <w:tcPr>
            <w:tcW w:w="6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20" w:type="dxa"/>
            <w:vAlign w:val="bottom"/>
          </w:tcPr>
          <w:p>
            <w:pPr>
              <w:spacing w:after="0"/>
              <w:rPr>
                <w:sz w:val="16"/>
                <w:szCs w:val="16"/>
                <w:color w:val="auto"/>
              </w:rPr>
            </w:pPr>
          </w:p>
        </w:tc>
        <w:tc>
          <w:tcPr>
            <w:tcW w:w="1700" w:type="dxa"/>
            <w:vAlign w:val="bottom"/>
            <w:gridSpan w:val="2"/>
          </w:tcPr>
          <w:p>
            <w:pPr>
              <w:jc w:val="center"/>
              <w:ind w:right="286"/>
              <w:spacing w:after="0"/>
              <w:rPr>
                <w:sz w:val="20"/>
                <w:szCs w:val="20"/>
                <w:color w:val="auto"/>
              </w:rPr>
            </w:pPr>
            <w:r>
              <w:rPr>
                <w:rFonts w:ascii="Times New Roman" w:cs="Times New Roman" w:eastAsia="Times New Roman" w:hAnsi="Times New Roman"/>
                <w:sz w:val="14"/>
                <w:szCs w:val="14"/>
                <w:b w:val="1"/>
                <w:bCs w:val="1"/>
                <w:color w:val="auto"/>
              </w:rPr>
              <w:t>rights</w:t>
            </w:r>
          </w:p>
        </w:tc>
        <w:tc>
          <w:tcPr>
            <w:tcW w:w="220" w:type="dxa"/>
            <w:vAlign w:val="bottom"/>
          </w:tcPr>
          <w:p>
            <w:pPr>
              <w:spacing w:after="0"/>
              <w:rPr>
                <w:sz w:val="16"/>
                <w:szCs w:val="16"/>
                <w:color w:val="auto"/>
              </w:rPr>
            </w:pPr>
          </w:p>
        </w:tc>
        <w:tc>
          <w:tcPr>
            <w:tcW w:w="1560" w:type="dxa"/>
            <w:vAlign w:val="bottom"/>
            <w:gridSpan w:val="2"/>
          </w:tcPr>
          <w:p>
            <w:pPr>
              <w:jc w:val="center"/>
              <w:ind w:right="506"/>
              <w:spacing w:after="0"/>
              <w:rPr>
                <w:sz w:val="20"/>
                <w:szCs w:val="20"/>
                <w:color w:val="auto"/>
              </w:rPr>
            </w:pPr>
            <w:r>
              <w:rPr>
                <w:rFonts w:ascii="Times New Roman" w:cs="Times New Roman" w:eastAsia="Times New Roman" w:hAnsi="Times New Roman"/>
                <w:sz w:val="14"/>
                <w:szCs w:val="14"/>
                <w:b w:val="1"/>
                <w:bCs w:val="1"/>
                <w:color w:val="auto"/>
              </w:rPr>
              <w:t>rights</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column (a))</w:t>
            </w:r>
          </w:p>
        </w:tc>
      </w:tr>
      <w:tr>
        <w:trPr>
          <w:trHeight w:val="169"/>
        </w:trPr>
        <w:tc>
          <w:tcPr>
            <w:tcW w:w="6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34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(b)</w:t>
            </w:r>
          </w:p>
        </w:tc>
        <w:tc>
          <w:tcPr>
            <w:tcW w:w="340" w:type="dxa"/>
            <w:vAlign w:val="bottom"/>
          </w:tcPr>
          <w:p>
            <w:pPr>
              <w:spacing w:after="0"/>
              <w:rPr>
                <w:sz w:val="14"/>
                <w:szCs w:val="14"/>
                <w:color w:val="auto"/>
              </w:rPr>
            </w:pPr>
          </w:p>
        </w:tc>
        <w:tc>
          <w:tcPr>
            <w:tcW w:w="1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w:t>
            </w:r>
          </w:p>
        </w:tc>
      </w:tr>
      <w:tr>
        <w:trPr>
          <w:trHeight w:val="216"/>
        </w:trPr>
        <w:tc>
          <w:tcPr>
            <w:tcW w:w="6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1820" w:type="dxa"/>
            <w:vAlign w:val="bottom"/>
            <w:gridSpan w:val="3"/>
            <w:shd w:val="clear" w:color="auto" w:fill="CFF0FC"/>
          </w:tcPr>
          <w:p>
            <w:pPr>
              <w:jc w:val="right"/>
              <w:ind w:right="146"/>
              <w:spacing w:after="0" w:line="216" w:lineRule="exact"/>
              <w:rPr>
                <w:sz w:val="20"/>
                <w:szCs w:val="20"/>
                <w:color w:val="auto"/>
              </w:rPr>
            </w:pPr>
            <w:r>
              <w:rPr>
                <w:rFonts w:ascii="Times New Roman" w:cs="Times New Roman" w:eastAsia="Times New Roman" w:hAnsi="Times New Roman"/>
                <w:sz w:val="18"/>
                <w:szCs w:val="18"/>
                <w:color w:val="auto"/>
              </w:rPr>
              <w:t xml:space="preserve">5,417,002 </w:t>
            </w:r>
            <w:r>
              <w:rPr>
                <w:rFonts w:ascii="Times New Roman" w:cs="Times New Roman" w:eastAsia="Times New Roman" w:hAnsi="Times New Roman"/>
                <w:sz w:val="21"/>
                <w:szCs w:val="21"/>
                <w:color w:val="auto"/>
                <w:vertAlign w:val="superscript"/>
              </w:rPr>
              <w:t>(1)</w:t>
            </w:r>
          </w:p>
        </w:tc>
        <w:tc>
          <w:tcPr>
            <w:tcW w:w="2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gridSpan w:val="2"/>
            <w:shd w:val="clear" w:color="auto" w:fill="CFF0FC"/>
          </w:tcPr>
          <w:p>
            <w:pPr>
              <w:jc w:val="right"/>
              <w:ind w:right="126"/>
              <w:spacing w:after="0" w:line="216" w:lineRule="exact"/>
              <w:rPr>
                <w:sz w:val="20"/>
                <w:szCs w:val="20"/>
                <w:color w:val="auto"/>
              </w:rPr>
            </w:pPr>
            <w:r>
              <w:rPr>
                <w:rFonts w:ascii="Times New Roman" w:cs="Times New Roman" w:eastAsia="Times New Roman" w:hAnsi="Times New Roman"/>
                <w:sz w:val="18"/>
                <w:szCs w:val="18"/>
                <w:color w:val="auto"/>
              </w:rPr>
              <w:t xml:space="preserve">29.17 </w:t>
            </w:r>
            <w:r>
              <w:rPr>
                <w:rFonts w:ascii="Times New Roman" w:cs="Times New Roman" w:eastAsia="Times New Roman" w:hAnsi="Times New Roman"/>
                <w:sz w:val="21"/>
                <w:szCs w:val="21"/>
                <w:color w:val="auto"/>
                <w:vertAlign w:val="superscript"/>
              </w:rPr>
              <w:t>(2)</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3,760,760</w:t>
            </w:r>
          </w:p>
        </w:tc>
      </w:tr>
      <w:tr>
        <w:trPr>
          <w:trHeight w:val="216"/>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120" w:type="dxa"/>
            <w:vAlign w:val="bottom"/>
          </w:tcPr>
          <w:p>
            <w:pPr>
              <w:spacing w:after="0"/>
              <w:rPr>
                <w:sz w:val="18"/>
                <w:szCs w:val="18"/>
                <w:color w:val="auto"/>
              </w:rPr>
            </w:pPr>
          </w:p>
        </w:tc>
        <w:tc>
          <w:tcPr>
            <w:tcW w:w="1700" w:type="dxa"/>
            <w:vAlign w:val="bottom"/>
            <w:gridSpan w:val="2"/>
          </w:tcPr>
          <w:p>
            <w:pPr>
              <w:jc w:val="right"/>
              <w:ind w:right="306"/>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560" w:type="dxa"/>
            <w:vAlign w:val="bottom"/>
            <w:gridSpan w:val="2"/>
          </w:tcPr>
          <w:p>
            <w:pPr>
              <w:jc w:val="right"/>
              <w:ind w:right="286"/>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60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5,417,002</w:t>
            </w:r>
          </w:p>
        </w:tc>
        <w:tc>
          <w:tcPr>
            <w:tcW w:w="340" w:type="dxa"/>
            <w:vAlign w:val="bottom"/>
            <w:tcBorders>
              <w:bottom w:val="single" w:sz="8" w:color="CFF0FC"/>
            </w:tcBorders>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w w:val="93"/>
              </w:rPr>
              <w:t>(1)</w:t>
            </w:r>
          </w:p>
        </w:tc>
        <w:tc>
          <w:tcPr>
            <w:tcW w:w="220" w:type="dxa"/>
            <w:vAlign w:val="bottom"/>
            <w:tcBorders>
              <w:bottom w:val="single" w:sz="8" w:color="CFF0FC"/>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29.17</w:t>
            </w:r>
          </w:p>
        </w:tc>
        <w:tc>
          <w:tcPr>
            <w:tcW w:w="340" w:type="dxa"/>
            <w:vAlign w:val="bottom"/>
            <w:tcBorders>
              <w:bottom w:val="single" w:sz="8" w:color="CFF0FC"/>
            </w:tcBorders>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(2)</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3,760,760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-25400</wp:posOffset>
            </wp:positionV>
            <wp:extent cx="14605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-7620</wp:posOffset>
            </wp:positionV>
            <wp:extent cx="14605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-25400</wp:posOffset>
            </wp:positionV>
            <wp:extent cx="13716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-7620</wp:posOffset>
            </wp:positionV>
            <wp:extent cx="13716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37" w:lineRule="exact"/>
        <w:rPr>
          <w:sz w:val="20"/>
          <w:szCs w:val="20"/>
          <w:color w:val="auto"/>
        </w:rPr>
      </w:pPr>
    </w:p>
    <w:p>
      <w:pPr>
        <w:ind w:left="380" w:hanging="372"/>
        <w:spacing w:after="0"/>
        <w:tabs>
          <w:tab w:leader="none" w:pos="380" w:val="left"/>
        </w:tabs>
        <w:numPr>
          <w:ilvl w:val="0"/>
          <w:numId w:val="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326,625 RSUs outstanding as of December 31, 2021.</w:t>
      </w:r>
    </w:p>
    <w:p>
      <w:pPr>
        <w:spacing w:after="0" w:line="13" w:lineRule="exact"/>
        <w:rPr>
          <w:rFonts w:ascii="Times New Roman" w:cs="Times New Roman" w:eastAsia="Times New Roman" w:hAnsi="Times New Roman"/>
          <w:sz w:val="13"/>
          <w:szCs w:val="13"/>
          <w:color w:val="auto"/>
        </w:rPr>
      </w:pPr>
    </w:p>
    <w:p>
      <w:pPr>
        <w:ind w:left="380" w:hanging="372"/>
        <w:spacing w:after="0"/>
        <w:tabs>
          <w:tab w:leader="none" w:pos="380" w:val="left"/>
        </w:tabs>
        <w:numPr>
          <w:ilvl w:val="0"/>
          <w:numId w:val="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weighted-average exercise price does not account for outstanding RSUs.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u w:val="single" w:color="auto"/>
          <w:color w:val="0563C1"/>
        </w:rPr>
        <w:t>TABLE OF CONTENTS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CERTAIN RELATIONSHIPS AND RELATED PARTY TRANSACTIONS</w:t>
      </w:r>
    </w:p>
    <w:p>
      <w:pPr>
        <w:spacing w:after="0" w:line="115" w:lineRule="exact"/>
        <w:rPr>
          <w:sz w:val="20"/>
          <w:szCs w:val="20"/>
          <w:color w:val="auto"/>
        </w:rPr>
      </w:pPr>
    </w:p>
    <w:p>
      <w:pPr>
        <w:ind w:right="120" w:firstLine="374"/>
        <w:spacing w:after="0" w:line="250" w:lineRule="auto"/>
        <w:rPr>
          <w:sz w:val="20"/>
          <w:szCs w:val="20"/>
          <w:color w:val="auto"/>
        </w:rPr>
      </w:pPr>
      <w:r>
        <w:rPr>
          <w:rFonts w:ascii="Times New Roman" w:cs="Times New Roman" w:eastAsia="Times New Roman" w:hAnsi="Times New Roman"/>
          <w:sz w:val="16"/>
          <w:szCs w:val="16"/>
          <w:color w:val="auto"/>
        </w:rPr>
        <w:t>The following is a description of transactions since January 1, 2021, in which we were a party and the amount involved exceeded or will exceed $120,000, and in which any of our executive officers, directors, or holders of more than 5% of any class of our voting securities, or an affiliate or immediate family member thereof, had or will have a direct or indirect material interest, other than compensation arrangements which are described under “Compensation Discussion and Analysis.” We believe the terms obtained or consideration that we paid or received, as applicable, in connection with the transactions described below were comparable to terms available or amounts that would be paid or received, as applicable, in arm’s-length transactions with unrelated third parties.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Related Party Transactions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License Agreements</w:t>
      </w:r>
    </w:p>
    <w:p>
      <w:pPr>
        <w:spacing w:after="0" w:line="117" w:lineRule="exact"/>
        <w:rPr>
          <w:sz w:val="20"/>
          <w:szCs w:val="20"/>
          <w:color w:val="auto"/>
        </w:rPr>
      </w:pPr>
    </w:p>
    <w:p>
      <w:pPr>
        <w:ind w:firstLine="374"/>
        <w:spacing w:after="0" w:line="188" w:lineRule="exact"/>
        <w:rPr>
          <w:sz w:val="20"/>
          <w:szCs w:val="20"/>
          <w:color w:val="auto"/>
        </w:rPr>
      </w:pPr>
      <w:r>
        <w:rPr>
          <w:rFonts w:ascii="Times New Roman" w:cs="Times New Roman" w:eastAsia="Times New Roman" w:hAnsi="Times New Roman"/>
          <w:sz w:val="16"/>
          <w:szCs w:val="16"/>
          <w:color w:val="auto"/>
        </w:rPr>
        <w:t>In 2012, we entered into three exclusive license agreements with Antecip Bioventures II LLC, or Antecip, an entity owned by our Chief Executive Officer and Chairman of the Board, Herriot Tabuteau, M.D., in which we were granted exclusive licenses to develop, manufacture, and commercialize Antecip’s patents and applications related to the development of AXS</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05 anywhere in the world for veterinary and human therapeutic and diagnostic use, and additional patents and applications that are not relevant to our current programs in development. The agreements were amended in August 2015 to update the schedule of patents and applications subject to the license agreements. Pursuant to the agreements, we are required to use commercially reasonable efforts to develop, obtain regulatory approval for, and commercialize AXS</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05. Under the terms of the agreements, we are required to pay to Antecip a royalty equal to 3.0% for AXS</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05, of net sales of products containing the licensed technology by us, our affiliates, or permitted sublicensees. These royalty payments are subject to reduction by an amount up to 50.0% of any required payments to third parties. Unless earlier terminated by a party for cause or by us for convenience, the agreements remain in effect on a product</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by</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product and country</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by</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country basis until the later to occur of (1) the applicable product is no longer covered by a valid claim in that country or (2) 10 years from the first commercial sale of the applicable product in that country. Upon expiration of the agreements with respect to a product in a country, our license grant for that product in that country will become a fully paid</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up, royalty</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free, perpetual non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exclusive license. If Antecip terminates any of the agreements for cause, or if we exercise our right to terminate any of the agreements for convenience, the rights granted to us under such terminated agreement will revert to Antecip. To date, we have not been required to make any payments to Antecip under any of the license agreements.</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Indemnification Agreements</w:t>
      </w:r>
    </w:p>
    <w:p>
      <w:pPr>
        <w:spacing w:after="0" w:line="115" w:lineRule="exact"/>
        <w:rPr>
          <w:sz w:val="20"/>
          <w:szCs w:val="20"/>
          <w:color w:val="auto"/>
        </w:rPr>
      </w:pPr>
    </w:p>
    <w:p>
      <w:pPr>
        <w:jc w:val="both"/>
        <w:ind w:right="20" w:firstLine="374"/>
        <w:spacing w:after="0" w:line="252" w:lineRule="auto"/>
        <w:rPr>
          <w:sz w:val="20"/>
          <w:szCs w:val="20"/>
          <w:color w:val="auto"/>
        </w:rPr>
      </w:pPr>
      <w:r>
        <w:rPr>
          <w:rFonts w:ascii="Times New Roman" w:cs="Times New Roman" w:eastAsia="Times New Roman" w:hAnsi="Times New Roman"/>
          <w:sz w:val="16"/>
          <w:szCs w:val="16"/>
          <w:color w:val="auto"/>
        </w:rPr>
        <w:t>Our amended and restated certificate of incorporation provides that we will indemnify each of our executive officers and directors to the fullest extent permitted by the DGCL against liabilities that may arise by reason of their service to us or at our direction, and to advance expenses to each indemnitee in connection with any proceeding in which indemnification is available. Insofar as indemnification for liabilities arising under the Securities Act may be permitted to directors, we have been informed that in the opinion of the SEC such indemnification is against public policy and is therefore unenforceable.</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Review and Approval of Related Party Transactions</w:t>
      </w:r>
    </w:p>
    <w:p>
      <w:pPr>
        <w:spacing w:after="0" w:line="115" w:lineRule="exact"/>
        <w:rPr>
          <w:sz w:val="20"/>
          <w:szCs w:val="20"/>
          <w:color w:val="auto"/>
        </w:rPr>
      </w:pPr>
    </w:p>
    <w:p>
      <w:pPr>
        <w:ind w:right="260" w:firstLine="374"/>
        <w:spacing w:after="0" w:line="252" w:lineRule="auto"/>
        <w:rPr>
          <w:sz w:val="20"/>
          <w:szCs w:val="20"/>
          <w:color w:val="auto"/>
        </w:rPr>
      </w:pPr>
      <w:r>
        <w:rPr>
          <w:rFonts w:ascii="Times New Roman" w:cs="Times New Roman" w:eastAsia="Times New Roman" w:hAnsi="Times New Roman"/>
          <w:sz w:val="16"/>
          <w:szCs w:val="16"/>
          <w:color w:val="auto"/>
        </w:rPr>
        <w:t>Our audit committee charter requires that our audit committee review and approve or ratify transactions involving us and any executive officer, director, director nominee, 5% stockholder, and certain of their immediate family members, also referred to herein as related parties. The policy and procedures cover any transaction involving a related party, also referred to herein as a related party transaction, in which the related party has a material interest and which does not fall under an explicitly stated exception set forth in the applicable disclosure rules of the SEC.</w:t>
      </w:r>
    </w:p>
    <w:p>
      <w:pPr>
        <w:spacing w:after="0" w:line="78" w:lineRule="exact"/>
        <w:rPr>
          <w:sz w:val="20"/>
          <w:szCs w:val="20"/>
          <w:color w:val="auto"/>
        </w:rPr>
      </w:pPr>
    </w:p>
    <w:p>
      <w:pPr>
        <w:ind w:right="20" w:firstLine="374"/>
        <w:spacing w:after="0" w:line="280" w:lineRule="auto"/>
        <w:rPr>
          <w:sz w:val="20"/>
          <w:szCs w:val="20"/>
          <w:color w:val="auto"/>
        </w:rPr>
      </w:pPr>
      <w:r>
        <w:rPr>
          <w:rFonts w:ascii="Times New Roman" w:cs="Times New Roman" w:eastAsia="Times New Roman" w:hAnsi="Times New Roman"/>
          <w:sz w:val="16"/>
          <w:szCs w:val="16"/>
          <w:color w:val="auto"/>
        </w:rPr>
        <w:t>A related party transaction will be considered approved or ratified if it is authorized by the audit committee after full disclosure of the related party’s interest in the transaction. In considering related party transactions, the audit committee will consider any information considered material to investors and the following factors:</w:t>
      </w:r>
    </w:p>
    <w:p>
      <w:pPr>
        <w:spacing w:after="0" w:line="57" w:lineRule="exact"/>
        <w:rPr>
          <w:sz w:val="20"/>
          <w:szCs w:val="20"/>
          <w:color w:val="auto"/>
        </w:rPr>
      </w:pPr>
    </w:p>
    <w:p>
      <w:pPr>
        <w:ind w:left="760" w:hanging="378"/>
        <w:spacing w:after="0"/>
        <w:tabs>
          <w:tab w:leader="none" w:pos="76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related party’s interest in the transaction;</w:t>
      </w:r>
    </w:p>
    <w:p>
      <w:pPr>
        <w:spacing w:after="0" w:line="113"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approximate dollar value of the transaction;</w:t>
      </w:r>
    </w:p>
    <w:p>
      <w:pPr>
        <w:spacing w:after="0" w:line="99"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whether the transaction was undertaken in the ordinary course of our business;</w:t>
      </w:r>
    </w:p>
    <w:p>
      <w:pPr>
        <w:spacing w:after="0" w:line="113"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whether the terms of the transaction are no less favorable to us than terms that we could have reached with an unrelated third party; and</w:t>
      </w:r>
    </w:p>
    <w:p>
      <w:pPr>
        <w:spacing w:after="0" w:line="113"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purpose and potential benefit to us of the transaction.</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u w:val="single" w:color="auto"/>
          <w:color w:val="0563C1"/>
        </w:rPr>
        <w:t>TABLE OF CONTENTS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SECTION 16(a) BENEFICIAL OWNERSHIP REPORTING COMPLIANCE</w:t>
      </w:r>
    </w:p>
    <w:p>
      <w:pPr>
        <w:spacing w:after="0" w:line="115" w:lineRule="exact"/>
        <w:rPr>
          <w:sz w:val="20"/>
          <w:szCs w:val="20"/>
          <w:color w:val="auto"/>
        </w:rPr>
      </w:pPr>
    </w:p>
    <w:p>
      <w:pPr>
        <w:ind w:right="140" w:firstLine="374"/>
        <w:spacing w:after="0" w:line="263" w:lineRule="auto"/>
        <w:rPr>
          <w:sz w:val="20"/>
          <w:szCs w:val="20"/>
          <w:color w:val="auto"/>
        </w:rPr>
      </w:pPr>
      <w:r>
        <w:rPr>
          <w:rFonts w:ascii="Times New Roman" w:cs="Times New Roman" w:eastAsia="Times New Roman" w:hAnsi="Times New Roman"/>
          <w:sz w:val="16"/>
          <w:szCs w:val="16"/>
          <w:color w:val="auto"/>
        </w:rPr>
        <w:t>Section 16(a) of the Exchange Act requires that our executive officers and directors and persons who own more than 10% of our common stock, file reports of ownership and changes of ownership with the SEC. Such directors, executive officers and 10% stockholders are required by SEC regulation to furnish us with copies of all Section 16(a) forms they file.</w:t>
      </w:r>
    </w:p>
    <w:p>
      <w:pPr>
        <w:spacing w:after="0" w:line="70" w:lineRule="exact"/>
        <w:rPr>
          <w:sz w:val="20"/>
          <w:szCs w:val="20"/>
          <w:color w:val="auto"/>
        </w:rPr>
      </w:pPr>
    </w:p>
    <w:p>
      <w:pPr>
        <w:ind w:firstLine="374"/>
        <w:spacing w:after="0" w:line="254" w:lineRule="auto"/>
        <w:rPr>
          <w:sz w:val="20"/>
          <w:szCs w:val="20"/>
          <w:color w:val="auto"/>
        </w:rPr>
      </w:pPr>
      <w:r>
        <w:rPr>
          <w:rFonts w:ascii="Times New Roman" w:cs="Times New Roman" w:eastAsia="Times New Roman" w:hAnsi="Times New Roman"/>
          <w:sz w:val="16"/>
          <w:szCs w:val="16"/>
          <w:color w:val="auto"/>
        </w:rPr>
        <w:t>SEC regulations require us to identify in this proxy statement anyone who filed a required report late during the most recent fiscal year. Based on our review of forms we received, or written representations from reporting persons, we believe that during the year ended December 31, 2021, all Section 16(a) filing requirements were satisfied in a timely manner.</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u w:val="single" w:color="auto"/>
          <w:color w:val="0563C1"/>
        </w:rPr>
        <w:t>TABLE OF CONTENTS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AUDIT COMMITTEE REPORT</w:t>
      </w:r>
    </w:p>
    <w:p>
      <w:pPr>
        <w:spacing w:after="0" w:line="113" w:lineRule="exact"/>
        <w:rPr>
          <w:sz w:val="20"/>
          <w:szCs w:val="20"/>
          <w:color w:val="auto"/>
        </w:rPr>
      </w:pPr>
    </w:p>
    <w:p>
      <w:pPr>
        <w:jc w:val="both"/>
        <w:ind w:right="140" w:firstLine="374"/>
        <w:spacing w:after="0" w:line="265" w:lineRule="auto"/>
        <w:rPr>
          <w:sz w:val="20"/>
          <w:szCs w:val="20"/>
          <w:color w:val="auto"/>
        </w:rPr>
      </w:pPr>
      <w:r>
        <w:rPr>
          <w:rFonts w:ascii="Times New Roman" w:cs="Times New Roman" w:eastAsia="Times New Roman" w:hAnsi="Times New Roman"/>
          <w:sz w:val="16"/>
          <w:szCs w:val="16"/>
          <w:i w:val="1"/>
          <w:iCs w:val="1"/>
          <w:color w:val="auto"/>
        </w:rPr>
        <w:t>The information contained in the following report of Axsome’s audit committee is not considered to be “soliciting material,” “filed” or incorporated by reference in any past or future filing by us under the Securities Exchange Act of 1934 or the Securities Act of 1933 unless and only to the extent that Axsome specifically incorporates it by reference.</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Role of the Audit Committee</w:t>
      </w:r>
    </w:p>
    <w:p>
      <w:pPr>
        <w:spacing w:after="0" w:line="102" w:lineRule="exact"/>
        <w:rPr>
          <w:sz w:val="20"/>
          <w:szCs w:val="20"/>
          <w:color w:val="auto"/>
        </w:rPr>
      </w:pPr>
    </w:p>
    <w:p>
      <w:pPr>
        <w:ind w:firstLine="374"/>
        <w:spacing w:after="0" w:line="248" w:lineRule="auto"/>
        <w:rPr>
          <w:sz w:val="20"/>
          <w:szCs w:val="20"/>
          <w:color w:val="auto"/>
        </w:rPr>
      </w:pPr>
      <w:r>
        <w:rPr>
          <w:rFonts w:ascii="Times New Roman" w:cs="Times New Roman" w:eastAsia="Times New Roman" w:hAnsi="Times New Roman"/>
          <w:sz w:val="16"/>
          <w:szCs w:val="16"/>
          <w:color w:val="auto"/>
        </w:rPr>
        <w:t>The audit committee operates under a written charter adopted by our board of directors. The audit committee of our board of directors oversees our accounting practices, system of internal controls, audit processes and financial reporting processes. Among other things, our audit committee is responsible for reviewing our disclosure controls and processes, and the adequacy and effectiveness of our internal controls. It also discusses the scope and results of the audit with our independent registered public accounting firm, reviews with our management and our independent registered public accounting firm our interim and year-end operating results and, as appropriate, initiates inquiries into aspects of our financial affairs. Our audit committee is responsible for establishing procedures for the receipt, retention and treatment of complaints regarding accounting, internal accounting controls or auditing matters, and for the confidential, anonymous submission by our employees of concerns regarding questionable accounting or auditing matters. In addition, our audit committee has sole and direct responsibility for the appointment, retention, compensation and oversight of the work of our independent registered public accounting firm, including approving services and fee arrangements. Significant related party transactions will be approved by our audit committee before we enter into them, as required by applicable rules and listing standards. A more detailed description of the functions and responsibilities of the audit committee can be found in Axsome’s audit committee charter, published on the corporate governance section of Axsome’s website at www.axsome.com.</w:t>
      </w:r>
    </w:p>
    <w:p>
      <w:pPr>
        <w:spacing w:after="0" w:line="70" w:lineRule="exact"/>
        <w:rPr>
          <w:sz w:val="20"/>
          <w:szCs w:val="20"/>
          <w:color w:val="auto"/>
        </w:rPr>
      </w:pPr>
    </w:p>
    <w:p>
      <w:pPr>
        <w:ind w:right="160" w:firstLine="374"/>
        <w:spacing w:after="0" w:line="258" w:lineRule="auto"/>
        <w:rPr>
          <w:sz w:val="20"/>
          <w:szCs w:val="20"/>
          <w:color w:val="auto"/>
        </w:rPr>
      </w:pPr>
      <w:r>
        <w:rPr>
          <w:rFonts w:ascii="Times New Roman" w:cs="Times New Roman" w:eastAsia="Times New Roman" w:hAnsi="Times New Roman"/>
          <w:sz w:val="16"/>
          <w:szCs w:val="16"/>
          <w:color w:val="auto"/>
        </w:rPr>
        <w:t>The audit committee oversees our financial reporting process on behalf of the board of directors. Management is responsible for our internal controls, financial reporting process, selection of accounting principles, determination of estimates and compliance with laws, regulations and ethical business conduct. Our independent registered public accounting firm is responsible for expressing an opinion as to the conformity of our consolidated financial statements with generally accepted accounting principles.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Review of Audited Financial Statements for the Year Ended December 31, 2021</w:t>
      </w:r>
    </w:p>
    <w:p>
      <w:pPr>
        <w:spacing w:after="0" w:line="102" w:lineRule="exact"/>
        <w:rPr>
          <w:sz w:val="20"/>
          <w:szCs w:val="20"/>
          <w:color w:val="auto"/>
        </w:rPr>
      </w:pPr>
    </w:p>
    <w:p>
      <w:pPr>
        <w:ind w:right="320" w:firstLine="374"/>
        <w:spacing w:after="0" w:line="258" w:lineRule="auto"/>
        <w:rPr>
          <w:sz w:val="20"/>
          <w:szCs w:val="20"/>
          <w:color w:val="auto"/>
        </w:rPr>
      </w:pPr>
      <w:r>
        <w:rPr>
          <w:rFonts w:ascii="Times New Roman" w:cs="Times New Roman" w:eastAsia="Times New Roman" w:hAnsi="Times New Roman"/>
          <w:sz w:val="16"/>
          <w:szCs w:val="16"/>
          <w:color w:val="auto"/>
        </w:rPr>
        <w:t>The audit committee has reviewed and discussed with Axsome’s management and Ernst &amp; Young LLP the audited consolidated financial statements of Axsome Therapeutics, Inc. for the year ended December 31, 2021. The audit committee has also discussed with Ernst &amp; Young LLP the matters required to be discussed by applicable requirements of the Public Company Accounting Oversight Board regarding communications between our independent registered public accounting firm and audit committee.</w:t>
      </w:r>
    </w:p>
    <w:p>
      <w:pPr>
        <w:spacing w:after="0" w:line="73" w:lineRule="exact"/>
        <w:rPr>
          <w:sz w:val="20"/>
          <w:szCs w:val="20"/>
          <w:color w:val="auto"/>
        </w:rPr>
      </w:pPr>
    </w:p>
    <w:p>
      <w:pPr>
        <w:ind w:right="80" w:firstLine="374"/>
        <w:spacing w:after="0" w:line="254" w:lineRule="auto"/>
        <w:rPr>
          <w:sz w:val="20"/>
          <w:szCs w:val="20"/>
          <w:color w:val="auto"/>
        </w:rPr>
      </w:pPr>
      <w:r>
        <w:rPr>
          <w:rFonts w:ascii="Times New Roman" w:cs="Times New Roman" w:eastAsia="Times New Roman" w:hAnsi="Times New Roman"/>
          <w:sz w:val="16"/>
          <w:szCs w:val="16"/>
          <w:color w:val="auto"/>
        </w:rPr>
        <w:t>The audit committee has received and reviewed the written disclosures and the letter from Ernst &amp; Young LLP required by applicable requirements of the Public Company Accounting Oversight Board regarding the independent accountant’s communications with the audit committee concerning independence, and has discussed with Ernst &amp; Young LLP its independence from us.</w:t>
      </w:r>
    </w:p>
    <w:p>
      <w:pPr>
        <w:spacing w:after="0" w:line="77" w:lineRule="exact"/>
        <w:rPr>
          <w:sz w:val="20"/>
          <w:szCs w:val="20"/>
          <w:color w:val="auto"/>
        </w:rPr>
      </w:pPr>
    </w:p>
    <w:p>
      <w:pPr>
        <w:ind w:right="80" w:firstLine="374"/>
        <w:spacing w:after="0" w:line="280" w:lineRule="auto"/>
        <w:rPr>
          <w:sz w:val="20"/>
          <w:szCs w:val="20"/>
          <w:color w:val="auto"/>
        </w:rPr>
      </w:pPr>
      <w:r>
        <w:rPr>
          <w:rFonts w:ascii="Times New Roman" w:cs="Times New Roman" w:eastAsia="Times New Roman" w:hAnsi="Times New Roman"/>
          <w:sz w:val="16"/>
          <w:szCs w:val="16"/>
          <w:color w:val="auto"/>
        </w:rPr>
        <w:t>Based on the review and discussions referred to above, the audit committee recommended to the board of directors that the audited financial statements be included in Axsome’s Annual Report on Form 10-K for the year ended December 31, 2021 for filing with the Securities and Exchange Commission.</w:t>
      </w:r>
    </w:p>
    <w:p>
      <w:pPr>
        <w:spacing w:after="0" w:line="5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Submitted by the audit committee of the board of directors:</w:t>
      </w:r>
    </w:p>
    <w:p>
      <w:pPr>
        <w:spacing w:after="0" w:line="10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Mark Saad (Chair)</w:t>
      </w:r>
    </w:p>
    <w:p>
      <w:pPr>
        <w:spacing w:after="0" w:line="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Mark Coleman, M.D.</w:t>
      </w:r>
    </w:p>
    <w:p>
      <w:pPr>
        <w:spacing w:after="0" w:line="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Roger Jeffs, Ph.D.</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u w:val="single" w:color="auto"/>
          <w:color w:val="0563C1"/>
        </w:rPr>
        <w:t>TABLE OF CONTENTS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OTHER MATTERS</w:t>
      </w:r>
    </w:p>
    <w:p>
      <w:pPr>
        <w:spacing w:after="0" w:line="115" w:lineRule="exact"/>
        <w:rPr>
          <w:sz w:val="20"/>
          <w:szCs w:val="20"/>
          <w:color w:val="auto"/>
        </w:rPr>
      </w:pPr>
    </w:p>
    <w:p>
      <w:pPr>
        <w:ind w:right="180" w:firstLine="374"/>
        <w:spacing w:after="0" w:line="280" w:lineRule="auto"/>
        <w:rPr>
          <w:sz w:val="20"/>
          <w:szCs w:val="20"/>
          <w:color w:val="auto"/>
        </w:rPr>
      </w:pPr>
      <w:r>
        <w:rPr>
          <w:rFonts w:ascii="Times New Roman" w:cs="Times New Roman" w:eastAsia="Times New Roman" w:hAnsi="Times New Roman"/>
          <w:sz w:val="16"/>
          <w:szCs w:val="16"/>
          <w:color w:val="auto"/>
        </w:rPr>
        <w:t>We know of no other matters to be submitted at the Annual Meeting. If any other matters properly come before the Annual Meeting, it is the intention of the persons named in the proxy card to vote the shares they represent as Axsome may recommend.</w:t>
      </w:r>
    </w:p>
    <w:p>
      <w:pPr>
        <w:spacing w:after="0" w:line="57" w:lineRule="exact"/>
        <w:rPr>
          <w:sz w:val="20"/>
          <w:szCs w:val="20"/>
          <w:color w:val="auto"/>
        </w:rPr>
      </w:pPr>
    </w:p>
    <w:p>
      <w:pPr>
        <w:ind w:firstLine="374"/>
        <w:spacing w:after="0" w:line="280" w:lineRule="auto"/>
        <w:rPr>
          <w:sz w:val="20"/>
          <w:szCs w:val="20"/>
          <w:color w:val="auto"/>
        </w:rPr>
      </w:pPr>
      <w:r>
        <w:rPr>
          <w:rFonts w:ascii="Times New Roman" w:cs="Times New Roman" w:eastAsia="Times New Roman" w:hAnsi="Times New Roman"/>
          <w:sz w:val="16"/>
          <w:szCs w:val="16"/>
          <w:color w:val="auto"/>
        </w:rPr>
        <w:t>It is important that your shares be represented at the Annual Meeting, regardless of the number of shares that you hold. You are, therefore, urged to vote at your earliest convenience on the Internet or by telephone as instructed, or by executing and returning a proxy card, if you have requested one, in the envelope provided.</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BOARD OF DIRECTORS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 York, NY</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April 22, 2022</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94615</wp:posOffset>
            </wp:positionV>
            <wp:extent cx="7157720" cy="73767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737679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94615</wp:posOffset>
            </wp:positionV>
            <wp:extent cx="7157720" cy="73507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7350760"/>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94615</wp:posOffset>
            </wp:positionV>
            <wp:extent cx="7157720" cy="73336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733361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94615</wp:posOffset>
            </wp:positionV>
            <wp:extent cx="7157720" cy="73507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7350760"/>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46" w:name="page47"/>
    <w:bookmarkEnd w:id="4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CEAF087"/>
    <w:multiLevelType w:val="hybridMultilevel"/>
    <w:lvl w:ilvl="0">
      <w:lvlJc w:val="left"/>
      <w:lvlText w:val="☐"/>
      <w:numFmt w:val="bullet"/>
      <w:start w:val="1"/>
    </w:lvl>
  </w:abstractNum>
  <w:abstractNum w:abstractNumId="1">
    <w:nsid w:val="22221A70"/>
    <w:multiLevelType w:val="hybridMultilevel"/>
    <w:lvl w:ilvl="0">
      <w:lvlJc w:val="left"/>
      <w:lvlText w:val="☒"/>
      <w:numFmt w:val="bullet"/>
      <w:start w:val="1"/>
    </w:lvl>
  </w:abstractNum>
  <w:abstractNum w:abstractNumId="2">
    <w:nsid w:val="4516DDE9"/>
    <w:multiLevelType w:val="hybridMultilevel"/>
    <w:lvl w:ilvl="0">
      <w:lvlJc w:val="left"/>
      <w:lvlText w:val="☐"/>
      <w:numFmt w:val="bullet"/>
      <w:start w:val="1"/>
    </w:lvl>
  </w:abstractNum>
  <w:abstractNum w:abstractNumId="3">
    <w:nsid w:val="3006C83E"/>
    <w:multiLevelType w:val="hybridMultilevel"/>
    <w:lvl w:ilvl="0">
      <w:lvlJc w:val="left"/>
      <w:lvlText w:val="☒"/>
      <w:numFmt w:val="bullet"/>
      <w:start w:val="1"/>
    </w:lvl>
  </w:abstractNum>
  <w:abstractNum w:abstractNumId="4">
    <w:nsid w:val="614FD4A1"/>
    <w:multiLevelType w:val="hybridMultilevel"/>
    <w:lvl w:ilvl="0">
      <w:lvlJc w:val="left"/>
      <w:lvlText w:val="☐"/>
      <w:numFmt w:val="bullet"/>
      <w:start w:val="1"/>
    </w:lvl>
  </w:abstractNum>
  <w:abstractNum w:abstractNumId="5">
    <w:nsid w:val="419AC241"/>
    <w:multiLevelType w:val="hybridMultilevel"/>
    <w:lvl w:ilvl="0">
      <w:lvlJc w:val="left"/>
      <w:lvlText w:val="%1:"/>
      <w:numFmt w:val="upperLetter"/>
      <w:start w:val="1"/>
    </w:lvl>
  </w:abstractNum>
  <w:abstractNum w:abstractNumId="6">
    <w:nsid w:val="5577F8E1"/>
    <w:multiLevelType w:val="hybridMultilevel"/>
    <w:lvl w:ilvl="0">
      <w:lvlJc w:val="left"/>
      <w:lvlText w:val="%1:"/>
      <w:numFmt w:val="upperLetter"/>
      <w:start w:val="1"/>
    </w:lvl>
  </w:abstractNum>
  <w:abstractNum w:abstractNumId="7">
    <w:nsid w:val="440BADFC"/>
    <w:multiLevelType w:val="hybridMultilevel"/>
    <w:lvl w:ilvl="0">
      <w:lvlJc w:val="left"/>
      <w:lvlText w:val="%1:"/>
      <w:numFmt w:val="upperLetter"/>
      <w:start w:val="1"/>
    </w:lvl>
  </w:abstractNum>
  <w:abstractNum w:abstractNumId="8">
    <w:nsid w:val="5072367"/>
    <w:multiLevelType w:val="hybridMultilevel"/>
    <w:lvl w:ilvl="0">
      <w:lvlJc w:val="left"/>
      <w:lvlText w:val="%1:"/>
      <w:numFmt w:val="upperLetter"/>
      <w:start w:val="1"/>
    </w:lvl>
    <w:lvl w:ilvl="1">
      <w:lvlJc w:val="left"/>
      <w:lvlText w:val="•"/>
      <w:numFmt w:val="bullet"/>
      <w:start w:val="1"/>
    </w:lvl>
  </w:abstractNum>
  <w:abstractNum w:abstractNumId="9">
    <w:nsid w:val="3804823E"/>
    <w:multiLevelType w:val="hybridMultilevel"/>
    <w:lvl w:ilvl="0">
      <w:lvlJc w:val="left"/>
      <w:lvlText w:val="%1:"/>
      <w:numFmt w:val="upperLetter"/>
      <w:start w:val="1"/>
    </w:lvl>
  </w:abstractNum>
  <w:abstractNum w:abstractNumId="10">
    <w:nsid w:val="77465F01"/>
    <w:multiLevelType w:val="hybridMultilevel"/>
    <w:lvl w:ilvl="0">
      <w:lvlJc w:val="left"/>
      <w:lvlText w:val="%1:"/>
      <w:numFmt w:val="upperLetter"/>
      <w:start w:val="1"/>
    </w:lvl>
  </w:abstractNum>
  <w:abstractNum w:abstractNumId="11">
    <w:nsid w:val="7724C67E"/>
    <w:multiLevelType w:val="hybridMultilevel"/>
    <w:lvl w:ilvl="0">
      <w:lvlJc w:val="left"/>
      <w:lvlText w:val="%1:"/>
      <w:numFmt w:val="upperLetter"/>
      <w:start w:val="1"/>
    </w:lvl>
  </w:abstractNum>
  <w:abstractNum w:abstractNumId="12">
    <w:nsid w:val="5C482A97"/>
    <w:multiLevelType w:val="hybridMultilevel"/>
    <w:lvl w:ilvl="0">
      <w:lvlJc w:val="left"/>
      <w:lvlText w:val="%1:"/>
      <w:numFmt w:val="upperLetter"/>
      <w:start w:val="1"/>
    </w:lvl>
  </w:abstractNum>
  <w:abstractNum w:abstractNumId="13">
    <w:nsid w:val="2463B9EA"/>
    <w:multiLevelType w:val="hybridMultilevel"/>
    <w:lvl w:ilvl="0">
      <w:lvlJc w:val="left"/>
      <w:lvlText w:val="%1:"/>
      <w:numFmt w:val="upperLetter"/>
      <w:start w:val="1"/>
    </w:lvl>
  </w:abstractNum>
  <w:abstractNum w:abstractNumId="14">
    <w:nsid w:val="5E884ADC"/>
    <w:multiLevelType w:val="hybridMultilevel"/>
    <w:lvl w:ilvl="0">
      <w:lvlJc w:val="left"/>
      <w:lvlText w:val="%1:"/>
      <w:numFmt w:val="upperLetter"/>
      <w:start w:val="1"/>
    </w:lvl>
  </w:abstractNum>
  <w:abstractNum w:abstractNumId="15">
    <w:nsid w:val="51EAD36B"/>
    <w:multiLevelType w:val="hybridMultilevel"/>
    <w:lvl w:ilvl="0">
      <w:lvlJc w:val="left"/>
      <w:lvlText w:val="%1:"/>
      <w:numFmt w:val="upperLetter"/>
      <w:start w:val="1"/>
    </w:lvl>
  </w:abstractNum>
  <w:abstractNum w:abstractNumId="16">
    <w:nsid w:val="2D517796"/>
    <w:multiLevelType w:val="hybridMultilevel"/>
    <w:lvl w:ilvl="0">
      <w:lvlJc w:val="left"/>
      <w:lvlText w:val="%1:"/>
      <w:numFmt w:val="upperLetter"/>
      <w:start w:val="17"/>
    </w:lvl>
  </w:abstractNum>
  <w:abstractNum w:abstractNumId="17">
    <w:nsid w:val="580BD78F"/>
    <w:multiLevelType w:val="hybridMultilevel"/>
    <w:lvl w:ilvl="0">
      <w:lvlJc w:val="left"/>
      <w:lvlText w:val="%1:"/>
      <w:numFmt w:val="upperLetter"/>
      <w:start w:val="1"/>
    </w:lvl>
    <w:lvl w:ilvl="1">
      <w:lvlJc w:val="left"/>
      <w:lvlText w:val="•"/>
      <w:numFmt w:val="bullet"/>
      <w:start w:val="1"/>
    </w:lvl>
  </w:abstractNum>
  <w:abstractNum w:abstractNumId="18">
    <w:nsid w:val="153EA438"/>
    <w:multiLevelType w:val="hybridMultilevel"/>
    <w:lvl w:ilvl="0">
      <w:lvlJc w:val="left"/>
      <w:lvlText w:val="%1:"/>
      <w:numFmt w:val="upperLetter"/>
      <w:start w:val="1"/>
    </w:lvl>
  </w:abstractNum>
  <w:abstractNum w:abstractNumId="19">
    <w:nsid w:val="3855585C"/>
    <w:multiLevelType w:val="hybridMultilevel"/>
    <w:lvl w:ilvl="0">
      <w:lvlJc w:val="left"/>
      <w:lvlText w:val="%1:"/>
      <w:numFmt w:val="upperLetter"/>
      <w:start w:val="1"/>
    </w:lvl>
    <w:lvl w:ilvl="1">
      <w:lvlJc w:val="left"/>
      <w:lvlText w:val="(%2)"/>
      <w:numFmt w:val="decimal"/>
      <w:start w:val="1"/>
    </w:lvl>
  </w:abstractNum>
  <w:abstractNum w:abstractNumId="20">
    <w:nsid w:val="70A64E2A"/>
    <w:multiLevelType w:val="hybridMultilevel"/>
    <w:lvl w:ilvl="0">
      <w:lvlJc w:val="left"/>
      <w:lvlText w:val="%1:"/>
      <w:numFmt w:val="upperLetter"/>
      <w:start w:val="1"/>
    </w:lvl>
  </w:abstractNum>
  <w:abstractNum w:abstractNumId="21">
    <w:nsid w:val="6A2342EC"/>
    <w:multiLevelType w:val="hybridMultilevel"/>
    <w:lvl w:ilvl="0">
      <w:lvlJc w:val="left"/>
      <w:lvlText w:val="%1:"/>
      <w:numFmt w:val="upperLetter"/>
      <w:start w:val="17"/>
    </w:lvl>
  </w:abstractNum>
  <w:abstractNum w:abstractNumId="22">
    <w:nsid w:val="2A487CB0"/>
    <w:multiLevelType w:val="hybridMultilevel"/>
    <w:lvl w:ilvl="0">
      <w:lvlJc w:val="left"/>
      <w:lvlText w:val="%1:"/>
      <w:numFmt w:val="upperLetter"/>
      <w:start w:val="1"/>
    </w:lvl>
    <w:lvl w:ilvl="1">
      <w:lvlJc w:val="left"/>
      <w:lvlText w:val="•"/>
      <w:numFmt w:val="bullet"/>
      <w:start w:val="1"/>
    </w:lvl>
  </w:abstractNum>
  <w:abstractNum w:abstractNumId="23">
    <w:nsid w:val="1D4ED43B"/>
    <w:multiLevelType w:val="hybridMultilevel"/>
    <w:lvl w:ilvl="0">
      <w:lvlJc w:val="left"/>
      <w:lvlText w:val="%1:"/>
      <w:numFmt w:val="upperLetter"/>
      <w:start w:val="1"/>
    </w:lvl>
    <w:lvl w:ilvl="1">
      <w:lvlJc w:val="left"/>
      <w:lvlText w:val="•"/>
      <w:numFmt w:val="bullet"/>
      <w:start w:val="1"/>
    </w:lvl>
  </w:abstractNum>
  <w:abstractNum w:abstractNumId="24">
    <w:nsid w:val="725A06FB"/>
    <w:multiLevelType w:val="hybridMultilevel"/>
    <w:lvl w:ilvl="0">
      <w:lvlJc w:val="left"/>
      <w:lvlText w:val="%1:"/>
      <w:numFmt w:val="upperLetter"/>
      <w:start w:val="1"/>
    </w:lvl>
  </w:abstractNum>
  <w:abstractNum w:abstractNumId="25">
    <w:nsid w:val="2CD89A32"/>
    <w:multiLevelType w:val="hybridMultilevel"/>
    <w:lvl w:ilvl="0">
      <w:lvlJc w:val="left"/>
      <w:lvlText w:val="%1:"/>
      <w:numFmt w:val="upperLetter"/>
      <w:start w:val="1"/>
    </w:lvl>
  </w:abstractNum>
  <w:abstractNum w:abstractNumId="26">
    <w:nsid w:val="57E4CCAF"/>
    <w:multiLevelType w:val="hybridMultilevel"/>
    <w:lvl w:ilvl="0">
      <w:lvlJc w:val="left"/>
      <w:lvlText w:val="%1:"/>
      <w:numFmt w:val="upperLetter"/>
      <w:start w:val="1"/>
    </w:lvl>
  </w:abstractNum>
  <w:abstractNum w:abstractNumId="27">
    <w:nsid w:val="7A6D8D3C"/>
    <w:multiLevelType w:val="hybridMultilevel"/>
    <w:lvl w:ilvl="0">
      <w:lvlJc w:val="left"/>
      <w:lvlText w:val="%1:"/>
      <w:numFmt w:val="upperLetter"/>
      <w:start w:val="1"/>
    </w:lvl>
  </w:abstractNum>
  <w:abstractNum w:abstractNumId="28">
    <w:nsid w:val="4B588F54"/>
    <w:multiLevelType w:val="hybridMultilevel"/>
    <w:lvl w:ilvl="0">
      <w:lvlJc w:val="left"/>
      <w:lvlText w:val="%1:"/>
      <w:numFmt w:val="upperLetter"/>
      <w:start w:val="1"/>
    </w:lvl>
  </w:abstractNum>
  <w:abstractNum w:abstractNumId="29">
    <w:nsid w:val="542289EC"/>
    <w:multiLevelType w:val="hybridMultilevel"/>
    <w:lvl w:ilvl="0">
      <w:lvlJc w:val="left"/>
      <w:lvlText w:val="%1:"/>
      <w:numFmt w:val="upperLetter"/>
      <w:start w:val="1"/>
    </w:lvl>
  </w:abstractNum>
  <w:abstractNum w:abstractNumId="30">
    <w:nsid w:val="6DE91B18"/>
    <w:multiLevelType w:val="hybridMultilevel"/>
    <w:lvl w:ilvl="0">
      <w:lvlJc w:val="left"/>
      <w:lvlText w:val="%1:"/>
      <w:numFmt w:val="upperLetter"/>
      <w:start w:val="1"/>
    </w:lvl>
  </w:abstractNum>
  <w:abstractNum w:abstractNumId="31">
    <w:nsid w:val="38437FDB"/>
    <w:multiLevelType w:val="hybridMultilevel"/>
    <w:lvl w:ilvl="0">
      <w:lvlJc w:val="left"/>
      <w:lvlText w:val="%1:"/>
      <w:numFmt w:val="upperLetter"/>
      <w:start w:val="17"/>
    </w:lvl>
  </w:abstractNum>
  <w:abstractNum w:abstractNumId="32">
    <w:nsid w:val="7644A45C"/>
    <w:multiLevelType w:val="hybridMultilevel"/>
    <w:lvl w:ilvl="0">
      <w:lvlJc w:val="left"/>
      <w:lvlText w:val="%1:"/>
      <w:numFmt w:val="upperLetter"/>
      <w:start w:val="1"/>
    </w:lvl>
  </w:abstractNum>
  <w:abstractNum w:abstractNumId="33">
    <w:nsid w:val="32FFF902"/>
    <w:multiLevelType w:val="hybridMultilevel"/>
    <w:lvl w:ilvl="0">
      <w:lvlJc w:val="left"/>
      <w:lvlText w:val="%1:"/>
      <w:numFmt w:val="upperLetter"/>
      <w:start w:val="1"/>
    </w:lvl>
  </w:abstractNum>
  <w:abstractNum w:abstractNumId="34">
    <w:nsid w:val="684A481A"/>
    <w:multiLevelType w:val="hybridMultilevel"/>
    <w:lvl w:ilvl="0">
      <w:lvlJc w:val="left"/>
      <w:lvlText w:val="%1:"/>
      <w:numFmt w:val="upperLetter"/>
      <w:start w:val="1"/>
    </w:lvl>
  </w:abstractNum>
  <w:abstractNum w:abstractNumId="35">
    <w:nsid w:val="579478FE"/>
    <w:multiLevelType w:val="hybridMultilevel"/>
    <w:lvl w:ilvl="0">
      <w:lvlJc w:val="left"/>
      <w:lvlText w:val="(%1)"/>
      <w:numFmt w:val="decimal"/>
      <w:start w:val="1"/>
    </w:lvl>
  </w:abstractNum>
  <w:abstractNum w:abstractNumId="36">
    <w:nsid w:val="749ABB43"/>
    <w:multiLevelType w:val="hybridMultilevel"/>
    <w:lvl w:ilvl="0">
      <w:lvlJc w:val="left"/>
      <w:lvlText w:val="•"/>
      <w:numFmt w:val="bullet"/>
      <w:start w:val="1"/>
    </w:lvl>
  </w:abstractNum>
  <w:abstractNum w:abstractNumId="37">
    <w:nsid w:val="3DC240FB"/>
    <w:multiLevelType w:val="hybridMultilevel"/>
    <w:lvl w:ilvl="0">
      <w:lvlJc w:val="left"/>
      <w:lvlText w:val="•"/>
      <w:numFmt w:val="bullet"/>
      <w:start w:val="1"/>
    </w:lvl>
  </w:abstractNum>
  <w:abstractNum w:abstractNumId="38">
    <w:nsid w:val="1BA026FA"/>
    <w:multiLevelType w:val="hybridMultilevel"/>
    <w:lvl w:ilvl="0">
      <w:lvlJc w:val="left"/>
      <w:lvlText w:val="•"/>
      <w:numFmt w:val="bullet"/>
      <w:start w:val="1"/>
    </w:lvl>
  </w:abstractNum>
  <w:abstractNum w:abstractNumId="39">
    <w:nsid w:val="79A1DEAA"/>
    <w:multiLevelType w:val="hybridMultilevel"/>
    <w:lvl w:ilvl="0">
      <w:lvlJc w:val="left"/>
      <w:lvlText w:val="(%1)"/>
      <w:numFmt w:val="decimal"/>
      <w:start w:val="1"/>
    </w:lvl>
  </w:abstractNum>
  <w:abstractNum w:abstractNumId="40">
    <w:nsid w:val="75C6C33A"/>
    <w:multiLevelType w:val="hybridMultilevel"/>
    <w:lvl w:ilvl="0">
      <w:lvlJc w:val="left"/>
      <w:lvlText w:val="•"/>
      <w:numFmt w:val="bullet"/>
      <w:start w:val="1"/>
    </w:lvl>
  </w:abstractNum>
  <w:abstractNum w:abstractNumId="41">
    <w:nsid w:val="12E685FB"/>
    <w:multiLevelType w:val="hybridMultilevel"/>
    <w:lvl w:ilvl="0">
      <w:lvlJc w:val="left"/>
      <w:lvlText w:val="•"/>
      <w:numFmt w:val="bullet"/>
      <w:start w:val="1"/>
    </w:lvl>
  </w:abstractNum>
  <w:abstractNum w:abstractNumId="42">
    <w:nsid w:val="70C6A529"/>
    <w:multiLevelType w:val="hybridMultilevel"/>
    <w:lvl w:ilvl="0">
      <w:lvlJc w:val="left"/>
      <w:lvlText w:val="☑"/>
      <w:numFmt w:val="bullet"/>
      <w:start w:val="1"/>
    </w:lvl>
  </w:abstractNum>
  <w:abstractNum w:abstractNumId="43">
    <w:nsid w:val="520EEDD1"/>
    <w:multiLevelType w:val="hybridMultilevel"/>
    <w:lvl w:ilvl="0">
      <w:lvlJc w:val="left"/>
      <w:lvlText w:val="X"/>
      <w:numFmt w:val="bullet"/>
      <w:start w:val="1"/>
    </w:lvl>
  </w:abstractNum>
  <w:abstractNum w:abstractNumId="44">
    <w:nsid w:val="374A3FE6"/>
    <w:multiLevelType w:val="hybridMultilevel"/>
    <w:lvl w:ilvl="0">
      <w:lvlJc w:val="left"/>
      <w:lvlText w:val="•"/>
      <w:numFmt w:val="bullet"/>
      <w:start w:val="1"/>
    </w:lvl>
  </w:abstractNum>
  <w:abstractNum w:abstractNumId="45">
    <w:nsid w:val="4F4EF005"/>
    <w:multiLevelType w:val="hybridMultilevel"/>
    <w:lvl w:ilvl="0">
      <w:lvlJc w:val="left"/>
      <w:lvlText w:val=" "/>
      <w:numFmt w:val="bullet"/>
      <w:start w:val="1"/>
    </w:lvl>
  </w:abstractNum>
  <w:abstractNum w:abstractNumId="46">
    <w:nsid w:val="23F9C13C"/>
    <w:multiLevelType w:val="hybridMultilevel"/>
    <w:lvl w:ilvl="0">
      <w:lvlJc w:val="left"/>
      <w:lvlText w:val="1"/>
      <w:numFmt w:val="bullet"/>
      <w:start w:val="1"/>
    </w:lvl>
  </w:abstractNum>
  <w:abstractNum w:abstractNumId="47">
    <w:nsid w:val="649BB77C"/>
    <w:multiLevelType w:val="hybridMultilevel"/>
    <w:lvl w:ilvl="0">
      <w:lvlJc w:val="left"/>
      <w:lvlText w:val="2"/>
      <w:numFmt w:val="bullet"/>
      <w:start w:val="1"/>
    </w:lvl>
  </w:abstractNum>
  <w:abstractNum w:abstractNumId="48">
    <w:nsid w:val="275AC794"/>
    <w:multiLevelType w:val="hybridMultilevel"/>
    <w:lvl w:ilvl="0">
      <w:lvlJc w:val="left"/>
      <w:lvlText w:val="•"/>
      <w:numFmt w:val="bullet"/>
      <w:start w:val="1"/>
    </w:lvl>
  </w:abstractNum>
  <w:abstractNum w:abstractNumId="49">
    <w:nsid w:val="39386575"/>
    <w:multiLevelType w:val="hybridMultilevel"/>
    <w:lvl w:ilvl="0">
      <w:lvlJc w:val="left"/>
      <w:lvlText w:val="(%1)"/>
      <w:numFmt w:val="decimal"/>
      <w:start w:val="1"/>
    </w:lvl>
  </w:abstractNum>
  <w:abstractNum w:abstractNumId="50">
    <w:nsid w:val="1CF10FD8"/>
    <w:multiLevelType w:val="hybridMultilevel"/>
    <w:lvl w:ilvl="0">
      <w:lvlJc w:val="left"/>
      <w:lvlText w:val="*"/>
      <w:numFmt w:val="bullet"/>
      <w:start w:val="1"/>
    </w:lvl>
  </w:abstractNum>
  <w:abstractNum w:abstractNumId="51">
    <w:nsid w:val="180115BE"/>
    <w:multiLevelType w:val="hybridMultilevel"/>
    <w:lvl w:ilvl="0">
      <w:lvlJc w:val="left"/>
      <w:lvlText w:val="(%1)"/>
      <w:numFmt w:val="decimal"/>
      <w:start w:val="1"/>
    </w:lvl>
  </w:abstractNum>
  <w:abstractNum w:abstractNumId="52">
    <w:nsid w:val="235BA861"/>
    <w:multiLevelType w:val="hybridMultilevel"/>
    <w:lvl w:ilvl="0">
      <w:lvlJc w:val="left"/>
      <w:lvlText w:val="(%1)"/>
      <w:numFmt w:val="decimal"/>
      <w:start w:val="1"/>
    </w:lvl>
  </w:abstractNum>
  <w:abstractNum w:abstractNumId="53">
    <w:nsid w:val="47398C89"/>
    <w:multiLevelType w:val="hybridMultilevel"/>
    <w:lvl w:ilvl="0">
      <w:lvlJc w:val="left"/>
      <w:lvlText w:val="(%1)"/>
      <w:numFmt w:val="decimal"/>
      <w:start w:val="1"/>
    </w:lvl>
  </w:abstractNum>
  <w:abstractNum w:abstractNumId="54">
    <w:nsid w:val="354FE9F9"/>
    <w:multiLevelType w:val="hybridMultilevel"/>
    <w:lvl w:ilvl="0">
      <w:lvlJc w:val="left"/>
      <w:lvlText w:val="*"/>
      <w:numFmt w:val="bullet"/>
      <w:start w:val="1"/>
    </w:lvl>
  </w:abstractNum>
  <w:abstractNum w:abstractNumId="55">
    <w:nsid w:val="15B5AF5C"/>
    <w:multiLevelType w:val="hybridMultilevel"/>
    <w:lvl w:ilvl="0">
      <w:lvlJc w:val="left"/>
      <w:lvlText w:val="(%1)"/>
      <w:numFmt w:val="decimal"/>
      <w:start w:val="1"/>
    </w:lvl>
  </w:abstractNum>
  <w:abstractNum w:abstractNumId="56">
    <w:nsid w:val="741226BB"/>
    <w:multiLevelType w:val="hybridMultilevel"/>
    <w:lvl w:ilvl="0">
      <w:lvlJc w:val="left"/>
      <w:lvlText w:val="•"/>
      <w:numFmt w:val="bullet"/>
      <w:start w:val="1"/>
    </w:lvl>
  </w:abstractNum>
  <w:abstractNum w:abstractNumId="57">
    <w:nsid w:val="D34B6A8"/>
    <w:multiLevelType w:val="hybridMultilevel"/>
    <w:lvl w:ilvl="0">
      <w:lvlJc w:val="left"/>
      <w:lvlText w:val="*"/>
      <w:numFmt w:val="bullet"/>
      <w:start w:val="1"/>
    </w:lvl>
  </w:abstractNum>
  <w:abstractNum w:abstractNumId="58">
    <w:nsid w:val="10233C99"/>
    <w:multiLevelType w:val="hybridMultilevel"/>
    <w:lvl w:ilvl="0">
      <w:lvlJc w:val="left"/>
      <w:lvlText w:val="**"/>
      <w:numFmt w:val="bullet"/>
      <w:start w:val="1"/>
    </w:lvl>
  </w:abstractNum>
  <w:abstractNum w:abstractNumId="59">
    <w:nsid w:val="3F6AB60F"/>
    <w:multiLevelType w:val="hybridMultilevel"/>
    <w:lvl w:ilvl="0">
      <w:lvlJc w:val="left"/>
      <w:lvlText w:val="(%1)"/>
      <w:numFmt w:val="decimal"/>
      <w:start w:val="1"/>
    </w:lvl>
  </w:abstractNum>
  <w:abstractNum w:abstractNumId="60">
    <w:nsid w:val="61574095"/>
    <w:multiLevelType w:val="hybridMultilevel"/>
    <w:lvl w:ilvl="0">
      <w:lvlJc w:val="left"/>
      <w:lvlText w:val="(%1)"/>
      <w:numFmt w:val="decimal"/>
      <w:start w:val="8"/>
    </w:lvl>
  </w:abstractNum>
  <w:abstractNum w:abstractNumId="61">
    <w:nsid w:val="7E0C57B1"/>
    <w:multiLevelType w:val="hybridMultilevel"/>
    <w:lvl w:ilvl="0">
      <w:lvlJc w:val="left"/>
      <w:lvlText w:val="(%1)"/>
      <w:numFmt w:val="decimal"/>
      <w:start w:val="1"/>
    </w:lvl>
  </w:abstractNum>
  <w:abstractNum w:abstractNumId="62">
    <w:nsid w:val="77AE35E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2022-04-22T16:06:30Z</dcterms:created>
  <dcterms:modified xsi:type="dcterms:W3CDTF">2022-04-22T16:06:30Z</dcterms:modified>
</cp:coreProperties>
</file>