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0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-621665</wp:posOffset>
            </wp:positionV>
            <wp:extent cx="57785" cy="635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3970020</wp:posOffset>
            </wp:positionH>
            <wp:positionV relativeFrom="paragraph">
              <wp:posOffset>-621665</wp:posOffset>
            </wp:positionV>
            <wp:extent cx="57785" cy="635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22225</wp:posOffset>
            </wp:positionV>
            <wp:extent cx="7047230" cy="7246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7246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399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JEFFS ROGER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AXSOME THERAPEUTICS,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WORLD TRADE CENTER, 22ND FLOOR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7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 w:right="660" w:hanging="240"/>
        <w:spacing w:after="0" w:line="181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399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22.03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133,756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69.702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120,756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16,976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25.53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137,732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03/14/2024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16,976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69.702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120,756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2,347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29.91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123,103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2,347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71.6072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120,756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46,912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22.03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13,000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06/07/2020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06/07/2029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13,000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25.53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03/14/2024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16,976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06/03/2023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06/03/2032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16,976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29.91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03/15/2024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lef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2,347</w:t>
            </w: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03/04/2022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03/04/2032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2,347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an exercise of stock options.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Such transaction was pursuant to a pre-approved 10b5-1 plan.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subsequent sale of the underlying shares of the aforementioned exercise of stock options.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additional shares held indirectly by the Reporting Person prior to March 14, 2023.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Herriot Tabuteau, M.D.,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99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1615" TargetMode="External"/><Relationship Id="rId13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2024-03-15T19:11:42Z</dcterms:created>
  <dcterms:modified xsi:type="dcterms:W3CDTF">2024-03-15T19:11:42Z</dcterms:modified>
</cp:coreProperties>
</file>