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AXSM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previously disclosed, on March 1, 2022, (i) Axsome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Sales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SVB Securities LLC (“</w:t>
      </w:r>
      <w:r>
        <w:rPr>
          <w:rFonts w:ascii="Times New Roman" w:cs="Times New Roman" w:eastAsia="Times New Roman" w:hAnsi="Times New Roman"/>
          <w:sz w:val="18"/>
          <w:szCs w:val="18"/>
          <w:u w:val="single" w:color="auto"/>
          <w:color w:val="auto"/>
        </w:rPr>
        <w:t>SVB Securities</w:t>
      </w:r>
      <w:r>
        <w:rPr>
          <w:rFonts w:ascii="Times New Roman" w:cs="Times New Roman" w:eastAsia="Times New Roman" w:hAnsi="Times New Roman"/>
          <w:sz w:val="18"/>
          <w:szCs w:val="18"/>
          <w:color w:val="auto"/>
        </w:rPr>
        <w:t>”) with respect to an at the market offering program, under which the Company may, from time to time in its sole discretion, issue and sell through SVB Securities, acting as sales agent,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the Company filed a prospectus supplement to the Company’s registration statement on Form S-3 (File No. 333-235372), originally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December 5, 2019 (the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which became effective immediately upon filing, for the issuance and sale of up to $200,000,000 of shares of Common Stock by the Company under the Agreement (the “</w:t>
      </w:r>
      <w:r>
        <w:rPr>
          <w:rFonts w:ascii="Times New Roman" w:cs="Times New Roman" w:eastAsia="Times New Roman" w:hAnsi="Times New Roman"/>
          <w:sz w:val="18"/>
          <w:szCs w:val="18"/>
          <w:u w:val="single" w:color="auto"/>
          <w:color w:val="auto"/>
        </w:rPr>
        <w:t>Prior ATM Program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August 19, 2022, the Company filed a prospectus supplement to the Company’s Shelf Registration Statement for the issuance and sale, if any, of up to an additional $250,000,000 of shares of Common Stock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by the Company under the Agreement. The Company has exhausted sales of its shares of Common Stock under the Prior ATM Program.</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Agreement, SVB Securities may sell the Placement Shares by any method permitted by law deemed to be an “at the market” offering as defined in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including, without limitation, sales made directly on or through the Nasdaq Global Market, on or through any other existing trading market for the Company’s common stock or to or through a market maker. SVB Securities will use commercially reasonable efforts consistent with its normal trading and sales practices to sell the Placement Shares from time to time, based upon instructions from the Company (including any price or size limits or other customary parameters or conditions the Company may impose). SVB Securities will not purchase any Placement Shares on a principal basis pursuant to the Agreement unless the Company and SVB Securities enter into a separate written agreement setting forth the terms of such sale.</w:t>
      </w:r>
    </w:p>
    <w:p>
      <w:pPr>
        <w:spacing w:after="0" w:line="18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pay SVB Securities a commission of up to 3.0% of the gross sales proceeds of any Placement Shares sold through SVB Securities, acting as sales agent, under the Agreement.</w:t>
      </w:r>
    </w:p>
    <w:p>
      <w:pPr>
        <w:spacing w:after="0" w:line="162"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Placement Shares under the Agreement. The offering of Placement Shares pursuant to the Agreement will terminate upon the earlier to occur of (i) the issuance and sale, through SVB Securities, of all Placement Shares subject to the Agreement and (ii) termination of the Agreement in accordance with its terms.</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Agreement contains representations, warranties and covenants that are customary for transactions of this type. In addition, the Company has agreed to indemnify SVB Securities against certain liabilities, including liabilities under the Securities Act, and the Securities Exchange Act of 1934, as amended.</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a copy of which is filed as Exhibit 1.1 to our Current Report on Form 8-K filed on March 1, 2022, and is incorporated herein by reference.</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2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8"/>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23"/>
                <w:szCs w:val="23"/>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Opinion of DLA Piper LLP (US).</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spacing w:after="0"/>
              <w:rPr>
                <w:sz w:val="24"/>
                <w:szCs w:val="24"/>
                <w:color w:val="auto"/>
              </w:rPr>
            </w:pPr>
          </w:p>
        </w:tc>
        <w:tc>
          <w:tcPr>
            <w:tcW w:w="4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DLA Piper LLP (US) (contained in Exhibit 5.1).</w:t>
            </w:r>
          </w:p>
        </w:tc>
        <w:tc>
          <w:tcPr>
            <w:tcW w:w="1500" w:type="dxa"/>
            <w:vAlign w:val="bottom"/>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2022</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Cortlandt Street, 16th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Axsome Therapeutics, Inc. Registration Statement on Form S-3 (File No. 333-235372)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acted as counsel to Axsome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from time to time of shares of the Company’s common stock, par value $0.0001 per share, having an aggregate offering price of up to $250.0 million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pursuant to the Registration Statement on Form S-3 (File No. 333-235372),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December 5, 2019, which became effective immediately upon filing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base prospectus, dated December 5, 2019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the prospectus supplement, dated August 19, 2022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with the SEC pursuant to Rule 424(b) under the Act, and a sales agreement dated March 1, 2022 by and between the Company and SVB Securities LLC, as sales agent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the Prospectus, the Sales Agreement,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Placement Shares have been duly authorized by the Company and, when issued and sold by the Company and delivered by the Company against receipt of the purchase price therefor, in the manner contemplated by the Sales Agreement, will be validly issued,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herein are limited to the Delaware General Corporation Law.</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2022-08-22T05:11:18Z</dcterms:created>
  <dcterms:modified xsi:type="dcterms:W3CDTF">2022-08-22T05:11:18Z</dcterms:modified>
</cp:coreProperties>
</file>