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04,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One World Trade Center, 29th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1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340" w:firstLine="510"/>
        <w:spacing w:after="0" w:line="276" w:lineRule="auto"/>
        <w:rPr>
          <w:sz w:val="20"/>
          <w:szCs w:val="20"/>
          <w:color w:val="auto"/>
        </w:rPr>
      </w:pPr>
      <w:r>
        <w:rPr>
          <w:rFonts w:ascii="Times New Roman" w:cs="Times New Roman" w:eastAsia="Times New Roman" w:hAnsi="Times New Roman"/>
          <w:sz w:val="16"/>
          <w:szCs w:val="16"/>
          <w:color w:val="auto"/>
        </w:rPr>
        <w:t>On August 4, 2025, Axsome Therapeutics, Inc. (the “Company”) issued a press release announcing its financial results for the three months ended June 30, 2025 and provided an update on the Company’s operations. The Company is furnishing a copy of the press release, which is attached hereto as Exhibit 99.1.</w:t>
      </w:r>
    </w:p>
    <w:p>
      <w:pPr>
        <w:spacing w:after="0" w:line="14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800" w:firstLine="510"/>
        <w:spacing w:after="0" w:line="276" w:lineRule="auto"/>
        <w:rPr>
          <w:sz w:val="20"/>
          <w:szCs w:val="20"/>
          <w:color w:val="auto"/>
        </w:rPr>
      </w:pPr>
      <w:r>
        <w:rPr>
          <w:rFonts w:ascii="Times New Roman" w:cs="Times New Roman" w:eastAsia="Times New Roman" w:hAnsi="Times New Roman"/>
          <w:sz w:val="16"/>
          <w:szCs w:val="16"/>
          <w:color w:val="auto"/>
        </w:rPr>
        <w:t>On August 4, 2025, the Company updated its corporate presentation and posted such corporate presentation to the Company’s website. The updated corporate presentation is filed as Exhibit 99.2 hereto and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60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5"/>
                <w:szCs w:val="15"/>
                <w:color w:val="auto"/>
              </w:rPr>
            </w:pPr>
          </w:p>
        </w:tc>
        <w:tc>
          <w:tcPr>
            <w:tcW w:w="2300" w:type="dxa"/>
            <w:vAlign w:val="bottom"/>
            <w:tcBorders>
              <w:bottom w:val="single" w:sz="8" w:color="0000FF"/>
            </w:tcBorders>
            <w:gridSpan w:val="3"/>
          </w:tcPr>
          <w:p>
            <w:pPr>
              <w:spacing w:after="0" w:line="181" w:lineRule="exact"/>
              <w:rPr>
                <w:sz w:val="20"/>
                <w:szCs w:val="20"/>
                <w:color w:val="auto"/>
              </w:rPr>
            </w:pPr>
            <w:r>
              <w:rPr>
                <w:rFonts w:ascii="Times New Roman" w:cs="Times New Roman" w:eastAsia="Times New Roman" w:hAnsi="Times New Roman"/>
                <w:sz w:val="16"/>
                <w:szCs w:val="16"/>
                <w:color w:val="0000FF"/>
                <w:w w:val="98"/>
              </w:rPr>
              <w:t>Press Release dated August 4, 2025.</w:t>
            </w:r>
          </w:p>
        </w:tc>
        <w:tc>
          <w:tcPr>
            <w:tcW w:w="7600" w:type="dxa"/>
            <w:vAlign w:val="bottom"/>
          </w:tcPr>
          <w:p>
            <w:pPr>
              <w:spacing w:after="0"/>
              <w:rPr>
                <w:sz w:val="15"/>
                <w:szCs w:val="15"/>
                <w:color w:val="auto"/>
              </w:rPr>
            </w:pP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50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w:t>
            </w:r>
          </w:p>
        </w:tc>
        <w:tc>
          <w:tcPr>
            <w:tcW w:w="20" w:type="dxa"/>
            <w:vAlign w:val="bottom"/>
            <w:tcBorders>
              <w:bottom w:val="single" w:sz="8" w:color="0000EE"/>
            </w:tcBorders>
          </w:tcPr>
          <w:p>
            <w:pPr>
              <w:spacing w:after="0"/>
              <w:rPr>
                <w:sz w:val="14"/>
                <w:szCs w:val="14"/>
                <w:color w:val="auto"/>
              </w:rPr>
            </w:pPr>
          </w:p>
        </w:tc>
        <w:tc>
          <w:tcPr>
            <w:tcW w:w="8380" w:type="dxa"/>
            <w:vAlign w:val="bottom"/>
            <w:gridSpan w:val="2"/>
          </w:tcPr>
          <w:p>
            <w:pPr>
              <w:spacing w:after="0"/>
              <w:rPr>
                <w:sz w:val="14"/>
                <w:szCs w:val="14"/>
                <w:color w:val="auto"/>
              </w:rPr>
            </w:pPr>
          </w:p>
        </w:tc>
      </w:tr>
      <w:tr>
        <w:trPr>
          <w:trHeight w:val="20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August 4, 2025</w:t>
            </w:r>
          </w:p>
        </w:tc>
        <w:tc>
          <w:tcPr>
            <w:tcW w:w="266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660" w:type="dxa"/>
            <w:vAlign w:val="bottom"/>
          </w:tcPr>
          <w:p>
            <w:pPr>
              <w:ind w:left="200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5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4358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43585" cy="420370"/>
                    </a:xfrm>
                    <a:prstGeom prst="rect">
                      <a:avLst/>
                    </a:prstGeom>
                    <a:noFill/>
                  </pic:spPr>
                </pic:pic>
              </a:graphicData>
            </a:graphic>
          </wp:anchor>
        </w:drawing>
        <w:t>Exhibit 99.1</w:t>
      </w:r>
    </w:p>
    <w:p>
      <w:pPr>
        <w:spacing w:after="0" w:line="331" w:lineRule="exact"/>
        <w:rPr>
          <w:sz w:val="20"/>
          <w:szCs w:val="20"/>
          <w:color w:val="auto"/>
        </w:rPr>
      </w:pPr>
    </w:p>
    <w:p>
      <w:pPr>
        <w:jc w:val="center"/>
        <w:ind w:right="15"/>
        <w:spacing w:after="0" w:line="390" w:lineRule="auto"/>
        <w:rPr>
          <w:sz w:val="20"/>
          <w:szCs w:val="20"/>
          <w:color w:val="auto"/>
        </w:rPr>
      </w:pPr>
      <w:r>
        <w:rPr>
          <w:rFonts w:ascii="Arial" w:cs="Arial" w:eastAsia="Arial" w:hAnsi="Arial"/>
          <w:sz w:val="16"/>
          <w:szCs w:val="16"/>
          <w:b w:val="1"/>
          <w:bCs w:val="1"/>
          <w:color w:val="auto"/>
        </w:rPr>
        <w:t xml:space="preserve">Axsome Therapeutics Reports Second Quarter 2025 Financial Results and Provides Business Update </w:t>
      </w:r>
      <w:r>
        <w:rPr>
          <w:rFonts w:ascii="Arial" w:cs="Arial" w:eastAsia="Arial" w:hAnsi="Arial"/>
          <w:sz w:val="16"/>
          <w:szCs w:val="16"/>
          <w:i w:val="1"/>
          <w:iCs w:val="1"/>
          <w:color w:val="auto"/>
        </w:rPr>
        <w:t>Total 2Q 2025 net product revenue of $150.0 million, representing growth of 72% year-over-year and 24% sequentially 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2Q 2025 net product sales of $119.6 million, representing growth of 84% year-over-year and 24% sequentially SUNOSI</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2Q 2025 net product revenue of $30.0 million, representing growth of 35% year-over-year and 19% sequentially 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launched June 10</w:t>
      </w:r>
      <w:r>
        <w:rPr>
          <w:rFonts w:ascii="Arial" w:cs="Arial" w:eastAsia="Arial" w:hAnsi="Arial"/>
          <w:sz w:val="21"/>
          <w:szCs w:val="21"/>
          <w:i w:val="1"/>
          <w:iCs w:val="1"/>
          <w:color w:val="auto"/>
          <w:vertAlign w:val="superscript"/>
        </w:rPr>
        <w:t>th</w:t>
      </w:r>
      <w:r>
        <w:rPr>
          <w:rFonts w:ascii="Arial" w:cs="Arial" w:eastAsia="Arial" w:hAnsi="Arial"/>
          <w:sz w:val="16"/>
          <w:szCs w:val="16"/>
          <w:i w:val="1"/>
          <w:iCs w:val="1"/>
          <w:color w:val="auto"/>
        </w:rPr>
        <w:t>, with 2Q 2025 net product sales of $0.4 million 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market access expanded by 28 million new covered lives in the commercial channel First group purchasing organization (GPO) contract for 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signed Supplemental NDA submission for AXS-05 in Alzheimer’s disease agitation on track for 3Q 2025 NDA submission for AXS-12 for cataplexy in patients with narcolepsy anticipated in 4Q 2025 Company to host conference call today at 8:00 AM Eastern</w:t>
      </w:r>
    </w:p>
    <w:p>
      <w:pPr>
        <w:spacing w:after="0" w:line="355" w:lineRule="exact"/>
        <w:rPr>
          <w:sz w:val="20"/>
          <w:szCs w:val="20"/>
          <w:color w:val="auto"/>
        </w:rPr>
      </w:pPr>
    </w:p>
    <w:p>
      <w:pPr>
        <w:jc w:val="both"/>
        <w:ind w:left="5" w:right="20"/>
        <w:spacing w:after="0" w:line="294" w:lineRule="auto"/>
        <w:rPr>
          <w:sz w:val="20"/>
          <w:szCs w:val="20"/>
          <w:color w:val="auto"/>
        </w:rPr>
      </w:pPr>
      <w:r>
        <w:rPr>
          <w:rFonts w:ascii="Arial" w:cs="Arial" w:eastAsia="Arial" w:hAnsi="Arial"/>
          <w:sz w:val="15"/>
          <w:szCs w:val="15"/>
          <w:color w:val="auto"/>
        </w:rPr>
        <w:t>NEW YORK, August 4, 2025 (Globe Newswire) – Axsome Therapeutics, Inc. (NASDAQ: AXSM), a biopharmaceutical company leading a new era in the treatment of central nervous system (CNS) disorders, today announced financial results for the second quarter of 2025 and provided a general business update.</w:t>
      </w:r>
    </w:p>
    <w:p>
      <w:pPr>
        <w:spacing w:after="0" w:line="86"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auto"/>
        </w:rPr>
        <w:t>“Axsome delivered robust second quarter performance, reflecting strong underlying demand for our life-changing medicines, exacting commercial execution, solid regulatory progress, and continued advancement of our differentiated neuroscience pipeline. We are excited by the recent approval and launch of SYMBRAVO for migraine, and are pleased with the accelerating performance of AUVELITY for depression and SUNOSI for excessive daytime sleepiness,” said Herriot Tabuteau, MD, Chief Executive Officer of Axsome Therapeutics. “We remain on track to submit new drug applications to the FDA for AXS-05 for Alzheimer’s disease agitation in the third quarter, and for AXS-12 in narcolepsy in the fourth quarter. The rest of our development pipeline is advancing apace, including late-stage programs in ADHD, binge eating disorder, shift work disorder, depression associated with excessive daytime sleepiness, fibromyalgia, and smoking cessation. In total, our portfolio of potentially first-in-class or best-in-class medicines have the potential to address serious conditions that affect more than 150 million patients in the U.S. alone.”</w:t>
      </w:r>
    </w:p>
    <w:p>
      <w:pPr>
        <w:spacing w:after="0" w:line="12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Highlights</w:t>
      </w:r>
    </w:p>
    <w:p>
      <w:pPr>
        <w:spacing w:after="0" w:line="161" w:lineRule="exact"/>
        <w:rPr>
          <w:sz w:val="20"/>
          <w:szCs w:val="20"/>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product revenue was $150.0 million for the second quarter of 2025, representing 72% year-over-year growth, and 24% sequential growth compared to the first quarter of 2025. Total net product revenue for the second quarter of 2024 was $87.2 million.</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AUVELITY net product sales were $119.6 million for the second quarter of 2025, representing 84% year-over-year growth, and 24% sequential growth compared to the first quarter of 2025. AUVELITY net product sales for the second quarter of 2024 were $65.0 million.</w:t>
      </w: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57" w:right="319" w:bottom="1440" w:gutter="0" w:footer="0" w:header="0"/>
        </w:sectPr>
      </w:pPr>
    </w:p>
    <w:bookmarkStart w:id="4" w:name="page5"/>
    <w:bookmarkEnd w:id="4"/>
    <w:p>
      <w:pPr>
        <w:jc w:val="both"/>
        <w:ind w:left="365" w:right="20"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SUNOSI net product revenue was $30.0 million for the second quarter of 2025, representing 35% year-over-year growth, and 19% sequential growth compared to the first quarter of 2025. SUNOSI net product revenue for the second quarter of 2025 consisted of $28.9 million in net product sales and $1.1 million in royalty revenue associated with SUNOSI sales in out-licensed territories. SUNOSI net product revenue for the second quarter of 2024 was $22.1 million, which consisted of $21.5 million in net product sales and $0.6 million in royalty revenue.</w:t>
      </w:r>
    </w:p>
    <w:p>
      <w:pPr>
        <w:spacing w:after="0" w:line="126"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SYMBRAVO was launched on June 10, 2025, and had net product sales of $0.4 million for the second quarter of 2025. No SYMBRAVO sales were reported by Axsome for the comparable period in 2024 reflecting the timing of the product launch.</w:t>
      </w:r>
    </w:p>
    <w:p>
      <w:pPr>
        <w:spacing w:after="0" w:line="120"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Total cost of revenue was $13.4 million for the second quarter of 2025. Total cost of revenue for the comparable period in 2024 was $8.1 million.</w:t>
      </w:r>
    </w:p>
    <w:p>
      <w:pPr>
        <w:spacing w:after="0" w:line="158"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Research and development (R&amp;D) expenses were $49.5 million for the second quarter of 2025, compared to $49.9 million for the comparable period in 2024. The decrease was primarily related to the completion of trials for solriamfetol in ADHD and MDD and for AXS-05 in Alzheimer’s disease agitation, which was partially offset by higher personnel costs.</w:t>
      </w:r>
    </w:p>
    <w:p>
      <w:pPr>
        <w:spacing w:after="0" w:line="121"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Selling, general, and administrative (SG&amp;A) expenses were $130.3 million for the second quarter of 2025, compared to $103.6 million for the comparable period in 2024. The increase was primarily related to commercialization activities for AUVELITY, including the sales force expansion, and the commercial launch of SYMBRAVO.</w:t>
      </w:r>
    </w:p>
    <w:p>
      <w:pPr>
        <w:spacing w:after="0" w:line="133"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for the second quarter of 2025 was $48.0 million, or $(0.97) per share, compared to a net loss of $79.3 million, or $(1.67) per share, for the comparable period in 2024. The net loss in the second quarter of 2025 includes $24.6 million of stock-based compensation expense.</w:t>
      </w:r>
    </w:p>
    <w:p>
      <w:pPr>
        <w:spacing w:after="0" w:line="109"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totaled $303.0 million at June 30, 2025, compared to $315.4 million at December 31, 2024.</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outstanding were 49,815,301 at June 30, 2025.</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149"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Axsome believes that its current cash is sufficient to fund anticipated operations into cash flow positivity, based on the current operating plan.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Commercial Highlights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AUVELITY</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AUVELITY is the first and only rapid-acting oral NMDA receptor antagonist and sigma-1 receptor agonist approved in the U.S. for the treatment of major depressive disorder.</w:t>
      </w:r>
    </w:p>
    <w:p>
      <w:pPr>
        <w:spacing w:after="0" w:line="110" w:lineRule="exact"/>
        <w:rPr>
          <w:sz w:val="20"/>
          <w:szCs w:val="20"/>
          <w:color w:val="auto"/>
        </w:rPr>
      </w:pPr>
    </w:p>
    <w:p>
      <w:pPr>
        <w:ind w:left="365"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192,000 prescriptions were written for AUVELITY in the second quarter of 2025, representing an increase of 56% compared to the same period in 2024, and an increase of 15% compared to the first quarter of 2025.</w:t>
      </w:r>
    </w:p>
    <w:p>
      <w:pPr>
        <w:spacing w:after="0" w:line="120"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AUVELITY in the commercial channel expanded by 28 million new covered lives as of July 1. Overall payer coverage for AUVELITY across all channels is now at approximately 83% of all lives covered, with the proportion of covered lives in the commercial and government (Medicare and Medicaid) channels at approximately 73% and 100%, respectively.</w:t>
      </w:r>
    </w:p>
    <w:p>
      <w:pPr>
        <w:spacing w:after="0" w:line="200" w:lineRule="exact"/>
        <w:rPr>
          <w:sz w:val="20"/>
          <w:szCs w:val="20"/>
          <w:color w:val="auto"/>
        </w:rPr>
      </w:pPr>
    </w:p>
    <w:p>
      <w:pPr>
        <w:spacing w:after="0" w:line="2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5"/>
        <w:spacing w:after="0"/>
        <w:rPr>
          <w:sz w:val="20"/>
          <w:szCs w:val="20"/>
          <w:color w:val="auto"/>
        </w:rPr>
      </w:pPr>
      <w:r>
        <w:rPr>
          <w:rFonts w:ascii="Arial" w:cs="Arial" w:eastAsia="Arial" w:hAnsi="Arial"/>
          <w:sz w:val="16"/>
          <w:szCs w:val="16"/>
          <w:b w:val="1"/>
          <w:bCs w:val="1"/>
          <w:i w:val="1"/>
          <w:iCs w:val="1"/>
          <w:color w:val="auto"/>
        </w:rPr>
        <w:t>SUNOSI</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SUNOSI is the first and only dopamine and norepinephrine reuptake inhibitor approved for the treatment of excessive daytime sleepiness in narcolepsy or obstructive sleep apnea.</w:t>
      </w:r>
    </w:p>
    <w:p>
      <w:pPr>
        <w:spacing w:after="0" w:line="122" w:lineRule="exact"/>
        <w:rPr>
          <w:sz w:val="20"/>
          <w:szCs w:val="20"/>
          <w:color w:val="auto"/>
        </w:rPr>
      </w:pPr>
    </w:p>
    <w:p>
      <w:pPr>
        <w:ind w:left="365"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50,000 prescriptions were written for SUNOSI in the U.S. in the second quarter of 2025, representing an increase of 13% compared to the same period in 2024, and an increase of 9% compared to the first quarter of 2025.</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SUNOSI across all channels is at approximately 83% of all lives covered. The proportion of lives covered for SUNOSI in the commercial and government channels are approximately 95% and 60%, respectively.</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102" w:lineRule="exact"/>
        <w:rPr>
          <w:sz w:val="20"/>
          <w:szCs w:val="20"/>
          <w:color w:val="auto"/>
        </w:rPr>
      </w:pPr>
    </w:p>
    <w:p>
      <w:pPr>
        <w:ind w:left="5" w:right="20"/>
        <w:spacing w:after="0" w:line="290" w:lineRule="auto"/>
        <w:rPr>
          <w:sz w:val="20"/>
          <w:szCs w:val="20"/>
          <w:color w:val="auto"/>
        </w:rPr>
      </w:pPr>
      <w:r>
        <w:rPr>
          <w:rFonts w:ascii="Arial" w:cs="Arial" w:eastAsia="Arial" w:hAnsi="Arial"/>
          <w:sz w:val="16"/>
          <w:szCs w:val="16"/>
          <w:color w:val="auto"/>
        </w:rPr>
        <w:t>SYMBRAVO is a novel, oral, rapidly absorbed, multi-mechanistic, selective COX-2 inhibitor and 5-HT</w:t>
      </w:r>
      <w:r>
        <w:rPr>
          <w:rFonts w:ascii="Arial" w:cs="Arial" w:eastAsia="Arial" w:hAnsi="Arial"/>
          <w:sz w:val="21"/>
          <w:szCs w:val="21"/>
          <w:color w:val="auto"/>
          <w:vertAlign w:val="subscript"/>
        </w:rPr>
        <w:t>1B/1D</w:t>
      </w:r>
      <w:r>
        <w:rPr>
          <w:rFonts w:ascii="Arial" w:cs="Arial" w:eastAsia="Arial" w:hAnsi="Arial"/>
          <w:sz w:val="16"/>
          <w:szCs w:val="16"/>
          <w:color w:val="auto"/>
        </w:rPr>
        <w:t xml:space="preserve"> agonist approved in the U.S. for the acute treatment of migraine with or without aura in adults.</w:t>
      </w:r>
    </w:p>
    <w:p>
      <w:pPr>
        <w:spacing w:after="0" w:line="75" w:lineRule="exact"/>
        <w:rPr>
          <w:sz w:val="20"/>
          <w:szCs w:val="20"/>
          <w:color w:val="auto"/>
        </w:rPr>
      </w:pPr>
    </w:p>
    <w:p>
      <w:pPr>
        <w:ind w:left="365"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SYMBRAVO became commercially available in U.S. pharmacies on June 10, 2025. Our SYMBRAVO field force is actively engaging healthcare providers to provide comprehensive education on SYMBRAVO.</w:t>
      </w:r>
    </w:p>
    <w:p>
      <w:pPr>
        <w:spacing w:after="0" w:line="109"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Effective July 1, Axsome has contracted with one of the three largest group purchasing organizations (GPOs) for potential formulary coverage of SYMBRAVO. Pharmacy benefit managers and health plans under this GPO are now able to make coverage decisions for SYMBRAVO based on the contracted terms.</w:t>
      </w:r>
    </w:p>
    <w:p>
      <w:pPr>
        <w:spacing w:after="0" w:line="133"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SYMBRAVO across all channels is currently at approximately 38% of all lives covered. The proportion of lives covered in the commercial and government (Medicare and Medicaid) channels are currently approximately 26% and 56%, respectively.</w:t>
      </w:r>
    </w:p>
    <w:p>
      <w:pPr>
        <w:spacing w:after="0" w:line="109"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Axsome’s comprehensive patient support services, through the SYMBRAVO On My Side program, are operational and performing as planned. These include the SYMBRAVO On My Side Savings Card to reduce out-of-pocket expenses for commercially insured eligible patients who qualify, educational resources and tools for patients to facilitate discussions with their healthcare providers, and HCP samples.</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Development Pipeline</w:t>
      </w:r>
    </w:p>
    <w:p>
      <w:pPr>
        <w:spacing w:after="0" w:line="161"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Axsome is advancing an industry-leading neuroscience pipeline of innovative, late-stage, product candidates addressing serious psychiatric and neurological conditions. Recent and anticipated progress for key pipeline programs is summarized below.</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AXS-05</w:t>
      </w:r>
    </w:p>
    <w:p>
      <w:pPr>
        <w:spacing w:after="0" w:line="147" w:lineRule="exact"/>
        <w:rPr>
          <w:sz w:val="20"/>
          <w:szCs w:val="20"/>
          <w:color w:val="auto"/>
        </w:rPr>
      </w:pPr>
    </w:p>
    <w:p>
      <w:pPr>
        <w:jc w:val="both"/>
        <w:ind w:left="5"/>
        <w:spacing w:after="0" w:line="246" w:lineRule="auto"/>
        <w:rPr>
          <w:sz w:val="20"/>
          <w:szCs w:val="20"/>
          <w:color w:val="auto"/>
        </w:rPr>
      </w:pPr>
      <w:r>
        <w:rPr>
          <w:rFonts w:ascii="Arial" w:cs="Arial" w:eastAsia="Arial" w:hAnsi="Arial"/>
          <w:sz w:val="16"/>
          <w:szCs w:val="16"/>
          <w:color w:val="auto"/>
        </w:rPr>
        <w:t>AXS-05 (dextromethorphan-bupropion) is Axsome’s novel, oral, investigational N-methyl-D-aspartate (NMDA) receptor antagonist, sigma-1 agonist, and aminoketone CYP2D6 inhibitor being developed for the treatment of Alzheimer’s disease (AD) agitation and smoking cessation. AXS-05 has been granted FDA Breakthrough Therapy designation for AD agitation.</w:t>
      </w:r>
    </w:p>
    <w:p>
      <w:pPr>
        <w:spacing w:after="0" w:line="130" w:lineRule="exact"/>
        <w:rPr>
          <w:sz w:val="20"/>
          <w:szCs w:val="20"/>
          <w:color w:val="auto"/>
        </w:rPr>
      </w:pPr>
    </w:p>
    <w:p>
      <w:pPr>
        <w:ind w:left="365" w:right="20" w:hanging="365"/>
        <w:spacing w:after="0" w:line="262" w:lineRule="auto"/>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Alzheimer’s Disease Agitation: </w:t>
      </w:r>
      <w:r>
        <w:rPr>
          <w:rFonts w:ascii="Arial" w:cs="Arial" w:eastAsia="Arial" w:hAnsi="Arial"/>
          <w:sz w:val="16"/>
          <w:szCs w:val="16"/>
          <w:color w:val="auto"/>
        </w:rPr>
        <w:t>Activities for the submission of the Company’s supplemental New Drug Application (sNDA) for AXS-05 in AD agitation are</w:t>
      </w:r>
      <w:r>
        <w:rPr>
          <w:rFonts w:ascii="Arial" w:cs="Arial" w:eastAsia="Arial" w:hAnsi="Arial"/>
          <w:sz w:val="16"/>
          <w:szCs w:val="16"/>
          <w:b w:val="1"/>
          <w:bCs w:val="1"/>
          <w:color w:val="auto"/>
        </w:rPr>
        <w:t xml:space="preserve"> </w:t>
      </w:r>
      <w:r>
        <w:rPr>
          <w:rFonts w:ascii="Arial" w:cs="Arial" w:eastAsia="Arial" w:hAnsi="Arial"/>
          <w:sz w:val="16"/>
          <w:szCs w:val="16"/>
          <w:color w:val="auto"/>
        </w:rPr>
        <w:t>progressing. Axsome is on track to submit the sNDA to the FDA in the third quarter of 2025.</w:t>
      </w:r>
    </w:p>
    <w:p>
      <w:pPr>
        <w:spacing w:after="0" w:line="10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Axsome plans to initiate a pivotal Phase 2/3 trial of AXS-05 in smoking cessation in the fourth quarter of 2025.</w:t>
      </w:r>
    </w:p>
    <w:p>
      <w:pPr>
        <w:spacing w:after="0" w:line="200" w:lineRule="exact"/>
        <w:rPr>
          <w:sz w:val="20"/>
          <w:szCs w:val="20"/>
          <w:color w:val="auto"/>
        </w:rPr>
      </w:pPr>
    </w:p>
    <w:p>
      <w:pPr>
        <w:spacing w:after="0" w:line="33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ind w:left="5"/>
        <w:spacing w:after="0"/>
        <w:rPr>
          <w:sz w:val="20"/>
          <w:szCs w:val="20"/>
          <w:color w:val="auto"/>
        </w:rPr>
      </w:pPr>
      <w:r>
        <w:rPr>
          <w:rFonts w:ascii="Arial" w:cs="Arial" w:eastAsia="Arial" w:hAnsi="Arial"/>
          <w:sz w:val="16"/>
          <w:szCs w:val="16"/>
          <w:b w:val="1"/>
          <w:bCs w:val="1"/>
          <w:i w:val="1"/>
          <w:iCs w:val="1"/>
          <w:color w:val="auto"/>
        </w:rPr>
        <w:t>Solriamfetol</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color w:val="auto"/>
        </w:rPr>
        <w:t>Solriamfetol is Axsome’s dopamine and norepinephrine reuptake inhibitor (DNRI), TAAR1 agonist, and 5-HT</w:t>
      </w:r>
      <w:r>
        <w:rPr>
          <w:rFonts w:ascii="Arial" w:cs="Arial" w:eastAsia="Arial" w:hAnsi="Arial"/>
          <w:sz w:val="21"/>
          <w:szCs w:val="21"/>
          <w:color w:val="auto"/>
          <w:vertAlign w:val="subscript"/>
        </w:rPr>
        <w:t>1A</w:t>
      </w:r>
      <w:r>
        <w:rPr>
          <w:rFonts w:ascii="Arial" w:cs="Arial" w:eastAsia="Arial" w:hAnsi="Arial"/>
          <w:sz w:val="16"/>
          <w:szCs w:val="16"/>
          <w:color w:val="auto"/>
        </w:rPr>
        <w:t xml:space="preserve"> agonist being developed for the treatment of</w:t>
      </w:r>
    </w:p>
    <w:p>
      <w:pPr>
        <w:spacing w:after="0" w:line="30" w:lineRule="exact"/>
        <w:rPr>
          <w:sz w:val="20"/>
          <w:szCs w:val="20"/>
          <w:color w:val="auto"/>
        </w:rPr>
      </w:pPr>
    </w:p>
    <w:p>
      <w:pPr>
        <w:ind w:left="5" w:right="20"/>
        <w:spacing w:after="0" w:line="242" w:lineRule="auto"/>
        <w:rPr>
          <w:sz w:val="20"/>
          <w:szCs w:val="20"/>
          <w:color w:val="auto"/>
        </w:rPr>
      </w:pPr>
      <w:r>
        <w:rPr>
          <w:rFonts w:ascii="Arial" w:cs="Arial" w:eastAsia="Arial" w:hAnsi="Arial"/>
          <w:sz w:val="16"/>
          <w:szCs w:val="16"/>
          <w:color w:val="auto"/>
        </w:rPr>
        <w:t>attention deficit hyperactivity disorder (ADHD), major depressive disorder (MDD) with excessive daytime sleepiness (EDS), binge eating disorder (BED), and excessive sleepiness associated with shift work disorder (SWD).</w:t>
      </w:r>
    </w:p>
    <w:p>
      <w:pPr>
        <w:spacing w:after="0" w:line="133" w:lineRule="exact"/>
        <w:rPr>
          <w:sz w:val="20"/>
          <w:szCs w:val="20"/>
          <w:color w:val="auto"/>
        </w:rPr>
      </w:pPr>
    </w:p>
    <w:p>
      <w:pPr>
        <w:ind w:left="365" w:right="20" w:hanging="365"/>
        <w:spacing w:after="0" w:line="241"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Attention Deficit Hyperactivity Disorder: </w:t>
      </w:r>
      <w:r>
        <w:rPr>
          <w:rFonts w:ascii="Arial" w:cs="Arial" w:eastAsia="Arial" w:hAnsi="Arial"/>
          <w:sz w:val="16"/>
          <w:szCs w:val="16"/>
          <w:color w:val="auto"/>
        </w:rPr>
        <w:t>Axsome plans to initiate a Phase 3 trial of solriamfetol in children and adolescents with ADHD in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2025.</w:t>
      </w:r>
    </w:p>
    <w:p>
      <w:pPr>
        <w:jc w:val="both"/>
        <w:ind w:left="365"/>
        <w:spacing w:after="0" w:line="236" w:lineRule="auto"/>
        <w:rPr>
          <w:rFonts w:ascii="Times New Roman" w:cs="Times New Roman" w:eastAsia="Times New Roman" w:hAnsi="Times New Roman"/>
          <w:sz w:val="16"/>
          <w:szCs w:val="16"/>
          <w:color w:val="auto"/>
        </w:rPr>
      </w:pPr>
      <w:r>
        <w:rPr>
          <w:rFonts w:ascii="Arial" w:cs="Arial" w:eastAsia="Arial" w:hAnsi="Arial"/>
          <w:sz w:val="16"/>
          <w:szCs w:val="16"/>
          <w:color w:val="auto"/>
        </w:rPr>
        <w:t>The Company previously announced positive topline results from the FOCUS Phase 3 trial evaluating the efficacy and safety of solriamfetol in ADHD in adults. In the trial, solriamfetol demonstrated rapid, substantial, and statistically significant improvements in ADHD symptoms and overall disease severity compared to placebo. Solriamfetol was safe and well tolerated in the trial, with a side effect profile consistent with the established safety profile of solriamfetol.</w:t>
      </w:r>
    </w:p>
    <w:p>
      <w:pPr>
        <w:spacing w:after="0" w:line="123" w:lineRule="exact"/>
        <w:rPr>
          <w:rFonts w:ascii="Times New Roman" w:cs="Times New Roman" w:eastAsia="Times New Roman" w:hAnsi="Times New Roman"/>
          <w:sz w:val="16"/>
          <w:szCs w:val="16"/>
          <w:color w:val="auto"/>
        </w:rPr>
      </w:pPr>
    </w:p>
    <w:p>
      <w:pPr>
        <w:ind w:left="365" w:right="20" w:hanging="365"/>
        <w:spacing w:after="0" w:line="241"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 Depressive Disorder: </w:t>
      </w:r>
      <w:r>
        <w:rPr>
          <w:rFonts w:ascii="Arial" w:cs="Arial" w:eastAsia="Arial" w:hAnsi="Arial"/>
          <w:sz w:val="16"/>
          <w:szCs w:val="16"/>
          <w:color w:val="auto"/>
        </w:rPr>
        <w:t>Axsome plans to initiate a Phase 3 trial of solriamfetol in MDD patients with excessive daytime sleepiness (EDS) in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2025.</w:t>
      </w:r>
    </w:p>
    <w:p>
      <w:pPr>
        <w:jc w:val="both"/>
        <w:ind w:left="365"/>
        <w:spacing w:after="0" w:line="260" w:lineRule="auto"/>
        <w:rPr>
          <w:rFonts w:ascii="Times New Roman" w:cs="Times New Roman" w:eastAsia="Times New Roman" w:hAnsi="Times New Roman"/>
          <w:sz w:val="16"/>
          <w:szCs w:val="16"/>
          <w:color w:val="auto"/>
        </w:rPr>
      </w:pPr>
      <w:r>
        <w:rPr>
          <w:rFonts w:ascii="Arial" w:cs="Arial" w:eastAsia="Arial" w:hAnsi="Arial"/>
          <w:sz w:val="15"/>
          <w:szCs w:val="15"/>
          <w:color w:val="auto"/>
        </w:rPr>
        <w:t>The Company previously announced topline results from the PARADIGM Phase 3 proof-of-concept trial evaluating the efficacy and safety of solriamfetol in MDD with and without EDS. In the prespecified subgroup of patients with severe EDS, solriamfetol led to numerically greater improvements in depressive symptoms. Solriamfetol was safe and well tolerated in the trial, with a side effect profile consistent with the established safety profile of solriamfetol.</w:t>
      </w:r>
    </w:p>
    <w:p>
      <w:pPr>
        <w:spacing w:after="0" w:line="109"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Binge Eating Disorder: </w:t>
      </w:r>
      <w:r>
        <w:rPr>
          <w:rFonts w:ascii="Arial" w:cs="Arial" w:eastAsia="Arial" w:hAnsi="Arial"/>
          <w:sz w:val="16"/>
          <w:szCs w:val="16"/>
          <w:color w:val="auto"/>
        </w:rPr>
        <w:t>Axsome is conducting the ENGAGE study, a Phase 3, randomized, double-blind, placebo-controlled, multicenter trial evaluating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efficacy and safety of solriamfetol in BED. The Company anticipates topline results from the ENGAGE Phase 3 trial in 2026.</w:t>
      </w:r>
    </w:p>
    <w:p>
      <w:pPr>
        <w:spacing w:after="0" w:line="117"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Shift Work Disorder: </w:t>
      </w:r>
      <w:r>
        <w:rPr>
          <w:rFonts w:ascii="Arial" w:cs="Arial" w:eastAsia="Arial" w:hAnsi="Arial"/>
          <w:sz w:val="16"/>
          <w:szCs w:val="16"/>
          <w:color w:val="auto"/>
        </w:rPr>
        <w:t>Axsome is conducting the SUSTAIN study, a Phase 3, randomized, double-blind, placebo-controlled, multicenter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solriamfetol in SWD in adults. The Company anticipates topline results from the SUSTAIN Phase 3 trial in 2026.</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AXS-12</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spacing w:after="0" w:line="120" w:lineRule="exact"/>
        <w:rPr>
          <w:sz w:val="20"/>
          <w:szCs w:val="20"/>
          <w:color w:val="auto"/>
        </w:rPr>
      </w:pPr>
    </w:p>
    <w:p>
      <w:pPr>
        <w:ind w:left="365" w:hanging="365"/>
        <w:spacing w:after="0"/>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 plans to submit an NDA to the FDA for AXS-12 for the treatment of cataplexy in narcolepsy in the fourth quarter of 2025.</w:t>
      </w:r>
    </w:p>
    <w:p>
      <w:pPr>
        <w:spacing w:after="0" w:line="160" w:lineRule="exact"/>
        <w:rPr>
          <w:sz w:val="20"/>
          <w:szCs w:val="20"/>
          <w:color w:val="auto"/>
        </w:rPr>
      </w:pPr>
    </w:p>
    <w:p>
      <w:pPr>
        <w:jc w:val="both"/>
        <w:ind w:left="365" w:right="20"/>
        <w:spacing w:after="0" w:line="246" w:lineRule="auto"/>
        <w:rPr>
          <w:sz w:val="20"/>
          <w:szCs w:val="20"/>
          <w:color w:val="auto"/>
        </w:rPr>
      </w:pPr>
      <w:r>
        <w:rPr>
          <w:rFonts w:ascii="Arial" w:cs="Arial" w:eastAsia="Arial" w:hAnsi="Arial"/>
          <w:sz w:val="16"/>
          <w:szCs w:val="16"/>
          <w:color w:val="auto"/>
        </w:rPr>
        <w:t>Axsome has completed three controlled Phase 2 and Phase 3 efficacy trials and a long-term safety trial. Across these trials, AXS-12 achieved the primary endpoints and rapidly and substantially reduced cataplexy attacks, improved excessive daytime sleepiness, and improved cognitive function compared to placebo.</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AXS-14</w:t>
      </w:r>
    </w:p>
    <w:p>
      <w:pPr>
        <w:spacing w:after="0" w:line="159"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AXS-14 (esreboxetine) is Axsome’s novel, oral, investigational, highly selective and potent norepinephrine reuptake inhibitor being developed for the management of fibromyalgia. Esreboxetine, the SS-enantiomer of reboxetine, is more potent and selective than racemic reboxetine.</w:t>
      </w:r>
    </w:p>
    <w:p>
      <w:pPr>
        <w:spacing w:after="0" w:line="108" w:lineRule="exact"/>
        <w:rPr>
          <w:sz w:val="20"/>
          <w:szCs w:val="20"/>
          <w:color w:val="auto"/>
        </w:rPr>
      </w:pPr>
    </w:p>
    <w:p>
      <w:pPr>
        <w:ind w:left="365" w:right="20" w:hanging="365"/>
        <w:spacing w:after="0" w:line="262" w:lineRule="auto"/>
        <w:tabs>
          <w:tab w:leader="none" w:pos="36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To address the FDA’s feedback in the previously disclosed Refusal to File (RTF) letter for the Company’s NDA for AXS-14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of fibromyalgia, Axsome plans to initiate a Phase 3, fixed-dose, 12-week trial of AXS-14 in fibromyalgia in the fourth quarter of 2025.</w:t>
      </w:r>
    </w:p>
    <w:p>
      <w:pPr>
        <w:spacing w:after="0" w:line="200" w:lineRule="exact"/>
        <w:rPr>
          <w:sz w:val="20"/>
          <w:szCs w:val="20"/>
          <w:color w:val="auto"/>
        </w:rPr>
      </w:pPr>
    </w:p>
    <w:p>
      <w:pPr>
        <w:spacing w:after="0" w:line="28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7" w:name="page8"/>
    <w:bookmarkEnd w:id="7"/>
    <w:p>
      <w:pPr>
        <w:ind w:left="5"/>
        <w:spacing w:after="0"/>
        <w:rPr>
          <w:sz w:val="20"/>
          <w:szCs w:val="20"/>
          <w:color w:val="auto"/>
        </w:rPr>
      </w:pPr>
      <w:r>
        <w:rPr>
          <w:rFonts w:ascii="Arial" w:cs="Arial" w:eastAsia="Arial" w:hAnsi="Arial"/>
          <w:sz w:val="16"/>
          <w:szCs w:val="16"/>
          <w:b w:val="1"/>
          <w:bCs w:val="1"/>
          <w:color w:val="auto"/>
        </w:rPr>
        <w:t>Corporate Updates</w:t>
      </w:r>
    </w:p>
    <w:p>
      <w:pPr>
        <w:spacing w:after="0" w:line="149" w:lineRule="exact"/>
        <w:rPr>
          <w:sz w:val="20"/>
          <w:szCs w:val="20"/>
          <w:color w:val="auto"/>
        </w:rPr>
      </w:pPr>
    </w:p>
    <w:p>
      <w:pPr>
        <w:jc w:val="both"/>
        <w:ind w:left="365" w:hanging="365"/>
        <w:spacing w:after="0"/>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 May 2025, Axsome announced that it resolved patent litigation with Hetero Labs Ltd. and certain of its affiliates (Hetero) related to Hetero’s Abbreviated New Drug Application (ANDA) for a generic version of SUNOSI. The Company entered into a license and settlement agreement with Hetero, which permits Hetero to begin selling its generic version of SUNOSI on or after September 1, 2040, if pediatric exclusivity is granted, or on or after March 1, 2040, if no pediatric exclusivity is granted, subject to FDA approval and conditions and exceptions customary for agreements of this type.</w:t>
      </w:r>
    </w:p>
    <w:p>
      <w:pPr>
        <w:spacing w:after="0" w:line="138"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In July 2025, the Company hosted its Frontiers in Brain Health R&amp;D Day, featuring presentations from six leading expert clinicians and key opinion leaders who discussed current indications being targeted by Axsome’s late-stage pipeline and highlighted clinical data from the development programs.</w:t>
      </w:r>
    </w:p>
    <w:p>
      <w:pPr>
        <w:spacing w:after="0" w:line="10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Anticipated Milestones</w:t>
      </w:r>
    </w:p>
    <w:p>
      <w:pPr>
        <w:spacing w:after="0" w:line="147" w:lineRule="exact"/>
        <w:rPr>
          <w:sz w:val="20"/>
          <w:szCs w:val="20"/>
          <w:color w:val="auto"/>
        </w:rPr>
      </w:pPr>
    </w:p>
    <w:p>
      <w:pPr>
        <w:ind w:left="365" w:hanging="365"/>
        <w:spacing w:after="0"/>
        <w:tabs>
          <w:tab w:leader="none" w:pos="365"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Regulatory and Commercial:</w:t>
      </w:r>
    </w:p>
    <w:p>
      <w:pPr>
        <w:spacing w:after="0" w:line="172" w:lineRule="exact"/>
        <w:rPr>
          <w:sz w:val="20"/>
          <w:szCs w:val="20"/>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AXS-05 for Alzheimer’s disease agitation, sNDA submission (3Q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AXS-12 for narcolepsy, NDA submission (4Q 2025)</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Topline Results: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ENGAGE trial of solriamfetol in binge eating disorder (2026)</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SUSTAIN trial of solriamfetol in shift work disorder (2026)</w:t>
      </w:r>
    </w:p>
    <w:p>
      <w:pPr>
        <w:spacing w:after="0" w:line="156"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Initiations and Progress:</w:t>
      </w:r>
    </w:p>
    <w:p>
      <w:pPr>
        <w:spacing w:after="0" w:line="172"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Pivotal Phase 2/3 trial of AXS-05 in smoking cessation, initiation (4Q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ADHD in pediatric patients, initiation (4Q 2025)</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MDD with EDS, initiation (4Q 2025)</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AXS-14 in fibromyalgia, initiation (4Q 2025)</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Information</w:t>
      </w:r>
    </w:p>
    <w:p>
      <w:pPr>
        <w:spacing w:after="0" w:line="149" w:lineRule="exact"/>
        <w:rPr>
          <w:sz w:val="20"/>
          <w:szCs w:val="20"/>
          <w:color w:val="auto"/>
        </w:rPr>
      </w:pPr>
    </w:p>
    <w:p>
      <w:pPr>
        <w:jc w:val="both"/>
        <w:ind w:left="5"/>
        <w:spacing w:after="0" w:line="241" w:lineRule="auto"/>
        <w:rPr>
          <w:sz w:val="20"/>
          <w:szCs w:val="20"/>
          <w:color w:val="auto"/>
        </w:rPr>
      </w:pPr>
      <w:r>
        <w:rPr>
          <w:rFonts w:ascii="Arial" w:cs="Arial" w:eastAsia="Arial" w:hAnsi="Arial"/>
          <w:sz w:val="16"/>
          <w:szCs w:val="16"/>
          <w:color w:val="auto"/>
        </w:rPr>
        <w:t>Axsome will host a conference call and webcast today at 8:00 a.m. Eastern Time to discuss its second quarter 2025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Axsome Therapeutics</w:t>
      </w:r>
    </w:p>
    <w:p>
      <w:pPr>
        <w:spacing w:after="0" w:line="149"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0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0"/>
          <w:szCs w:val="20"/>
          <w:color w:val="auto"/>
          <w:vertAlign w:val="superscript"/>
        </w:rPr>
        <w:t>®</w:t>
      </w:r>
      <w:r>
        <w:rPr>
          <w:rFonts w:ascii="Arial" w:cs="Arial" w:eastAsia="Arial" w:hAnsi="Arial"/>
          <w:sz w:val="15"/>
          <w:szCs w:val="15"/>
          <w:color w:val="auto"/>
        </w:rPr>
        <w:t>, AUVELITY</w:t>
      </w:r>
      <w:r>
        <w:rPr>
          <w:rFonts w:ascii="Arial" w:cs="Arial" w:eastAsia="Arial" w:hAnsi="Arial"/>
          <w:sz w:val="20"/>
          <w:szCs w:val="20"/>
          <w:color w:val="auto"/>
          <w:vertAlign w:val="superscript"/>
        </w:rPr>
        <w:t>®</w:t>
      </w:r>
      <w:r>
        <w:rPr>
          <w:rFonts w:ascii="Arial" w:cs="Arial" w:eastAsia="Arial" w:hAnsi="Arial"/>
          <w:sz w:val="15"/>
          <w:szCs w:val="15"/>
          <w:color w:val="auto"/>
        </w:rPr>
        <w:t>, and SYMBRAVO</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color w:val="auto"/>
        </w:rPr>
        <w:t>(In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2"/>
        </w:trPr>
        <w:tc>
          <w:tcPr>
            <w:tcW w:w="2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jc w:val="center"/>
              <w:ind w:right="203"/>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303,016</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198,825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142,001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18,441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536,620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485,064</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43,733</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46,894</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639,785</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120" w:type="dxa"/>
            <w:vAlign w:val="bottom"/>
            <w:shd w:val="clear" w:color="auto" w:fill="CFF0FC"/>
          </w:tcPr>
          <w:p>
            <w:pPr>
              <w:spacing w:after="0"/>
              <w:rPr>
                <w:sz w:val="19"/>
                <w:szCs w:val="19"/>
                <w:color w:val="auto"/>
              </w:rPr>
            </w:pPr>
          </w:p>
        </w:tc>
      </w:tr>
      <w:tr>
        <w:trPr>
          <w:trHeight w:val="165"/>
        </w:trPr>
        <w:tc>
          <w:tcPr>
            <w:tcW w:w="20" w:type="dxa"/>
            <w:vAlign w:val="bottom"/>
          </w:tcPr>
          <w:p>
            <w:pPr>
              <w:spacing w:after="0"/>
              <w:rPr>
                <w:sz w:val="14"/>
                <w:szCs w:val="14"/>
                <w:color w:val="auto"/>
              </w:rPr>
            </w:pPr>
          </w:p>
        </w:tc>
        <w:tc>
          <w:tcPr>
            <w:tcW w:w="770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91,628</w:t>
            </w:r>
          </w:p>
        </w:tc>
        <w:tc>
          <w:tcPr>
            <w:tcW w:w="180" w:type="dxa"/>
            <w:vAlign w:val="bottom"/>
          </w:tcPr>
          <w:p>
            <w:pPr>
              <w:spacing w:after="0"/>
              <w:rPr>
                <w:sz w:val="16"/>
                <w:szCs w:val="16"/>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170,902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147,987</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1"/>
        </w:trPr>
        <w:tc>
          <w:tcPr>
            <w:tcW w:w="20" w:type="dxa"/>
            <w:vAlign w:val="bottom"/>
          </w:tcPr>
          <w:p>
            <w:pPr>
              <w:spacing w:after="0"/>
              <w:rPr>
                <w:sz w:val="15"/>
                <w:szCs w:val="15"/>
                <w:color w:val="auto"/>
              </w:rPr>
            </w:pPr>
          </w:p>
        </w:tc>
        <w:tc>
          <w:tcPr>
            <w:tcW w:w="770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342,099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230,104</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79,655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91,680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117,540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180,710</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566,710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511,483</w:t>
            </w: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8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20" w:type="dxa"/>
            <w:vAlign w:val="bottom"/>
          </w:tcPr>
          <w:p>
            <w:pPr>
              <w:spacing w:after="0"/>
              <w:rPr>
                <w:sz w:val="15"/>
                <w:szCs w:val="15"/>
                <w:color w:val="auto"/>
              </w:rPr>
            </w:pPr>
          </w:p>
        </w:tc>
        <w:tc>
          <w:tcPr>
            <w:tcW w:w="7700" w:type="dxa"/>
            <w:vAlign w:val="bottom"/>
            <w:shd w:val="clear" w:color="auto" w:fill="CFF0FC"/>
          </w:tcPr>
          <w:p>
            <w:pPr>
              <w:ind w:left="120"/>
              <w:spacing w:after="0" w:line="173" w:lineRule="exact"/>
              <w:rPr>
                <w:sz w:val="20"/>
                <w:szCs w:val="20"/>
                <w:color w:val="auto"/>
              </w:rPr>
            </w:pPr>
            <w:r>
              <w:rPr>
                <w:rFonts w:ascii="Times New Roman" w:cs="Times New Roman" w:eastAsia="Times New Roman" w:hAnsi="Times New Roman"/>
                <w:sz w:val="16"/>
                <w:szCs w:val="16"/>
                <w:color w:val="auto"/>
              </w:rPr>
              <w:t>Common stock, $0.0001 par value per share (150,000,000 shares authorized, 49,815,301 and 48,667,587 shares</w:t>
            </w: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issued and outstanding at June 30, 2025 and December 31, 2024, respectively)</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1,303,243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1,179,797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(1,230,173)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(1,122,787)</w:t>
            </w:r>
          </w:p>
        </w:tc>
      </w:tr>
      <w:tr>
        <w:trPr>
          <w:trHeight w:val="181"/>
        </w:trPr>
        <w:tc>
          <w:tcPr>
            <w:tcW w:w="20" w:type="dxa"/>
            <w:vAlign w:val="bottom"/>
          </w:tcPr>
          <w:p>
            <w:pPr>
              <w:spacing w:after="0"/>
              <w:rPr>
                <w:sz w:val="15"/>
                <w:szCs w:val="15"/>
                <w:color w:val="auto"/>
              </w:rPr>
            </w:pPr>
          </w:p>
        </w:tc>
        <w:tc>
          <w:tcPr>
            <w:tcW w:w="770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73,075</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57,015</w:t>
            </w:r>
          </w:p>
        </w:tc>
        <w:tc>
          <w:tcPr>
            <w:tcW w:w="120" w:type="dxa"/>
            <w:vAlign w:val="bottom"/>
            <w:tcBorders>
              <w:top w:val="single" w:sz="8" w:color="CFF0FC"/>
            </w:tcBorders>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shd w:val="clear" w:color="auto" w:fill="CFF0FC"/>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639,785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568,498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922"/>
        </w:trPr>
        <w:tc>
          <w:tcPr>
            <w:tcW w:w="7720" w:type="dxa"/>
            <w:vAlign w:val="bottom"/>
            <w:gridSpan w:val="2"/>
          </w:tcPr>
          <w:p>
            <w:pPr>
              <w:jc w:val="right"/>
              <w:ind w:right="1981"/>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-3634105</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-3618865</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-3634105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-3618865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-2162175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-2162175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-1313815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-1313815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-1058545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-1043305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-1058545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-1043305</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Operations (Unaudited)</w:t>
      </w:r>
    </w:p>
    <w:p>
      <w:pPr>
        <w:jc w:val="center"/>
        <w:ind w:right="-4"/>
        <w:spacing w:after="0"/>
        <w:rPr>
          <w:sz w:val="20"/>
          <w:szCs w:val="20"/>
          <w:color w:val="auto"/>
        </w:rPr>
      </w:pPr>
      <w:r>
        <w:rPr>
          <w:rFonts w:ascii="Arial" w:cs="Arial" w:eastAsia="Arial" w:hAnsi="Arial"/>
          <w:sz w:val="16"/>
          <w:szCs w:val="16"/>
          <w:color w:val="auto"/>
        </w:rPr>
        <w:t>(In thousands, except share and per share amounts)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3"/>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382"/>
              <w:spacing w:after="0" w:line="122"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Product sales, net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148,959</w:t>
            </w:r>
          </w:p>
        </w:tc>
        <w:tc>
          <w:tcPr>
            <w:tcW w:w="22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86,520</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269,317</w:t>
            </w:r>
          </w:p>
        </w:tc>
        <w:tc>
          <w:tcPr>
            <w:tcW w:w="240" w:type="dxa"/>
            <w:vAlign w:val="bottom"/>
          </w:tcPr>
          <w:p>
            <w:pPr>
              <w:spacing w:after="0"/>
              <w:rPr>
                <w:sz w:val="16"/>
                <w:szCs w:val="16"/>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Royalty revenue</w:t>
            </w:r>
          </w:p>
        </w:tc>
        <w:tc>
          <w:tcPr>
            <w:tcW w:w="8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150,042</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87,166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271,505</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162,165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49,541</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49,853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94,326</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86,683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130,280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103,554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251,067</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(Gain) in fair value of contingent consideration</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(8,102)</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(6,590)</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186,756</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165,212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365,201</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307,486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(36,714)</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(78,046)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(93,696)</w:t>
            </w:r>
          </w:p>
        </w:tc>
        <w:tc>
          <w:tcPr>
            <w:tcW w:w="260" w:type="dxa"/>
            <w:vAlign w:val="bottom"/>
          </w:tcPr>
          <w:p>
            <w:pPr>
              <w:spacing w:after="0"/>
              <w:rPr>
                <w:sz w:val="15"/>
                <w:szCs w:val="15"/>
                <w:color w:val="auto"/>
              </w:rPr>
            </w:pPr>
          </w:p>
        </w:tc>
        <w:tc>
          <w:tcPr>
            <w:tcW w:w="10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(145,321)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(1,834)</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(4,265)</w:t>
            </w:r>
          </w:p>
        </w:tc>
        <w:tc>
          <w:tcPr>
            <w:tcW w:w="2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(10,385)</w:t>
            </w: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(10,385)</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(48,933)</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(79,345)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(108,346)</w:t>
            </w: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(147,702)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benefit</w:t>
            </w:r>
          </w:p>
        </w:tc>
        <w:tc>
          <w:tcPr>
            <w:tcW w:w="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112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(47,973)</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00"/>
              <w:spacing w:after="0" w:line="181" w:lineRule="exact"/>
              <w:rPr>
                <w:sz w:val="20"/>
                <w:szCs w:val="20"/>
                <w:color w:val="auto"/>
              </w:rPr>
            </w:pPr>
            <w:r>
              <w:rPr>
                <w:rFonts w:ascii="Times New Roman" w:cs="Times New Roman" w:eastAsia="Times New Roman" w:hAnsi="Times New Roman"/>
                <w:sz w:val="16"/>
                <w:szCs w:val="16"/>
                <w:color w:val="auto"/>
              </w:rPr>
              <w:t>(79,345)</w:t>
            </w:r>
          </w:p>
        </w:tc>
        <w:tc>
          <w:tcPr>
            <w:tcW w:w="340" w:type="dxa"/>
            <w:vAlign w:val="bottom"/>
            <w:gridSpan w:val="2"/>
            <w:shd w:val="clear" w:color="auto" w:fill="CFF0FC"/>
          </w:tcPr>
          <w:p>
            <w:pPr>
              <w:jc w:val="right"/>
              <w:ind w:right="1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80"/>
              <w:spacing w:after="0" w:line="181" w:lineRule="exact"/>
              <w:rPr>
                <w:sz w:val="20"/>
                <w:szCs w:val="20"/>
                <w:color w:val="auto"/>
              </w:rPr>
            </w:pPr>
            <w:r>
              <w:rPr>
                <w:rFonts w:ascii="Times New Roman" w:cs="Times New Roman" w:eastAsia="Times New Roman" w:hAnsi="Times New Roman"/>
                <w:sz w:val="16"/>
                <w:szCs w:val="16"/>
                <w:color w:val="auto"/>
              </w:rPr>
              <w:t>(107,386)</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(147,702)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vMerge w:val="continue"/>
          </w:tcPr>
          <w:p>
            <w:pPr>
              <w:spacing w:after="0"/>
              <w:rPr>
                <w:sz w:val="14"/>
                <w:szCs w:val="14"/>
                <w:color w:val="auto"/>
              </w:rPr>
            </w:pPr>
          </w:p>
        </w:tc>
        <w:tc>
          <w:tcPr>
            <w:tcW w:w="49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1120" w:type="dxa"/>
            <w:vAlign w:val="bottom"/>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(0.97)</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00"/>
              <w:spacing w:after="0" w:line="165" w:lineRule="exact"/>
              <w:rPr>
                <w:sz w:val="20"/>
                <w:szCs w:val="20"/>
                <w:color w:val="auto"/>
              </w:rPr>
            </w:pPr>
            <w:r>
              <w:rPr>
                <w:rFonts w:ascii="Times New Roman" w:cs="Times New Roman" w:eastAsia="Times New Roman" w:hAnsi="Times New Roman"/>
                <w:sz w:val="16"/>
                <w:szCs w:val="16"/>
                <w:color w:val="auto"/>
              </w:rPr>
              <w:t>(1.67)</w:t>
            </w:r>
          </w:p>
        </w:tc>
        <w:tc>
          <w:tcPr>
            <w:tcW w:w="340" w:type="dxa"/>
            <w:vAlign w:val="bottom"/>
            <w:gridSpan w:val="2"/>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(2.18)</w:t>
            </w:r>
          </w:p>
        </w:tc>
        <w:tc>
          <w:tcPr>
            <w:tcW w:w="260" w:type="dxa"/>
            <w:vAlign w:val="bottom"/>
          </w:tcPr>
          <w:p>
            <w:pPr>
              <w:jc w:val="right"/>
              <w:ind w:right="1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80"/>
              <w:spacing w:after="0" w:line="165" w:lineRule="exact"/>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tcBorders>
              <w:bottom w:val="single" w:sz="8" w:color="CFF0FC"/>
            </w:tcBorders>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8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49,442,001</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47,573,229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49,158,159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65" w:lineRule="exact"/>
              <w:rPr>
                <w:sz w:val="20"/>
                <w:szCs w:val="20"/>
                <w:color w:val="auto"/>
              </w:rPr>
            </w:pPr>
            <w:r>
              <w:rPr>
                <w:rFonts w:ascii="Times New Roman" w:cs="Times New Roman" w:eastAsia="Times New Roman" w:hAnsi="Times New Roman"/>
                <w:sz w:val="16"/>
                <w:szCs w:val="16"/>
                <w:color w:val="auto"/>
              </w:rPr>
              <w:t>47,482,602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-2034540</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-2034540</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-2034540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-2034540</wp:posOffset>
            </wp:positionV>
            <wp:extent cx="749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-1050925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-1050925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-1050925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-1050925</wp:posOffset>
            </wp:positionV>
            <wp:extent cx="749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-307340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-292100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-307340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-292100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-307340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-292100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-307340</wp:posOffset>
            </wp:positionV>
            <wp:extent cx="7493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-292100</wp:posOffset>
            </wp:positionV>
            <wp:extent cx="7493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-21590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-6985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-21590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-6985</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-21590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-6985</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-21590</wp:posOffset>
            </wp:positionV>
            <wp:extent cx="749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-6985</wp:posOffset>
            </wp:positionV>
            <wp:extent cx="749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14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Mark Jacobson</w:t>
      </w:r>
    </w:p>
    <w:p>
      <w:pPr>
        <w:ind w:left="5"/>
        <w:spacing w:after="0" w:line="231" w:lineRule="auto"/>
        <w:rPr>
          <w:sz w:val="20"/>
          <w:szCs w:val="20"/>
          <w:color w:val="auto"/>
        </w:rPr>
      </w:pPr>
      <w:r>
        <w:rPr>
          <w:rFonts w:ascii="Arial" w:cs="Arial" w:eastAsia="Arial" w:hAnsi="Arial"/>
          <w:sz w:val="16"/>
          <w:szCs w:val="16"/>
          <w:color w:val="auto"/>
        </w:rPr>
        <w:t>Chief Operating Officer</w:t>
      </w:r>
    </w:p>
    <w:p>
      <w:pPr>
        <w:ind w:left="5" w:right="9440" w:hanging="5"/>
        <w:spacing w:after="0" w:line="274" w:lineRule="auto"/>
        <w:tabs>
          <w:tab w:leader="none" w:pos="417" w:val="left"/>
        </w:tabs>
        <w:numPr>
          <w:ilvl w:val="0"/>
          <w:numId w:val="15"/>
        </w:numPr>
        <w:rPr>
          <w:rFonts w:ascii="Arial" w:cs="Arial" w:eastAsia="Arial" w:hAnsi="Arial"/>
          <w:sz w:val="15"/>
          <w:szCs w:val="15"/>
          <w:color w:val="auto"/>
        </w:rPr>
      </w:pPr>
      <w:r>
        <w:rPr>
          <w:rFonts w:ascii="Arial" w:cs="Arial" w:eastAsia="Arial" w:hAnsi="Arial"/>
          <w:sz w:val="15"/>
          <w:szCs w:val="15"/>
          <w:color w:val="auto"/>
        </w:rPr>
        <w:t>332-3243 mjacobson@axsome.com</w:t>
      </w:r>
    </w:p>
    <w:p>
      <w:pPr>
        <w:spacing w:after="0" w:line="9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8" w:lineRule="auto"/>
        <w:rPr>
          <w:sz w:val="20"/>
          <w:szCs w:val="20"/>
          <w:color w:val="auto"/>
        </w:rPr>
      </w:pPr>
      <w:r>
        <w:rPr>
          <w:rFonts w:ascii="Arial" w:cs="Arial" w:eastAsia="Arial" w:hAnsi="Arial"/>
          <w:sz w:val="16"/>
          <w:szCs w:val="16"/>
          <w:color w:val="auto"/>
        </w:rPr>
        <w:t>Director, Corporate Communications</w:t>
      </w:r>
    </w:p>
    <w:p>
      <w:pPr>
        <w:ind w:left="5" w:right="9660" w:hanging="5"/>
        <w:spacing w:after="0" w:line="274" w:lineRule="auto"/>
        <w:tabs>
          <w:tab w:leader="none" w:pos="417" w:val="left"/>
        </w:tabs>
        <w:numPr>
          <w:ilvl w:val="0"/>
          <w:numId w:val="16"/>
        </w:numPr>
        <w:rPr>
          <w:rFonts w:ascii="Arial" w:cs="Arial" w:eastAsia="Arial" w:hAnsi="Arial"/>
          <w:sz w:val="15"/>
          <w:szCs w:val="15"/>
          <w:color w:val="auto"/>
        </w:rPr>
      </w:pPr>
      <w:r>
        <w:rPr>
          <w:rFonts w:ascii="Arial" w:cs="Arial" w:eastAsia="Arial" w:hAnsi="Arial"/>
          <w:sz w:val="15"/>
          <w:szCs w:val="15"/>
          <w:color w:val="auto"/>
        </w:rPr>
        <w:t>837-1065 dopland@axsome.com</w:t>
      </w: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lvl w:ilvl="1">
      <w:lvlJc w:val="left"/>
      <w:lvlText w:val="o"/>
      <w:numFmt w:val="bullet"/>
      <w:start w:val="1"/>
    </w:lvl>
  </w:abstractNum>
  <w:abstractNum w:abstractNumId="14">
    <w:nsid w:val="41A7C4C9"/>
    <w:multiLevelType w:val="hybridMultilevel"/>
    <w:lvl w:ilvl="0">
      <w:lvlJc w:val="left"/>
      <w:lvlText w:val="(%1)"/>
      <w:numFmt w:val="decimal"/>
      <w:start w:val="212"/>
    </w:lvl>
  </w:abstractNum>
  <w:abstractNum w:abstractNumId="15">
    <w:nsid w:val="6B68079A"/>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2025-08-04T06:47:12Z</dcterms:created>
  <dcterms:modified xsi:type="dcterms:W3CDTF">2025-08-04T06:47:12Z</dcterms:modified>
</cp:coreProperties>
</file>