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ind w:right="20"/>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55880</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41" w:lineRule="exact"/>
        <w:rPr>
          <w:sz w:val="24"/>
          <w:szCs w:val="24"/>
          <w:color w:val="auto"/>
        </w:rPr>
      </w:pPr>
    </w:p>
    <w:p>
      <w:pPr>
        <w:ind w:left="880" w:hanging="180"/>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fiscal year ended December 31, 2018</w:t>
      </w:r>
    </w:p>
    <w:p>
      <w:pPr>
        <w:ind w:left="5080"/>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520"/>
        <w:spacing w:after="0" w:line="207" w:lineRule="exact"/>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68580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AXSOME THERAPEUTICS, INC.</w:t>
      </w: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7"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4040" w:type="dxa"/>
            <w:vAlign w:val="bottom"/>
          </w:tcPr>
          <w:p>
            <w:pPr>
              <w:jc w:val="center"/>
              <w:ind w:right="1678"/>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21"/>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4040" w:type="dxa"/>
            <w:vAlign w:val="bottom"/>
          </w:tcPr>
          <w:p>
            <w:pPr>
              <w:jc w:val="center"/>
              <w:ind w:right="1698"/>
              <w:spacing w:after="0" w:line="135" w:lineRule="exact"/>
              <w:rPr>
                <w:sz w:val="20"/>
                <w:szCs w:val="20"/>
                <w:color w:val="auto"/>
              </w:rPr>
            </w:pPr>
            <w:r>
              <w:rPr>
                <w:rFonts w:ascii="Arial" w:cs="Arial" w:eastAsia="Arial" w:hAnsi="Arial"/>
                <w:sz w:val="14"/>
                <w:szCs w:val="14"/>
                <w:color w:val="auto"/>
                <w:w w:val="94"/>
              </w:rPr>
              <w:t>(State or other jurisdiction of</w:t>
            </w:r>
          </w:p>
        </w:tc>
        <w:tc>
          <w:tcPr>
            <w:tcW w:w="2820" w:type="dxa"/>
            <w:vAlign w:val="bottom"/>
          </w:tcPr>
          <w:p>
            <w:pPr>
              <w:jc w:val="center"/>
              <w:ind w:left="1681"/>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4040" w:type="dxa"/>
            <w:vAlign w:val="bottom"/>
          </w:tcPr>
          <w:p>
            <w:pPr>
              <w:jc w:val="center"/>
              <w:ind w:right="1698"/>
              <w:spacing w:after="0"/>
              <w:rPr>
                <w:sz w:val="20"/>
                <w:szCs w:val="20"/>
                <w:color w:val="auto"/>
              </w:rPr>
            </w:pPr>
            <w:r>
              <w:rPr>
                <w:rFonts w:ascii="Arial" w:cs="Arial" w:eastAsia="Arial" w:hAnsi="Arial"/>
                <w:sz w:val="14"/>
                <w:szCs w:val="14"/>
                <w:color w:val="auto"/>
                <w:w w:val="95"/>
              </w:rPr>
              <w:t>incorporation or organization)</w:t>
            </w:r>
          </w:p>
        </w:tc>
        <w:tc>
          <w:tcPr>
            <w:tcW w:w="2820" w:type="dxa"/>
            <w:vAlign w:val="bottom"/>
          </w:tcPr>
          <w:p>
            <w:pPr>
              <w:jc w:val="center"/>
              <w:ind w:left="1681"/>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96"/>
        </w:trPr>
        <w:tc>
          <w:tcPr>
            <w:tcW w:w="4040" w:type="dxa"/>
            <w:vAlign w:val="bottom"/>
          </w:tcPr>
          <w:p>
            <w:pPr>
              <w:jc w:val="center"/>
              <w:ind w:right="1698"/>
              <w:spacing w:after="0" w:line="196" w:lineRule="exact"/>
              <w:rPr>
                <w:sz w:val="20"/>
                <w:szCs w:val="20"/>
                <w:color w:val="auto"/>
              </w:rPr>
            </w:pPr>
            <w:r>
              <w:rPr>
                <w:rFonts w:ascii="Arial" w:cs="Arial" w:eastAsia="Arial" w:hAnsi="Arial"/>
                <w:sz w:val="18"/>
                <w:szCs w:val="18"/>
                <w:b w:val="1"/>
                <w:bCs w:val="1"/>
                <w:color w:val="auto"/>
                <w:w w:val="91"/>
              </w:rPr>
              <w:t>25 Broadway</w:t>
            </w:r>
          </w:p>
        </w:tc>
        <w:tc>
          <w:tcPr>
            <w:tcW w:w="2820" w:type="dxa"/>
            <w:vAlign w:val="bottom"/>
            <w:vMerge w:val="restart"/>
          </w:tcPr>
          <w:p>
            <w:pPr>
              <w:jc w:val="right"/>
              <w:ind w:right="221"/>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4040" w:type="dxa"/>
            <w:vAlign w:val="bottom"/>
          </w:tcPr>
          <w:p>
            <w:pPr>
              <w:jc w:val="center"/>
              <w:ind w:right="1678"/>
              <w:spacing w:after="0" w:line="176" w:lineRule="exact"/>
              <w:rPr>
                <w:sz w:val="20"/>
                <w:szCs w:val="20"/>
                <w:color w:val="auto"/>
              </w:rPr>
            </w:pPr>
            <w:r>
              <w:rPr>
                <w:rFonts w:ascii="Arial" w:cs="Arial" w:eastAsia="Arial" w:hAnsi="Arial"/>
                <w:sz w:val="18"/>
                <w:szCs w:val="18"/>
                <w:b w:val="1"/>
                <w:bCs w:val="1"/>
                <w:color w:val="auto"/>
                <w:w w:val="94"/>
              </w:rPr>
              <w:t>9</w:t>
            </w:r>
            <w:r>
              <w:rPr>
                <w:rFonts w:ascii="Arial" w:cs="Arial" w:eastAsia="Arial" w:hAnsi="Arial"/>
                <w:sz w:val="8"/>
                <w:szCs w:val="8"/>
                <w:b w:val="1"/>
                <w:bCs w:val="1"/>
                <w:color w:val="auto"/>
                <w:w w:val="94"/>
              </w:rPr>
              <w:t>th</w:t>
            </w:r>
            <w:r>
              <w:rPr>
                <w:rFonts w:ascii="Arial" w:cs="Arial" w:eastAsia="Arial" w:hAnsi="Arial"/>
                <w:sz w:val="18"/>
                <w:szCs w:val="18"/>
                <w:b w:val="1"/>
                <w:bCs w:val="1"/>
                <w:color w:val="auto"/>
                <w:w w:val="94"/>
              </w:rPr>
              <w:t xml:space="preserve"> Floor</w:t>
            </w: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jc w:val="center"/>
              <w:ind w:right="169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820" w:type="dxa"/>
            <w:vAlign w:val="bottom"/>
          </w:tcPr>
          <w:p>
            <w:pPr>
              <w:jc w:val="center"/>
              <w:ind w:left="1701"/>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4040" w:type="dxa"/>
            <w:vAlign w:val="bottom"/>
          </w:tcPr>
          <w:p>
            <w:pPr>
              <w:jc w:val="center"/>
              <w:ind w:right="1678"/>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7"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400"/>
          </w:cols>
          <w:pgMar w:left="760" w:top="220" w:right="739" w:bottom="1440" w:gutter="0" w:footer="0" w:header="0"/>
        </w:sectPr>
      </w:pPr>
    </w:p>
    <w:p>
      <w:pPr>
        <w:spacing w:after="0" w:line="13" w:lineRule="exact"/>
        <w:rPr>
          <w:sz w:val="24"/>
          <w:szCs w:val="24"/>
          <w:color w:val="auto"/>
        </w:rPr>
      </w:pPr>
    </w:p>
    <w:p>
      <w:pPr>
        <w:jc w:val="center"/>
        <w:ind w:right="500"/>
        <w:spacing w:after="0"/>
        <w:rPr>
          <w:sz w:val="20"/>
          <w:szCs w:val="20"/>
          <w:color w:val="auto"/>
        </w:rPr>
      </w:pPr>
      <w:r>
        <w:rPr>
          <w:rFonts w:ascii="Arial" w:cs="Arial" w:eastAsia="Arial" w:hAnsi="Arial"/>
          <w:sz w:val="12"/>
          <w:szCs w:val="12"/>
          <w:color w:val="auto"/>
        </w:rPr>
        <w:t>Common Stock, Par Value $0.0001 Per Share</w:t>
      </w:r>
    </w:p>
    <w:p>
      <w:pPr>
        <w:jc w:val="center"/>
        <w:ind w:right="5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jc w:val="center"/>
        <w:ind w:right="1220"/>
        <w:spacing w:after="0" w:line="225" w:lineRule="auto"/>
        <w:rPr>
          <w:sz w:val="20"/>
          <w:szCs w:val="20"/>
          <w:color w:val="auto"/>
        </w:rPr>
      </w:pPr>
      <w:r>
        <w:rPr>
          <w:rFonts w:ascii="Arial" w:cs="Arial" w:eastAsia="Arial" w:hAnsi="Arial"/>
          <w:sz w:val="14"/>
          <w:szCs w:val="14"/>
          <w:color w:val="auto"/>
        </w:rPr>
        <w:t>Nasdaq Global Market</w:t>
      </w:r>
    </w:p>
    <w:p>
      <w:pPr>
        <w:jc w:val="center"/>
        <w:ind w:right="1220"/>
        <w:spacing w:after="0"/>
        <w:rPr>
          <w:sz w:val="20"/>
          <w:szCs w:val="20"/>
          <w:color w:val="auto"/>
        </w:rPr>
      </w:pPr>
      <w:r>
        <w:rPr>
          <w:rFonts w:ascii="Arial" w:cs="Arial" w:eastAsia="Arial" w:hAnsi="Arial"/>
          <w:sz w:val="13"/>
          <w:szCs w:val="13"/>
          <w:color w:val="auto"/>
        </w:rPr>
        <w:t>(Name of Each Exchange on Which Registered)</w:t>
      </w:r>
    </w:p>
    <w:p>
      <w:pPr>
        <w:spacing w:after="0" w:line="129" w:lineRule="exact"/>
        <w:rPr>
          <w:sz w:val="24"/>
          <w:szCs w:val="24"/>
          <w:color w:val="auto"/>
        </w:rPr>
      </w:pPr>
    </w:p>
    <w:p>
      <w:pPr>
        <w:sectPr>
          <w:pgSz w:w="11900" w:h="16838" w:orient="portrait"/>
          <w:cols w:equalWidth="0" w:num="2">
            <w:col w:w="5680" w:space="720"/>
            <w:col w:w="4000"/>
          </w:cols>
          <w:pgMar w:left="760" w:top="220" w:right="7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spacing w:after="0"/>
        <w:rPr>
          <w:sz w:val="20"/>
          <w:szCs w:val="20"/>
          <w:color w:val="auto"/>
        </w:rPr>
      </w:pPr>
      <w:r>
        <w:rPr>
          <w:rFonts w:ascii="Arial" w:cs="Arial" w:eastAsia="Arial" w:hAnsi="Arial"/>
          <w:sz w:val="14"/>
          <w:szCs w:val="14"/>
          <w:color w:val="auto"/>
        </w:rPr>
        <w:t>None</w:t>
      </w:r>
    </w:p>
    <w:p>
      <w:pPr>
        <w:spacing w:after="0" w:line="2" w:lineRule="exact"/>
        <w:rPr>
          <w:sz w:val="24"/>
          <w:szCs w:val="24"/>
          <w:color w:val="auto"/>
        </w:rPr>
      </w:pPr>
    </w:p>
    <w:p>
      <w:pPr>
        <w:ind w:left="6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6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left="6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6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 w:lineRule="exact"/>
        <w:rPr>
          <w:sz w:val="24"/>
          <w:szCs w:val="24"/>
          <w:color w:val="auto"/>
        </w:rPr>
      </w:pPr>
    </w:p>
    <w:p>
      <w:pPr>
        <w:ind w:right="20" w:firstLine="648"/>
        <w:spacing w:after="0" w:line="15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400" w:firstLine="648"/>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520" w:firstLine="648"/>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ind w:firstLine="648"/>
        <w:spacing w:after="0" w:line="220"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 and “emerging growth company” in Rule 12b-2 of the Exchange Act). (Check one):</w:t>
      </w:r>
    </w:p>
    <w:p>
      <w:pPr>
        <w:sectPr>
          <w:pgSz w:w="11900" w:h="16838" w:orient="portrait"/>
          <w:cols w:equalWidth="0" w:num="1">
            <w:col w:w="10400"/>
          </w:cols>
          <w:pgMar w:left="760" w:top="220" w:right="739" w:bottom="1440" w:gutter="0" w:footer="0" w:header="0"/>
          <w:type w:val="continuous"/>
        </w:sectPr>
      </w:pPr>
    </w:p>
    <w:p>
      <w:pPr>
        <w:ind w:left="20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9" w:lineRule="exact"/>
        <w:rPr>
          <w:sz w:val="24"/>
          <w:szCs w:val="24"/>
          <w:color w:val="auto"/>
        </w:rPr>
      </w:pPr>
    </w:p>
    <w:p>
      <w:pPr>
        <w:ind w:left="20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42"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7" w:lineRule="exact"/>
        <w:rPr>
          <w:sz w:val="24"/>
          <w:szCs w:val="24"/>
          <w:color w:val="auto"/>
        </w:rPr>
      </w:pPr>
    </w:p>
    <w:p>
      <w:pPr>
        <w:sectPr>
          <w:pgSz w:w="11900" w:h="16838" w:orient="portrait"/>
          <w:cols w:equalWidth="0" w:num="2">
            <w:col w:w="4600" w:space="720"/>
            <w:col w:w="5080"/>
          </w:cols>
          <w:pgMar w:left="760" w:top="220" w:right="739" w:bottom="1440" w:gutter="0" w:footer="0" w:header="0"/>
          <w:type w:val="continuous"/>
        </w:sectPr>
      </w:pPr>
    </w:p>
    <w:p>
      <w:pPr>
        <w:ind w:right="300" w:firstLine="648"/>
        <w:spacing w:after="0" w:line="1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firstLine="648"/>
        <w:spacing w:after="0" w:line="224" w:lineRule="auto"/>
        <w:rPr>
          <w:sz w:val="20"/>
          <w:szCs w:val="20"/>
          <w:color w:val="auto"/>
        </w:rPr>
      </w:pPr>
      <w:r>
        <w:rPr>
          <w:rFonts w:ascii="Arial" w:cs="Arial" w:eastAsia="Arial" w:hAnsi="Arial"/>
          <w:sz w:val="14"/>
          <w:szCs w:val="14"/>
          <w:color w:val="auto"/>
        </w:rPr>
        <w:t>The aggregate market value of voting common stock held by non-affiliates of the registrant (assuming for purposes of this calculation, without conceding, that all executive officers and directors are “affiliates”) was approximately $58.1 million as of June 30, 2018, based on the closing sale price of such stock as reported on the Nasdaq Global Market.</w:t>
      </w:r>
    </w:p>
    <w:p>
      <w:pPr>
        <w:spacing w:after="0" w:line="8" w:lineRule="exact"/>
        <w:rPr>
          <w:sz w:val="24"/>
          <w:szCs w:val="24"/>
          <w:color w:val="auto"/>
        </w:rPr>
      </w:pPr>
    </w:p>
    <w:p>
      <w:pPr>
        <w:ind w:left="640"/>
        <w:spacing w:after="0"/>
        <w:rPr>
          <w:sz w:val="20"/>
          <w:szCs w:val="20"/>
          <w:color w:val="auto"/>
        </w:rPr>
      </w:pPr>
      <w:r>
        <w:rPr>
          <w:rFonts w:ascii="Arial" w:cs="Arial" w:eastAsia="Arial" w:hAnsi="Arial"/>
          <w:sz w:val="14"/>
          <w:szCs w:val="14"/>
          <w:color w:val="auto"/>
        </w:rPr>
        <w:t>There were 33,280,355 shares of the registrant’s common stock outstanding as of March 11, 2019.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left="20" w:right="20" w:firstLine="638"/>
        <w:spacing w:after="0" w:line="222" w:lineRule="auto"/>
        <w:rPr>
          <w:sz w:val="20"/>
          <w:szCs w:val="20"/>
          <w:color w:val="auto"/>
        </w:rPr>
      </w:pPr>
      <w:r>
        <w:rPr>
          <w:rFonts w:ascii="Arial" w:cs="Arial" w:eastAsia="Arial" w:hAnsi="Arial"/>
          <w:sz w:val="13"/>
          <w:szCs w:val="13"/>
          <w:color w:val="auto"/>
        </w:rPr>
        <w:t>Portions of the registrant's definitive proxy statement for its 2019 Annual Meeting of Stockholders (the "Proxy Statement"), to be filed within 120 days of the registrant's fiscal year ended December 31, 2018, are incorporated by reference in Part III of this Annual Report on Form 10-K. Except with respect to information specifically incorporated by</w:t>
      </w:r>
    </w:p>
    <w:p>
      <w:pPr>
        <w:jc w:val="center"/>
        <w:spacing w:after="0"/>
        <w:rPr>
          <w:sz w:val="20"/>
          <w:szCs w:val="20"/>
          <w:color w:val="auto"/>
        </w:rPr>
      </w:pPr>
      <w:r>
        <w:rPr>
          <w:rFonts w:ascii="Arial" w:cs="Arial" w:eastAsia="Arial" w:hAnsi="Arial"/>
          <w:sz w:val="14"/>
          <w:szCs w:val="14"/>
          <w:color w:val="auto"/>
        </w:rPr>
        <w:t>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612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313690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0"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left="760" w:right="1520"/>
        <w:spacing w:after="0" w:line="226" w:lineRule="auto"/>
        <w:rPr>
          <w:sz w:val="20"/>
          <w:szCs w:val="20"/>
          <w:color w:val="auto"/>
        </w:rPr>
      </w:pPr>
      <w:r>
        <w:rPr>
          <w:rFonts w:ascii="Arial" w:cs="Arial" w:eastAsia="Arial" w:hAnsi="Arial"/>
          <w:sz w:val="18"/>
          <w:szCs w:val="18"/>
          <w:b w:val="1"/>
          <w:bCs w:val="1"/>
          <w:color w:val="auto"/>
        </w:rPr>
        <w:t>AXSOME THERAPEUTICS, INC. ANNUAL REPORT ON FORM 10-K FOR THE FISCAL YEAR ENDED DECEMBER 31, 2018</w:t>
      </w:r>
    </w:p>
    <w:p>
      <w:pPr>
        <w:spacing w:after="0" w:line="11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400" w:type="dxa"/>
            <w:vAlign w:val="bottom"/>
            <w:gridSpan w:val="2"/>
            <w:vMerge w:val="restart"/>
          </w:tcPr>
          <w:p>
            <w:pPr>
              <w:spacing w:after="0"/>
              <w:rPr>
                <w:sz w:val="17"/>
                <w:szCs w:val="17"/>
                <w:color w:val="auto"/>
              </w:rPr>
            </w:pPr>
          </w:p>
        </w:tc>
        <w:tc>
          <w:tcPr>
            <w:tcW w:w="640" w:type="dxa"/>
            <w:vAlign w:val="bottom"/>
            <w:vMerge w:val="restart"/>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600" w:type="dxa"/>
            <w:vAlign w:val="bottom"/>
            <w:gridSpan w:val="6"/>
            <w:vMerge w:val="restart"/>
          </w:tcPr>
          <w:p>
            <w:pPr>
              <w:spacing w:after="0"/>
              <w:rPr>
                <w:sz w:val="17"/>
                <w:szCs w:val="17"/>
                <w:color w:val="auto"/>
              </w:rPr>
            </w:pPr>
          </w:p>
        </w:tc>
        <w:tc>
          <w:tcPr>
            <w:tcW w:w="600" w:type="dxa"/>
            <w:vAlign w:val="bottom"/>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40" w:type="dxa"/>
            <w:vAlign w:val="bottom"/>
            <w:tcBorders>
              <w:bottom w:val="single" w:sz="8" w:color="0000EE"/>
            </w:tcBorders>
            <w:vMerge w:val="continue"/>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ITEM 1A</w:t>
              </w:r>
            </w:hyperlink>
          </w:p>
        </w:tc>
        <w:tc>
          <w:tcPr>
            <w:tcW w:w="260" w:type="dxa"/>
            <w:vAlign w:val="bottom"/>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7"/>
              </w:rPr>
            </w:pPr>
            <w:hyperlink w:anchor="page117">
              <w:r>
                <w:rPr>
                  <w:rFonts w:ascii="Arial" w:cs="Arial" w:eastAsia="Arial" w:hAnsi="Arial"/>
                  <w:sz w:val="18"/>
                  <w:szCs w:val="18"/>
                  <w:color w:val="0000EE"/>
                  <w:w w:val="97"/>
                </w:rPr>
                <w:t>ITEM 1B</w:t>
              </w:r>
            </w:hyperlink>
          </w:p>
        </w:tc>
        <w:tc>
          <w:tcPr>
            <w:tcW w:w="260" w:type="dxa"/>
            <w:vAlign w:val="bottom"/>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w w:val="96"/>
              </w:rPr>
            </w:pPr>
            <w:hyperlink w:anchor="page117">
              <w:r>
                <w:rPr>
                  <w:rFonts w:ascii="Arial" w:cs="Arial" w:eastAsia="Arial" w:hAnsi="Arial"/>
                  <w:sz w:val="18"/>
                  <w:szCs w:val="18"/>
                  <w:color w:val="0000EE"/>
                  <w:w w:val="96"/>
                </w:rPr>
                <w:t>ITEM 2</w:t>
              </w:r>
            </w:hyperlink>
          </w:p>
        </w:tc>
        <w:tc>
          <w:tcPr>
            <w:tcW w:w="1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Properties</w:t>
              </w:r>
            </w:hyperlink>
          </w:p>
        </w:tc>
        <w:tc>
          <w:tcPr>
            <w:tcW w:w="18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117">
              <w:r>
                <w:rPr>
                  <w:rFonts w:ascii="Arial" w:cs="Arial" w:eastAsia="Arial" w:hAnsi="Arial"/>
                  <w:sz w:val="18"/>
                  <w:szCs w:val="18"/>
                  <w:color w:val="0000EE"/>
                  <w:w w:val="96"/>
                </w:rPr>
                <w:t>ITEM 3</w:t>
              </w:r>
            </w:hyperlink>
          </w:p>
        </w:tc>
        <w:tc>
          <w:tcPr>
            <w:tcW w:w="400" w:type="dxa"/>
            <w:vAlign w:val="bottom"/>
            <w:gridSpan w:val="2"/>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117">
              <w:r>
                <w:rPr>
                  <w:rFonts w:ascii="Arial" w:cs="Arial" w:eastAsia="Arial" w:hAnsi="Arial"/>
                  <w:sz w:val="18"/>
                  <w:szCs w:val="18"/>
                  <w:color w:val="0000EE"/>
                  <w:w w:val="96"/>
                </w:rPr>
                <w:t>ITEM 4</w:t>
              </w:r>
            </w:hyperlink>
          </w:p>
        </w:tc>
        <w:tc>
          <w:tcPr>
            <w:tcW w:w="400" w:type="dxa"/>
            <w:vAlign w:val="bottom"/>
            <w:gridSpan w:val="2"/>
          </w:tcPr>
          <w:p>
            <w:pPr>
              <w:spacing w:after="0"/>
              <w:rPr>
                <w:sz w:val="17"/>
                <w:szCs w:val="17"/>
                <w:color w:val="auto"/>
              </w:rPr>
            </w:pPr>
          </w:p>
        </w:tc>
        <w:tc>
          <w:tcPr>
            <w:tcW w:w="3840" w:type="dxa"/>
            <w:vAlign w:val="bottom"/>
            <w:gridSpan w:val="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720"/>
        <w:spacing w:after="0"/>
        <w:rPr>
          <w:rFonts w:ascii="Arial" w:cs="Arial" w:eastAsia="Arial" w:hAnsi="Arial"/>
          <w:sz w:val="18"/>
          <w:szCs w:val="18"/>
          <w:b w:val="1"/>
          <w:bCs w:val="1"/>
          <w:u w:val="single" w:color="auto"/>
          <w:color w:val="0000EE"/>
        </w:rPr>
      </w:pPr>
      <w:hyperlink w:anchor="page117">
        <w:r>
          <w:rPr>
            <w:rFonts w:ascii="Arial" w:cs="Arial" w:eastAsia="Arial" w:hAnsi="Arial"/>
            <w:sz w:val="18"/>
            <w:szCs w:val="18"/>
            <w:b w:val="1"/>
            <w:bCs w:val="1"/>
            <w:u w:val="single" w:color="auto"/>
            <w:color w:val="0000EE"/>
          </w:rPr>
          <w:t>PART II</w:t>
        </w:r>
      </w:hyperlink>
    </w:p>
    <w:p>
      <w:pPr>
        <w:spacing w:after="0" w:line="148" w:lineRule="exact"/>
        <w:rPr>
          <w:sz w:val="20"/>
          <w:szCs w:val="20"/>
          <w:color w:val="auto"/>
        </w:rPr>
      </w:pPr>
    </w:p>
    <w:p>
      <w:pPr>
        <w:ind w:left="980" w:hanging="971"/>
        <w:spacing w:after="0" w:line="212" w:lineRule="auto"/>
        <w:tabs>
          <w:tab w:leader="none" w:pos="960" w:val="left"/>
        </w:tabs>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117">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Securities</w:t>
        </w:r>
      </w:hyperlink>
    </w:p>
    <w:p>
      <w:pPr>
        <w:spacing w:after="0" w:line="1" w:lineRule="exact"/>
        <w:rPr>
          <w:rFonts w:ascii="Arial" w:cs="Arial" w:eastAsia="Arial" w:hAnsi="Arial"/>
          <w:sz w:val="18"/>
          <w:szCs w:val="18"/>
          <w:u w:val="single" w:color="auto"/>
          <w:color w:val="0000EE"/>
        </w:rPr>
      </w:pPr>
    </w:p>
    <w:p>
      <w:pPr>
        <w:spacing w:after="0"/>
        <w:tabs>
          <w:tab w:leader="none" w:pos="960" w:val="left"/>
        </w:tabs>
        <w:rPr>
          <w:rFonts w:ascii="Arial" w:cs="Arial" w:eastAsia="Arial" w:hAnsi="Arial"/>
          <w:sz w:val="16"/>
          <w:szCs w:val="16"/>
          <w:u w:val="single" w:color="auto"/>
          <w:color w:val="0000EE"/>
        </w:rPr>
      </w:pPr>
      <w:hyperlink w:anchor="page119">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119">
        <w:r>
          <w:rPr>
            <w:rFonts w:ascii="Arial" w:cs="Arial" w:eastAsia="Arial" w:hAnsi="Arial"/>
            <w:sz w:val="16"/>
            <w:szCs w:val="16"/>
            <w:u w:val="single" w:color="auto"/>
            <w:color w:val="0000EE"/>
          </w:rPr>
          <w:t>Selected Financial Data</w:t>
        </w:r>
      </w:hyperlink>
    </w:p>
    <w:p>
      <w:pPr>
        <w:spacing w:after="0" w:line="7" w:lineRule="exact"/>
        <w:rPr>
          <w:sz w:val="20"/>
          <w:szCs w:val="20"/>
          <w:color w:val="auto"/>
        </w:rPr>
      </w:pPr>
    </w:p>
    <w:p>
      <w:pPr>
        <w:ind w:right="860"/>
        <w:spacing w:after="0" w:line="250" w:lineRule="auto"/>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ITEM 7A Quantitative and Qualitative Disclosure About Market Risk</w:t>
        </w:r>
      </w:hyperlink>
    </w:p>
    <w:p>
      <w:pPr>
        <w:spacing w:after="0" w:line="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35">
        <w:r>
          <w:rPr>
            <w:rFonts w:ascii="Arial" w:cs="Arial" w:eastAsia="Arial" w:hAnsi="Arial"/>
            <w:sz w:val="18"/>
            <w:szCs w:val="18"/>
            <w:u w:val="single" w:color="auto"/>
            <w:color w:val="0000EE"/>
          </w:rPr>
          <w:t>ITEM 8</w:t>
        </w:r>
      </w:hyperlink>
      <w:r>
        <w:rPr>
          <w:rFonts w:ascii="Arial" w:cs="Arial" w:eastAsia="Arial" w:hAnsi="Arial"/>
          <w:sz w:val="18"/>
          <w:szCs w:val="18"/>
          <w:u w:val="single" w:color="auto"/>
          <w:color w:val="0000EE"/>
        </w:rPr>
        <w:tab/>
      </w:r>
      <w:hyperlink w:anchor="page135">
        <w:r>
          <w:rPr>
            <w:rFonts w:ascii="Arial" w:cs="Arial" w:eastAsia="Arial" w:hAnsi="Arial"/>
            <w:sz w:val="16"/>
            <w:szCs w:val="16"/>
            <w:u w:val="single" w:color="auto"/>
            <w:color w:val="0000EE"/>
          </w:rPr>
          <w:t>Financial Statements and Supplementary Data</w:t>
        </w:r>
      </w:hyperlink>
    </w:p>
    <w:p>
      <w:pPr>
        <w:spacing w:after="0" w:line="9"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35">
        <w:r>
          <w:rPr>
            <w:rFonts w:ascii="Arial" w:cs="Arial" w:eastAsia="Arial" w:hAnsi="Arial"/>
            <w:sz w:val="18"/>
            <w:szCs w:val="18"/>
            <w:u w:val="single" w:color="auto"/>
            <w:color w:val="0000EE"/>
          </w:rPr>
          <w:t>ITEM 9</w:t>
        </w:r>
      </w:hyperlink>
      <w:r>
        <w:rPr>
          <w:rFonts w:ascii="Arial" w:cs="Arial" w:eastAsia="Arial" w:hAnsi="Arial"/>
          <w:sz w:val="18"/>
          <w:szCs w:val="18"/>
          <w:u w:val="single" w:color="auto"/>
          <w:color w:val="0000EE"/>
        </w:rPr>
        <w:tab/>
      </w:r>
      <w:hyperlink w:anchor="page135">
        <w:r>
          <w:rPr>
            <w:rFonts w:ascii="Arial" w:cs="Arial" w:eastAsia="Arial" w:hAnsi="Arial"/>
            <w:sz w:val="16"/>
            <w:szCs w:val="16"/>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hyperlink w:anchor="page136">
        <w:r>
          <w:rPr>
            <w:rFonts w:ascii="Arial" w:cs="Arial" w:eastAsia="Arial" w:hAnsi="Arial"/>
            <w:sz w:val="18"/>
            <w:szCs w:val="18"/>
            <w:u w:val="single" w:color="auto"/>
            <w:color w:val="0000EE"/>
          </w:rPr>
          <w:t>ITEM 9A</w:t>
        </w:r>
      </w:hyperlink>
      <w:r>
        <w:rPr>
          <w:rFonts w:ascii="Arial" w:cs="Arial" w:eastAsia="Arial" w:hAnsi="Arial"/>
          <w:sz w:val="18"/>
          <w:szCs w:val="18"/>
          <w:u w:val="single" w:color="auto"/>
          <w:color w:val="0000EE"/>
        </w:rPr>
        <w:tab/>
      </w:r>
      <w:hyperlink w:anchor="page136">
        <w:r>
          <w:rPr>
            <w:rFonts w:ascii="Arial" w:cs="Arial" w:eastAsia="Arial" w:hAnsi="Arial"/>
            <w:sz w:val="15"/>
            <w:szCs w:val="15"/>
            <w:u w:val="single" w:color="auto"/>
            <w:color w:val="0000EE"/>
          </w:rPr>
          <w:t>Controls and Procedures</w:t>
        </w:r>
      </w:hyperlink>
    </w:p>
    <w:p>
      <w:pPr>
        <w:spacing w:after="0" w:line="9"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hyperlink w:anchor="page136">
        <w:r>
          <w:rPr>
            <w:rFonts w:ascii="Arial" w:cs="Arial" w:eastAsia="Arial" w:hAnsi="Arial"/>
            <w:sz w:val="18"/>
            <w:szCs w:val="18"/>
            <w:u w:val="single" w:color="auto"/>
            <w:color w:val="0000EE"/>
          </w:rPr>
          <w:t>ITEM 9B</w:t>
        </w:r>
      </w:hyperlink>
      <w:r>
        <w:rPr>
          <w:rFonts w:ascii="Arial" w:cs="Arial" w:eastAsia="Arial" w:hAnsi="Arial"/>
          <w:sz w:val="18"/>
          <w:szCs w:val="18"/>
          <w:u w:val="single" w:color="auto"/>
          <w:color w:val="0000EE"/>
        </w:rPr>
        <w:tab/>
      </w:r>
      <w:hyperlink w:anchor="page136">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jc w:val="center"/>
        <w:ind w:left="72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PART III</w:t>
        </w:r>
      </w:hyperlink>
    </w:p>
    <w:p>
      <w:pPr>
        <w:spacing w:after="0" w:line="148" w:lineRule="exact"/>
        <w:rPr>
          <w:sz w:val="20"/>
          <w:szCs w:val="20"/>
          <w:color w:val="auto"/>
        </w:rPr>
      </w:pPr>
    </w:p>
    <w:p>
      <w:pPr>
        <w:ind w:right="3220"/>
        <w:spacing w:after="0" w:line="258" w:lineRule="auto"/>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3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right="40"/>
        <w:spacing w:after="0" w:line="255" w:lineRule="auto"/>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14 Principal Accountant Fees and Services</w:t>
        </w:r>
      </w:hyperlink>
    </w:p>
    <w:p>
      <w:pPr>
        <w:spacing w:after="0" w:line="146" w:lineRule="exact"/>
        <w:rPr>
          <w:rFonts w:ascii="Arial" w:cs="Arial" w:eastAsia="Arial" w:hAnsi="Arial"/>
          <w:sz w:val="18"/>
          <w:szCs w:val="18"/>
          <w:u w:val="single" w:color="auto"/>
          <w:color w:val="0000EE"/>
        </w:rPr>
      </w:pPr>
    </w:p>
    <w:p>
      <w:pPr>
        <w:jc w:val="center"/>
        <w:ind w:left="720"/>
        <w:spacing w:after="0"/>
        <w:rPr>
          <w:rFonts w:ascii="Arial" w:cs="Arial" w:eastAsia="Arial" w:hAnsi="Arial"/>
          <w:sz w:val="18"/>
          <w:szCs w:val="18"/>
          <w:b w:val="1"/>
          <w:bCs w:val="1"/>
          <w:u w:val="single" w:color="auto"/>
          <w:color w:val="0000EE"/>
        </w:rPr>
      </w:pPr>
      <w:hyperlink w:anchor="page138">
        <w:r>
          <w:rPr>
            <w:rFonts w:ascii="Arial" w:cs="Arial" w:eastAsia="Arial" w:hAnsi="Arial"/>
            <w:sz w:val="18"/>
            <w:szCs w:val="18"/>
            <w:b w:val="1"/>
            <w:bCs w:val="1"/>
            <w:u w:val="single" w:color="auto"/>
            <w:color w:val="0000EE"/>
          </w:rPr>
          <w:t>PART IV</w:t>
        </w:r>
      </w:hyperlink>
    </w:p>
    <w:p>
      <w:pPr>
        <w:spacing w:after="0" w:line="148" w:lineRule="exact"/>
        <w:rPr>
          <w:rFonts w:ascii="Arial" w:cs="Arial" w:eastAsia="Arial" w:hAnsi="Arial"/>
          <w:sz w:val="18"/>
          <w:szCs w:val="18"/>
          <w:u w:val="single" w:color="auto"/>
          <w:color w:val="0000EE"/>
        </w:rPr>
      </w:pPr>
    </w:p>
    <w:p>
      <w:pPr>
        <w:spacing w:after="0"/>
        <w:tabs>
          <w:tab w:leader="none" w:pos="960" w:val="left"/>
        </w:tabs>
        <w:rPr>
          <w:rFonts w:ascii="Arial" w:cs="Arial" w:eastAsia="Arial" w:hAnsi="Arial"/>
          <w:sz w:val="16"/>
          <w:szCs w:val="16"/>
          <w:u w:val="single" w:color="auto"/>
          <w:color w:val="0000EE"/>
        </w:rPr>
      </w:pPr>
      <w:hyperlink w:anchor="page138">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138">
        <w:r>
          <w:rPr>
            <w:rFonts w:ascii="Arial" w:cs="Arial" w:eastAsia="Arial" w:hAnsi="Arial"/>
            <w:sz w:val="16"/>
            <w:szCs w:val="16"/>
            <w:u w:val="single" w:color="auto"/>
            <w:color w:val="0000EE"/>
          </w:rPr>
          <w:t>Exhibits and Financial Statement Schedules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w:t>
      </w:r>
    </w:p>
    <w:p>
      <w:pPr>
        <w:sectPr>
          <w:pgSz w:w="11900" w:h="16838" w:orient="portrait"/>
          <w:cols w:equalWidth="0" w:num="2">
            <w:col w:w="8300" w:space="320"/>
            <w:col w:w="44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ind w:left="660" w:right="49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Arial" w:cs="Arial" w:eastAsia="Arial" w:hAnsi="Arial"/>
          <w:sz w:val="18"/>
          <w:szCs w:val="18"/>
          <w:color w:val="auto"/>
        </w:rPr>
      </w:pPr>
    </w:p>
    <w:p>
      <w:pPr>
        <w:ind w:left="660" w:right="7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ind w:left="660" w:right="67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ind w:left="660" w:right="439"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product candidates;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and maintain intellectual property protection for our product candidates;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AXS-07, AXS-09, and AXS-12, which are being developed for multiple indications. We are conducting a Phase 3 trial with AXS-05 in treatment resistant depression, or TRD, which we refer to as the STRIDE-1 study, a Phase 2/3 trial in agitation associated with Alzheimer's disease, or AD, which we refer to as the ADVANCE-1 study. Additionally, AXS-05 is currently in a Phase 2 trial in smoking cessation and we recently completed a Phase 2 trial in major depressive disorder, or MDD, which we refer to as the ASCEND study. AXS-05 met the prespecified primary endpoint and significantly improved symptoms of depression in the ASCEND trial. We are conducting a Phase 3 trial with AXS-07 in the acute treatment of migraine, pursuant to a U.S. Food and Drug Administration, or FDA, Special Protocol Assessment, or SPA. We are conducting a Phase 2 trial with AXS-12 in narcolepsy.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w:t>
      </w:r>
    </w:p>
    <w:p>
      <w:pPr>
        <w:spacing w:after="0" w:line="162" w:lineRule="exact"/>
        <w:rPr>
          <w:sz w:val="20"/>
          <w:szCs w:val="20"/>
          <w:color w:val="auto"/>
        </w:rPr>
      </w:pPr>
    </w:p>
    <w:p>
      <w:pPr>
        <w:ind w:right="100" w:firstLine="648"/>
        <w:spacing w:after="0" w:line="219" w:lineRule="auto"/>
        <w:rPr>
          <w:sz w:val="20"/>
          <w:szCs w:val="20"/>
          <w:color w:val="auto"/>
        </w:rPr>
      </w:pPr>
      <w:r>
        <w:rPr>
          <w:rFonts w:ascii="Arial" w:cs="Arial" w:eastAsia="Arial" w:hAnsi="Arial"/>
          <w:sz w:val="16"/>
          <w:szCs w:val="16"/>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w:t>
      </w:r>
    </w:p>
    <w:p>
      <w:pPr>
        <w:spacing w:after="0" w:line="3" w:lineRule="exact"/>
        <w:rPr>
          <w:sz w:val="20"/>
          <w:szCs w:val="20"/>
          <w:color w:val="auto"/>
        </w:rPr>
      </w:pPr>
    </w:p>
    <w:p>
      <w:pPr>
        <w:ind w:right="260"/>
        <w:spacing w:after="0" w:line="208" w:lineRule="auto"/>
        <w:rPr>
          <w:sz w:val="20"/>
          <w:szCs w:val="20"/>
          <w:color w:val="auto"/>
        </w:rPr>
      </w:pPr>
      <w:r>
        <w:rPr>
          <w:rFonts w:ascii="Arial" w:cs="Arial" w:eastAsia="Arial" w:hAnsi="Arial"/>
          <w:sz w:val="16"/>
          <w:szCs w:val="16"/>
          <w:color w:val="auto"/>
        </w:rPr>
        <w:t>proprietary MoSEIC™ technology to substantially increase the solubility and speed the absorption of meloxicam while potentially maintaining durability of action. Meloxicam is a new molecular entity for migraine enabled by our MoSEIC™ technology. Rizatriptan is a 5-HT1</w:t>
      </w:r>
      <w:r>
        <w:rPr>
          <w:rFonts w:ascii="Arial" w:cs="Arial" w:eastAsia="Arial" w:hAnsi="Arial"/>
          <w:sz w:val="26"/>
          <w:szCs w:val="26"/>
          <w:color w:val="auto"/>
          <w:vertAlign w:val="subscript"/>
        </w:rPr>
        <w:t>B/D</w:t>
      </w:r>
      <w:r>
        <w:rPr>
          <w:rFonts w:ascii="Arial" w:cs="Arial" w:eastAsia="Arial" w:hAnsi="Arial"/>
          <w:sz w:val="16"/>
          <w:szCs w:val="16"/>
          <w:color w:val="auto"/>
        </w:rPr>
        <w:t xml:space="preserve"> agonist that inhibits calcitonin gene-related peptide (CGRP)-mediated vasodilation,</w:t>
      </w:r>
    </w:p>
    <w:p>
      <w:pPr>
        <w:spacing w:after="0" w:line="3"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AXS-09 is an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61"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AXS-12, reboxetine, is a novel, oral, investigational medicine in development for the treatment of narcolepsy. AXS-12 is a highly selective and potent norepinephrine reuptake inhibitor. The potential utility of AXS-12 in narcolepsy is supported by positive pre-clinical and preliminary clinical results in narcolepsy, and an extensive clinical safety record. Reboxetine, the active agent in AXS-12, significantly and dose-dependently reduced narcoleptic episodes in hypocretin (orexin)-deficient mice, a well-established genetic animal model of narcolepsy. AXS-12 has been granted Orphan Drug Designation by the FDA for the treatment of narcolepsy.</w:t>
      </w:r>
    </w:p>
    <w:p>
      <w:pPr>
        <w:spacing w:after="0" w:line="16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62"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02 utilizing the 505(b)(2) regulatory development pathway.</w:t>
      </w:r>
    </w:p>
    <w:p>
      <w:pPr>
        <w:spacing w:after="0" w:line="162" w:lineRule="exact"/>
        <w:rPr>
          <w:sz w:val="20"/>
          <w:szCs w:val="20"/>
          <w:color w:val="auto"/>
        </w:rPr>
      </w:pPr>
    </w:p>
    <w:p>
      <w:pPr>
        <w:ind w:right="40" w:firstLine="648"/>
        <w:spacing w:after="0" w:line="222" w:lineRule="auto"/>
        <w:rPr>
          <w:sz w:val="20"/>
          <w:szCs w:val="20"/>
          <w:color w:val="auto"/>
        </w:rPr>
      </w:pPr>
      <w:r>
        <w:rPr>
          <w:rFonts w:ascii="Arial" w:cs="Arial" w:eastAsia="Arial" w:hAnsi="Arial"/>
          <w:sz w:val="16"/>
          <w:szCs w:val="16"/>
          <w:color w:val="auto"/>
        </w:rPr>
        <w:t>AXS-06 is a novel, oral, non-opioid, investigational medicine consisting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faster for AXS-06 as compared to standard meloxicam. We intend to seek FDA approval for AXS-06 utilizing the 505(b)(2) regulatory development pathway.</w:t>
      </w:r>
    </w:p>
    <w:p>
      <w:pPr>
        <w:spacing w:after="0" w:line="161"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Our product candidates are protected through a combination of patents, trade secrets, and proprietary know</w:t>
      </w:r>
      <w:r>
        <w:rPr>
          <w:rFonts w:ascii="MS PGothic" w:cs="MS PGothic" w:eastAsia="MS PGothic" w:hAnsi="MS PGothic"/>
          <w:sz w:val="18"/>
          <w:szCs w:val="18"/>
          <w:color w:val="auto"/>
        </w:rPr>
        <w:t>‑</w:t>
      </w:r>
      <w:r>
        <w:rPr>
          <w:rFonts w:ascii="Arial" w:cs="Arial" w:eastAsia="Arial" w:hAnsi="Arial"/>
          <w:sz w:val="18"/>
          <w:szCs w:val="18"/>
          <w:color w:val="auto"/>
        </w:rPr>
        <w:t>how. If approved, they may also be eligible for periods of regulatory exclusivity. Our intellectual property portfolio includes U.S. patents with claims extending to 2034 for AXS</w:t>
      </w:r>
      <w:r>
        <w:rPr>
          <w:rFonts w:ascii="MS PGothic" w:cs="MS PGothic" w:eastAsia="MS PGothic" w:hAnsi="MS PGothic"/>
          <w:sz w:val="18"/>
          <w:szCs w:val="18"/>
          <w:color w:val="auto"/>
        </w:rPr>
        <w:t>‑</w:t>
      </w:r>
      <w:r>
        <w:rPr>
          <w:rFonts w:ascii="Arial" w:cs="Arial" w:eastAsia="Arial" w:hAnsi="Arial"/>
          <w:sz w:val="18"/>
          <w:szCs w:val="18"/>
          <w:color w:val="auto"/>
        </w:rPr>
        <w:t>05 and AXS</w:t>
      </w:r>
      <w:r>
        <w:rPr>
          <w:rFonts w:ascii="MS PGothic" w:cs="MS PGothic" w:eastAsia="MS PGothic" w:hAnsi="MS PGothic"/>
          <w:sz w:val="18"/>
          <w:szCs w:val="18"/>
          <w:color w:val="auto"/>
        </w:rPr>
        <w:t>‑</w:t>
      </w:r>
      <w:r>
        <w:rPr>
          <w:rFonts w:ascii="Arial" w:cs="Arial" w:eastAsia="Arial" w:hAnsi="Arial"/>
          <w:sz w:val="18"/>
          <w:szCs w:val="18"/>
          <w:color w:val="auto"/>
        </w:rPr>
        <w:t>02 and to 2036 for AXS-07 and AXS-06, as well as corresponding foreign patent applications.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Our goal is to efficiently develop and commercialize novel, differentiated therapies for the management of CNS disorders. The primary elements of our strategy to achieve this goal are the following:</w:t>
      </w:r>
    </w:p>
    <w:p>
      <w:pPr>
        <w:spacing w:after="0" w:line="162" w:lineRule="exact"/>
        <w:rPr>
          <w:sz w:val="20"/>
          <w:szCs w:val="20"/>
          <w:color w:val="auto"/>
        </w:rPr>
      </w:pPr>
    </w:p>
    <w:p>
      <w:pPr>
        <w:ind w:left="980" w:hanging="329"/>
        <w:spacing w:after="0" w:line="181" w:lineRule="exact"/>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novel CNS indications with high unmet medical need. </w:t>
      </w:r>
      <w:r>
        <w:rPr>
          <w:rFonts w:ascii="Arial" w:cs="Arial" w:eastAsia="Arial" w:hAnsi="Arial"/>
          <w:sz w:val="17"/>
          <w:szCs w:val="17"/>
          <w:color w:val="auto"/>
        </w:rPr>
        <w:t>We believe that CNS disorders are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underserved therapeutic segments with currently limited treatment options. We are initially developing our product candidates for indications that have no or few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treatments. For example, there currently is no drug approved by the FDA or the EMA for agitation associated with Alzheimer's disease. There are currently only two FDA</w:t>
      </w:r>
      <w:r>
        <w:rPr>
          <w:rFonts w:ascii="MS PGothic" w:cs="MS PGothic" w:eastAsia="MS PGothic" w:hAnsi="MS PGothic"/>
          <w:sz w:val="17"/>
          <w:szCs w:val="17"/>
          <w:color w:val="auto"/>
        </w:rPr>
        <w:t>‑</w:t>
      </w:r>
      <w:r>
        <w:rPr>
          <w:rFonts w:ascii="Arial" w:cs="Arial" w:eastAsia="Arial" w:hAnsi="Arial"/>
          <w:sz w:val="17"/>
          <w:szCs w:val="17"/>
          <w:color w:val="auto"/>
        </w:rPr>
        <w:t>approved drugs for TRD. These conditions are often disabling, difficult to treat, and associated with significant comorbidities. By focusing on novel indications, we aim to develop products that have the potential to change current medical practice, and that are highly relevant to patients, physicians, and regulatory bodies because they address unmet medical needs. Many of these indications have significant patient populations which, when combined with the lack or paucity of approved treatments, should provide us with attractive commercial opportunities.</w:t>
      </w:r>
    </w:p>
    <w:p>
      <w:pPr>
        <w:spacing w:after="0" w:line="163" w:lineRule="exact"/>
        <w:rPr>
          <w:rFonts w:ascii="Arial" w:cs="Arial" w:eastAsia="Arial" w:hAnsi="Arial"/>
          <w:sz w:val="17"/>
          <w:szCs w:val="17"/>
          <w:color w:val="auto"/>
        </w:rPr>
      </w:pPr>
    </w:p>
    <w:p>
      <w:pPr>
        <w:ind w:left="980" w:right="40" w:hanging="329"/>
        <w:spacing w:after="0" w:line="21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products with our proprietary medicinal chemistry and formulation technologies. </w:t>
      </w:r>
      <w:r>
        <w:rPr>
          <w:rFonts w:ascii="Arial" w:cs="Arial" w:eastAsia="Arial" w:hAnsi="Arial"/>
          <w:sz w:val="18"/>
          <w:szCs w:val="18"/>
          <w:color w:val="auto"/>
        </w:rPr>
        <w:t>Our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medicinal chemistry and 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increase the solubility and enable the oral delivery of target drug molecules.</w:t>
      </w:r>
    </w:p>
    <w:p>
      <w:pPr>
        <w:spacing w:after="0" w:line="164" w:lineRule="exact"/>
        <w:rPr>
          <w:rFonts w:ascii="Arial" w:cs="Arial" w:eastAsia="Arial" w:hAnsi="Arial"/>
          <w:sz w:val="18"/>
          <w:szCs w:val="18"/>
          <w:color w:val="auto"/>
        </w:rPr>
      </w:pPr>
    </w:p>
    <w:p>
      <w:pPr>
        <w:ind w:left="980" w:hanging="329"/>
        <w:spacing w:after="0" w:line="182" w:lineRule="exact"/>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products with differentiated profiles. </w:t>
      </w:r>
      <w:r>
        <w:rPr>
          <w:rFonts w:ascii="Arial" w:cs="Arial" w:eastAsia="Arial" w:hAnsi="Arial"/>
          <w:sz w:val="16"/>
          <w:szCs w:val="16"/>
          <w:color w:val="auto"/>
        </w:rPr>
        <w:t>We aim to develop products with novel mechanisms of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intended indications that may yield differentiated product profiles. For example, AXS</w:t>
      </w:r>
      <w:r>
        <w:rPr>
          <w:rFonts w:ascii="MS PGothic" w:cs="MS PGothic" w:eastAsia="MS PGothic" w:hAnsi="MS PGothic"/>
          <w:sz w:val="16"/>
          <w:szCs w:val="16"/>
          <w:color w:val="auto"/>
        </w:rPr>
        <w:t>‑</w:t>
      </w:r>
      <w:r>
        <w:rPr>
          <w:rFonts w:ascii="Arial" w:cs="Arial" w:eastAsia="Arial" w:hAnsi="Arial"/>
          <w:sz w:val="16"/>
          <w:szCs w:val="16"/>
          <w:color w:val="auto"/>
        </w:rPr>
        <w:t>05 and AXS-09 combine several mechanisms of action resulting in a unique pharmacological profile that may be relevant to the treatment of numerous CNS disorders. The MoSEIC</w:t>
      </w:r>
      <w:r>
        <w:rPr>
          <w:rFonts w:ascii="Arial" w:cs="Arial" w:eastAsia="Arial" w:hAnsi="Arial"/>
          <w:sz w:val="7"/>
          <w:szCs w:val="7"/>
          <w:color w:val="auto"/>
        </w:rPr>
        <w:t>TM</w:t>
      </w:r>
      <w:r>
        <w:rPr>
          <w:rFonts w:ascii="Arial" w:cs="Arial" w:eastAsia="Arial" w:hAnsi="Arial"/>
          <w:sz w:val="16"/>
          <w:szCs w:val="16"/>
          <w:color w:val="auto"/>
        </w:rPr>
        <w:t xml:space="preserve"> technology is designed to improve the absorption of drug molecules after oral administration and is utilized in our AXS-06 and AXS-07 product candidates. AXS</w:t>
      </w:r>
      <w:r>
        <w:rPr>
          <w:rFonts w:ascii="MS PGothic" w:cs="MS PGothic" w:eastAsia="MS PGothic" w:hAnsi="MS PGothic"/>
          <w:sz w:val="16"/>
          <w:szCs w:val="16"/>
          <w:color w:val="auto"/>
        </w:rPr>
        <w:t>‑</w:t>
      </w:r>
      <w:r>
        <w:rPr>
          <w:rFonts w:ascii="Arial" w:cs="Arial" w:eastAsia="Arial" w:hAnsi="Arial"/>
          <w:sz w:val="16"/>
          <w:szCs w:val="16"/>
          <w:color w:val="auto"/>
        </w:rPr>
        <w:t>02 utilizes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mechanism of action for the treatment of pain that may result in analgesia that lasts for one or more months after treatment. We believe that products with clearly differentiated features will be attractive to patients and their physicians, and will provide us with a competitive commercial advantage.</w:t>
      </w:r>
    </w:p>
    <w:p>
      <w:pPr>
        <w:spacing w:after="0" w:line="167" w:lineRule="exact"/>
        <w:rPr>
          <w:rFonts w:ascii="Arial" w:cs="Arial" w:eastAsia="Arial" w:hAnsi="Arial"/>
          <w:sz w:val="16"/>
          <w:szCs w:val="16"/>
          <w:color w:val="auto"/>
        </w:rPr>
      </w:pPr>
    </w:p>
    <w:p>
      <w:pPr>
        <w:ind w:left="980" w:right="140" w:hanging="329"/>
        <w:spacing w:after="0" w:line="180" w:lineRule="exact"/>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 biomarkers to define specific patient subsets for our pain indications. </w:t>
      </w:r>
      <w:r>
        <w:rPr>
          <w:rFonts w:ascii="Arial" w:cs="Arial" w:eastAsia="Arial" w:hAnsi="Arial"/>
          <w:sz w:val="17"/>
          <w:szCs w:val="17"/>
          <w:color w:val="auto"/>
        </w:rPr>
        <w:t>We are using biomarkers,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BMLs and MCs, which are visible on magnetic resonance imaging, or MRI, to define specific subsets of patients who we believe are more likely to respond to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Biomarkers have been used successfully in connection with oncology treatments, but are not commonly used with pain therapeutics. While patients with common pain conditions, such as knee OA and CLBP, experience similar symptoms, these symptoms may be due to different underlying conditions. We believe that the variability in underlying conditions contributes to heterogeneity in these populations and may account for observed differences in treatment response. We believe that our targeted biomarker approach may result in a less heterogeneous patient population in our clinical trials, which may improve our ability to demonstrate a treatment effect and, if approved, enable treatment of more appropriate patient populations with our product candidates.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line="181" w:lineRule="exact"/>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clinical and regulatory risk, limit development costs, and accelerate time to market. </w:t>
      </w:r>
      <w:r>
        <w:rPr>
          <w:rFonts w:ascii="Arial" w:cs="Arial" w:eastAsia="Arial" w:hAnsi="Arial"/>
          <w:sz w:val="16"/>
          <w:szCs w:val="16"/>
          <w:color w:val="auto"/>
        </w:rPr>
        <w:t>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incorporate chemical entities with long histories of clinical use and well</w:t>
      </w:r>
      <w:r>
        <w:rPr>
          <w:rFonts w:ascii="MS PGothic" w:cs="MS PGothic" w:eastAsia="MS PGothic" w:hAnsi="MS PGothic"/>
          <w:sz w:val="16"/>
          <w:szCs w:val="16"/>
          <w:color w:val="auto"/>
        </w:rPr>
        <w:t>‑</w:t>
      </w:r>
      <w:r>
        <w:rPr>
          <w:rFonts w:ascii="Arial" w:cs="Arial" w:eastAsia="Arial" w:hAnsi="Arial"/>
          <w:sz w:val="16"/>
          <w:szCs w:val="16"/>
          <w:color w:val="auto"/>
        </w:rPr>
        <w:t>characterized safety profiles. Use of well</w:t>
      </w:r>
      <w:r>
        <w:rPr>
          <w:rFonts w:ascii="MS PGothic" w:cs="MS PGothic" w:eastAsia="MS PGothic" w:hAnsi="MS PGothic"/>
          <w:sz w:val="16"/>
          <w:szCs w:val="16"/>
          <w:color w:val="auto"/>
        </w:rPr>
        <w:t>‑</w:t>
      </w:r>
      <w:r>
        <w:rPr>
          <w:rFonts w:ascii="Arial" w:cs="Arial" w:eastAsia="Arial" w:hAnsi="Arial"/>
          <w:sz w:val="16"/>
          <w:szCs w:val="16"/>
          <w:color w:val="auto"/>
        </w:rPr>
        <w:t>characterized molecules has allowed us to rapidly complete early clinical development of our product candidates, and may reduce the risk of late</w:t>
      </w:r>
      <w:r>
        <w:rPr>
          <w:rFonts w:ascii="MS PGothic" w:cs="MS PGothic" w:eastAsia="MS PGothic" w:hAnsi="MS PGothic"/>
          <w:sz w:val="16"/>
          <w:szCs w:val="16"/>
          <w:color w:val="auto"/>
        </w:rPr>
        <w:t>‑</w:t>
      </w:r>
      <w:r>
        <w:rPr>
          <w:rFonts w:ascii="Arial" w:cs="Arial" w:eastAsia="Arial" w:hAnsi="Arial"/>
          <w:sz w:val="16"/>
          <w:szCs w:val="16"/>
          <w:color w:val="auto"/>
        </w:rPr>
        <w:t>stage clinical failures due to unexpected toxicities. This strategy also allows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65" w:lineRule="exact"/>
        <w:rPr>
          <w:rFonts w:ascii="Arial" w:cs="Arial" w:eastAsia="Arial" w:hAnsi="Arial"/>
          <w:sz w:val="16"/>
          <w:szCs w:val="16"/>
          <w:color w:val="auto"/>
        </w:rPr>
      </w:pPr>
    </w:p>
    <w:p>
      <w:pPr>
        <w:ind w:left="980" w:right="80" w:hanging="329"/>
        <w:spacing w:after="0" w:line="184" w:lineRule="exact"/>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6"/>
          <w:szCs w:val="16"/>
          <w:color w:val="auto"/>
        </w:rPr>
        <w:t>We intend to commercialize 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if approved, in the United States through the establishment of our own focused, cost</w:t>
      </w:r>
      <w:r>
        <w:rPr>
          <w:rFonts w:ascii="MS PGothic" w:cs="MS PGothic" w:eastAsia="MS PGothic" w:hAnsi="MS PGothic"/>
          <w:sz w:val="16"/>
          <w:szCs w:val="16"/>
          <w:color w:val="auto"/>
        </w:rPr>
        <w:t>‑</w:t>
      </w:r>
      <w:r>
        <w:rPr>
          <w:rFonts w:ascii="Arial" w:cs="Arial" w:eastAsia="Arial" w:hAnsi="Arial"/>
          <w:sz w:val="16"/>
          <w:szCs w:val="16"/>
          <w:color w:val="auto"/>
        </w:rPr>
        <w:t>effective sales and marketing organization targeting high</w:t>
      </w:r>
      <w:r>
        <w:rPr>
          <w:rFonts w:ascii="MS PGothic" w:cs="MS PGothic" w:eastAsia="MS PGothic" w:hAnsi="MS PGothic"/>
          <w:sz w:val="16"/>
          <w:szCs w:val="16"/>
          <w:color w:val="auto"/>
        </w:rPr>
        <w:t>‑</w:t>
      </w:r>
      <w:r>
        <w:rPr>
          <w:rFonts w:ascii="Arial" w:cs="Arial" w:eastAsia="Arial" w:hAnsi="Arial"/>
          <w:sz w:val="16"/>
          <w:szCs w:val="16"/>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135255</wp:posOffset>
            </wp:positionV>
            <wp:extent cx="4982845" cy="180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284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135255</wp:posOffset>
            </wp:positionV>
            <wp:extent cx="5068570" cy="1140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857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Product Candidates</w:t>
      </w:r>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dextromethorphan, or DM, and bupropion and utilizes Axsome’s metabolic inhibition technology. The DM component of AXS-05 is a non-competitive N -methyl-D-aspartate,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w:t>
      </w:r>
    </w:p>
    <w:p>
      <w:pPr>
        <w:spacing w:after="0" w:line="162"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05 is potentially applicable to the treatment of a variety of CNS disorders, based on the mechanisms of action of its two components.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as a therapeutic for treatment resistant depression, or TRD, agitation associated with Alzheimer’s disease, or AD, major depressive disorder, or MDD, and as an aid to smoking cessation.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Rationale</w:t>
      </w:r>
    </w:p>
    <w:p>
      <w:pPr>
        <w:spacing w:after="0" w:line="185"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DM and bupropion each target different CNS receptor systems that are potentially relevant to the treatment of CNS disorders. Combining the distinct and independent mechanisms of action of these two compounds may be additive or synergistic in the treatment of depression and other CNS disorders. However, DM is quickly eliminated from the body following administration due to extensive first pass metabolism, which results in low blood levels even at high doses. Attainment of potential therapeutic plasma levels of DM is therefore difficult when DM is dosed as a single agent. The bupropion component of AXS-05 serves to increase the bioavailability of dextromethorphan. This positive pharmacokinetic interaction between bupropion and DM therefore may enable DM’s clinical utility by increasing DM’s plasma levels into a potentially therapeutic range. We believe this dual pharmacodynamic and pharmacokinetic synergy results in a unique pharmacological profile that could potentially be efficacious in CNS disorders.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Bupropion is a well</w:t>
      </w:r>
      <w:r>
        <w:rPr>
          <w:rFonts w:ascii="MS PGothic" w:cs="MS PGothic" w:eastAsia="MS PGothic" w:hAnsi="MS PGothic"/>
          <w:sz w:val="17"/>
          <w:szCs w:val="17"/>
          <w:color w:val="auto"/>
        </w:rPr>
        <w:t>‑</w:t>
      </w:r>
      <w:r>
        <w:rPr>
          <w:rFonts w:ascii="Arial" w:cs="Arial" w:eastAsia="Arial" w:hAnsi="Arial"/>
          <w:sz w:val="17"/>
          <w:szCs w:val="17"/>
          <w:color w:val="auto"/>
        </w:rPr>
        <w:t>characterized antidepressant that is chemically unrelated to tricyclic, tetracyclic, selective serotonin reuptake inhibitor, or other known antidepressant agents. It is an inhibitor of the neuronal uptake of norepinephrine and dopamine, and does not inhibit monoamine oxidase or the reuptake of serotonin. It is the only antidepressant currently available that is capable of selectively inhibiting both dopamine and norepinephrine reuptake. Bupropion was approved in the United States in 1985 and is marketed under the trade name Wellbutrin for the treatment of major depressive disorder, or MDD, and under the trade name Zyban as an aid to smoking cessation.</w:t>
      </w:r>
    </w:p>
    <w:p>
      <w:pPr>
        <w:spacing w:after="0" w:line="165"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6"/>
          <w:szCs w:val="16"/>
          <w:color w:val="auto"/>
        </w:rPr>
        <w:t>DM is a noncompetitive N</w:t>
      </w:r>
      <w:r>
        <w:rPr>
          <w:rFonts w:ascii="MS PGothic" w:cs="MS PGothic" w:eastAsia="MS PGothic" w:hAnsi="MS PGothic"/>
          <w:sz w:val="16"/>
          <w:szCs w:val="16"/>
          <w:color w:val="auto"/>
        </w:rPr>
        <w:t>‑</w:t>
      </w:r>
      <w:r>
        <w:rPr>
          <w:rFonts w:ascii="Arial" w:cs="Arial" w:eastAsia="Arial" w:hAnsi="Arial"/>
          <w:sz w:val="16"/>
          <w:szCs w:val="16"/>
          <w:color w:val="auto"/>
        </w:rPr>
        <w:t>methyl</w:t>
      </w:r>
      <w:r>
        <w:rPr>
          <w:rFonts w:ascii="MS PGothic" w:cs="MS PGothic" w:eastAsia="MS PGothic" w:hAnsi="MS PGothic"/>
          <w:sz w:val="16"/>
          <w:szCs w:val="16"/>
          <w:color w:val="auto"/>
        </w:rPr>
        <w:t>‑</w:t>
      </w:r>
      <w:r>
        <w:rPr>
          <w:rFonts w:ascii="Arial" w:cs="Arial" w:eastAsia="Arial" w:hAnsi="Arial"/>
          <w:sz w:val="16"/>
          <w:szCs w:val="16"/>
          <w:color w:val="auto"/>
        </w:rPr>
        <w:t>D</w:t>
      </w:r>
      <w:r>
        <w:rPr>
          <w:rFonts w:ascii="MS PGothic" w:cs="MS PGothic" w:eastAsia="MS PGothic" w:hAnsi="MS PGothic"/>
          <w:sz w:val="16"/>
          <w:szCs w:val="16"/>
          <w:color w:val="auto"/>
        </w:rPr>
        <w:t>‑</w:t>
      </w:r>
      <w:r>
        <w:rPr>
          <w:rFonts w:ascii="Arial" w:cs="Arial" w:eastAsia="Arial" w:hAnsi="Arial"/>
          <w:sz w:val="16"/>
          <w:szCs w:val="16"/>
          <w:color w:val="auto"/>
        </w:rPr>
        <w:t>aspartate, or NMDA, receptor antagonist, a sigma</w:t>
      </w:r>
      <w:r>
        <w:rPr>
          <w:rFonts w:ascii="MS PGothic" w:cs="MS PGothic" w:eastAsia="MS PGothic" w:hAnsi="MS PGothic"/>
          <w:sz w:val="16"/>
          <w:szCs w:val="16"/>
          <w:color w:val="auto"/>
        </w:rPr>
        <w:t>‑</w:t>
      </w:r>
      <w:r>
        <w:rPr>
          <w:rFonts w:ascii="Arial" w:cs="Arial" w:eastAsia="Arial" w:hAnsi="Arial"/>
          <w:sz w:val="16"/>
          <w:szCs w:val="16"/>
          <w:color w:val="auto"/>
        </w:rPr>
        <w:t>1 receptor agonist, and an inhibitor of the serotonin transporter, or SERT, and norepinephrine transporter, or NET. Each of these mechanisms of action has been shown to be associated with antidepressant response. DM is a well</w:t>
      </w:r>
      <w:r>
        <w:rPr>
          <w:rFonts w:ascii="MS PGothic" w:cs="MS PGothic" w:eastAsia="MS PGothic" w:hAnsi="MS PGothic"/>
          <w:sz w:val="16"/>
          <w:szCs w:val="16"/>
          <w:color w:val="auto"/>
        </w:rPr>
        <w:t>‑</w:t>
      </w:r>
      <w:r>
        <w:rPr>
          <w:rFonts w:ascii="Arial" w:cs="Arial" w:eastAsia="Arial" w:hAnsi="Arial"/>
          <w:sz w:val="16"/>
          <w:szCs w:val="16"/>
          <w:color w:val="auto"/>
        </w:rPr>
        <w:t>known agent that is used as an antitussive.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Depression</w:t>
      </w:r>
    </w:p>
    <w:p>
      <w:pPr>
        <w:spacing w:after="0" w:line="185"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We are developing AXS-05 for the treatment of major depressive disorder, or MDD, and treatment resistant depression, or TRD. We believe there is a substantial need for new effective treatments for this large underserved patient population.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260" w:firstLine="648"/>
        <w:spacing w:after="0" w:line="249" w:lineRule="auto"/>
        <w:rPr>
          <w:sz w:val="20"/>
          <w:szCs w:val="20"/>
          <w:color w:val="auto"/>
        </w:rPr>
      </w:pPr>
      <w:r>
        <w:rPr>
          <w:rFonts w:ascii="Arial" w:cs="Arial" w:eastAsia="Arial" w:hAnsi="Arial"/>
          <w:sz w:val="16"/>
          <w:szCs w:val="16"/>
          <w:color w:val="auto"/>
        </w:rPr>
        <w:t>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6.7% of U.S. adults, or approximately 16 million, experience MDD each year.</w:t>
      </w:r>
    </w:p>
    <w:p>
      <w:pPr>
        <w:spacing w:after="0" w:line="15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8"/>
          <w:szCs w:val="18"/>
          <w:color w:val="auto"/>
        </w:rPr>
        <w:t>Patients diagnosed with MDD are defined as having TRD if they have failed two or more antidepressant therapies. MDD is a serious condition characterized by depressed mood or a loss of interest or pleasure in daily activities consistently for at least a two</w:t>
      </w:r>
      <w:r>
        <w:rPr>
          <w:rFonts w:ascii="MS PGothic" w:cs="MS PGothic" w:eastAsia="MS PGothic" w:hAnsi="MS PGothic"/>
          <w:sz w:val="18"/>
          <w:szCs w:val="18"/>
          <w:color w:val="auto"/>
        </w:rPr>
        <w:t>‑</w:t>
      </w:r>
      <w:r>
        <w:rPr>
          <w:rFonts w:ascii="Arial" w:cs="Arial" w:eastAsia="Arial" w:hAnsi="Arial"/>
          <w:sz w:val="18"/>
          <w:szCs w:val="18"/>
          <w:color w:val="auto"/>
        </w:rPr>
        <w:t>week period, and which impairs social, occupational, educational, or other important functioning. MDD is highly prevalent and difficult to treat. According to the National Institutes of Health, or NIH, an estimated 6.7% of U.S. adults experience MDD each year, while 3.3% of individuals 13 to 18 years of age experience a seriously debilitating depressive disorder. Results of the Sequenced Treatment Alternatives to Relieve Depression, or STAR*D trial, funded by the National Institute of Mental Health, indicate that nearly two</w:t>
      </w:r>
      <w:r>
        <w:rPr>
          <w:rFonts w:ascii="MS PGothic" w:cs="MS PGothic" w:eastAsia="MS PGothic" w:hAnsi="MS PGothic"/>
          <w:sz w:val="18"/>
          <w:szCs w:val="18"/>
          <w:color w:val="auto"/>
        </w:rPr>
        <w:t>‑</w:t>
      </w:r>
      <w:r>
        <w:rPr>
          <w:rFonts w:ascii="Arial" w:cs="Arial" w:eastAsia="Arial" w:hAnsi="Arial"/>
          <w:sz w:val="18"/>
          <w:szCs w:val="18"/>
          <w:color w:val="auto"/>
        </w:rPr>
        <w:t>thirds of diagnosed and treated patients do not experience adequate treatment response with first</w:t>
      </w:r>
      <w:r>
        <w:rPr>
          <w:rFonts w:ascii="MS PGothic" w:cs="MS PGothic" w:eastAsia="MS PGothic" w:hAnsi="MS PGothic"/>
          <w:sz w:val="18"/>
          <w:szCs w:val="18"/>
          <w:color w:val="auto"/>
        </w:rPr>
        <w:t>‑</w:t>
      </w:r>
      <w:r>
        <w:rPr>
          <w:rFonts w:ascii="Arial" w:cs="Arial" w:eastAsia="Arial" w:hAnsi="Arial"/>
          <w:sz w:val="18"/>
          <w:szCs w:val="18"/>
          <w:color w:val="auto"/>
        </w:rPr>
        <w:t>line therapy, and that the majority of these initial failures also fail second</w:t>
      </w:r>
      <w:r>
        <w:rPr>
          <w:rFonts w:ascii="MS PGothic" w:cs="MS PGothic" w:eastAsia="MS PGothic" w:hAnsi="MS PGothic"/>
          <w:sz w:val="18"/>
          <w:szCs w:val="18"/>
          <w:color w:val="auto"/>
        </w:rPr>
        <w:t>‑</w:t>
      </w:r>
      <w:r>
        <w:rPr>
          <w:rFonts w:ascii="Arial" w:cs="Arial" w:eastAsia="Arial" w:hAnsi="Arial"/>
          <w:sz w:val="18"/>
          <w:szCs w:val="18"/>
          <w:color w:val="auto"/>
        </w:rPr>
        <w:t>line treatment. Based on these observations, we estimate that there are approximately 3 million patients with TRD in the United States.</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Depression</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The rationale for the use of AXS-05 in the treatment of depression is based on clinical evidence of antidepressant effects of AXS-05, the mechanisms of action of the DM component of AXS-05, preclinical evidence of antidepressant effects of DM, and the established clinical efficacy of the bupropion component of AXS-05 in MDD.</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i w:val="1"/>
          <w:iCs w:val="1"/>
          <w:color w:val="auto"/>
        </w:rPr>
        <w:t xml:space="preserve">Mechanistic rationale. </w:t>
      </w:r>
      <w:r>
        <w:rPr>
          <w:rFonts w:ascii="Arial" w:cs="Arial" w:eastAsia="Arial" w:hAnsi="Arial"/>
          <w:sz w:val="18"/>
          <w:szCs w:val="18"/>
          <w:color w:val="auto"/>
        </w:rPr>
        <w:t>DM’s mechanisms of action encompass those of several currently marketed antidepressant</w:t>
      </w:r>
      <w:r>
        <w:rPr>
          <w:rFonts w:ascii="Arial" w:cs="Arial" w:eastAsia="Arial" w:hAnsi="Arial"/>
          <w:sz w:val="18"/>
          <w:szCs w:val="18"/>
          <w:i w:val="1"/>
          <w:iCs w:val="1"/>
          <w:color w:val="auto"/>
        </w:rPr>
        <w:t xml:space="preserve"> </w:t>
      </w:r>
      <w:r>
        <w:rPr>
          <w:rFonts w:ascii="Arial" w:cs="Arial" w:eastAsia="Arial" w:hAnsi="Arial"/>
          <w:sz w:val="18"/>
          <w:szCs w:val="18"/>
          <w:color w:val="auto"/>
        </w:rPr>
        <w:t>drugs such as duloxetine (Cymbalta), fluoxetine (Prozac), and fluvoxamine (Luvox). Bupropion inhibits the reuptake of dopamine and is a nicotinic acetylocholine receptor antagonist. The distinct mechanisms of action of DM and bupropion may therefore be complementary. Additionally, we believe that, if successfully developed, the NMDA receptor antagonist properties of DM in AXS</w:t>
      </w:r>
      <w:r>
        <w:rPr>
          <w:rFonts w:ascii="MS PGothic" w:cs="MS PGothic" w:eastAsia="MS PGothic" w:hAnsi="MS PGothic"/>
          <w:sz w:val="18"/>
          <w:szCs w:val="18"/>
          <w:color w:val="auto"/>
        </w:rPr>
        <w:t>‑</w:t>
      </w:r>
      <w:r>
        <w:rPr>
          <w:rFonts w:ascii="Arial" w:cs="Arial" w:eastAsia="Arial" w:hAnsi="Arial"/>
          <w:sz w:val="18"/>
          <w:szCs w:val="18"/>
          <w:color w:val="auto"/>
        </w:rPr>
        <w:t>05 may potentially result in a faster onset of action than currently available antidepressant treatments.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i w:val="1"/>
          <w:iCs w:val="1"/>
          <w:color w:val="auto"/>
        </w:rPr>
        <w:t xml:space="preserve">Preclinical rationale. </w:t>
      </w:r>
      <w:r>
        <w:rPr>
          <w:rFonts w:ascii="Arial" w:cs="Arial" w:eastAsia="Arial" w:hAnsi="Arial"/>
          <w:sz w:val="16"/>
          <w:szCs w:val="16"/>
          <w:color w:val="auto"/>
        </w:rPr>
        <w:t>The effects of DM have been reported in two preclinical models of antidepressant effect.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forced swim test model in mice, DM administered intraperitoneally resulted in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 in a dose</w:t>
      </w:r>
      <w:r>
        <w:rPr>
          <w:rFonts w:ascii="MS PGothic" w:cs="MS PGothic" w:eastAsia="MS PGothic" w:hAnsi="MS PGothic"/>
          <w:sz w:val="16"/>
          <w:szCs w:val="16"/>
          <w:color w:val="auto"/>
        </w:rPr>
        <w:t>‑</w:t>
      </w:r>
      <w:r>
        <w:rPr>
          <w:rFonts w:ascii="Arial" w:cs="Arial" w:eastAsia="Arial" w:hAnsi="Arial"/>
          <w:sz w:val="16"/>
          <w:szCs w:val="16"/>
          <w:color w:val="auto"/>
        </w:rPr>
        <w:t>dependent manner. The forced swim test is considered to be the most well</w:t>
      </w:r>
      <w:r>
        <w:rPr>
          <w:rFonts w:ascii="MS PGothic" w:cs="MS PGothic" w:eastAsia="MS PGothic" w:hAnsi="MS PGothic"/>
          <w:sz w:val="16"/>
          <w:szCs w:val="16"/>
          <w:color w:val="auto"/>
        </w:rPr>
        <w:t>‑</w:t>
      </w:r>
      <w:r>
        <w:rPr>
          <w:rFonts w:ascii="Arial" w:cs="Arial" w:eastAsia="Arial" w:hAnsi="Arial"/>
          <w:sz w:val="16"/>
          <w:szCs w:val="16"/>
          <w:color w:val="auto"/>
        </w:rPr>
        <w:t>validated animal model for predicting antidepressant effect. Using the tail suspension test in mice, another widely used behavioral test for assessing antidepressant potential, DM was also shown to display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 similar to those seen with imipramine, a conventional antidepressant, and ketamine, a compound that has demonstrated fast</w:t>
      </w:r>
      <w:r>
        <w:rPr>
          <w:rFonts w:ascii="MS PGothic" w:cs="MS PGothic" w:eastAsia="MS PGothic" w:hAnsi="MS PGothic"/>
          <w:sz w:val="16"/>
          <w:szCs w:val="16"/>
          <w:color w:val="auto"/>
        </w:rPr>
        <w:t>‑</w:t>
      </w:r>
      <w:r>
        <w:rPr>
          <w:rFonts w:ascii="Arial" w:cs="Arial" w:eastAsia="Arial" w:hAnsi="Arial"/>
          <w:sz w:val="16"/>
          <w:szCs w:val="16"/>
          <w:color w:val="auto"/>
        </w:rPr>
        <w:t>acting antidepressant effects. In both models, inhibition of DM metabolism using quinidine was shown to potentiate the antidepressant</w:t>
      </w:r>
      <w:r>
        <w:rPr>
          <w:rFonts w:ascii="MS PGothic" w:cs="MS PGothic" w:eastAsia="MS PGothic" w:hAnsi="MS PGothic"/>
          <w:sz w:val="16"/>
          <w:szCs w:val="16"/>
          <w:color w:val="auto"/>
        </w:rPr>
        <w:t>‑</w:t>
      </w:r>
      <w:r>
        <w:rPr>
          <w:rFonts w:ascii="Arial" w:cs="Arial" w:eastAsia="Arial" w:hAnsi="Arial"/>
          <w:sz w:val="16"/>
          <w:szCs w:val="16"/>
          <w:color w:val="auto"/>
        </w:rPr>
        <w:t>like effects.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i w:val="1"/>
          <w:iCs w:val="1"/>
          <w:color w:val="auto"/>
        </w:rPr>
        <w:t xml:space="preserve">Clinical Rationale. </w:t>
      </w:r>
      <w:r>
        <w:rPr>
          <w:rFonts w:ascii="Arial" w:cs="Arial" w:eastAsia="Arial" w:hAnsi="Arial"/>
          <w:sz w:val="18"/>
          <w:szCs w:val="18"/>
          <w:color w:val="auto"/>
        </w:rPr>
        <w:t>Administration of AXS-05 in the ASCEND study, a Phase 2, randomized, double-blind, active-controlled, multi-center, U.S. trial, resulted a in highly statistically significant reduction in the Montgomery-Åsberg Depression Rating Scale, or MADRS, total score, averaged over the 6-week treatment period, the overall treatment effect, as compared to bupropion (p&lt;0.001). At Week 6, AXS-05 demonstrated a 17.2 point reduction in the MADRS total score compared to a 12.1 point reduction for bupropion (p=0.013). AXS-05 rapidly reduced depressive symptoms and was superior to bupropion on multiple prespecified secondary endpoints, with statistically significant effects demonstrated on most. Additionally, the treatment effect observed with bupropion in the study was consistent with that observed in prior published trials.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Depressive symptom change with AXS-05 in patients with MDD in the ASCEND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137795</wp:posOffset>
            </wp:positionV>
            <wp:extent cx="4279265" cy="3395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926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Agitation associated with Alzheimer’s Disease (AD)</w:t>
      </w:r>
    </w:p>
    <w:p>
      <w:pPr>
        <w:spacing w:after="0" w:line="185"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AD. There is currently no FDA</w:t>
      </w:r>
      <w:r>
        <w:rPr>
          <w:rFonts w:ascii="MS PGothic" w:cs="MS PGothic" w:eastAsia="MS PGothic" w:hAnsi="MS PGothic"/>
          <w:sz w:val="18"/>
          <w:szCs w:val="18"/>
          <w:color w:val="auto"/>
        </w:rPr>
        <w:t>‑</w:t>
      </w:r>
      <w:r>
        <w:rPr>
          <w:rFonts w:ascii="Arial" w:cs="Arial" w:eastAsia="Arial" w:hAnsi="Arial"/>
          <w:sz w:val="18"/>
          <w:szCs w:val="18"/>
          <w:color w:val="auto"/>
        </w:rPr>
        <w:t>approved pharmacological treatment for the indication of agitation associated with AD.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AD is a progressive neurodegenerative disorder that manifests initially as forgetfulness advancing to severe cognitive impairment and memory loss. It is a common form of dementia and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6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Because there are no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treatments for the indication of agitation associated with AD, patients are currently treated off</w:t>
      </w:r>
      <w:r>
        <w:rPr>
          <w:rFonts w:ascii="MS PGothic" w:cs="MS PGothic" w:eastAsia="MS PGothic" w:hAnsi="MS PGothic"/>
          <w:sz w:val="17"/>
          <w:szCs w:val="17"/>
          <w:color w:val="auto"/>
        </w:rPr>
        <w:t>‑</w:t>
      </w:r>
      <w:r>
        <w:rPr>
          <w:rFonts w:ascii="Arial" w:cs="Arial" w:eastAsia="Arial" w:hAnsi="Arial"/>
          <w:sz w:val="17"/>
          <w:szCs w:val="17"/>
          <w:color w:val="auto"/>
        </w:rPr>
        <w:t>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in patients with dementia.</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Agitation associated with AD</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AD is based on the mechanisms of action of DM, and preliminary clinical evidence of the effect of DM when co</w:t>
      </w:r>
      <w:r>
        <w:rPr>
          <w:rFonts w:ascii="MS PGothic" w:cs="MS PGothic" w:eastAsia="MS PGothic" w:hAnsi="MS PGothic"/>
          <w:sz w:val="18"/>
          <w:szCs w:val="18"/>
          <w:color w:val="auto"/>
        </w:rPr>
        <w:t>‑</w:t>
      </w:r>
      <w:r>
        <w:rPr>
          <w:rFonts w:ascii="Arial" w:cs="Arial" w:eastAsia="Arial" w:hAnsi="Arial"/>
          <w:sz w:val="18"/>
          <w:szCs w:val="18"/>
          <w:color w:val="auto"/>
        </w:rPr>
        <w:t>administered with an inhibitor of its metabolism in agitation associated with AD.</w:t>
      </w:r>
    </w:p>
    <w:p>
      <w:pPr>
        <w:spacing w:after="0" w:line="163"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8"/>
          <w:szCs w:val="18"/>
          <w:i w:val="1"/>
          <w:iCs w:val="1"/>
          <w:color w:val="auto"/>
        </w:rPr>
        <w:t xml:space="preserve">Mechanistic rationale. </w:t>
      </w:r>
      <w:r>
        <w:rPr>
          <w:rFonts w:ascii="Arial" w:cs="Arial" w:eastAsia="Arial" w:hAnsi="Arial"/>
          <w:sz w:val="18"/>
          <w:szCs w:val="18"/>
          <w:color w:val="auto"/>
        </w:rPr>
        <w:t>Mechanisms of action of DM include NMDA receptor antagonism and sigma</w:t>
      </w:r>
      <w:r>
        <w:rPr>
          <w:rFonts w:ascii="MS PGothic" w:cs="MS PGothic" w:eastAsia="MS PGothic" w:hAnsi="MS PGothic"/>
          <w:sz w:val="18"/>
          <w:szCs w:val="18"/>
          <w:color w:val="auto"/>
        </w:rPr>
        <w:t>‑</w:t>
      </w:r>
      <w:r>
        <w:rPr>
          <w:rFonts w:ascii="Arial" w:cs="Arial" w:eastAsia="Arial" w:hAnsi="Arial"/>
          <w:sz w:val="18"/>
          <w:szCs w:val="18"/>
          <w:color w:val="auto"/>
        </w:rPr>
        <w:t>1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agonism. Altered glutamate transmission via NMDA receptors has been suggested to play a role in behavioral changes in dementia, and clinical evidence suggests that NMDA antagonism may reduce agitation and aggression in AD patients. The pharmacologic action of agents used in the treatment of dementia, such as donepezil, and behavioral disorders, such as fluvoxamine, include sigma</w:t>
      </w:r>
      <w:r>
        <w:rPr>
          <w:rFonts w:ascii="MS PGothic" w:cs="MS PGothic" w:eastAsia="MS PGothic" w:hAnsi="MS PGothic"/>
          <w:sz w:val="18"/>
          <w:szCs w:val="18"/>
          <w:color w:val="auto"/>
        </w:rPr>
        <w:t>‑</w:t>
      </w:r>
      <w:r>
        <w:rPr>
          <w:rFonts w:ascii="Arial" w:cs="Arial" w:eastAsia="Arial" w:hAnsi="Arial"/>
          <w:sz w:val="18"/>
          <w:szCs w:val="18"/>
          <w:color w:val="auto"/>
        </w:rPr>
        <w:t>1 receptor agonism.</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i w:val="1"/>
          <w:iCs w:val="1"/>
          <w:color w:val="auto"/>
        </w:rPr>
        <w:t xml:space="preserve">Clinical Rationale. </w:t>
      </w:r>
      <w:r>
        <w:rPr>
          <w:rFonts w:ascii="Arial" w:cs="Arial" w:eastAsia="Arial" w:hAnsi="Arial"/>
          <w:sz w:val="16"/>
          <w:szCs w:val="16"/>
          <w:color w:val="auto"/>
        </w:rPr>
        <w:t>Administration of DM with an inhibitor of its metabolism has been shown to result in a</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reduction in agitation associated with AD. The effects of DM co</w:t>
      </w:r>
      <w:r>
        <w:rPr>
          <w:rFonts w:ascii="MS PGothic" w:cs="MS PGothic" w:eastAsia="MS PGothic" w:hAnsi="MS PGothic"/>
          <w:sz w:val="16"/>
          <w:szCs w:val="16"/>
          <w:color w:val="auto"/>
        </w:rPr>
        <w:t>‑</w:t>
      </w:r>
      <w:r>
        <w:rPr>
          <w:rFonts w:ascii="Arial" w:cs="Arial" w:eastAsia="Arial" w:hAnsi="Arial"/>
          <w:sz w:val="16"/>
          <w:szCs w:val="16"/>
          <w:color w:val="auto"/>
        </w:rPr>
        <w:t>administered with the metabolic inhibitor quinidine was studied in a third</w:t>
      </w:r>
      <w:r>
        <w:rPr>
          <w:rFonts w:ascii="MS PGothic" w:cs="MS PGothic" w:eastAsia="MS PGothic" w:hAnsi="MS PGothic"/>
          <w:sz w:val="16"/>
          <w:szCs w:val="16"/>
          <w:color w:val="auto"/>
        </w:rPr>
        <w:t>‑</w:t>
      </w:r>
      <w:r>
        <w:rPr>
          <w:rFonts w:ascii="Arial" w:cs="Arial" w:eastAsia="Arial" w:hAnsi="Arial"/>
          <w:sz w:val="16"/>
          <w:szCs w:val="16"/>
          <w:color w:val="auto"/>
        </w:rPr>
        <w:t>party,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two</w:t>
      </w:r>
      <w:r>
        <w:rPr>
          <w:rFonts w:ascii="MS PGothic" w:cs="MS PGothic" w:eastAsia="MS PGothic" w:hAnsi="MS PGothic"/>
          <w:sz w:val="16"/>
          <w:szCs w:val="16"/>
          <w:color w:val="auto"/>
        </w:rPr>
        <w:t>‑</w:t>
      </w:r>
      <w:r>
        <w:rPr>
          <w:rFonts w:ascii="Arial" w:cs="Arial" w:eastAsia="Arial" w:hAnsi="Arial"/>
          <w:sz w:val="16"/>
          <w:szCs w:val="16"/>
          <w:color w:val="auto"/>
        </w:rPr>
        <w:t>stage trial in 220 patients with probable AD and clinically meaningful agitation. In stage 1 of the study, patients were randomized to receive either placebo or DM with quinidine (20 mg DM / 10 mg quinidine once per day, titrated to 30 mg DM / 10 mg quinidine twice per day). In stage 2, patients initially on placebo were stratified according to response, then re</w:t>
      </w:r>
      <w:r>
        <w:rPr>
          <w:rFonts w:ascii="MS PGothic" w:cs="MS PGothic" w:eastAsia="MS PGothic" w:hAnsi="MS PGothic"/>
          <w:sz w:val="16"/>
          <w:szCs w:val="16"/>
          <w:color w:val="auto"/>
        </w:rPr>
        <w:t>‑</w:t>
      </w:r>
      <w:r>
        <w:rPr>
          <w:rFonts w:ascii="Arial" w:cs="Arial" w:eastAsia="Arial" w:hAnsi="Arial"/>
          <w:sz w:val="16"/>
          <w:szCs w:val="16"/>
          <w:color w:val="auto"/>
        </w:rPr>
        <w:t>randomized to placebo or active treatment (titrated as in stage 1). Each stage lasted five weeks. The primary endpoint was the change in the agitation/aggression domain of the Neuropsychiatric Inventory, or NPI, assessed by combining results from the two stages.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firstLine="648"/>
        <w:spacing w:after="0" w:line="181" w:lineRule="exact"/>
        <w:rPr>
          <w:sz w:val="20"/>
          <w:szCs w:val="20"/>
          <w:color w:val="auto"/>
        </w:rPr>
      </w:pPr>
      <w:r>
        <w:rPr>
          <w:rFonts w:ascii="Arial" w:cs="Arial" w:eastAsia="Arial" w:hAnsi="Arial"/>
          <w:sz w:val="16"/>
          <w:szCs w:val="16"/>
          <w:color w:val="auto"/>
        </w:rPr>
        <w:t>The primary endpoint showed a statistically significant improvement with DM and quinidine as compared to placebo. During stage 1, a reduction of 3.3 in the agitation/aggression domain of the NPI was seen for active treatment as compared to a reduction of 1.7 for placebo, with a P value that is less than 0.001, as shown in the figure below. During stage 2, a reduction of 2.0 was observed for active treatment as compared to a reduction of 0.8 for placebo, with a P value that is equal to 0.02. Average baseline values for the agitation/aggression domain of the NPI were 7.1 for the active treatment group and 7.0 for the placebo group. Statistically significant improvements for the active treatment arm compared to placebo were also reported for the majority of secondary endpoints including the NPI total score, NPI</w:t>
      </w:r>
      <w:r>
        <w:rPr>
          <w:rFonts w:ascii="MS PGothic" w:cs="MS PGothic" w:eastAsia="MS PGothic" w:hAnsi="MS PGothic"/>
          <w:sz w:val="16"/>
          <w:szCs w:val="16"/>
          <w:color w:val="auto"/>
        </w:rPr>
        <w:t>‑</w:t>
      </w:r>
      <w:r>
        <w:rPr>
          <w:rFonts w:ascii="Arial" w:cs="Arial" w:eastAsia="Arial" w:hAnsi="Arial"/>
          <w:sz w:val="16"/>
          <w:szCs w:val="16"/>
          <w:color w:val="auto"/>
        </w:rPr>
        <w:t>Caregiver Distress Score, Caregiver Strain Index, and Cornell Scale for Depression in Dementia. Moreover, treatment with DM and the metabolic inhibitor was not associated with cognitive decline as measured by the Mini Mental State Examination.</w:t>
      </w:r>
    </w:p>
    <w:p>
      <w:pPr>
        <w:spacing w:after="0" w:line="168" w:lineRule="exact"/>
        <w:rPr>
          <w:sz w:val="20"/>
          <w:szCs w:val="20"/>
          <w:color w:val="auto"/>
        </w:rPr>
      </w:pPr>
    </w:p>
    <w:p>
      <w:pPr>
        <w:ind w:right="159" w:firstLine="648"/>
        <w:spacing w:after="0" w:line="199" w:lineRule="exact"/>
        <w:rPr>
          <w:sz w:val="20"/>
          <w:szCs w:val="20"/>
          <w:color w:val="auto"/>
        </w:rPr>
      </w:pPr>
      <w:r>
        <w:rPr>
          <w:rFonts w:ascii="Arial" w:cs="Arial" w:eastAsia="Arial" w:hAnsi="Arial"/>
          <w:sz w:val="16"/>
          <w:szCs w:val="16"/>
          <w:color w:val="auto"/>
        </w:rPr>
        <w:t>In the trial, patients were titrated to a 30 mg DM / 10 mg quinidine dose. According to the FDA package insert for Nuedexta, DM is the pharmacologically active ingredient of the DM / quinidine combination that acts on the CNS, with quinidine serving to increase DM plasma levels. The plasma concentrations of DM, measured using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w:t>
      </w:r>
    </w:p>
    <w:p>
      <w:pPr>
        <w:spacing w:after="0" w:line="2" w:lineRule="exact"/>
        <w:rPr>
          <w:sz w:val="20"/>
          <w:szCs w:val="20"/>
          <w:color w:val="auto"/>
        </w:rPr>
      </w:pPr>
    </w:p>
    <w:p>
      <w:pPr>
        <w:ind w:right="339"/>
        <w:spacing w:after="0" w:line="195" w:lineRule="exact"/>
        <w:rPr>
          <w:sz w:val="20"/>
          <w:szCs w:val="20"/>
          <w:color w:val="auto"/>
        </w:rPr>
      </w:pPr>
      <w:r>
        <w:rPr>
          <w:rFonts w:ascii="Arial" w:cs="Arial" w:eastAsia="Arial" w:hAnsi="Arial"/>
          <w:sz w:val="18"/>
          <w:szCs w:val="18"/>
          <w:color w:val="auto"/>
        </w:rPr>
        <w:t>achieved with AXS</w:t>
      </w:r>
      <w:r>
        <w:rPr>
          <w:rFonts w:ascii="MS PGothic" w:cs="MS PGothic" w:eastAsia="MS PGothic" w:hAnsi="MS PGothic"/>
          <w:sz w:val="18"/>
          <w:szCs w:val="18"/>
          <w:color w:val="auto"/>
        </w:rPr>
        <w:t>‑</w:t>
      </w:r>
      <w:r>
        <w:rPr>
          <w:rFonts w:ascii="Arial" w:cs="Arial" w:eastAsia="Arial" w:hAnsi="Arial"/>
          <w:sz w:val="18"/>
          <w:szCs w:val="18"/>
          <w:color w:val="auto"/>
        </w:rPr>
        <w:t>05 administration in our Phase 1 trials are in the range of those associated with a 30 mg DM / 10 mg quinidine dose, based on data in the FDA’s public review documents for Nuedexta.</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in Agitation/Aggression scores in AD with DM and</w:t>
      </w:r>
    </w:p>
    <w:p>
      <w:pPr>
        <w:jc w:val="center"/>
        <w:ind w:right="-20"/>
        <w:spacing w:after="0"/>
        <w:rPr>
          <w:sz w:val="20"/>
          <w:szCs w:val="20"/>
          <w:color w:val="auto"/>
        </w:rPr>
      </w:pPr>
      <w:r>
        <w:rPr>
          <w:rFonts w:ascii="Arial" w:cs="Arial" w:eastAsia="Arial" w:hAnsi="Arial"/>
          <w:sz w:val="18"/>
          <w:szCs w:val="18"/>
          <w:b w:val="1"/>
          <w:bCs w:val="1"/>
          <w:color w:val="auto"/>
        </w:rPr>
        <w:t>metabolic inhibitor quinidine (Q) during stage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125095</wp:posOffset>
            </wp:positionV>
            <wp:extent cx="343916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916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60"/>
        <w:spacing w:after="0" w:line="207" w:lineRule="exact"/>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Am J Geriatr Psychiatry 2015; 23:3, Supplement 1, S164</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S165.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Cessation</w:t>
      </w:r>
    </w:p>
    <w:p>
      <w:pPr>
        <w:spacing w:after="0" w:line="18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as an aid to smoking cessation treatment. In December 2017, we entered into a collaboration with Duke University for the conduct of a Phase 2 trial of AXS-05 under an Investigator Sponsor IND in smokers interesting in quitting. Products that are currently approved in the United States as aids to smoking cessation treatment include Zyban, or bupropion, which is marketed by GlaxoSmithKline, Chantix, or varenicline, which is marketed by Pfizer Inc., and various types of nicotine replacement approaches.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Smoking Cessation</w:t>
      </w:r>
    </w:p>
    <w:p>
      <w:pPr>
        <w:spacing w:after="0" w:line="185" w:lineRule="exact"/>
        <w:rPr>
          <w:sz w:val="20"/>
          <w:szCs w:val="20"/>
          <w:color w:val="auto"/>
        </w:rPr>
      </w:pPr>
    </w:p>
    <w:p>
      <w:pPr>
        <w:ind w:right="120" w:firstLine="648"/>
        <w:spacing w:after="0" w:line="194"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as an aid to smoking cessation treatment is based on the mechanisms of action of DM and bupropion, nonclinical evidence of the effect of DM in models of nicotine dependence, and the established clinical efficacy of bupropion in the indication.</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Results of preclinical studies conducted at Duke University demonstrated that the dextromethorphan component of AXS-05 significantly reduced nicotine self-administration in nicotine-dependent rats in a dose-dependent manner (p&lt;0.0005 versus control). Results of pharmacokinetic clinical trials conducted by us have demonstrated that, in human subjects, AXS-05 results in a significant increase in dextromethorphan plasma concentrations (p&lt;0.0001 versus administration of dextromethorphan as a single agent). Furthermore, bupropion, a component of AXS-05, has been found to be effective for smoking cessation in clinical trials. The preclinical and clinical efficacy of the individual components of AXS-05 combined with their positive pharmacokinetic interaction supports the potential for AXS-05 to be effective in the treatment of tobacco dependence in humans.</w:t>
      </w:r>
    </w:p>
    <w:p>
      <w:pPr>
        <w:spacing w:after="0" w:line="16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w:t>
      </w:r>
    </w:p>
    <w:p>
      <w:pPr>
        <w:spacing w:after="0" w:line="185"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We are developing AXS-05 and intend to seek FDA approval for the product utilizing the 505(b)(2) regulatory pathway. Section 505(b)(2) of the FDCA permits an applicant to file an NDA that relies, in part, on data not developed by or for the applicant and to which the applicant has not received a right of reference, such as the FDA’s findings of safety and efficacy in the approval of a similar drug, or reference listed drug, or published literature, in support of its application. We have completed a Phase 2 trial of AXS-05 in MDD and three Phase 1 pharmacokinetic clinical trials of AXS-05.</w:t>
      </w:r>
    </w:p>
    <w:p>
      <w:pPr>
        <w:spacing w:after="0" w:line="15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We held a pre</w:t>
      </w:r>
      <w:r>
        <w:rPr>
          <w:rFonts w:ascii="MS PGothic" w:cs="MS PGothic" w:eastAsia="MS PGothic" w:hAnsi="MS PGothic"/>
          <w:sz w:val="17"/>
          <w:szCs w:val="17"/>
          <w:color w:val="auto"/>
        </w:rPr>
        <w:t>‑</w:t>
      </w:r>
      <w:r>
        <w:rPr>
          <w:rFonts w:ascii="Arial" w:cs="Arial" w:eastAsia="Arial" w:hAnsi="Arial"/>
          <w:sz w:val="17"/>
          <w:szCs w:val="17"/>
          <w:color w:val="auto"/>
        </w:rPr>
        <w:t>IND meeting with the FDA in February 2015 where we discussed our clinical development plan for AXS</w:t>
      </w:r>
      <w:r>
        <w:rPr>
          <w:rFonts w:ascii="MS PGothic" w:cs="MS PGothic" w:eastAsia="MS PGothic" w:hAnsi="MS PGothic"/>
          <w:sz w:val="17"/>
          <w:szCs w:val="17"/>
          <w:color w:val="auto"/>
        </w:rPr>
        <w:t>‑</w:t>
      </w:r>
      <w:r>
        <w:rPr>
          <w:rFonts w:ascii="Arial" w:cs="Arial" w:eastAsia="Arial" w:hAnsi="Arial"/>
          <w:sz w:val="17"/>
          <w:szCs w:val="17"/>
          <w:color w:val="auto"/>
        </w:rPr>
        <w:t>05 in TRD. Based on that meeting, we submitted an investigational new drug application, or IND, to the FDA to conduct two Phase 3 trials of AXS</w:t>
      </w:r>
      <w:r>
        <w:rPr>
          <w:rFonts w:ascii="MS PGothic" w:cs="MS PGothic" w:eastAsia="MS PGothic" w:hAnsi="MS PGothic"/>
          <w:sz w:val="17"/>
          <w:szCs w:val="17"/>
          <w:color w:val="auto"/>
        </w:rPr>
        <w:t>‑</w:t>
      </w:r>
      <w:r>
        <w:rPr>
          <w:rFonts w:ascii="Arial" w:cs="Arial" w:eastAsia="Arial" w:hAnsi="Arial"/>
          <w:sz w:val="17"/>
          <w:szCs w:val="17"/>
          <w:color w:val="auto"/>
        </w:rPr>
        <w:t>05 in TRD to support an NDA filing for this indication.</w:t>
      </w:r>
    </w:p>
    <w:p>
      <w:pPr>
        <w:spacing w:after="0" w:line="161" w:lineRule="exact"/>
        <w:rPr>
          <w:sz w:val="20"/>
          <w:szCs w:val="20"/>
          <w:color w:val="auto"/>
        </w:rPr>
      </w:pPr>
    </w:p>
    <w:p>
      <w:pPr>
        <w:ind w:right="320" w:firstLine="648"/>
        <w:spacing w:after="0" w:line="203" w:lineRule="exact"/>
        <w:rPr>
          <w:sz w:val="20"/>
          <w:szCs w:val="20"/>
          <w:color w:val="auto"/>
        </w:rPr>
      </w:pPr>
      <w:r>
        <w:rPr>
          <w:rFonts w:ascii="Arial" w:cs="Arial" w:eastAsia="Arial" w:hAnsi="Arial"/>
          <w:sz w:val="18"/>
          <w:szCs w:val="18"/>
          <w:color w:val="auto"/>
        </w:rPr>
        <w:t>In March 2016, we initiated the STRIDE-1 study, a Phase 3, randomized, double</w:t>
      </w:r>
      <w:r>
        <w:rPr>
          <w:rFonts w:ascii="MS PGothic" w:cs="MS PGothic" w:eastAsia="MS PGothic" w:hAnsi="MS PGothic"/>
          <w:sz w:val="18"/>
          <w:szCs w:val="18"/>
          <w:color w:val="auto"/>
        </w:rPr>
        <w:t>‑</w:t>
      </w:r>
      <w:r>
        <w:rPr>
          <w:rFonts w:ascii="Arial" w:cs="Arial" w:eastAsia="Arial" w:hAnsi="Arial"/>
          <w:sz w:val="18"/>
          <w:szCs w:val="18"/>
          <w:color w:val="auto"/>
        </w:rPr>
        <w:t>blind, active</w:t>
      </w:r>
      <w:r>
        <w:rPr>
          <w:rFonts w:ascii="MS PGothic" w:cs="MS PGothic" w:eastAsia="MS PGothic" w:hAnsi="MS PGothic"/>
          <w:sz w:val="18"/>
          <w:szCs w:val="18"/>
          <w:color w:val="auto"/>
        </w:rPr>
        <w:t>‑</w:t>
      </w:r>
      <w:r>
        <w:rPr>
          <w:rFonts w:ascii="Arial" w:cs="Arial" w:eastAsia="Arial" w:hAnsi="Arial"/>
          <w:sz w:val="18"/>
          <w:szCs w:val="18"/>
          <w:color w:val="auto"/>
        </w:rPr>
        <w:t>controlled trial to assess the efficacy and safety of AXS</w:t>
      </w:r>
      <w:r>
        <w:rPr>
          <w:rFonts w:ascii="MS PGothic" w:cs="MS PGothic" w:eastAsia="MS PGothic" w:hAnsi="MS PGothic"/>
          <w:sz w:val="18"/>
          <w:szCs w:val="18"/>
          <w:color w:val="auto"/>
        </w:rPr>
        <w:t>‑</w:t>
      </w:r>
      <w:r>
        <w:rPr>
          <w:rFonts w:ascii="Arial" w:cs="Arial" w:eastAsia="Arial" w:hAnsi="Arial"/>
          <w:sz w:val="18"/>
          <w:szCs w:val="18"/>
          <w:color w:val="auto"/>
        </w:rPr>
        <w:t>05 in the treatment of TRD.</w:t>
      </w:r>
    </w:p>
    <w:p>
      <w:pPr>
        <w:spacing w:after="0" w:line="162" w:lineRule="exact"/>
        <w:rPr>
          <w:sz w:val="20"/>
          <w:szCs w:val="20"/>
          <w:color w:val="auto"/>
        </w:rPr>
      </w:pPr>
    </w:p>
    <w:p>
      <w:pPr>
        <w:ind w:firstLine="648"/>
        <w:spacing w:after="0" w:line="203" w:lineRule="exact"/>
        <w:rPr>
          <w:sz w:val="20"/>
          <w:szCs w:val="20"/>
          <w:color w:val="auto"/>
        </w:rPr>
      </w:pPr>
      <w:r>
        <w:rPr>
          <w:rFonts w:ascii="Arial" w:cs="Arial" w:eastAsia="Arial" w:hAnsi="Arial"/>
          <w:sz w:val="18"/>
          <w:szCs w:val="18"/>
          <w:color w:val="auto"/>
        </w:rPr>
        <w:t>In January 2017, we received IND clearance from the FDA to proceed with our Phase 2/3 clinical trial of AXS</w:t>
      </w:r>
      <w:r>
        <w:rPr>
          <w:rFonts w:ascii="MS PGothic" w:cs="MS PGothic" w:eastAsia="MS PGothic" w:hAnsi="MS PGothic"/>
          <w:sz w:val="18"/>
          <w:szCs w:val="18"/>
          <w:color w:val="auto"/>
        </w:rPr>
        <w:t>‑</w:t>
      </w:r>
      <w:r>
        <w:rPr>
          <w:rFonts w:ascii="Arial" w:cs="Arial" w:eastAsia="Arial" w:hAnsi="Arial"/>
          <w:sz w:val="18"/>
          <w:szCs w:val="18"/>
          <w:color w:val="auto"/>
        </w:rPr>
        <w:t>05 in agitation associated with AD.</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In February 2017, we received Fast Track designation from the FDA for AXS</w:t>
      </w:r>
      <w:r>
        <w:rPr>
          <w:rFonts w:ascii="MS PGothic" w:cs="MS PGothic" w:eastAsia="MS PGothic" w:hAnsi="MS PGothic"/>
          <w:sz w:val="18"/>
          <w:szCs w:val="18"/>
          <w:color w:val="auto"/>
        </w:rPr>
        <w:t>‑</w:t>
      </w:r>
      <w:r>
        <w:rPr>
          <w:rFonts w:ascii="Arial" w:cs="Arial" w:eastAsia="Arial" w:hAnsi="Arial"/>
          <w:sz w:val="18"/>
          <w:szCs w:val="18"/>
          <w:color w:val="auto"/>
        </w:rPr>
        <w:t>05 for TRD.</w:t>
      </w:r>
    </w:p>
    <w:p>
      <w:pPr>
        <w:spacing w:after="0" w:line="185"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In July 2017, we initiated the ADVANCE-1 study, a Phase 2/3, randomized, double-blind, controlled trial to evaluate the efficacy and safety of AXS-05 in patients with agitation associated with AD.</w:t>
      </w:r>
    </w:p>
    <w:p>
      <w:pPr>
        <w:spacing w:after="0" w:line="16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December 2017, we entered into a research collaboration agreement with Duke University to evaluate AXS-05 in a Phase 2 clinical trial in smoking cessation.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April 2018, we announced the enrollment of the first patient into a Phase 2 clinical trial of AXS-05 for smoking cessation treatment, which is being conducted under a research collaboration agreement between us and Duke University.</w:t>
      </w:r>
    </w:p>
    <w:p>
      <w:pPr>
        <w:spacing w:after="0" w:line="12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April 2018, we announced that an IDMC had conducted an interim futility analysis for the STRIDE-1 study. Based on the results of the analysis, the IDMC recommended that the trial continue. The IDMC also reviewed the available safety information from the study and indicated that, based on the interim results, AXS-05 appears safe and well-tolerated.</w:t>
      </w:r>
    </w:p>
    <w:p>
      <w:pPr>
        <w:spacing w:after="0" w:line="133"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June 2018, we initiated the ASCEND study, a Phase 2 randomized, double-blind, controlled trial to evaluate the efficacy and safety of AXS-05 in patients with MDD.</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December 2018, we announced that an IDMC had conducted an interim futility analysis for the ADVANCE-1 study. Based on the results of the analysis, the IDMC recommended continuation of the AXS-05 treatment arm. Additionally, the IDMC recommended no further randomization of subjects to the bupropion treatment arm of the study. The IDMC did not indicate that there were any safety concerns in the study.</w:t>
      </w:r>
    </w:p>
    <w:p>
      <w:pPr>
        <w:spacing w:after="0" w:line="163"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In January 2019, we announced that AXS-05 met the prespecified primary endpoint and significantly improved symptoms of depression in the ASCEND study.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ASCEND Study</w:t>
      </w:r>
    </w:p>
    <w:p>
      <w:pPr>
        <w:spacing w:after="0" w:line="18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We have completed the ASCEND Phase 2 study, a randomized, double-blind, active-controlled, multi-center, U.S. trial, in which 80 adult patients with confirmed moderate to severe MDD were treated either with AXS-05 (45 mg dextromethorphan/105 mg bupropion), or the active comparator bupropion (105 mg), twice daily for 6 weeks.</w:t>
      </w:r>
    </w:p>
    <w:p>
      <w:pPr>
        <w:spacing w:after="0" w:line="121"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AXS-05 met the prespecified primary endpoint by demonstrating a highly statistically significant reduction in the Montgomery-Åsberg Depression Rating Scale, or MADRS, total score, averaged over the 6-week treatment period, the overall treatment effect, as compared to bupropion (p&lt;0.001). At Week 6, AXS-05 demonstrated a 17.2 point reduction in the MADRS total score compared to a 12.1 point reduction for bupropion (p=0.013). AXS-05 rapidly reduced depressive symptoms, demonstrating a statistically significant improvement over bupropion on the Clinical Global Impression-Improvement scale (CGI-I) at Week 1 (p=0.045). Starting at Week 1, AXS-05 achieved numerical superiority over bupropion on the MADRS total score, with statistical significance achieved at Week 2 and maintained at all time points thereafter. At Week 6, 47% of patients who received AXS-05 achieved remission, prospectively defined as a score of 10 or less on the MADRS, compared with 16% of patients who received bupropion (p=0.004).</w:t>
      </w:r>
    </w:p>
    <w:p>
      <w:pPr>
        <w:spacing w:after="0" w:line="121"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AXS-05 was superior to bupropion on multiple prespecified secondary endpoints, with statistically significant effects demonstrated on most, including the following: MADRS-6 (p=0.007 at Week 6); percentage of responders on MADRS-6, response defined as ≥ 50% reduction from baseline, (p=0.014 at Week 6); CGI-I (p=0.045 at Week 1, and 0.051 at Week 6); Clinical Global Impression-Severity scale, or CGI-S, (p=0.038 at Week 6); percentage of patients achieving remission on MADRS, remission defined as MADRS ≤ 10, (p=0.004 at Week 6). Additionally, the treatment effect observed with bupropion in the study was consistent with that observed in prior published trials.</w:t>
      </w:r>
    </w:p>
    <w:p>
      <w:pPr>
        <w:spacing w:after="0" w:line="125"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Fifty-one percent of patients in the trial had experienced three or more major depressive episodes prior to enrollment. Twenty-three percent of study participants had received first line treatment in their current major depressive episode prior to treatment with study medication.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AXS-05 was safe and well tolerated with no serious adverse events. The most commonly reported adverse events in the AXS-05 arm were nausea, dizziness, dry mouth, decreased appetite, and anxiety. Overall, rates of adverse events were similar between AXS-05 and bupropion. Retention of patients in the study was favorable overall and higher in the AXS-05 treatment arm. There was no meaningful difference between the two treatment arms in discontinuations due to adverse events. Treatment with AXS-05 was not associated with psychotomimetic effects, weight gain, or increased sexual dysfunction.</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Completed Phase 1 Trials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6"/>
          <w:szCs w:val="16"/>
          <w:color w:val="auto"/>
        </w:rPr>
        <w:t>We have completed three Phase 1 pharmacokinetic clinical trials of AXS</w:t>
      </w:r>
      <w:r>
        <w:rPr>
          <w:rFonts w:ascii="MS PGothic" w:cs="MS PGothic" w:eastAsia="MS PGothic" w:hAnsi="MS PGothic"/>
          <w:sz w:val="16"/>
          <w:szCs w:val="16"/>
          <w:color w:val="auto"/>
        </w:rPr>
        <w:t>‑</w:t>
      </w:r>
      <w:r>
        <w:rPr>
          <w:rFonts w:ascii="Arial" w:cs="Arial" w:eastAsia="Arial" w:hAnsi="Arial"/>
          <w:sz w:val="16"/>
          <w:szCs w:val="16"/>
          <w:color w:val="auto"/>
        </w:rPr>
        <w:t>05. The objectives of these trials were to assess the pharmacokinetics of DM when co</w:t>
      </w:r>
      <w:r>
        <w:rPr>
          <w:rFonts w:ascii="MS PGothic" w:cs="MS PGothic" w:eastAsia="MS PGothic" w:hAnsi="MS PGothic"/>
          <w:sz w:val="16"/>
          <w:szCs w:val="16"/>
          <w:color w:val="auto"/>
        </w:rPr>
        <w:t>‑</w:t>
      </w:r>
      <w:r>
        <w:rPr>
          <w:rFonts w:ascii="Arial" w:cs="Arial" w:eastAsia="Arial" w:hAnsi="Arial"/>
          <w:sz w:val="16"/>
          <w:szCs w:val="16"/>
          <w:color w:val="auto"/>
        </w:rPr>
        <w:t>administered with bupropion, and to assess the safety and tolerability of the combination. In the first two Phase 1 trials, the components of AXS</w:t>
      </w:r>
      <w:r>
        <w:rPr>
          <w:rFonts w:ascii="MS PGothic" w:cs="MS PGothic" w:eastAsia="MS PGothic" w:hAnsi="MS PGothic"/>
          <w:sz w:val="16"/>
          <w:szCs w:val="16"/>
          <w:color w:val="auto"/>
        </w:rPr>
        <w:t>‑</w:t>
      </w:r>
      <w:r>
        <w:rPr>
          <w:rFonts w:ascii="Arial" w:cs="Arial" w:eastAsia="Arial" w:hAnsi="Arial"/>
          <w:sz w:val="16"/>
          <w:szCs w:val="16"/>
          <w:color w:val="auto"/>
        </w:rPr>
        <w:t>05, DM and bupropion, were co</w:t>
      </w:r>
      <w:r>
        <w:rPr>
          <w:rFonts w:ascii="MS PGothic" w:cs="MS PGothic" w:eastAsia="MS PGothic" w:hAnsi="MS PGothic"/>
          <w:sz w:val="16"/>
          <w:szCs w:val="16"/>
          <w:color w:val="auto"/>
        </w:rPr>
        <w:t>‑</w:t>
      </w:r>
      <w:r>
        <w:rPr>
          <w:rFonts w:ascii="Arial" w:cs="Arial" w:eastAsia="Arial" w:hAnsi="Arial"/>
          <w:sz w:val="16"/>
          <w:szCs w:val="16"/>
          <w:color w:val="auto"/>
        </w:rPr>
        <w:t>administered as separate tablets. In the third Phase 1 trial, AXS -05 was dosed as a bilayer tablet. In each study, administration of bupropion in combination with DM resulted in substantial increases in DM plasma concentrations measured using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and AUC at 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doses tested.</w:t>
      </w:r>
    </w:p>
    <w:p>
      <w:pPr>
        <w:spacing w:after="0" w:line="169" w:lineRule="exact"/>
        <w:rPr>
          <w:sz w:val="20"/>
          <w:szCs w:val="20"/>
          <w:color w:val="auto"/>
        </w:rPr>
      </w:pPr>
    </w:p>
    <w:p>
      <w:pPr>
        <w:ind w:right="20" w:firstLine="648"/>
        <w:spacing w:after="0" w:line="186" w:lineRule="exact"/>
        <w:rPr>
          <w:sz w:val="20"/>
          <w:szCs w:val="20"/>
          <w:color w:val="auto"/>
        </w:rPr>
      </w:pPr>
      <w:r>
        <w:rPr>
          <w:rFonts w:ascii="Arial" w:cs="Arial" w:eastAsia="Arial" w:hAnsi="Arial"/>
          <w:sz w:val="16"/>
          <w:szCs w:val="16"/>
          <w:color w:val="auto"/>
        </w:rPr>
        <w:t>The first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bupropion under fasting conditions, as well as the safety of the combination.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administrations of 150 mg of bupropion in combination with DM at various doses up to 60 mg, or 60 mg of DM alone, for 8 consecutive days. Bupropion was titrated with subjects being dosed once daily for the first 3 days, then twice daily thereafter. A total of 32 healthy, adult volunteers were included in this study in four treatment groups. Full pharmacokinetic assessments were made on Day 1 and Day 8. For the dose of 60 mg of DM / 150 mg of bupropion,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on Day 8 for DM when dosed in combination with bupropion were</w:t>
      </w:r>
    </w:p>
    <w:p>
      <w:pPr>
        <w:spacing w:after="0" w:line="1" w:lineRule="exact"/>
        <w:rPr>
          <w:sz w:val="20"/>
          <w:szCs w:val="20"/>
          <w:color w:val="auto"/>
        </w:rPr>
      </w:pPr>
    </w:p>
    <w:p>
      <w:pPr>
        <w:ind w:right="100"/>
        <w:spacing w:after="0" w:line="203" w:lineRule="exact"/>
        <w:rPr>
          <w:sz w:val="20"/>
          <w:szCs w:val="20"/>
          <w:color w:val="auto"/>
        </w:rPr>
      </w:pPr>
      <w:r>
        <w:rPr>
          <w:rFonts w:ascii="Arial" w:cs="Arial" w:eastAsia="Arial" w:hAnsi="Arial"/>
          <w:sz w:val="16"/>
          <w:szCs w:val="16"/>
          <w:color w:val="auto"/>
        </w:rPr>
        <w:t>approximately 60 times and 40 times, respectively, the values for DM when dosed alone. For all doses tested, administration of DM in combination with bupropion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on Day 8 as</w:t>
      </w:r>
    </w:p>
    <w:p>
      <w:pPr>
        <w:spacing w:after="0" w:line="1" w:lineRule="exact"/>
        <w:rPr>
          <w:sz w:val="20"/>
          <w:szCs w:val="20"/>
          <w:color w:val="auto"/>
        </w:rPr>
      </w:pPr>
    </w:p>
    <w:p>
      <w:pPr>
        <w:ind w:right="420"/>
        <w:spacing w:after="0" w:line="220" w:lineRule="auto"/>
        <w:rPr>
          <w:sz w:val="20"/>
          <w:szCs w:val="20"/>
          <w:color w:val="auto"/>
        </w:rPr>
      </w:pPr>
      <w:r>
        <w:rPr>
          <w:rFonts w:ascii="Arial" w:cs="Arial" w:eastAsia="Arial" w:hAnsi="Arial"/>
          <w:sz w:val="16"/>
          <w:szCs w:val="16"/>
          <w:color w:val="auto"/>
        </w:rPr>
        <w:t>compared to Day 1 of dosing. DM exposure measured using AUC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increased in a dose dependent manner with increasing doses of DM. Administration of DM did not appear to affect the pharmacokinetics of bupropion.</w:t>
      </w:r>
    </w:p>
    <w:p>
      <w:pPr>
        <w:spacing w:after="0" w:line="163" w:lineRule="exact"/>
        <w:rPr>
          <w:sz w:val="20"/>
          <w:szCs w:val="20"/>
          <w:color w:val="auto"/>
        </w:rPr>
      </w:pPr>
    </w:p>
    <w:p>
      <w:pPr>
        <w:jc w:val="both"/>
        <w:ind w:right="300" w:firstLine="648"/>
        <w:spacing w:after="0" w:line="184" w:lineRule="exact"/>
        <w:rPr>
          <w:sz w:val="20"/>
          <w:szCs w:val="20"/>
          <w:color w:val="auto"/>
        </w:rPr>
      </w:pPr>
      <w:r>
        <w:rPr>
          <w:rFonts w:ascii="Arial" w:cs="Arial" w:eastAsia="Arial" w:hAnsi="Arial"/>
          <w:sz w:val="16"/>
          <w:szCs w:val="16"/>
          <w:color w:val="auto"/>
        </w:rPr>
        <w:t>There were no reported serious adverse events in the trial. The majority of treatment</w:t>
      </w:r>
      <w:r>
        <w:rPr>
          <w:rFonts w:ascii="MS PGothic" w:cs="MS PGothic" w:eastAsia="MS PGothic" w:hAnsi="MS PGothic"/>
          <w:sz w:val="16"/>
          <w:szCs w:val="16"/>
          <w:color w:val="auto"/>
        </w:rPr>
        <w:t>‑</w:t>
      </w:r>
      <w:r>
        <w:rPr>
          <w:rFonts w:ascii="Arial" w:cs="Arial" w:eastAsia="Arial" w:hAnsi="Arial"/>
          <w:sz w:val="16"/>
          <w:szCs w:val="16"/>
          <w:color w:val="auto"/>
        </w:rPr>
        <w:t>emergent adverse events experienced were graded as mild or moderate in severity, and had resolved by the end of the study. The most commonly reported adverse events were dizziness, nausea, headache, insomnia, dry mouth, constipation, hypoesthesia, palpitation, disturbance in attention, tremor, and hyperhidrosis. Adverse events were reported more frequently in the AXS</w:t>
      </w:r>
      <w:r>
        <w:rPr>
          <w:rFonts w:ascii="MS PGothic" w:cs="MS PGothic" w:eastAsia="MS PGothic" w:hAnsi="MS PGothic"/>
          <w:sz w:val="16"/>
          <w:szCs w:val="16"/>
          <w:color w:val="auto"/>
        </w:rPr>
        <w:t>‑</w:t>
      </w:r>
      <w:r>
        <w:rPr>
          <w:rFonts w:ascii="Arial" w:cs="Arial" w:eastAsia="Arial" w:hAnsi="Arial"/>
          <w:sz w:val="16"/>
          <w:szCs w:val="16"/>
          <w:color w:val="auto"/>
        </w:rPr>
        <w:t>05 arm as compared to the DM</w:t>
      </w:r>
      <w:r>
        <w:rPr>
          <w:rFonts w:ascii="MS PGothic" w:cs="MS PGothic" w:eastAsia="MS PGothic" w:hAnsi="MS PGothic"/>
          <w:sz w:val="16"/>
          <w:szCs w:val="16"/>
          <w:color w:val="auto"/>
        </w:rPr>
        <w:t>‑</w:t>
      </w:r>
      <w:r>
        <w:rPr>
          <w:rFonts w:ascii="Arial" w:cs="Arial" w:eastAsia="Arial" w:hAnsi="Arial"/>
          <w:sz w:val="16"/>
          <w:szCs w:val="16"/>
          <w:color w:val="auto"/>
        </w:rPr>
        <w:t>only arm. The majority of these adverse events were expected with the administration of bupropion, having been already reported in the FDA package inserts for products containing bupropion.</w:t>
      </w:r>
    </w:p>
    <w:p>
      <w:pPr>
        <w:spacing w:after="0" w:line="166" w:lineRule="exact"/>
        <w:rPr>
          <w:sz w:val="20"/>
          <w:szCs w:val="20"/>
          <w:color w:val="auto"/>
        </w:rPr>
      </w:pPr>
    </w:p>
    <w:p>
      <w:pPr>
        <w:ind w:right="140" w:firstLine="648"/>
        <w:spacing w:after="0" w:line="184" w:lineRule="exact"/>
        <w:rPr>
          <w:sz w:val="20"/>
          <w:szCs w:val="20"/>
          <w:color w:val="auto"/>
        </w:rPr>
      </w:pPr>
      <w:r>
        <w:rPr>
          <w:rFonts w:ascii="Arial" w:cs="Arial" w:eastAsia="Arial" w:hAnsi="Arial"/>
          <w:sz w:val="16"/>
          <w:szCs w:val="16"/>
          <w:color w:val="auto"/>
        </w:rPr>
        <w:t>The second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various doses of bupropion and to assess safety during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and DM. A total of 40 healthy, adult volunteers were included in this study in five treatment groups.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 of either 150 mg of bupropion alone, or combinations of varying doses of bupropion and DM for 8 consecutive days. Bupropion was titrated with subjects being dosed once daily for the first 3 days, then twice daily thereafter. Full pharmacokinetic assessments were made on Day 1 and Day 8. Similar to the results in our first study, administration of DM in combination with bupropion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on Day 8 as compared to Day 1 of dosing for all combinations tested. DM</w:t>
      </w:r>
    </w:p>
    <w:p>
      <w:pPr>
        <w:spacing w:after="0" w:line="7" w:lineRule="exact"/>
        <w:rPr>
          <w:sz w:val="20"/>
          <w:szCs w:val="20"/>
          <w:color w:val="auto"/>
        </w:rPr>
      </w:pPr>
    </w:p>
    <w:p>
      <w:pPr>
        <w:ind w:right="300"/>
        <w:spacing w:after="0" w:line="222" w:lineRule="exact"/>
        <w:rPr>
          <w:sz w:val="20"/>
          <w:szCs w:val="20"/>
          <w:color w:val="auto"/>
        </w:rPr>
      </w:pPr>
      <w:r>
        <w:rPr>
          <w:rFonts w:ascii="Arial" w:cs="Arial" w:eastAsia="Arial" w:hAnsi="Arial"/>
          <w:sz w:val="18"/>
          <w:szCs w:val="18"/>
          <w:color w:val="auto"/>
        </w:rPr>
        <w:t>exposure measured using AUC and C</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increased in a dose</w:t>
      </w:r>
      <w:r>
        <w:rPr>
          <w:rFonts w:ascii="MS PGothic" w:cs="MS PGothic" w:eastAsia="MS PGothic" w:hAnsi="MS PGothic"/>
          <w:sz w:val="18"/>
          <w:szCs w:val="18"/>
          <w:color w:val="auto"/>
        </w:rPr>
        <w:t>‑</w:t>
      </w:r>
      <w:r>
        <w:rPr>
          <w:rFonts w:ascii="Arial" w:cs="Arial" w:eastAsia="Arial" w:hAnsi="Arial"/>
          <w:sz w:val="18"/>
          <w:szCs w:val="18"/>
          <w:color w:val="auto"/>
        </w:rPr>
        <w:t>dependent manner as doses of either DM or bupropion were increased. Administration of DM did not appear to affect the pharmacokinetics of bupropion.</w:t>
      </w:r>
    </w:p>
    <w:p>
      <w:pPr>
        <w:spacing w:after="0" w:line="161"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in severity, and had resolved by the end of the study. The most commonly reported adverse events were headache, nausea, dizziness, fatigue, increased heart rate, palpitations, constipation, diarrhea, increased blood pressure, and tremor. No particular trend was observed when comparing the rates or types of adverse events in the combination groups as compared to the group receiving bupropion alone.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firstLine="648"/>
        <w:spacing w:after="0" w:line="199" w:lineRule="exact"/>
        <w:rPr>
          <w:sz w:val="20"/>
          <w:szCs w:val="20"/>
          <w:color w:val="auto"/>
        </w:rPr>
      </w:pPr>
      <w:r>
        <w:rPr>
          <w:rFonts w:ascii="Arial" w:cs="Arial" w:eastAsia="Arial" w:hAnsi="Arial"/>
          <w:sz w:val="16"/>
          <w:szCs w:val="16"/>
          <w:color w:val="auto"/>
        </w:rPr>
        <w:t>The third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double-blind pharmacokinetic study of AXS-05 conducted using a single tablet containing DM and buproprion. In this study, which enrolled a total of 30 healthy, adult volunteers, administration of AXS-05 as a single tablet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compared to</w:t>
      </w:r>
    </w:p>
    <w:p>
      <w:pPr>
        <w:spacing w:after="0" w:line="2" w:lineRule="exact"/>
        <w:rPr>
          <w:sz w:val="20"/>
          <w:szCs w:val="20"/>
          <w:color w:val="auto"/>
        </w:rPr>
      </w:pPr>
    </w:p>
    <w:p>
      <w:pPr>
        <w:jc w:val="both"/>
        <w:ind w:right="19"/>
        <w:spacing w:after="0" w:line="188" w:lineRule="exact"/>
        <w:rPr>
          <w:sz w:val="20"/>
          <w:szCs w:val="20"/>
          <w:color w:val="auto"/>
        </w:rPr>
      </w:pPr>
      <w:r>
        <w:rPr>
          <w:rFonts w:ascii="Arial" w:cs="Arial" w:eastAsia="Arial" w:hAnsi="Arial"/>
          <w:sz w:val="16"/>
          <w:szCs w:val="16"/>
          <w:color w:val="auto"/>
        </w:rPr>
        <w:t>Day 1 levels similar to the increases observed in our first two Phase 1 studies. There were no reported serious adverse events in the trial. The majority of treatment</w:t>
      </w:r>
      <w:r>
        <w:rPr>
          <w:rFonts w:ascii="MS PGothic" w:cs="MS PGothic" w:eastAsia="MS PGothic" w:hAnsi="MS PGothic"/>
          <w:sz w:val="16"/>
          <w:szCs w:val="16"/>
          <w:color w:val="auto"/>
        </w:rPr>
        <w:t>‑</w:t>
      </w:r>
      <w:r>
        <w:rPr>
          <w:rFonts w:ascii="Arial" w:cs="Arial" w:eastAsia="Arial" w:hAnsi="Arial"/>
          <w:sz w:val="16"/>
          <w:szCs w:val="16"/>
          <w:color w:val="auto"/>
        </w:rPr>
        <w:t>emergent adverse events experienced were graded as mild in severity, and had resolved by the end of the study. The most commonly reported adverse events were dizziness, fatigue, headache, and insomnia.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STRIDE-1 Study</w:t>
      </w:r>
    </w:p>
    <w:p>
      <w:pPr>
        <w:spacing w:after="0" w:line="185" w:lineRule="exact"/>
        <w:rPr>
          <w:sz w:val="20"/>
          <w:szCs w:val="20"/>
          <w:color w:val="auto"/>
        </w:rPr>
      </w:pPr>
    </w:p>
    <w:p>
      <w:pPr>
        <w:ind w:right="99" w:firstLine="648"/>
        <w:spacing w:after="0" w:line="182" w:lineRule="exact"/>
        <w:rPr>
          <w:sz w:val="20"/>
          <w:szCs w:val="20"/>
          <w:color w:val="auto"/>
        </w:rPr>
      </w:pPr>
      <w:r>
        <w:rPr>
          <w:rFonts w:ascii="Arial" w:cs="Arial" w:eastAsia="Arial" w:hAnsi="Arial"/>
          <w:sz w:val="17"/>
          <w:szCs w:val="17"/>
          <w:color w:val="auto"/>
        </w:rPr>
        <w:t>In March 2016, we initiated the STRIDE-1 study, a Phase 3, randomized, double</w:t>
      </w:r>
      <w:r>
        <w:rPr>
          <w:rFonts w:ascii="MS PGothic" w:cs="MS PGothic" w:eastAsia="MS PGothic" w:hAnsi="MS PGothic"/>
          <w:sz w:val="17"/>
          <w:szCs w:val="17"/>
          <w:color w:val="auto"/>
        </w:rPr>
        <w:t>‑</w:t>
      </w:r>
      <w:r>
        <w:rPr>
          <w:rFonts w:ascii="Arial" w:cs="Arial" w:eastAsia="Arial" w:hAnsi="Arial"/>
          <w:sz w:val="17"/>
          <w:szCs w:val="17"/>
          <w:color w:val="auto"/>
        </w:rPr>
        <w:t>blind, active</w:t>
      </w:r>
      <w:r>
        <w:rPr>
          <w:rFonts w:ascii="MS PGothic" w:cs="MS PGothic" w:eastAsia="MS PGothic" w:hAnsi="MS PGothic"/>
          <w:sz w:val="17"/>
          <w:szCs w:val="17"/>
          <w:color w:val="auto"/>
        </w:rPr>
        <w:t>‑</w:t>
      </w:r>
      <w:r>
        <w:rPr>
          <w:rFonts w:ascii="Arial" w:cs="Arial" w:eastAsia="Arial" w:hAnsi="Arial"/>
          <w:sz w:val="17"/>
          <w:szCs w:val="17"/>
          <w:color w:val="auto"/>
        </w:rPr>
        <w:t>controlled trial to assess the efficacy and safety of AXS</w:t>
      </w:r>
      <w:r>
        <w:rPr>
          <w:rFonts w:ascii="MS PGothic" w:cs="MS PGothic" w:eastAsia="MS PGothic" w:hAnsi="MS PGothic"/>
          <w:sz w:val="17"/>
          <w:szCs w:val="17"/>
          <w:color w:val="auto"/>
        </w:rPr>
        <w:t>‑</w:t>
      </w:r>
      <w:r>
        <w:rPr>
          <w:rFonts w:ascii="Arial" w:cs="Arial" w:eastAsia="Arial" w:hAnsi="Arial"/>
          <w:sz w:val="17"/>
          <w:szCs w:val="17"/>
          <w:color w:val="auto"/>
        </w:rPr>
        <w:t>05 in the treatment of TRD. Patients with MDD who have had inadequate response to one or two antidepressant treatments are treated in an open</w:t>
      </w:r>
      <w:r>
        <w:rPr>
          <w:rFonts w:ascii="MS PGothic" w:cs="MS PGothic" w:eastAsia="MS PGothic" w:hAnsi="MS PGothic"/>
          <w:sz w:val="17"/>
          <w:szCs w:val="17"/>
          <w:color w:val="auto"/>
        </w:rPr>
        <w:t>‑</w:t>
      </w:r>
      <w:r>
        <w:rPr>
          <w:rFonts w:ascii="Arial" w:cs="Arial" w:eastAsia="Arial" w:hAnsi="Arial"/>
          <w:sz w:val="17"/>
          <w:szCs w:val="17"/>
          <w:color w:val="auto"/>
        </w:rPr>
        <w:t>label fashion with bupropion during a 6</w:t>
      </w:r>
      <w:r>
        <w:rPr>
          <w:rFonts w:ascii="MS PGothic" w:cs="MS PGothic" w:eastAsia="MS PGothic" w:hAnsi="MS PGothic"/>
          <w:sz w:val="17"/>
          <w:szCs w:val="17"/>
          <w:color w:val="auto"/>
        </w:rPr>
        <w:t>‑</w:t>
      </w:r>
      <w:r>
        <w:rPr>
          <w:rFonts w:ascii="Arial" w:cs="Arial" w:eastAsia="Arial" w:hAnsi="Arial"/>
          <w:sz w:val="17"/>
          <w:szCs w:val="17"/>
          <w:color w:val="auto"/>
        </w:rPr>
        <w:t>week lead</w:t>
      </w:r>
      <w:r>
        <w:rPr>
          <w:rFonts w:ascii="MS PGothic" w:cs="MS PGothic" w:eastAsia="MS PGothic" w:hAnsi="MS PGothic"/>
          <w:sz w:val="17"/>
          <w:szCs w:val="17"/>
          <w:color w:val="auto"/>
        </w:rPr>
        <w:t>‑</w:t>
      </w:r>
      <w:r>
        <w:rPr>
          <w:rFonts w:ascii="Arial" w:cs="Arial" w:eastAsia="Arial" w:hAnsi="Arial"/>
          <w:sz w:val="17"/>
          <w:szCs w:val="17"/>
          <w:color w:val="auto"/>
        </w:rPr>
        <w:t>in period. Patients who had inadequate response to bupropion during this lead</w:t>
      </w:r>
      <w:r>
        <w:rPr>
          <w:rFonts w:ascii="MS PGothic" w:cs="MS PGothic" w:eastAsia="MS PGothic" w:hAnsi="MS PGothic"/>
          <w:sz w:val="17"/>
          <w:szCs w:val="17"/>
          <w:color w:val="auto"/>
        </w:rPr>
        <w:t>‑</w:t>
      </w:r>
      <w:r>
        <w:rPr>
          <w:rFonts w:ascii="Arial" w:cs="Arial" w:eastAsia="Arial" w:hAnsi="Arial"/>
          <w:sz w:val="17"/>
          <w:szCs w:val="17"/>
          <w:color w:val="auto"/>
        </w:rPr>
        <w:t>in period are considered to have TRD and are randomly assigned in a 1:1 ratio to receive bupropion or AXS</w:t>
      </w:r>
      <w:r>
        <w:rPr>
          <w:rFonts w:ascii="MS PGothic" w:cs="MS PGothic" w:eastAsia="MS PGothic" w:hAnsi="MS PGothic"/>
          <w:sz w:val="17"/>
          <w:szCs w:val="17"/>
          <w:color w:val="auto"/>
        </w:rPr>
        <w:t>‑</w:t>
      </w:r>
      <w:r>
        <w:rPr>
          <w:rFonts w:ascii="Arial" w:cs="Arial" w:eastAsia="Arial" w:hAnsi="Arial"/>
          <w:sz w:val="17"/>
          <w:szCs w:val="17"/>
          <w:color w:val="auto"/>
        </w:rPr>
        <w:t>05 under fasting conditions in a double</w:t>
      </w:r>
      <w:r>
        <w:rPr>
          <w:rFonts w:ascii="MS PGothic" w:cs="MS PGothic" w:eastAsia="MS PGothic" w:hAnsi="MS PGothic"/>
          <w:sz w:val="17"/>
          <w:szCs w:val="17"/>
          <w:color w:val="auto"/>
        </w:rPr>
        <w:t>‑</w:t>
      </w:r>
      <w:r>
        <w:rPr>
          <w:rFonts w:ascii="Arial" w:cs="Arial" w:eastAsia="Arial" w:hAnsi="Arial"/>
          <w:sz w:val="17"/>
          <w:szCs w:val="17"/>
          <w:color w:val="auto"/>
        </w:rPr>
        <w:t>blind fashion for 6 weeks. The primary endpoint is the change in the MADRS after 6 weeks of treatment. In April 2018, an interim analysis was performed on the first approximately 40% of the target number of subjects to assess futility. The interim analysis was performed by an IDMC which recommended that the trial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372745</wp:posOffset>
            </wp:positionV>
            <wp:extent cx="5556885" cy="1929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688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ADVANCE-1 Study</w:t>
      </w:r>
    </w:p>
    <w:p>
      <w:pPr>
        <w:spacing w:after="0" w:line="18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July 2017, we initiated the ADVANCE-1 study, a Phase 2/3, randomized, double-blind, controlled trial to evaluate the efficacy and safety of AXS-05 in patients with agitation associated with AD. Patients with probable AD and clinically significant agitation are randomly assigned in a 1:1:1 ratio to receive bupropion, placebo, or AXS-05 in a double-blind fashion. The primary endpoint is the change is the Cohen-Mansfield Agitation Inventory. The trial will randomize a total of approximately 435 patients. In December 2018, an interim analysis was performed on the first approximately 30% of the target number of subjects to assess futility. The interim analysis was conducted by an IDMC which recommended continuation of the AXS-05 arm and no further enrollment into the bupropion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369570</wp:posOffset>
            </wp:positionV>
            <wp:extent cx="5102860" cy="1998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0286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07 is novel, oral, investigational medicine consisting of MoSEIC™ meloxicam and rizatriptan. We are initially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w:t>
      </w:r>
    </w:p>
    <w:p>
      <w:pPr>
        <w:spacing w:after="0" w:line="185"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07 for the acute treatment of migraine. A majority of migraine sufferers indicate that they are not fully satisfied with currently available treatment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Migraine is a disorder characterized by recurrent attacks of pulsating, unilateral or bilateral head pain, often associated with nausea, photobobia,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07 in Migraine</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6"/>
          <w:szCs w:val="16"/>
          <w:color w:val="auto"/>
        </w:rPr>
        <w:t>The rationale for the development of AXS-07 in the treatment of migraine is based on the potentially rapid absorption and long half-life of MoSEIC™ meloxicam, and the additive and potentially synergistic efficacy resulting from the distinct mechanisms of action of meloxicam and rizatriptan. The meloxicam component of AXS-07 is a COX-2 preferential NSAID that inhibits the synthesis of prostaglandins, may reduce meningeal inflammation and inhibit central sensitization resulting from the activation of glial cells in the brain stem. Meloxicam is a new molecular entity for migraine and is not currently approved for this indication. Axsome’s MoSEIC™ technology enables meloxicam’s use in this indication by potentially significantly increasing the speed of its absorption after oral administration. The rizatriptan component of AXS-07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CGRP–mediated vasodilation, has been shown to have central trigeminal</w:t>
      </w:r>
    </w:p>
    <w:p>
      <w:pPr>
        <w:ind w:right="620"/>
        <w:spacing w:after="0" w:line="226" w:lineRule="auto"/>
        <w:rPr>
          <w:sz w:val="20"/>
          <w:szCs w:val="20"/>
          <w:color w:val="auto"/>
        </w:rPr>
      </w:pPr>
      <w:r>
        <w:rPr>
          <w:rFonts w:ascii="Arial" w:cs="Arial" w:eastAsia="Arial" w:hAnsi="Arial"/>
          <w:sz w:val="18"/>
          <w:szCs w:val="18"/>
          <w:color w:val="auto"/>
        </w:rPr>
        <w:t>antinociceptive activity, and may reduce the release of inflammatory mediators from trigeminal nerves. Rizatriptan is currently approved as a single agent for the acute treatment of migraine.</w:t>
      </w:r>
    </w:p>
    <w:p>
      <w:pPr>
        <w:spacing w:after="0" w:line="16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By combining rizatriptan with MoSEIC™ meloxicam, AXS-07 may overcome some the limitations of current acute treatments which include incomplete pain relief, suboptimal onset of action, and recurrence of symptoms. MoSEIC™ meloxicam contributes a distinct mechanism of action, and potentially reaches therapeutic plasma conentrations rapidly after oral administration, thereby providing the potential for greater efficacy and a more rapid onset of action as compared to current treatments. In addition, MoSEIC™ meloxicam potentially maintains an approximately 20-hour half-life, which may provide more sustained efficacy with less recurrence of symptoms as compared to current treatments. Less recurrence would be expected to result in reduced use of rescue or repeat medication.</w:t>
      </w:r>
    </w:p>
    <w:p>
      <w:pPr>
        <w:spacing w:after="0" w:line="162"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Based on AXS-07’s multiple mechanisms of action, the unique pharmacokinetics of the MoSEIC™ meloxicam component, and results from numerous clinical trials with the rizatriptan component, we believe that AXS-07 may have advantages over currently available therapy in the acute treatment of migraine:</w:t>
      </w:r>
    </w:p>
    <w:p>
      <w:pPr>
        <w:spacing w:after="0" w:line="163" w:lineRule="exact"/>
        <w:rPr>
          <w:sz w:val="20"/>
          <w:szCs w:val="20"/>
          <w:color w:val="auto"/>
        </w:rPr>
      </w:pPr>
    </w:p>
    <w:p>
      <w:pPr>
        <w:ind w:left="660" w:right="40" w:hanging="333"/>
        <w:spacing w:after="0" w:line="19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Rapid absorption and onset of action. </w:t>
      </w:r>
      <w:r>
        <w:rPr>
          <w:rFonts w:ascii="Arial" w:cs="Arial" w:eastAsia="Arial" w:hAnsi="Arial"/>
          <w:sz w:val="18"/>
          <w:szCs w:val="18"/>
          <w:color w:val="auto"/>
        </w:rPr>
        <w:t>In a completed Phase 1 trial of tablets consisting of MoSEIC™ meloxicam</w:t>
      </w:r>
      <w:r>
        <w:rPr>
          <w:rFonts w:ascii="Arial" w:cs="Arial" w:eastAsia="Arial" w:hAnsi="Arial"/>
          <w:sz w:val="18"/>
          <w:szCs w:val="18"/>
          <w:i w:val="1"/>
          <w:iCs w:val="1"/>
          <w:color w:val="auto"/>
        </w:rPr>
        <w:t xml:space="preserve"> </w:t>
      </w:r>
      <w:r>
        <w:rPr>
          <w:rFonts w:ascii="Arial" w:cs="Arial" w:eastAsia="Arial" w:hAnsi="Arial"/>
          <w:sz w:val="18"/>
          <w:szCs w:val="18"/>
          <w:color w:val="auto"/>
        </w:rPr>
        <w:t>and esomeprazole, therapeutic plasma levels of meloxicam were attained within 15 minutes of oral dosing of MoSEIC™ meloxicam, with a median time to maximum plasma concentration (T</w:t>
      </w:r>
      <w:r>
        <w:rPr>
          <w:rFonts w:ascii="Arial" w:cs="Arial" w:eastAsia="Arial" w:hAnsi="Arial"/>
          <w:sz w:val="30"/>
          <w:szCs w:val="30"/>
          <w:color w:val="auto"/>
          <w:vertAlign w:val="subscript"/>
        </w:rPr>
        <w:t>max</w:t>
      </w:r>
      <w:r>
        <w:rPr>
          <w:rFonts w:ascii="Arial" w:cs="Arial" w:eastAsia="Arial" w:hAnsi="Arial"/>
          <w:sz w:val="18"/>
          <w:szCs w:val="18"/>
          <w:color w:val="auto"/>
        </w:rPr>
        <w:t>) that was 9 times faster for MoSEIC™ meloxicam as compared to standard meloxicam (0.5 hour versus 4.5 hours for MoSEIC™ and standard meloxicam, respectively, p&lt;0.0001). The potentially fast absorption of MoSEIC™ meloxicam in AXS-07 combined with a reported T</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for rizatriptan of 1 to 1.5 hours would be expected to result in rapid onset of migraine pain relief with AXS-07.</w:t>
      </w:r>
    </w:p>
    <w:p>
      <w:pPr>
        <w:spacing w:after="0" w:line="166" w:lineRule="exact"/>
        <w:rPr>
          <w:rFonts w:ascii="Arial" w:cs="Arial" w:eastAsia="Arial" w:hAnsi="Arial"/>
          <w:sz w:val="18"/>
          <w:szCs w:val="18"/>
          <w:color w:val="auto"/>
        </w:rPr>
      </w:pPr>
    </w:p>
    <w:p>
      <w:pPr>
        <w:ind w:left="660" w:right="60" w:hanging="333"/>
        <w:spacing w:after="0" w:line="25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Strong and consistent pain relief. </w:t>
      </w:r>
      <w:r>
        <w:rPr>
          <w:rFonts w:ascii="Arial" w:cs="Arial" w:eastAsia="Arial" w:hAnsi="Arial"/>
          <w:sz w:val="17"/>
          <w:szCs w:val="17"/>
          <w:color w:val="auto"/>
        </w:rPr>
        <w:t>AXS-07 has the potential to provide efficacy that is superior to currently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migraine treatments based on the expected additive effect of MoSEIC™ meloxicam and rizatriptan.</w:t>
      </w:r>
    </w:p>
    <w:p>
      <w:pPr>
        <w:spacing w:after="0" w:line="146" w:lineRule="exact"/>
        <w:rPr>
          <w:rFonts w:ascii="Arial" w:cs="Arial" w:eastAsia="Arial" w:hAnsi="Arial"/>
          <w:sz w:val="17"/>
          <w:szCs w:val="17"/>
          <w:color w:val="auto"/>
        </w:rPr>
      </w:pPr>
    </w:p>
    <w:p>
      <w:pPr>
        <w:ind w:left="660" w:hanging="333"/>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Sustained pain relief. </w:t>
      </w:r>
      <w:r>
        <w:rPr>
          <w:rFonts w:ascii="Arial" w:cs="Arial" w:eastAsia="Arial" w:hAnsi="Arial"/>
          <w:sz w:val="18"/>
          <w:szCs w:val="18"/>
          <w:color w:val="auto"/>
        </w:rPr>
        <w:t>The approximately 20-hour half-life of MoSEIC™ meloxicam, observed with tablets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MoSEIC™ meloxicam and esomeprazole, combined with the expected additive effect of the rizatriptan component of AXS-07 may result in a more sustained effect with less recurrence of symptoms with AXS-07 as compared to currently available treatments.</w:t>
      </w:r>
    </w:p>
    <w:p>
      <w:pPr>
        <w:spacing w:after="0" w:line="162" w:lineRule="exact"/>
        <w:rPr>
          <w:rFonts w:ascii="Arial" w:cs="Arial" w:eastAsia="Arial" w:hAnsi="Arial"/>
          <w:sz w:val="18"/>
          <w:szCs w:val="18"/>
          <w:color w:val="auto"/>
        </w:rPr>
      </w:pPr>
    </w:p>
    <w:p>
      <w:pPr>
        <w:ind w:left="660" w:right="4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Pharmacoeconomic benefits. </w:t>
      </w:r>
      <w:r>
        <w:rPr>
          <w:rFonts w:ascii="Arial" w:cs="Arial" w:eastAsia="Arial" w:hAnsi="Arial"/>
          <w:sz w:val="18"/>
          <w:szCs w:val="18"/>
          <w:color w:val="auto"/>
        </w:rPr>
        <w:t>The potentially superior efficacy of AXS-07 would be expected to result in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use of medical services, rescue or repeat medication, absenteeism, and loss of productivity, as compared to currently available treatments.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w:t>
      </w:r>
    </w:p>
    <w:p>
      <w:pPr>
        <w:spacing w:after="0" w:line="181"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07 and intend to seek FDA approval for the product utilizing the 505(b)(2) regulatory</w:t>
      </w:r>
    </w:p>
    <w:p>
      <w:pPr>
        <w:spacing w:after="0"/>
        <w:rPr>
          <w:sz w:val="20"/>
          <w:szCs w:val="20"/>
          <w:color w:val="auto"/>
        </w:rPr>
      </w:pPr>
      <w:r>
        <w:rPr>
          <w:rFonts w:ascii="Arial" w:cs="Arial" w:eastAsia="Arial" w:hAnsi="Arial"/>
          <w:sz w:val="18"/>
          <w:szCs w:val="18"/>
          <w:color w:val="auto"/>
        </w:rPr>
        <w:t>pathway.</w:t>
      </w:r>
    </w:p>
    <w:p>
      <w:pPr>
        <w:spacing w:after="0" w:line="169" w:lineRule="exact"/>
        <w:rPr>
          <w:sz w:val="20"/>
          <w:szCs w:val="20"/>
          <w:color w:val="auto"/>
        </w:rPr>
      </w:pPr>
    </w:p>
    <w:p>
      <w:pPr>
        <w:ind w:right="79" w:firstLine="648"/>
        <w:spacing w:after="0" w:line="203"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August 2017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07 in migraine.</w:t>
      </w:r>
    </w:p>
    <w:p>
      <w:pPr>
        <w:spacing w:after="0" w:line="162" w:lineRule="exact"/>
        <w:rPr>
          <w:sz w:val="20"/>
          <w:szCs w:val="20"/>
          <w:color w:val="auto"/>
        </w:rPr>
      </w:pPr>
    </w:p>
    <w:p>
      <w:pPr>
        <w:ind w:right="119" w:firstLine="648"/>
        <w:spacing w:after="0" w:line="219" w:lineRule="auto"/>
        <w:rPr>
          <w:sz w:val="20"/>
          <w:szCs w:val="20"/>
          <w:color w:val="auto"/>
        </w:rPr>
      </w:pPr>
      <w:r>
        <w:rPr>
          <w:rFonts w:ascii="Arial" w:cs="Arial" w:eastAsia="Arial" w:hAnsi="Arial"/>
          <w:sz w:val="18"/>
          <w:szCs w:val="18"/>
          <w:color w:val="auto"/>
        </w:rPr>
        <w:t>In February 2019, we reached agreement with the FDA under an SPA for the design, endpoints, and statistical approach of the planned MOMENTUM (Maximizing Outcomes in Treating Acute Migraine) Phase 3 trial of AXS-07 in the acute treatment of migraine. Based on FDA feedback during this SPA process, Axsome believes that only one Phase 3 trial may be needed for the approval of AXS-07.</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2019, we initiated the MOMENTUM study.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MOMENTUM Study</w:t>
      </w:r>
    </w:p>
    <w:p>
      <w:pPr>
        <w:spacing w:after="0" w:line="185"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In March 2019, we initiated the MOMENTUM study, a Phase 3, randomized, double-blind, multicenter, controlled trial to assess the efficacy and safety of AXS-07 in the acute treatment of migraine. Approximately 875 patients, with a history of inadequate response to prior migraine treatments, will be randomized in a 2:2:2:1 ratio to treatment with AXS-07, rizatriptan, meloxicam, or placebo. The two co-primary endpoints of the trial are the proportion of patients who are free from headache pain two hours after dosing, and the proportion of patients who no longer suffer from their most bothersome migraine-associated symptom (nausea, photophobia, phonophobia) two hours after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122555</wp:posOffset>
            </wp:positionV>
            <wp:extent cx="4433570" cy="1946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3357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09</w:t>
      </w:r>
    </w:p>
    <w:p>
      <w:pPr>
        <w:spacing w:after="0" w:line="189" w:lineRule="exact"/>
        <w:rPr>
          <w:sz w:val="20"/>
          <w:szCs w:val="20"/>
          <w:color w:val="auto"/>
        </w:rPr>
      </w:pPr>
    </w:p>
    <w:p>
      <w:pPr>
        <w:ind w:right="119" w:firstLine="648"/>
        <w:spacing w:after="0" w:line="185"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 xml:space="preserve">09 is a novel, oral, investigational medicine consisting of chirally pure esbupropion and DM. Esbupropion is the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 dopamine and norepinephrine reuptake inhibitor and nicotinic acetylcholine receptor antagonist which also serves to increase the bioavailability of DM. Enantiomers are molecules which are identical in chemical structure but which differ in the three-dimensional arrangement of the atoms, i.e. the molecules are mirror images. AXS-09 may potentially be applicable to the treatment of a variety of CNS disorders, based on the mechanisms of action of its two components.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 xml:space="preserve">In February 2018, we announced the results of a Phase 1 pharmacokinetic trial of AXS-09. The Phase 1 trial was a randomized, multiple-dose, parallel group pharmacokinetic trial. A total of 32 healthy adult subjects were randomly assigned to treatment with AXS-09, </w:t>
      </w:r>
      <w:r>
        <w:rPr>
          <w:rFonts w:ascii="Arial" w:cs="Arial" w:eastAsia="Arial" w:hAnsi="Arial"/>
          <w:sz w:val="17"/>
          <w:szCs w:val="17"/>
          <w:i w:val="1"/>
          <w:iCs w:val="1"/>
          <w:color w:val="auto"/>
        </w:rPr>
        <w:t>R</w:t>
      </w:r>
      <w:r>
        <w:rPr>
          <w:rFonts w:ascii="Arial" w:cs="Arial" w:eastAsia="Arial" w:hAnsi="Arial"/>
          <w:sz w:val="17"/>
          <w:szCs w:val="17"/>
          <w:color w:val="auto"/>
        </w:rPr>
        <w:t xml:space="preserve">-bupropion and DM, single-entity </w:t>
      </w:r>
      <w:r>
        <w:rPr>
          <w:rFonts w:ascii="Arial" w:cs="Arial" w:eastAsia="Arial" w:hAnsi="Arial"/>
          <w:sz w:val="17"/>
          <w:szCs w:val="17"/>
          <w:i w:val="1"/>
          <w:iCs w:val="1"/>
          <w:color w:val="auto"/>
        </w:rPr>
        <w:t>S</w:t>
      </w:r>
      <w:r>
        <w:rPr>
          <w:rFonts w:ascii="Arial" w:cs="Arial" w:eastAsia="Arial" w:hAnsi="Arial"/>
          <w:sz w:val="17"/>
          <w:szCs w:val="17"/>
          <w:color w:val="auto"/>
        </w:rPr>
        <w:t xml:space="preserve">-bupropion, or single-entity </w:t>
      </w:r>
      <w:r>
        <w:rPr>
          <w:rFonts w:ascii="Arial" w:cs="Arial" w:eastAsia="Arial" w:hAnsi="Arial"/>
          <w:sz w:val="17"/>
          <w:szCs w:val="17"/>
          <w:i w:val="1"/>
          <w:iCs w:val="1"/>
          <w:color w:val="auto"/>
        </w:rPr>
        <w:t>R</w:t>
      </w:r>
      <w:r>
        <w:rPr>
          <w:rFonts w:ascii="Arial" w:cs="Arial" w:eastAsia="Arial" w:hAnsi="Arial"/>
          <w:sz w:val="17"/>
          <w:szCs w:val="17"/>
          <w:color w:val="auto"/>
        </w:rPr>
        <w:t>-bupropion tablets, for 8 days under fasting conditions. Plasma concentrations of DM, bupropion, and their metabolites were measured. The primary endpoint was the change in DM plasma concentrations from day 1 to day 8.</w:t>
      </w:r>
    </w:p>
    <w:p>
      <w:pPr>
        <w:spacing w:after="0" w:line="161" w:lineRule="exact"/>
        <w:rPr>
          <w:sz w:val="20"/>
          <w:szCs w:val="20"/>
          <w:color w:val="auto"/>
        </w:rPr>
      </w:pPr>
    </w:p>
    <w:p>
      <w:pPr>
        <w:ind w:right="140" w:firstLine="693"/>
        <w:spacing w:after="0" w:line="225" w:lineRule="auto"/>
        <w:rPr>
          <w:sz w:val="20"/>
          <w:szCs w:val="20"/>
          <w:color w:val="auto"/>
        </w:rPr>
      </w:pPr>
      <w:r>
        <w:rPr>
          <w:rFonts w:ascii="Arial" w:cs="Arial" w:eastAsia="Arial" w:hAnsi="Arial"/>
          <w:sz w:val="17"/>
          <w:szCs w:val="17"/>
          <w:color w:val="auto"/>
        </w:rPr>
        <w:t xml:space="preserve">Results of the Phase 1 trial demonstrated that AXS-09 resulted in substantial increases in DM plasma concentrations into a potentially therapeutic range with repeated dosing, p&lt;0.0001 day 1 versus day 8. AXS-09 was well tolerated with no serious adverse events reported in the trial. The increased plasma concentrations of DM after dosing with AXS-09, which contains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are comparable to those achieved with dosing of our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AXS-12, reboxetine, is a novel, oral, investigational medicine that we are initially developing for the treatment of the symptoms of narcolepsy. AXS-12 is a highly selective and potent norepinephrine reuptake inhibitor.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Narcolepsy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 in Narcolepsy</w:t>
      </w:r>
    </w:p>
    <w:p>
      <w:pPr>
        <w:spacing w:after="0" w:line="18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That rationale for the development of AXS-12 in narcolepsy is supported by positive pre-clinical and preliminary clinical results in narcolepsy, and an extensive clinical safety record. Reboxetine, the active agent in AXS-12, significantly and dose-dependently reduced narcoleptic episodes in hypocretin (orexin)-deficient mice, a well-established genetic animal model of narcolepsy. In an open-label pilot trial, reboxetine treatment improved excessive daytime sleepiness and reduced cataplexy in patients with narcolepsy. Reboxetine has an extensive safety record in Europe and in over 40 countries where it is approved for the treatment of depression. Depression is reported in up to 57% of narcolepsy patients.</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w:t>
      </w:r>
    </w:p>
    <w:p>
      <w:pPr>
        <w:spacing w:after="0" w:line="185"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August 2018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12 in narcolepsy.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October 2018, we received Orphan Drug Designation from the FDA for AXS-12 for the treatment of narcolepsy.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 January 2019, we initiated the CONCERT study, a Phase 2 randomized, double-blind, controlled trial to evaluate the efficacy and safety of AXS-12 in narcolepsy.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CONCERT Study</w:t>
      </w:r>
    </w:p>
    <w:p>
      <w:pPr>
        <w:spacing w:after="0" w:line="185" w:lineRule="exact"/>
        <w:rPr>
          <w:sz w:val="20"/>
          <w:szCs w:val="20"/>
          <w:color w:val="auto"/>
        </w:rPr>
      </w:pPr>
    </w:p>
    <w:p>
      <w:pPr>
        <w:ind w:right="400" w:firstLine="648"/>
        <w:spacing w:after="0" w:line="244" w:lineRule="auto"/>
        <w:rPr>
          <w:sz w:val="20"/>
          <w:szCs w:val="20"/>
          <w:color w:val="auto"/>
        </w:rPr>
      </w:pPr>
      <w:r>
        <w:rPr>
          <w:rFonts w:ascii="Arial" w:cs="Arial" w:eastAsia="Arial" w:hAnsi="Arial"/>
          <w:sz w:val="16"/>
          <w:szCs w:val="16"/>
          <w:color w:val="auto"/>
        </w:rPr>
        <w:t>In January 2019, we initiated the CONCERT study, a Phase 2, double-blind, randomized, placebo-controlled, crossover, multicenter trial to assess the efficacy and safety of AXS-12 in patients with narcolepsy. The study will enroll approximately 20 patients, all of whom will be treated with AXS-12 for three weeks, and with placebo for three weeks. Eligible patients will be randomized to receive either AXS-12 followed by placebo, or placebo followed by AXS-12. Efficacy assessments will include the frequency of cataplexy attacks, and measures of other symptoms of narcolepsy.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PPC Product Candidates</w:t>
      </w:r>
    </w:p>
    <w:p>
      <w:pPr>
        <w:spacing w:after="0" w:line="189"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The assets in Axsome PPC include three Phase 3-stage product candidates. Two of the product candidates, AXS-02 and AXS-06, are being developed directly by Axsome, and one of the candidates, neridronic acid, or neridronate, is covered by Axsome’s intellectual property portfolio. These product candidates are being developed for five different indications including the signs and symptoms of osteoarthritis and rheumatoid arthritis, osteoporosis, the pain of knee osteoarthritis, chronic low back pain, and complex regional pain syndrome.</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is a novel, targeted investigational pain therapeutic. It is an orally administered, non</w:t>
      </w:r>
      <w:r>
        <w:rPr>
          <w:rFonts w:ascii="MS PGothic" w:cs="MS PGothic" w:eastAsia="MS PGothic" w:hAnsi="MS PGothic"/>
          <w:sz w:val="18"/>
          <w:szCs w:val="18"/>
          <w:color w:val="auto"/>
        </w:rPr>
        <w:t>‑</w:t>
      </w:r>
      <w:r>
        <w:rPr>
          <w:rFonts w:ascii="Arial" w:cs="Arial" w:eastAsia="Arial" w:hAnsi="Arial"/>
          <w:sz w:val="18"/>
          <w:szCs w:val="18"/>
          <w:color w:val="auto"/>
        </w:rPr>
        <w:t>opioid agent with a new mechanism of action for the treatment of pain. We are developing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and for the treatment of CLBP associated with MCs. No drug is currently approved by the FDA or the EMA specifically for these targeted subsets of knee OA and CLBP. AXS-02 is also being developed for the treatment of osteoporosis.</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7"/>
          <w:szCs w:val="17"/>
          <w:color w:val="auto"/>
        </w:rPr>
        <w:t>We believe that, if successfully developed, AXS</w:t>
      </w:r>
      <w:r>
        <w:rPr>
          <w:rFonts w:ascii="MS PGothic" w:cs="MS PGothic" w:eastAsia="MS PGothic" w:hAnsi="MS PGothic"/>
          <w:sz w:val="17"/>
          <w:szCs w:val="17"/>
          <w:color w:val="auto"/>
        </w:rPr>
        <w:t>‑</w:t>
      </w:r>
      <w:r>
        <w:rPr>
          <w:rFonts w:ascii="Arial" w:cs="Arial" w:eastAsia="Arial" w:hAnsi="Arial"/>
          <w:sz w:val="17"/>
          <w:szCs w:val="17"/>
          <w:color w:val="auto"/>
        </w:rPr>
        <w:t>02 may overcome many of the limitations of current treatments for pain, and may be attractive to patients and their physicians, based on the following differentiating features:</w:t>
      </w:r>
    </w:p>
    <w:p>
      <w:pPr>
        <w:spacing w:after="0" w:line="162" w:lineRule="exact"/>
        <w:rPr>
          <w:sz w:val="20"/>
          <w:szCs w:val="20"/>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Novel osteoclast</w:t>
      </w:r>
      <w:r>
        <w:rPr>
          <w:rFonts w:ascii="MS PGothic" w:cs="MS PGothic" w:eastAsia="MS PGothic" w:hAnsi="MS PGothic"/>
          <w:sz w:val="18"/>
          <w:szCs w:val="18"/>
          <w:color w:val="auto"/>
        </w:rPr>
        <w:t>‑</w:t>
      </w:r>
      <w:r>
        <w:rPr>
          <w:rFonts w:ascii="Arial" w:cs="Arial" w:eastAsia="Arial" w:hAnsi="Arial"/>
          <w:sz w:val="18"/>
          <w:szCs w:val="18"/>
          <w:color w:val="auto"/>
        </w:rPr>
        <w:t>inhibiting mechanism of action for the treatment of pain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Targeted therapy approach that utilizes radiographic biomarkers to identify appropriate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Oral administration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Convenient weekly dosing and short course of treatment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for extended duration of pain relief</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opioid</w:t>
      </w:r>
      <w:r>
        <w:rPr>
          <w:rFonts w:ascii="MS PGothic" w:cs="MS PGothic" w:eastAsia="MS PGothic" w:hAnsi="MS PGothic"/>
          <w:sz w:val="18"/>
          <w:szCs w:val="18"/>
          <w:color w:val="auto"/>
        </w:rPr>
        <w:t>‑</w:t>
      </w:r>
      <w:r>
        <w:rPr>
          <w:rFonts w:ascii="Arial" w:cs="Arial" w:eastAsia="Arial" w:hAnsi="Arial"/>
          <w:sz w:val="18"/>
          <w:szCs w:val="18"/>
          <w:color w:val="auto"/>
        </w:rPr>
        <w:t>related side effects and abuse and addiction potential</w:t>
      </w:r>
    </w:p>
    <w:p>
      <w:pPr>
        <w:spacing w:after="0" w:line="185"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We initiated a Phase 3 trial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in patients with knee OA associated with BMLs in March 2016. We have received IND clearance from the FDA to proceed with our planned Phase 3 clinical trial of AXS-02 in CLBP and plan to initiate the Phase 3 clinical trial upon the availability of resources.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Mechanisms of Action for Pain</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Zoledronic acid,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is a potent nitrogen</w:t>
      </w:r>
      <w:r>
        <w:rPr>
          <w:rFonts w:ascii="MS PGothic" w:cs="MS PGothic" w:eastAsia="MS PGothic" w:hAnsi="MS PGothic"/>
          <w:sz w:val="16"/>
          <w:szCs w:val="16"/>
          <w:color w:val="auto"/>
        </w:rPr>
        <w:t>‑</w:t>
      </w:r>
      <w:r>
        <w:rPr>
          <w:rFonts w:ascii="Arial" w:cs="Arial" w:eastAsia="Arial" w:hAnsi="Arial"/>
          <w:sz w:val="16"/>
          <w:szCs w:val="16"/>
          <w:color w:val="auto"/>
        </w:rPr>
        <w:t>containing bisphosphonate. Bisphosphonates are compounds that bind with high affinity to bone mineral and inhibit the bone</w:t>
      </w:r>
      <w:r>
        <w:rPr>
          <w:rFonts w:ascii="MS PGothic" w:cs="MS PGothic" w:eastAsia="MS PGothic" w:hAnsi="MS PGothic"/>
          <w:sz w:val="16"/>
          <w:szCs w:val="16"/>
          <w:color w:val="auto"/>
        </w:rPr>
        <w:t>‑</w:t>
      </w:r>
      <w:r>
        <w:rPr>
          <w:rFonts w:ascii="Arial" w:cs="Arial" w:eastAsia="Arial" w:hAnsi="Arial"/>
          <w:sz w:val="16"/>
          <w:szCs w:val="16"/>
          <w:color w:val="auto"/>
        </w:rPr>
        <w:t>resorbing cells called osteoclasts. Zoledronic acid reduces osteoclast activity by inhibiting a critical enzyme called farnesyl pyrophosphate synthase, or FPPS. Zoledronic acid is the bisphosphonate with the strongest affinity for bone and the highest inhibitory activity of FPPS. Osteoclasts resorb bone by secreting protons and generating an acidic extracellular microenvironment. The secreted protons may directly excite pain receptors, which are found in mineralized bone. We believe that zoledronic acid may therefore reduce pain by inhibiting osteoclast hyperactivity and suppressing the up</w:t>
      </w:r>
      <w:r>
        <w:rPr>
          <w:rFonts w:ascii="MS PGothic" w:cs="MS PGothic" w:eastAsia="MS PGothic" w:hAnsi="MS PGothic"/>
          <w:sz w:val="16"/>
          <w:szCs w:val="16"/>
          <w:color w:val="auto"/>
        </w:rPr>
        <w:t>‑</w:t>
      </w:r>
      <w:r>
        <w:rPr>
          <w:rFonts w:ascii="Arial" w:cs="Arial" w:eastAsia="Arial" w:hAnsi="Arial"/>
          <w:sz w:val="16"/>
          <w:szCs w:val="16"/>
          <w:color w:val="auto"/>
        </w:rPr>
        <w:t>regulation of acid</w:t>
      </w:r>
      <w:r>
        <w:rPr>
          <w:rFonts w:ascii="MS PGothic" w:cs="MS PGothic" w:eastAsia="MS PGothic" w:hAnsi="MS PGothic"/>
          <w:sz w:val="16"/>
          <w:szCs w:val="16"/>
          <w:color w:val="auto"/>
        </w:rPr>
        <w:t>‑</w:t>
      </w:r>
      <w:r>
        <w:rPr>
          <w:rFonts w:ascii="Arial" w:cs="Arial" w:eastAsia="Arial" w:hAnsi="Arial"/>
          <w:sz w:val="16"/>
          <w:szCs w:val="16"/>
          <w:color w:val="auto"/>
        </w:rPr>
        <w:t>sensing ion channels on sensory neurons. Zoledronic acid has also been shown to inhibit the production of pro</w:t>
      </w:r>
      <w:r>
        <w:rPr>
          <w:rFonts w:ascii="MS PGothic" w:cs="MS PGothic" w:eastAsia="MS PGothic" w:hAnsi="MS PGothic"/>
          <w:sz w:val="16"/>
          <w:szCs w:val="16"/>
          <w:color w:val="auto"/>
        </w:rPr>
        <w:t>‑</w:t>
      </w:r>
      <w:r>
        <w:rPr>
          <w:rFonts w:ascii="Arial" w:cs="Arial" w:eastAsia="Arial" w:hAnsi="Arial"/>
          <w:sz w:val="16"/>
          <w:szCs w:val="16"/>
          <w:color w:val="auto"/>
        </w:rPr>
        <w:t>inflammatory cytokines and to have anti</w:t>
      </w:r>
      <w:r>
        <w:rPr>
          <w:rFonts w:ascii="MS PGothic" w:cs="MS PGothic" w:eastAsia="MS PGothic" w:hAnsi="MS PGothic"/>
          <w:sz w:val="16"/>
          <w:szCs w:val="16"/>
          <w:color w:val="auto"/>
        </w:rPr>
        <w:t>‑</w:t>
      </w:r>
      <w:r>
        <w:rPr>
          <w:rFonts w:ascii="Arial" w:cs="Arial" w:eastAsia="Arial" w:hAnsi="Arial"/>
          <w:sz w:val="16"/>
          <w:szCs w:val="16"/>
          <w:color w:val="auto"/>
        </w:rPr>
        <w:t>angiogenic properties.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Targeted Therapy for Pain</w:t>
      </w:r>
    </w:p>
    <w:p>
      <w:pPr>
        <w:spacing w:after="0" w:line="185" w:lineRule="exact"/>
        <w:rPr>
          <w:sz w:val="20"/>
          <w:szCs w:val="20"/>
          <w:color w:val="auto"/>
        </w:rPr>
      </w:pPr>
    </w:p>
    <w:p>
      <w:pPr>
        <w:ind w:right="80" w:firstLine="648"/>
        <w:spacing w:after="0" w:line="182" w:lineRule="exact"/>
        <w:rPr>
          <w:sz w:val="20"/>
          <w:szCs w:val="20"/>
          <w:color w:val="auto"/>
        </w:rPr>
      </w:pPr>
      <w:r>
        <w:rPr>
          <w:rFonts w:ascii="Arial" w:cs="Arial" w:eastAsia="Arial" w:hAnsi="Arial"/>
          <w:sz w:val="16"/>
          <w:szCs w:val="16"/>
          <w:color w:val="auto"/>
        </w:rPr>
        <w:t>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specific subsets of patients who display certain target lesions or specific pathology that we believe may be addressed by the mechanisms of action of our product candidate. The target lesions include BMLs, and MCs. We are including only patients with BMLs in our registration trial of AXS</w:t>
      </w:r>
      <w:r>
        <w:rPr>
          <w:rFonts w:ascii="MS PGothic" w:cs="MS PGothic" w:eastAsia="MS PGothic" w:hAnsi="MS PGothic"/>
          <w:sz w:val="16"/>
          <w:szCs w:val="16"/>
          <w:color w:val="auto"/>
        </w:rPr>
        <w:t>‑</w:t>
      </w:r>
      <w:r>
        <w:rPr>
          <w:rFonts w:ascii="Arial" w:cs="Arial" w:eastAsia="Arial" w:hAnsi="Arial"/>
          <w:sz w:val="16"/>
          <w:szCs w:val="16"/>
          <w:color w:val="auto"/>
        </w:rPr>
        <w:t>02 for the pain of knee OA, and plan to only include patients with MCs in our registration trials of AXS</w:t>
      </w:r>
      <w:r>
        <w:rPr>
          <w:rFonts w:ascii="MS PGothic" w:cs="MS PGothic" w:eastAsia="MS PGothic" w:hAnsi="MS PGothic"/>
          <w:sz w:val="16"/>
          <w:szCs w:val="16"/>
          <w:color w:val="auto"/>
        </w:rPr>
        <w:t>‑</w:t>
      </w:r>
      <w:r>
        <w:rPr>
          <w:rFonts w:ascii="Arial" w:cs="Arial" w:eastAsia="Arial" w:hAnsi="Arial"/>
          <w:sz w:val="16"/>
          <w:szCs w:val="16"/>
          <w:color w:val="auto"/>
        </w:rPr>
        <w:t>02 for CLBP. These target lesions exhibit increased bone turnover, which is potentially inhibited by zoledronic acid. Furthermore, because zoledronic acid localizes preferentially to sites of high bone turnover, we believe it may specifically target these sites of disease activity in knee OA and CLBP. We believe that this targeted approach may result in a less heterogeneous patient population in our clinical trials, improve our ability to demonstrate a treatment effect, and, if approved, enable treatment of more appropriate patient populations.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Orally Administered</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is a novel oral formulation of zoledronic acid. Zoledronic acid is currently marketed only as an intravenous, or IV, preparation and is not currently approved for the treatment of pain. Our oral formulation uses a disodium salt of zoledronic acid, which exhibits substantially improved solubility as compared to the diacid form. This improved solubility may facilitate oral absorption.</w:t>
      </w:r>
    </w:p>
    <w:p>
      <w:pPr>
        <w:spacing w:after="0" w:line="163"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Oral administration is non</w:t>
      </w:r>
      <w:r>
        <w:rPr>
          <w:rFonts w:ascii="MS PGothic" w:cs="MS PGothic" w:eastAsia="MS PGothic" w:hAnsi="MS PGothic"/>
          <w:sz w:val="17"/>
          <w:szCs w:val="17"/>
          <w:color w:val="auto"/>
        </w:rPr>
        <w:t>‑</w:t>
      </w:r>
      <w:r>
        <w:rPr>
          <w:rFonts w:ascii="Arial" w:cs="Arial" w:eastAsia="Arial" w:hAnsi="Arial"/>
          <w:sz w:val="17"/>
          <w:szCs w:val="17"/>
          <w:color w:val="auto"/>
        </w:rPr>
        <w:t>invasive, less costly, more convenient, and less burdensome to patients and prescribers as compared to IV dosing. Oral administration provides greater prescribing flexibility for clinicians and convenience for patients since it allows them to self</w:t>
      </w:r>
      <w:r>
        <w:rPr>
          <w:rFonts w:ascii="MS PGothic" w:cs="MS PGothic" w:eastAsia="MS PGothic" w:hAnsi="MS PGothic"/>
          <w:sz w:val="17"/>
          <w:szCs w:val="17"/>
          <w:color w:val="auto"/>
        </w:rPr>
        <w:t>‑</w:t>
      </w:r>
      <w:r>
        <w:rPr>
          <w:rFonts w:ascii="Arial" w:cs="Arial" w:eastAsia="Arial" w:hAnsi="Arial"/>
          <w:sz w:val="17"/>
          <w:szCs w:val="17"/>
          <w:color w:val="auto"/>
        </w:rPr>
        <w:t>administer the therapy at home and avoid having to travel to and from a hospital or infusion facility. Additionally, based on clinical experience with currently approved bisphosphonates, oral administration of zoledronic acid may have certain safety advantages as compared to IV dosing.</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a recent trial of 6,097 patients treated over 3 years who received either IV zoledronic acid therapy or oral therapy with alternative bisphosphonates, 76% and 73% of patients indicated a preference for oral versus IV formulations if all agents showed equal efficacy at randomization and therapy completion,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Infrequent Dosing and Convenient Regimen</w:t>
      </w:r>
    </w:p>
    <w:p>
      <w:pPr>
        <w:spacing w:after="0" w:line="18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 potency and pharmacokinetics of zoledronic acid may allow for very infrequent dosing and for a short and convenient treatment regimen. Because of its convenient administration and limited treatment duration, we believe that AXS</w:t>
      </w:r>
      <w:r>
        <w:rPr>
          <w:rFonts w:ascii="MS PGothic" w:cs="MS PGothic" w:eastAsia="MS PGothic" w:hAnsi="MS PGothic"/>
          <w:sz w:val="18"/>
          <w:szCs w:val="18"/>
          <w:color w:val="auto"/>
        </w:rPr>
        <w:t>‑</w:t>
      </w:r>
      <w:r>
        <w:rPr>
          <w:rFonts w:ascii="Arial" w:cs="Arial" w:eastAsia="Arial" w:hAnsi="Arial"/>
          <w:sz w:val="18"/>
          <w:szCs w:val="18"/>
          <w:color w:val="auto"/>
        </w:rPr>
        <w:t>02, if successfully developed, may improve compliance and be preferred by patients and their physicians over currently available treatments.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Extended Pain Relief</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may provide pain relief of long duration based on results of trials conducted with IV</w:t>
      </w:r>
      <w:r>
        <w:rPr>
          <w:rFonts w:ascii="MS PGothic" w:cs="MS PGothic" w:eastAsia="MS PGothic" w:hAnsi="MS PGothic"/>
          <w:sz w:val="18"/>
          <w:szCs w:val="18"/>
          <w:color w:val="auto"/>
        </w:rPr>
        <w:t>‑</w:t>
      </w:r>
      <w:r>
        <w:rPr>
          <w:rFonts w:ascii="Arial" w:cs="Arial" w:eastAsia="Arial" w:hAnsi="Arial"/>
          <w:sz w:val="18"/>
          <w:szCs w:val="18"/>
          <w:color w:val="auto"/>
        </w:rPr>
        <w:t>administered</w:t>
      </w:r>
    </w:p>
    <w:p>
      <w:pPr>
        <w:spacing w:after="0" w:line="203" w:lineRule="auto"/>
        <w:rPr>
          <w:sz w:val="20"/>
          <w:szCs w:val="20"/>
          <w:color w:val="auto"/>
        </w:rPr>
      </w:pPr>
      <w:r>
        <w:rPr>
          <w:rFonts w:ascii="Arial" w:cs="Arial" w:eastAsia="Arial" w:hAnsi="Arial"/>
          <w:sz w:val="18"/>
          <w:szCs w:val="18"/>
          <w:color w:val="auto"/>
        </w:rPr>
        <w:t>zoledronic acid. In trials in patients with knee OA and BMLs and CLBP associated with MCs, treatment with</w:t>
      </w:r>
    </w:p>
    <w:p>
      <w:pPr>
        <w:spacing w:after="0" w:line="176" w:lineRule="exact"/>
        <w:rPr>
          <w:sz w:val="20"/>
          <w:szCs w:val="20"/>
          <w:color w:val="auto"/>
        </w:rPr>
      </w:pPr>
      <w:r>
        <w:rPr>
          <w:rFonts w:ascii="Arial" w:cs="Arial" w:eastAsia="Arial" w:hAnsi="Arial"/>
          <w:sz w:val="16"/>
          <w:szCs w:val="16"/>
          <w:color w:val="auto"/>
        </w:rPr>
        <w:t>IV</w:t>
      </w:r>
      <w:r>
        <w:rPr>
          <w:rFonts w:ascii="MS PGothic" w:cs="MS PGothic" w:eastAsia="MS PGothic" w:hAnsi="MS PGothic"/>
          <w:sz w:val="16"/>
          <w:szCs w:val="16"/>
          <w:color w:val="auto"/>
        </w:rPr>
        <w:t>‑</w:t>
      </w:r>
      <w:r>
        <w:rPr>
          <w:rFonts w:ascii="Arial" w:cs="Arial" w:eastAsia="Arial" w:hAnsi="Arial"/>
          <w:sz w:val="16"/>
          <w:szCs w:val="16"/>
          <w:color w:val="auto"/>
        </w:rPr>
        <w:t>administered zoledronic acid resulted in pain relief that was measurable one or more months after cessation of treatment.</w:t>
      </w:r>
    </w:p>
    <w:p>
      <w:pPr>
        <w:spacing w:after="0" w:line="229" w:lineRule="auto"/>
        <w:rPr>
          <w:sz w:val="20"/>
          <w:szCs w:val="20"/>
          <w:color w:val="auto"/>
        </w:rPr>
      </w:pPr>
      <w:r>
        <w:rPr>
          <w:rFonts w:ascii="Arial" w:cs="Arial" w:eastAsia="Arial" w:hAnsi="Arial"/>
          <w:sz w:val="16"/>
          <w:szCs w:val="16"/>
          <w:color w:val="auto"/>
        </w:rPr>
        <w:t>For example, pain reduction as compared to placebo was demonstrated 6 months after treatment in knee OA, and 1 month</w:t>
      </w:r>
    </w:p>
    <w:p>
      <w:pPr>
        <w:spacing w:after="0" w:line="216" w:lineRule="auto"/>
        <w:rPr>
          <w:sz w:val="20"/>
          <w:szCs w:val="20"/>
          <w:color w:val="auto"/>
        </w:rPr>
      </w:pPr>
      <w:r>
        <w:rPr>
          <w:rFonts w:ascii="Arial" w:cs="Arial" w:eastAsia="Arial" w:hAnsi="Arial"/>
          <w:sz w:val="17"/>
          <w:szCs w:val="17"/>
          <w:color w:val="auto"/>
        </w:rPr>
        <w:t>after treatment in CLBP. Furthermore, 1 year after treatment, a statistically significant reduction was observed in the</w:t>
      </w:r>
    </w:p>
    <w:p>
      <w:pPr>
        <w:spacing w:after="0" w:line="176" w:lineRule="exact"/>
        <w:rPr>
          <w:sz w:val="20"/>
          <w:szCs w:val="20"/>
          <w:color w:val="auto"/>
        </w:rPr>
      </w:pPr>
      <w:r>
        <w:rPr>
          <w:rFonts w:ascii="Arial" w:cs="Arial" w:eastAsia="Arial" w:hAnsi="Arial"/>
          <w:sz w:val="17"/>
          <w:szCs w:val="17"/>
          <w:color w:val="auto"/>
        </w:rPr>
        <w:t>percentage of zoledronic acid</w:t>
      </w:r>
      <w:r>
        <w:rPr>
          <w:rFonts w:ascii="MS PGothic" w:cs="MS PGothic" w:eastAsia="MS PGothic" w:hAnsi="MS PGothic"/>
          <w:sz w:val="17"/>
          <w:szCs w:val="17"/>
          <w:color w:val="auto"/>
        </w:rPr>
        <w:t>‑</w:t>
      </w:r>
      <w:r>
        <w:rPr>
          <w:rFonts w:ascii="Arial" w:cs="Arial" w:eastAsia="Arial" w:hAnsi="Arial"/>
          <w:sz w:val="17"/>
          <w:szCs w:val="17"/>
          <w:color w:val="auto"/>
        </w:rPr>
        <w:t>treated patients with CLBP who were taking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or</w:t>
      </w:r>
    </w:p>
    <w:p>
      <w:pPr>
        <w:spacing w:after="0" w:line="176" w:lineRule="exact"/>
        <w:rPr>
          <w:sz w:val="20"/>
          <w:szCs w:val="20"/>
          <w:color w:val="auto"/>
        </w:rPr>
      </w:pPr>
      <w:r>
        <w:rPr>
          <w:rFonts w:ascii="Arial" w:cs="Arial" w:eastAsia="Arial" w:hAnsi="Arial"/>
          <w:sz w:val="16"/>
          <w:szCs w:val="16"/>
          <w:color w:val="auto"/>
        </w:rPr>
        <w:t>NSAIDs, as compared to placebo</w:t>
      </w:r>
      <w:r>
        <w:rPr>
          <w:rFonts w:ascii="MS PGothic" w:cs="MS PGothic" w:eastAsia="MS PGothic" w:hAnsi="MS PGothic"/>
          <w:sz w:val="16"/>
          <w:szCs w:val="16"/>
          <w:color w:val="auto"/>
        </w:rPr>
        <w:t>‑</w:t>
      </w:r>
      <w:r>
        <w:rPr>
          <w:rFonts w:ascii="Arial" w:cs="Arial" w:eastAsia="Arial" w:hAnsi="Arial"/>
          <w:sz w:val="16"/>
          <w:szCs w:val="16"/>
          <w:color w:val="auto"/>
        </w:rPr>
        <w:t>treated patients. This observed extended pain reduction may be related to the potency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zoledronic acid and its long residence time in bone.</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Lack of Opioid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related Side Effects and Abuse and Addiction Potential</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Reflecting the currently limited treatment options for chronic pain, opioid medications are widely prescribed despite their numerous significant undesirable side effects and potential consequences. These side effects and consequences include dependency, addiction and abuse potential, respiratory depression, hypotension, constipation, and a higher incidence of falls and fractures in older patients. Prescription opioids are also increasingly associated with deaths from unintentional overdose, with over 16,000 deaths reported in the United States each year.</w:t>
      </w:r>
    </w:p>
    <w:p>
      <w:pPr>
        <w:spacing w:after="0" w:line="161"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exerts its potential effects for the treatment of pain via novel non</w:t>
      </w:r>
      <w:r>
        <w:rPr>
          <w:rFonts w:ascii="MS PGothic" w:cs="MS PGothic" w:eastAsia="MS PGothic" w:hAnsi="MS PGothic"/>
          <w:sz w:val="18"/>
          <w:szCs w:val="18"/>
          <w:color w:val="auto"/>
        </w:rPr>
        <w:t>‑</w:t>
      </w:r>
      <w:r>
        <w:rPr>
          <w:rFonts w:ascii="Arial" w:cs="Arial" w:eastAsia="Arial" w:hAnsi="Arial"/>
          <w:sz w:val="18"/>
          <w:szCs w:val="18"/>
          <w:color w:val="auto"/>
        </w:rPr>
        <w:t>opioid mechanisms of action. If successfully developed, AXS</w:t>
      </w:r>
      <w:r>
        <w:rPr>
          <w:rFonts w:ascii="MS PGothic" w:cs="MS PGothic" w:eastAsia="MS PGothic" w:hAnsi="MS PGothic"/>
          <w:sz w:val="18"/>
          <w:szCs w:val="18"/>
          <w:color w:val="auto"/>
        </w:rPr>
        <w:t>‑</w:t>
      </w:r>
      <w:r>
        <w:rPr>
          <w:rFonts w:ascii="Arial" w:cs="Arial" w:eastAsia="Arial" w:hAnsi="Arial"/>
          <w:sz w:val="18"/>
          <w:szCs w:val="18"/>
          <w:color w:val="auto"/>
        </w:rPr>
        <w:t>02 would represent an alternative treatment for pain that lacks the addiction and abuse potential and other serious side effects of opioids.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Knee Osteoarthritis (OA) Associated with Bone Marrow Lesions (BMLs)</w:t>
      </w:r>
    </w:p>
    <w:p>
      <w:pPr>
        <w:spacing w:after="0" w:line="185"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There is currently no therapy specifically approved by the FDA or the EMA to treat this subset of knee OA. The FDA has agreed to an SPA for our ongoing Phase 3 COAST</w:t>
      </w:r>
      <w:r>
        <w:rPr>
          <w:rFonts w:ascii="MS PGothic" w:cs="MS PGothic" w:eastAsia="MS PGothic" w:hAnsi="MS PGothic"/>
          <w:sz w:val="18"/>
          <w:szCs w:val="18"/>
          <w:color w:val="auto"/>
        </w:rPr>
        <w:t>‑</w:t>
      </w:r>
      <w:r>
        <w:rPr>
          <w:rFonts w:ascii="Arial" w:cs="Arial" w:eastAsia="Arial" w:hAnsi="Arial"/>
          <w:sz w:val="18"/>
          <w:szCs w:val="18"/>
          <w:color w:val="auto"/>
        </w:rPr>
        <w:t>1 study in subjects with knee OA and BMLs. The FDA has also granted Fast Track designation for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Knee OA is a disorder characterized by periarticular bone changes, progressive loss of articular cartilage, joint space narrowing, and eventual total joint failure. It is clinically manifested by knee pain, significant physical disability, and reduced quality of life. While currently available drug therapies attempt to address the pain of knee OA, they are not thought to address the cause of the pain.</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Recently, BMLs have been recognized as an important feature of knee OA because of their relation to the pain and pathogenesis of the condition. BMLs appear as areas of increased signal intensity on MRI of the knee, and represent regions of increased subchondral bone turnover. BMLs are clinically relevant because they are associated with and predict knee pain, disease severity, and structural progression in patients with knee OA, based on published studies. Findings from several cross</w:t>
      </w:r>
      <w:r>
        <w:rPr>
          <w:rFonts w:ascii="MS PGothic" w:cs="MS PGothic" w:eastAsia="MS PGothic" w:hAnsi="MS PGothic"/>
          <w:sz w:val="16"/>
          <w:szCs w:val="16"/>
          <w:color w:val="auto"/>
        </w:rPr>
        <w:t>‑</w:t>
      </w:r>
      <w:r>
        <w:rPr>
          <w:rFonts w:ascii="Arial" w:cs="Arial" w:eastAsia="Arial" w:hAnsi="Arial"/>
          <w:sz w:val="16"/>
          <w:szCs w:val="16"/>
          <w:color w:val="auto"/>
        </w:rPr>
        <w:t>sectional and longitudinal studies have demonstrated that (1) BMLs are strongly associated with the presence and severity of pain in patients with knee OA, (2) new or enlarging BMLs are associated with increased pain and diminishing BMLs with decreased pain, (3) BMLs are associated with progression of joint space narrowing and cartilage loss, (4) BMLs predict knee joint replacement, and (5) increasing BML size is associated with cartilage loss. These studies therefore suggest that BMLs are a source of knee pain and a potential target for pharmaceutical intervention.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currently no therapy specifically approved by the FDA or the EMA to treat the pain of knee OA associated</w:t>
      </w:r>
    </w:p>
    <w:p>
      <w:pPr>
        <w:spacing w:after="0" w:line="183" w:lineRule="exact"/>
        <w:rPr>
          <w:sz w:val="20"/>
          <w:szCs w:val="20"/>
          <w:color w:val="auto"/>
        </w:rPr>
      </w:pPr>
      <w:r>
        <w:rPr>
          <w:rFonts w:ascii="Arial" w:cs="Arial" w:eastAsia="Arial" w:hAnsi="Arial"/>
          <w:sz w:val="17"/>
          <w:szCs w:val="17"/>
          <w:color w:val="auto"/>
        </w:rPr>
        <w:t>with BMLs. Currently available therapy for the broader knee OA population include non</w:t>
      </w:r>
      <w:r>
        <w:rPr>
          <w:rFonts w:ascii="MS PGothic" w:cs="MS PGothic" w:eastAsia="MS PGothic" w:hAnsi="MS PGothic"/>
          <w:sz w:val="17"/>
          <w:szCs w:val="17"/>
          <w:color w:val="auto"/>
        </w:rPr>
        <w:t>‑</w:t>
      </w:r>
      <w:r>
        <w:rPr>
          <w:rFonts w:ascii="Arial" w:cs="Arial" w:eastAsia="Arial" w:hAnsi="Arial"/>
          <w:sz w:val="17"/>
          <w:szCs w:val="17"/>
          <w:color w:val="auto"/>
        </w:rPr>
        <w:t>pharmacological treatments, oral</w:t>
      </w:r>
    </w:p>
    <w:p>
      <w:pPr>
        <w:spacing w:after="0" w:line="176" w:lineRule="exact"/>
        <w:rPr>
          <w:sz w:val="20"/>
          <w:szCs w:val="20"/>
          <w:color w:val="auto"/>
        </w:rPr>
      </w:pPr>
      <w:r>
        <w:rPr>
          <w:rFonts w:ascii="Arial" w:cs="Arial" w:eastAsia="Arial" w:hAnsi="Arial"/>
          <w:sz w:val="18"/>
          <w:szCs w:val="18"/>
          <w:color w:val="auto"/>
        </w:rPr>
        <w:t>and topical medications, and intra</w:t>
      </w:r>
      <w:r>
        <w:rPr>
          <w:rFonts w:ascii="MS PGothic" w:cs="MS PGothic" w:eastAsia="MS PGothic" w:hAnsi="MS PGothic"/>
          <w:sz w:val="18"/>
          <w:szCs w:val="18"/>
          <w:color w:val="auto"/>
        </w:rPr>
        <w:t>‑</w:t>
      </w:r>
      <w:r>
        <w:rPr>
          <w:rFonts w:ascii="Arial" w:cs="Arial" w:eastAsia="Arial" w:hAnsi="Arial"/>
          <w:sz w:val="18"/>
          <w:szCs w:val="18"/>
          <w:color w:val="auto"/>
        </w:rPr>
        <w:t>articular injections. Non</w:t>
      </w:r>
      <w:r>
        <w:rPr>
          <w:rFonts w:ascii="MS PGothic" w:cs="MS PGothic" w:eastAsia="MS PGothic" w:hAnsi="MS PGothic"/>
          <w:sz w:val="18"/>
          <w:szCs w:val="18"/>
          <w:color w:val="auto"/>
        </w:rPr>
        <w:t>‑</w:t>
      </w:r>
      <w:r>
        <w:rPr>
          <w:rFonts w:ascii="Arial" w:cs="Arial" w:eastAsia="Arial" w:hAnsi="Arial"/>
          <w:sz w:val="18"/>
          <w:szCs w:val="18"/>
          <w:color w:val="auto"/>
        </w:rPr>
        <w:t>pharmacological approaches include exercise, weight</w:t>
      </w:r>
    </w:p>
    <w:p>
      <w:pPr>
        <w:spacing w:after="0" w:line="176" w:lineRule="exact"/>
        <w:rPr>
          <w:sz w:val="20"/>
          <w:szCs w:val="20"/>
          <w:color w:val="auto"/>
        </w:rPr>
      </w:pPr>
      <w:r>
        <w:rPr>
          <w:rFonts w:ascii="Arial" w:cs="Arial" w:eastAsia="Arial" w:hAnsi="Arial"/>
          <w:sz w:val="17"/>
          <w:szCs w:val="17"/>
          <w:color w:val="auto"/>
        </w:rPr>
        <w:t>management, strength training, self</w:t>
      </w:r>
      <w:r>
        <w:rPr>
          <w:rFonts w:ascii="MS PGothic" w:cs="MS PGothic" w:eastAsia="MS PGothic" w:hAnsi="MS PGothic"/>
          <w:sz w:val="17"/>
          <w:szCs w:val="17"/>
          <w:color w:val="auto"/>
        </w:rPr>
        <w:t>‑</w:t>
      </w:r>
      <w:r>
        <w:rPr>
          <w:rFonts w:ascii="Arial" w:cs="Arial" w:eastAsia="Arial" w:hAnsi="Arial"/>
          <w:sz w:val="17"/>
          <w:szCs w:val="17"/>
          <w:color w:val="auto"/>
        </w:rPr>
        <w:t>management, and education. Oral treatments include acetaminophen, selective and</w:t>
      </w:r>
    </w:p>
    <w:p>
      <w:pPr>
        <w:spacing w:after="0" w:line="177"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selective NSAIDs, and opioid medications. Intra</w:t>
      </w:r>
      <w:r>
        <w:rPr>
          <w:rFonts w:ascii="MS PGothic" w:cs="MS PGothic" w:eastAsia="MS PGothic" w:hAnsi="MS PGothic"/>
          <w:sz w:val="16"/>
          <w:szCs w:val="16"/>
          <w:color w:val="auto"/>
        </w:rPr>
        <w:t>‑</w:t>
      </w:r>
      <w:r>
        <w:rPr>
          <w:rFonts w:ascii="Arial" w:cs="Arial" w:eastAsia="Arial" w:hAnsi="Arial"/>
          <w:sz w:val="16"/>
          <w:szCs w:val="16"/>
          <w:color w:val="auto"/>
        </w:rPr>
        <w:t>articular injections for knee OA include intra</w:t>
      </w:r>
      <w:r>
        <w:rPr>
          <w:rFonts w:ascii="MS PGothic" w:cs="MS PGothic" w:eastAsia="MS PGothic" w:hAnsi="MS PGothic"/>
          <w:sz w:val="16"/>
          <w:szCs w:val="16"/>
          <w:color w:val="auto"/>
        </w:rPr>
        <w:t>‑</w:t>
      </w:r>
      <w:r>
        <w:rPr>
          <w:rFonts w:ascii="Arial" w:cs="Arial" w:eastAsia="Arial" w:hAnsi="Arial"/>
          <w:sz w:val="16"/>
          <w:szCs w:val="16"/>
          <w:color w:val="auto"/>
        </w:rPr>
        <w:t>articular hyaluronic acid,</w:t>
      </w:r>
    </w:p>
    <w:p>
      <w:pPr>
        <w:spacing w:after="0" w:line="176" w:lineRule="exact"/>
        <w:rPr>
          <w:sz w:val="20"/>
          <w:szCs w:val="20"/>
          <w:color w:val="auto"/>
        </w:rPr>
      </w:pPr>
      <w:r>
        <w:rPr>
          <w:rFonts w:ascii="Arial" w:cs="Arial" w:eastAsia="Arial" w:hAnsi="Arial"/>
          <w:sz w:val="17"/>
          <w:szCs w:val="17"/>
          <w:color w:val="auto"/>
        </w:rPr>
        <w:t>or IAHA, and intra</w:t>
      </w:r>
      <w:r>
        <w:rPr>
          <w:rFonts w:ascii="MS PGothic" w:cs="MS PGothic" w:eastAsia="MS PGothic" w:hAnsi="MS PGothic"/>
          <w:sz w:val="17"/>
          <w:szCs w:val="17"/>
          <w:color w:val="auto"/>
        </w:rPr>
        <w:t>‑</w:t>
      </w:r>
      <w:r>
        <w:rPr>
          <w:rFonts w:ascii="Arial" w:cs="Arial" w:eastAsia="Arial" w:hAnsi="Arial"/>
          <w:sz w:val="17"/>
          <w:szCs w:val="17"/>
          <w:color w:val="auto"/>
        </w:rPr>
        <w:t>articular corticosteroids, or IACS. These treatments are generally short</w:t>
      </w:r>
      <w:r>
        <w:rPr>
          <w:rFonts w:ascii="MS PGothic" w:cs="MS PGothic" w:eastAsia="MS PGothic" w:hAnsi="MS PGothic"/>
          <w:sz w:val="17"/>
          <w:szCs w:val="17"/>
          <w:color w:val="auto"/>
        </w:rPr>
        <w:t>‑</w:t>
      </w:r>
      <w:r>
        <w:rPr>
          <w:rFonts w:ascii="Arial" w:cs="Arial" w:eastAsia="Arial" w:hAnsi="Arial"/>
          <w:sz w:val="17"/>
          <w:szCs w:val="17"/>
          <w:color w:val="auto"/>
        </w:rPr>
        <w:t>acting and may address the</w:t>
      </w:r>
    </w:p>
    <w:p>
      <w:pPr>
        <w:spacing w:after="0" w:line="229" w:lineRule="auto"/>
        <w:rPr>
          <w:sz w:val="20"/>
          <w:szCs w:val="20"/>
          <w:color w:val="auto"/>
        </w:rPr>
      </w:pPr>
      <w:r>
        <w:rPr>
          <w:rFonts w:ascii="Arial" w:cs="Arial" w:eastAsia="Arial" w:hAnsi="Arial"/>
          <w:sz w:val="16"/>
          <w:szCs w:val="16"/>
          <w:color w:val="auto"/>
        </w:rPr>
        <w:t>symptoms of knee OA, but are not thought to have an effect on the underlying cause of the condition. Knee joint replacement</w:t>
      </w:r>
    </w:p>
    <w:p>
      <w:pPr>
        <w:spacing w:after="0" w:line="176" w:lineRule="exact"/>
        <w:rPr>
          <w:sz w:val="20"/>
          <w:szCs w:val="20"/>
          <w:color w:val="auto"/>
        </w:rPr>
      </w:pPr>
      <w:r>
        <w:rPr>
          <w:rFonts w:ascii="Arial" w:cs="Arial" w:eastAsia="Arial" w:hAnsi="Arial"/>
          <w:sz w:val="16"/>
          <w:szCs w:val="16"/>
          <w:color w:val="auto"/>
        </w:rPr>
        <w:t>surgery is viewed as a last resort for patients who, despite pharmacological and non</w:t>
      </w:r>
      <w:r>
        <w:rPr>
          <w:rFonts w:ascii="MS PGothic" w:cs="MS PGothic" w:eastAsia="MS PGothic" w:hAnsi="MS PGothic"/>
          <w:sz w:val="16"/>
          <w:szCs w:val="16"/>
          <w:color w:val="auto"/>
        </w:rPr>
        <w:t>‑</w:t>
      </w:r>
      <w:r>
        <w:rPr>
          <w:rFonts w:ascii="Arial" w:cs="Arial" w:eastAsia="Arial" w:hAnsi="Arial"/>
          <w:sz w:val="16"/>
          <w:szCs w:val="16"/>
          <w:color w:val="auto"/>
        </w:rPr>
        <w:t>pharmacological treatment, do not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adequate pain relief and functional improvement.</w:t>
      </w:r>
    </w:p>
    <w:p>
      <w:pPr>
        <w:spacing w:after="0" w:line="169" w:lineRule="exact"/>
        <w:rPr>
          <w:sz w:val="20"/>
          <w:szCs w:val="20"/>
          <w:color w:val="auto"/>
        </w:rPr>
      </w:pPr>
    </w:p>
    <w:p>
      <w:pPr>
        <w:ind w:right="380" w:firstLine="648"/>
        <w:spacing w:after="0" w:line="224" w:lineRule="auto"/>
        <w:rPr>
          <w:sz w:val="20"/>
          <w:szCs w:val="20"/>
          <w:color w:val="auto"/>
        </w:rPr>
      </w:pPr>
      <w:r>
        <w:rPr>
          <w:rFonts w:ascii="Arial" w:cs="Arial" w:eastAsia="Arial" w:hAnsi="Arial"/>
          <w:sz w:val="18"/>
          <w:szCs w:val="18"/>
          <w:color w:val="auto"/>
        </w:rPr>
        <w:t>Results of epidemiological studies suggest that there are approximately 25 million patients in the United States, 50 years of age and older, with radiographic knee OA. Approximately 12 million of these patients are estimated to be symptomatic, 7 million of whom we estimate have BMLs.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 in the Pain of Knee OA Associated with BMLs</w:t>
      </w:r>
    </w:p>
    <w:p>
      <w:pPr>
        <w:spacing w:after="0" w:line="185"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The rationale for utilizing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is based on the observations that (1) BMLs are strongly associated with pain in knee OA, (2) BMLs represent regions of increased subchondral bone turnover and reduced mineral content based on studies of BMLs resected from human subjects, and</w:t>
      </w:r>
    </w:p>
    <w:p>
      <w:pPr>
        <w:spacing w:after="0" w:line="2" w:lineRule="exact"/>
        <w:rPr>
          <w:sz w:val="20"/>
          <w:szCs w:val="20"/>
          <w:color w:val="auto"/>
        </w:rPr>
      </w:pPr>
    </w:p>
    <w:p>
      <w:pPr>
        <w:ind w:right="60" w:firstLine="3"/>
        <w:spacing w:after="0" w:line="189" w:lineRule="exact"/>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zoledronic acid potently inhibits bone turnover, increases bone mineral density, and localizes preferentially to regions of increased bone turnover. The pharmacological actions of zoledronic acid therefore suggest the potential for AXS</w:t>
      </w:r>
      <w:r>
        <w:rPr>
          <w:rFonts w:ascii="MS PGothic" w:cs="MS PGothic" w:eastAsia="MS PGothic" w:hAnsi="MS PGothic"/>
          <w:sz w:val="18"/>
          <w:szCs w:val="18"/>
          <w:color w:val="auto"/>
        </w:rPr>
        <w:t>‑</w:t>
      </w:r>
      <w:r>
        <w:rPr>
          <w:rFonts w:ascii="Arial" w:cs="Arial" w:eastAsia="Arial" w:hAnsi="Arial"/>
          <w:sz w:val="18"/>
          <w:szCs w:val="18"/>
          <w:color w:val="auto"/>
        </w:rPr>
        <w:t>02 to affect BMLs, thereby reducing pain in patients with knee OA associated with BMLs.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Low Back Pain (CLBP) Associated with Modic Changes (MCs)</w:t>
      </w:r>
    </w:p>
    <w:p>
      <w:pPr>
        <w:spacing w:after="0" w:line="185" w:lineRule="exact"/>
        <w:rPr>
          <w:sz w:val="20"/>
          <w:szCs w:val="20"/>
          <w:color w:val="auto"/>
        </w:rPr>
      </w:pPr>
    </w:p>
    <w:p>
      <w:pPr>
        <w:ind w:right="760" w:firstLine="648"/>
        <w:spacing w:after="0" w:line="20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CLBP associated with MCs. There is currently no therapy specifically approved by the FDA or the EMA to treat this subset of CLBP.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CLBP is defined as persistent or fluctuating low back pain lasting at least three months. It is a disabling and costly</w:t>
      </w:r>
    </w:p>
    <w:p>
      <w:pPr>
        <w:spacing w:after="0"/>
        <w:rPr>
          <w:sz w:val="20"/>
          <w:szCs w:val="20"/>
          <w:color w:val="auto"/>
        </w:rPr>
      </w:pPr>
      <w:r>
        <w:rPr>
          <w:rFonts w:ascii="Arial" w:cs="Arial" w:eastAsia="Arial" w:hAnsi="Arial"/>
          <w:sz w:val="16"/>
          <w:szCs w:val="16"/>
          <w:color w:val="auto"/>
        </w:rPr>
        <w:t>condition that is associated with increased healthcare utilization. The economic costs of CLBP are estimated to range from</w:t>
      </w:r>
    </w:p>
    <w:p>
      <w:pPr>
        <w:spacing w:after="0" w:line="229" w:lineRule="auto"/>
        <w:rPr>
          <w:sz w:val="20"/>
          <w:szCs w:val="20"/>
          <w:color w:val="auto"/>
        </w:rPr>
      </w:pPr>
      <w:r>
        <w:rPr>
          <w:rFonts w:ascii="Arial" w:cs="Arial" w:eastAsia="Arial" w:hAnsi="Arial"/>
          <w:sz w:val="16"/>
          <w:szCs w:val="16"/>
          <w:color w:val="auto"/>
        </w:rPr>
        <w:t>$12.2 billion to $90.6 billion annually in the United States. Factors that contribute to this economic impact include prolonged</w:t>
      </w:r>
    </w:p>
    <w:p>
      <w:pPr>
        <w:spacing w:after="0" w:line="229" w:lineRule="auto"/>
        <w:rPr>
          <w:sz w:val="20"/>
          <w:szCs w:val="20"/>
          <w:color w:val="auto"/>
        </w:rPr>
      </w:pPr>
      <w:r>
        <w:rPr>
          <w:rFonts w:ascii="Arial" w:cs="Arial" w:eastAsia="Arial" w:hAnsi="Arial"/>
          <w:sz w:val="16"/>
          <w:szCs w:val="16"/>
          <w:color w:val="auto"/>
        </w:rPr>
        <w:t>loss of function, consequent loss of work productivity, treatment costs, and disability payments. Low back pain may be due to</w:t>
      </w:r>
    </w:p>
    <w:p>
      <w:pPr>
        <w:spacing w:after="0" w:line="229" w:lineRule="auto"/>
        <w:rPr>
          <w:sz w:val="20"/>
          <w:szCs w:val="20"/>
          <w:color w:val="auto"/>
        </w:rPr>
      </w:pPr>
      <w:r>
        <w:rPr>
          <w:rFonts w:ascii="Arial" w:cs="Arial" w:eastAsia="Arial" w:hAnsi="Arial"/>
          <w:sz w:val="16"/>
          <w:szCs w:val="16"/>
          <w:color w:val="auto"/>
        </w:rPr>
        <w:t>a specific cause such as fracture, tumor, infection, or nerve root compression. However, it is estimated that in more than 85%</w:t>
      </w:r>
    </w:p>
    <w:p>
      <w:pPr>
        <w:spacing w:after="0" w:line="196" w:lineRule="exact"/>
        <w:rPr>
          <w:sz w:val="20"/>
          <w:szCs w:val="20"/>
          <w:color w:val="auto"/>
        </w:rPr>
      </w:pPr>
      <w:r>
        <w:rPr>
          <w:rFonts w:ascii="Arial" w:cs="Arial" w:eastAsia="Arial" w:hAnsi="Arial"/>
          <w:sz w:val="17"/>
          <w:szCs w:val="17"/>
          <w:color w:val="auto"/>
        </w:rPr>
        <w:t>of cases such specific causes cannot be identified, resulting in the majority of cases being classified as non</w:t>
      </w:r>
      <w:r>
        <w:rPr>
          <w:rFonts w:ascii="MS PGothic" w:cs="MS PGothic" w:eastAsia="MS PGothic" w:hAnsi="MS PGothic"/>
          <w:sz w:val="17"/>
          <w:szCs w:val="17"/>
          <w:color w:val="auto"/>
        </w:rPr>
        <w:t>‑</w:t>
      </w:r>
      <w:r>
        <w:rPr>
          <w:rFonts w:ascii="Arial" w:cs="Arial" w:eastAsia="Arial" w:hAnsi="Arial"/>
          <w:sz w:val="17"/>
          <w:szCs w:val="17"/>
          <w:color w:val="auto"/>
        </w:rPr>
        <w:t>specific.</w:t>
      </w:r>
    </w:p>
    <w:p>
      <w:pPr>
        <w:spacing w:after="0" w:line="180"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Recently, it has been suggested that patients with MCs may represent a specific clinical subgroup of CLBP patients. MCs are vertebral bone marrow changes that are visible on MRI of the spine, and that represent regions of increased bone turnover and pro</w:t>
      </w:r>
      <w:r>
        <w:rPr>
          <w:rFonts w:ascii="MS PGothic" w:cs="MS PGothic" w:eastAsia="MS PGothic" w:hAnsi="MS PGothic"/>
          <w:sz w:val="16"/>
          <w:szCs w:val="16"/>
          <w:color w:val="auto"/>
        </w:rPr>
        <w:t>‑</w:t>
      </w:r>
      <w:r>
        <w:rPr>
          <w:rFonts w:ascii="Arial" w:cs="Arial" w:eastAsia="Arial" w:hAnsi="Arial"/>
          <w:sz w:val="16"/>
          <w:szCs w:val="16"/>
          <w:color w:val="auto"/>
        </w:rPr>
        <w:t>inflammatory mediators. MCs are classified into types 1, 2, or 3, based on radiographic and histological features. MCs are clinically relevant because they are associated with low back pain, based on published studies. Findings from studies in clinical and non</w:t>
      </w:r>
      <w:r>
        <w:rPr>
          <w:rFonts w:ascii="MS PGothic" w:cs="MS PGothic" w:eastAsia="MS PGothic" w:hAnsi="MS PGothic"/>
          <w:sz w:val="16"/>
          <w:szCs w:val="16"/>
          <w:color w:val="auto"/>
        </w:rPr>
        <w:t>‑</w:t>
      </w:r>
      <w:r>
        <w:rPr>
          <w:rFonts w:ascii="Arial" w:cs="Arial" w:eastAsia="Arial" w:hAnsi="Arial"/>
          <w:sz w:val="16"/>
          <w:szCs w:val="16"/>
          <w:color w:val="auto"/>
        </w:rPr>
        <w:t>clinical populations have demonstrated that the presence of MCs, especially type 1 MCs, is correlated with low back pain, predicts persistent symptoms, and sick leaves, and is associated with poor outcomes. These studies therefore suggest that MCs are a potential target for pharmaceutical intervention.</w:t>
      </w:r>
    </w:p>
    <w:p>
      <w:pPr>
        <w:spacing w:after="0" w:line="163"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There is currently no therapy specifically approved by the FDA or the EMA to treat CLBP associated with MCs. Currently available therapy for the broader CLBP population includes non</w:t>
      </w:r>
      <w:r>
        <w:rPr>
          <w:rFonts w:ascii="MS PGothic" w:cs="MS PGothic" w:eastAsia="MS PGothic" w:hAnsi="MS PGothic"/>
          <w:sz w:val="18"/>
          <w:szCs w:val="18"/>
          <w:color w:val="auto"/>
        </w:rPr>
        <w:t>‑</w:t>
      </w:r>
      <w:r>
        <w:rPr>
          <w:rFonts w:ascii="Arial" w:cs="Arial" w:eastAsia="Arial" w:hAnsi="Arial"/>
          <w:sz w:val="18"/>
          <w:szCs w:val="18"/>
          <w:color w:val="auto"/>
        </w:rPr>
        <w:t>pharmacological approaches, such as exercise, and pharmacological treatments, such as NSAIDs and opioid medications. Current pharmacological treatments are generally short</w:t>
      </w:r>
      <w:r>
        <w:rPr>
          <w:rFonts w:ascii="MS PGothic" w:cs="MS PGothic" w:eastAsia="MS PGothic" w:hAnsi="MS PGothic"/>
          <w:sz w:val="18"/>
          <w:szCs w:val="18"/>
          <w:color w:val="auto"/>
        </w:rPr>
        <w:t>‑</w:t>
      </w:r>
      <w:r>
        <w:rPr>
          <w:rFonts w:ascii="Arial" w:cs="Arial" w:eastAsia="Arial" w:hAnsi="Arial"/>
          <w:sz w:val="18"/>
          <w:szCs w:val="18"/>
          <w:color w:val="auto"/>
        </w:rPr>
        <w:t>acting and may address the symptoms of CLBP, but are not thought to have an effect on the underlying cause of the condition.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Results of epidemiological studies suggest that there are approximately 121 million adults in the United States with low back pain in a given year. Approximately 9 million of these sufferers are estimated to have CLBP, of whom we estimate approximately 1.6 million have type 1 MCs.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 in CLBP Associated with MCs</w:t>
      </w:r>
    </w:p>
    <w:p>
      <w:pPr>
        <w:spacing w:after="0" w:line="18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rationale for utilizing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CLBP associated with MCs is based on the observations that</w:t>
      </w:r>
    </w:p>
    <w:p>
      <w:pPr>
        <w:spacing w:after="0" w:line="8" w:lineRule="exact"/>
        <w:rPr>
          <w:sz w:val="20"/>
          <w:szCs w:val="20"/>
          <w:color w:val="auto"/>
        </w:rPr>
      </w:pPr>
    </w:p>
    <w:p>
      <w:pPr>
        <w:ind w:right="40" w:firstLine="3"/>
        <w:spacing w:after="0" w:line="184" w:lineRule="exact"/>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MCs are associated with low back pain, (2) MCs represent regions of increased bone turnover based on three</w:t>
      </w:r>
      <w:r>
        <w:rPr>
          <w:rFonts w:ascii="MS PGothic" w:cs="MS PGothic" w:eastAsia="MS PGothic" w:hAnsi="MS PGothic"/>
          <w:sz w:val="16"/>
          <w:szCs w:val="16"/>
          <w:color w:val="auto"/>
        </w:rPr>
        <w:t>‑</w:t>
      </w:r>
      <w:r>
        <w:rPr>
          <w:rFonts w:ascii="Arial" w:cs="Arial" w:eastAsia="Arial" w:hAnsi="Arial"/>
          <w:sz w:val="16"/>
          <w:szCs w:val="16"/>
          <w:color w:val="auto"/>
        </w:rPr>
        <w:t>phase bone scans and increased pro</w:t>
      </w:r>
      <w:r>
        <w:rPr>
          <w:rFonts w:ascii="MS PGothic" w:cs="MS PGothic" w:eastAsia="MS PGothic" w:hAnsi="MS PGothic"/>
          <w:sz w:val="16"/>
          <w:szCs w:val="16"/>
          <w:color w:val="auto"/>
        </w:rPr>
        <w:t>‑</w:t>
      </w:r>
      <w:r>
        <w:rPr>
          <w:rFonts w:ascii="Arial" w:cs="Arial" w:eastAsia="Arial" w:hAnsi="Arial"/>
          <w:sz w:val="16"/>
          <w:szCs w:val="16"/>
          <w:color w:val="auto"/>
        </w:rPr>
        <w:t>inflammatory cytokines and vascular density based on analysis of lesions resected from human subjects, and (3) zoledronic acid potently inhibits bone turnover, may reduce pro</w:t>
      </w:r>
      <w:r>
        <w:rPr>
          <w:rFonts w:ascii="MS PGothic" w:cs="MS PGothic" w:eastAsia="MS PGothic" w:hAnsi="MS PGothic"/>
          <w:sz w:val="16"/>
          <w:szCs w:val="16"/>
          <w:color w:val="auto"/>
        </w:rPr>
        <w:t>‑</w:t>
      </w:r>
      <w:r>
        <w:rPr>
          <w:rFonts w:ascii="Arial" w:cs="Arial" w:eastAsia="Arial" w:hAnsi="Arial"/>
          <w:sz w:val="16"/>
          <w:szCs w:val="16"/>
          <w:color w:val="auto"/>
        </w:rPr>
        <w:t>inflammatory cytokine production, is anti</w:t>
      </w:r>
      <w:r>
        <w:rPr>
          <w:rFonts w:ascii="MS PGothic" w:cs="MS PGothic" w:eastAsia="MS PGothic" w:hAnsi="MS PGothic"/>
          <w:sz w:val="16"/>
          <w:szCs w:val="16"/>
          <w:color w:val="auto"/>
        </w:rPr>
        <w:t>‑</w:t>
      </w:r>
      <w:r>
        <w:rPr>
          <w:rFonts w:ascii="Arial" w:cs="Arial" w:eastAsia="Arial" w:hAnsi="Arial"/>
          <w:sz w:val="16"/>
          <w:szCs w:val="16"/>
          <w:color w:val="auto"/>
        </w:rPr>
        <w:t>angiogenic, and localizes preferentially to regions of increased turnover. The pharmacological actions of zoledronic acid therefore suggest the potential for AXS</w:t>
      </w:r>
      <w:r>
        <w:rPr>
          <w:rFonts w:ascii="MS PGothic" w:cs="MS PGothic" w:eastAsia="MS PGothic" w:hAnsi="MS PGothic"/>
          <w:sz w:val="16"/>
          <w:szCs w:val="16"/>
          <w:color w:val="auto"/>
        </w:rPr>
        <w:t>‑</w:t>
      </w:r>
      <w:r>
        <w:rPr>
          <w:rFonts w:ascii="Arial" w:cs="Arial" w:eastAsia="Arial" w:hAnsi="Arial"/>
          <w:sz w:val="16"/>
          <w:szCs w:val="16"/>
          <w:color w:val="auto"/>
        </w:rPr>
        <w:t>02 to affect MCs, thereby reducing pain in patients with CLBP associated with MCs.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w:t>
      </w:r>
    </w:p>
    <w:p>
      <w:pPr>
        <w:spacing w:after="0" w:line="185" w:lineRule="exact"/>
        <w:rPr>
          <w:sz w:val="20"/>
          <w:szCs w:val="20"/>
          <w:color w:val="auto"/>
        </w:rPr>
      </w:pPr>
    </w:p>
    <w:p>
      <w:pPr>
        <w:ind w:right="48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02 and intend to seek FDA approval for the product candidate utilizing the 505(b)(2) regulatory pathway. We currently plan to rely on the FDA’s prior finding of safety and efficacy for 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as well as published literature to support our marketing application.</w:t>
      </w:r>
    </w:p>
    <w:p>
      <w:pPr>
        <w:spacing w:after="0" w:line="163" w:lineRule="exact"/>
        <w:rPr>
          <w:sz w:val="20"/>
          <w:szCs w:val="20"/>
          <w:color w:val="auto"/>
        </w:rPr>
      </w:pPr>
    </w:p>
    <w:p>
      <w:pPr>
        <w:ind w:right="240" w:firstLine="648"/>
        <w:spacing w:after="0" w:line="194" w:lineRule="exact"/>
        <w:rPr>
          <w:sz w:val="20"/>
          <w:szCs w:val="20"/>
          <w:color w:val="auto"/>
        </w:rPr>
      </w:pPr>
      <w:r>
        <w:rPr>
          <w:rFonts w:ascii="Arial" w:cs="Arial" w:eastAsia="Arial" w:hAnsi="Arial"/>
          <w:sz w:val="18"/>
          <w:szCs w:val="18"/>
          <w:color w:val="auto"/>
        </w:rPr>
        <w:t>We held a Type C meeting with the FDA in June 2014 where we presented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02 in the treatment of pain associated with CRPS, the pain of knee OA associated with BMLs, and CLBP associated with MCs.</w:t>
      </w:r>
    </w:p>
    <w:p>
      <w:pPr>
        <w:spacing w:after="0" w:line="163"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6"/>
          <w:szCs w:val="16"/>
          <w:color w:val="auto"/>
        </w:rPr>
        <w:t>In October 2015, we reached agreement with the FDA regarding an SPA on the design of a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An SPA documents the FDA’s agreement that the design and planned analysis of a clinical trial adequately address scientific and regulatory objectives that, if met, would support a regulatory submission for approval of a drug. An SPA, however, does not guarantee FDA approval.</w:t>
      </w:r>
    </w:p>
    <w:p>
      <w:pPr>
        <w:spacing w:after="0" w:line="16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April 2016, we received Fast Track designation from the FDA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the pain of knee OA associated with BMLs. The FDA’s Fast Track designation program is designed to aid in the development and expedite the review of drugs that are intended to treat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conditions. In order to receive Fast Track designation, a product candidate must also demonstrate the potential to address an unmet medical need. Fast Track designation provides greater access to, and more frequent communication with, the FDA throughout the entire drug development and review process, with the goal of getting important new drugs to patients more rapidly. It also provides the opportunity to submit sections of an NDA on a rolling basis, where the FDA may review portions of the NDA as they are received instead of waiting for the entire NDA submission. In addition, Fast Track designated product candidates may be eligible for priority review at the time of NDA submission.</w:t>
      </w:r>
    </w:p>
    <w:p>
      <w:pPr>
        <w:spacing w:after="0" w:line="162" w:lineRule="exact"/>
        <w:rPr>
          <w:sz w:val="20"/>
          <w:szCs w:val="20"/>
          <w:color w:val="auto"/>
        </w:rPr>
      </w:pPr>
    </w:p>
    <w:p>
      <w:pPr>
        <w:ind w:right="260" w:firstLine="648"/>
        <w:spacing w:after="0" w:line="203" w:lineRule="exact"/>
        <w:rPr>
          <w:sz w:val="20"/>
          <w:szCs w:val="20"/>
          <w:color w:val="auto"/>
        </w:rPr>
      </w:pPr>
      <w:r>
        <w:rPr>
          <w:rFonts w:ascii="Arial" w:cs="Arial" w:eastAsia="Arial" w:hAnsi="Arial"/>
          <w:sz w:val="18"/>
          <w:szCs w:val="18"/>
          <w:color w:val="auto"/>
        </w:rPr>
        <w:t>In February 2017, we received IND clearance from the FDA to proceed with our planned Phase 3 clinical trial of AXS</w:t>
      </w:r>
      <w:r>
        <w:rPr>
          <w:rFonts w:ascii="MS PGothic" w:cs="MS PGothic" w:eastAsia="MS PGothic" w:hAnsi="MS PGothic"/>
          <w:sz w:val="18"/>
          <w:szCs w:val="18"/>
          <w:color w:val="auto"/>
        </w:rPr>
        <w:t>‑</w:t>
      </w:r>
      <w:r>
        <w:rPr>
          <w:rFonts w:ascii="Arial" w:cs="Arial" w:eastAsia="Arial" w:hAnsi="Arial"/>
          <w:sz w:val="18"/>
          <w:szCs w:val="18"/>
          <w:color w:val="auto"/>
        </w:rPr>
        <w:t>02 in CLBP.</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As discussed below, we had previously initiated a Phase 3 clinical trial of AXS-02 for the treatment of complex regional pain syndrome, or CRPS, which we referred to as the CREATE-1 trial. In January 2018, an independent data monitoring committee, or IDMC, conducted an interim analysis of the CREATE-1 trial of AXS-02 in CRPS and of the COAST-1 trial of AXS-02 in knee OA associated with BMLs. The IDMC recommended that the COAST-1 trial be continued to full enrollment, and that the CREATE-1 trial be stopped for futility.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We completed oral toxicology studies in the rat and dog models to support the dosing of AXS</w:t>
      </w:r>
      <w:r>
        <w:rPr>
          <w:rFonts w:ascii="MS PGothic" w:cs="MS PGothic" w:eastAsia="MS PGothic" w:hAnsi="MS PGothic"/>
          <w:sz w:val="16"/>
          <w:szCs w:val="16"/>
          <w:color w:val="auto"/>
        </w:rPr>
        <w:t>‑</w:t>
      </w:r>
      <w:r>
        <w:rPr>
          <w:rFonts w:ascii="Arial" w:cs="Arial" w:eastAsia="Arial" w:hAnsi="Arial"/>
          <w:sz w:val="16"/>
          <w:szCs w:val="16"/>
          <w:color w:val="auto"/>
        </w:rPr>
        <w:t>02 in our completed Phase 1 trial and in our ongoing and planned Phase 3 trials. Dose</w:t>
      </w:r>
      <w:r>
        <w:rPr>
          <w:rFonts w:ascii="MS PGothic" w:cs="MS PGothic" w:eastAsia="MS PGothic" w:hAnsi="MS PGothic"/>
          <w:sz w:val="16"/>
          <w:szCs w:val="16"/>
          <w:color w:val="auto"/>
        </w:rPr>
        <w:t>‑</w:t>
      </w:r>
      <w:r>
        <w:rPr>
          <w:rFonts w:ascii="Arial" w:cs="Arial" w:eastAsia="Arial" w:hAnsi="Arial"/>
          <w:sz w:val="16"/>
          <w:szCs w:val="16"/>
          <w:color w:val="auto"/>
        </w:rPr>
        <w:t>limiting adverse effects were primarily gastrointestinal related. We have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In this trial,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and marked suppression of bone resorption markers.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potential effect of zoledronic acid on the pain of knee OA associated with BMLs has been demonstrated in a Phase 2, investigator</w:t>
      </w:r>
      <w:r>
        <w:rPr>
          <w:rFonts w:ascii="MS PGothic" w:cs="MS PGothic" w:eastAsia="MS PGothic" w:hAnsi="MS PGothic"/>
          <w:sz w:val="18"/>
          <w:szCs w:val="18"/>
          <w:color w:val="auto"/>
        </w:rPr>
        <w:t>‑</w:t>
      </w:r>
      <w:r>
        <w:rPr>
          <w:rFonts w:ascii="Arial" w:cs="Arial" w:eastAsia="Arial" w:hAnsi="Arial"/>
          <w:sz w:val="18"/>
          <w:szCs w:val="18"/>
          <w:color w:val="auto"/>
        </w:rPr>
        <w:t>initiated,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this trial, IV administration of zoledronic acid resulted in a statistically significant reduction in pain and BML size at 6 months. The potential effect of zoledronic acid in CLBP associated with MCs has been demonstrated in a Phase 2, investigator</w:t>
      </w:r>
      <w:r>
        <w:rPr>
          <w:rFonts w:ascii="MS PGothic" w:cs="MS PGothic" w:eastAsia="MS PGothic" w:hAnsi="MS PGothic"/>
          <w:sz w:val="18"/>
          <w:szCs w:val="18"/>
          <w:color w:val="auto"/>
        </w:rPr>
        <w:t>‑</w:t>
      </w:r>
      <w:r>
        <w:rPr>
          <w:rFonts w:ascii="Arial" w:cs="Arial" w:eastAsia="Arial" w:hAnsi="Arial"/>
          <w:sz w:val="18"/>
          <w:szCs w:val="18"/>
          <w:color w:val="auto"/>
        </w:rPr>
        <w:t>initiated,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this trial, IV administration of zoledronic acid resulted in statistically significant reductions in pain at 1 month and NSAID use at 12 months. We have obtained exclusive rights to the data generated from this trial in CLBP.</w:t>
      </w:r>
    </w:p>
    <w:p>
      <w:pPr>
        <w:spacing w:after="0" w:line="165" w:lineRule="exact"/>
        <w:rPr>
          <w:sz w:val="20"/>
          <w:szCs w:val="20"/>
          <w:color w:val="auto"/>
        </w:rPr>
      </w:pPr>
    </w:p>
    <w:p>
      <w:pPr>
        <w:ind w:right="260" w:firstLine="648"/>
        <w:spacing w:after="0" w:line="187" w:lineRule="exact"/>
        <w:rPr>
          <w:sz w:val="20"/>
          <w:szCs w:val="20"/>
          <w:color w:val="auto"/>
        </w:rPr>
      </w:pPr>
      <w:r>
        <w:rPr>
          <w:rFonts w:ascii="Arial" w:cs="Arial" w:eastAsia="Arial" w:hAnsi="Arial"/>
          <w:sz w:val="17"/>
          <w:szCs w:val="17"/>
          <w:color w:val="auto"/>
        </w:rPr>
        <w:t>We are currently conducting a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Phase 3 trial of AXS</w:t>
      </w:r>
      <w:r>
        <w:rPr>
          <w:rFonts w:ascii="MS PGothic" w:cs="MS PGothic" w:eastAsia="MS PGothic" w:hAnsi="MS PGothic"/>
          <w:sz w:val="17"/>
          <w:szCs w:val="17"/>
          <w:color w:val="auto"/>
        </w:rPr>
        <w:t>‑</w:t>
      </w:r>
      <w:r>
        <w:rPr>
          <w:rFonts w:ascii="Arial" w:cs="Arial" w:eastAsia="Arial" w:hAnsi="Arial"/>
          <w:sz w:val="17"/>
          <w:szCs w:val="17"/>
          <w:color w:val="auto"/>
        </w:rPr>
        <w:t>02 in patients with knee OA associated with BMLs. In February 2017, we received IND clearance from the FDA to proceed with our planned Phase 3 clinical trial of AXS-02 in CLBP. We believe our planned Phase 3 dosing of AXS</w:t>
      </w:r>
      <w:r>
        <w:rPr>
          <w:rFonts w:ascii="MS PGothic" w:cs="MS PGothic" w:eastAsia="MS PGothic" w:hAnsi="MS PGothic"/>
          <w:sz w:val="17"/>
          <w:szCs w:val="17"/>
          <w:color w:val="auto"/>
        </w:rPr>
        <w:t>‑</w:t>
      </w:r>
      <w:r>
        <w:rPr>
          <w:rFonts w:ascii="Arial" w:cs="Arial" w:eastAsia="Arial" w:hAnsi="Arial"/>
          <w:sz w:val="17"/>
          <w:szCs w:val="17"/>
          <w:color w:val="auto"/>
        </w:rPr>
        <w:t>02 will provide cumulative systemic exposure of zoledronic acid that is similar to that achieved with the 5 mg IV dose used in the Phase 2 trials in knee OA and CLBP, based on the results of our completed Phase 1 trial.</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Completed Phase 1 Trial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w:t>
      </w:r>
    </w:p>
    <w:p>
      <w:pPr>
        <w:spacing w:after="0" w:line="185" w:lineRule="exact"/>
        <w:rPr>
          <w:sz w:val="20"/>
          <w:szCs w:val="20"/>
          <w:color w:val="auto"/>
        </w:rPr>
      </w:pPr>
    </w:p>
    <w:p>
      <w:pPr>
        <w:ind w:right="160" w:firstLine="648"/>
        <w:spacing w:after="0" w:line="183" w:lineRule="exact"/>
        <w:rPr>
          <w:sz w:val="20"/>
          <w:szCs w:val="20"/>
          <w:color w:val="auto"/>
        </w:rPr>
      </w:pPr>
      <w:r>
        <w:rPr>
          <w:rFonts w:ascii="Arial" w:cs="Arial" w:eastAsia="Arial" w:hAnsi="Arial"/>
          <w:sz w:val="18"/>
          <w:szCs w:val="18"/>
          <w:color w:val="auto"/>
        </w:rPr>
        <w:t>We conducted a Phase 1 trial to assess the fasting pharmacokinetics, pharmacodynamics, safety, and tolerability of orally administered AXS</w:t>
      </w:r>
      <w:r>
        <w:rPr>
          <w:rFonts w:ascii="MS PGothic" w:cs="MS PGothic" w:eastAsia="MS PGothic" w:hAnsi="MS PGothic"/>
          <w:sz w:val="18"/>
          <w:szCs w:val="18"/>
          <w:color w:val="auto"/>
        </w:rPr>
        <w:t>‑</w:t>
      </w:r>
      <w:r>
        <w:rPr>
          <w:rFonts w:ascii="Arial" w:cs="Arial" w:eastAsia="Arial" w:hAnsi="Arial"/>
          <w:sz w:val="18"/>
          <w:szCs w:val="18"/>
          <w:color w:val="auto"/>
        </w:rPr>
        <w:t>02 tablets in healthy adult male and postmenopausal female volunteers under a Health Canada Clinical Trial Application. The trial was a randomized, open</w:t>
      </w:r>
      <w:r>
        <w:rPr>
          <w:rFonts w:ascii="MS PGothic" w:cs="MS PGothic" w:eastAsia="MS PGothic" w:hAnsi="MS PGothic"/>
          <w:sz w:val="18"/>
          <w:szCs w:val="18"/>
          <w:color w:val="auto"/>
        </w:rPr>
        <w:t>‑</w:t>
      </w:r>
      <w:r>
        <w:rPr>
          <w:rFonts w:ascii="Arial" w:cs="Arial" w:eastAsia="Arial" w:hAnsi="Arial"/>
          <w:sz w:val="18"/>
          <w:szCs w:val="18"/>
          <w:color w:val="auto"/>
        </w:rPr>
        <w:t>label, partial crossover study in a total of 36 subjects. Each subject received two of the following four treatments: three varying oral doses of AXS</w:t>
      </w:r>
      <w:r>
        <w:rPr>
          <w:rFonts w:ascii="MS PGothic" w:cs="MS PGothic" w:eastAsia="MS PGothic" w:hAnsi="MS PGothic"/>
          <w:sz w:val="18"/>
          <w:szCs w:val="18"/>
          <w:color w:val="auto"/>
        </w:rPr>
        <w:t>‑</w:t>
      </w:r>
      <w:r>
        <w:rPr>
          <w:rFonts w:ascii="Arial" w:cs="Arial" w:eastAsia="Arial" w:hAnsi="Arial"/>
          <w:sz w:val="18"/>
          <w:szCs w:val="18"/>
          <w:color w:val="auto"/>
        </w:rPr>
        <w:t>02 or a 1 mg IV dose of zoledronic acid. Each treatment was separated by a wash</w:t>
      </w:r>
      <w:r>
        <w:rPr>
          <w:rFonts w:ascii="MS PGothic" w:cs="MS PGothic" w:eastAsia="MS PGothic" w:hAnsi="MS PGothic"/>
          <w:sz w:val="18"/>
          <w:szCs w:val="18"/>
          <w:color w:val="auto"/>
        </w:rPr>
        <w:t>‑</w:t>
      </w:r>
      <w:r>
        <w:rPr>
          <w:rFonts w:ascii="Arial" w:cs="Arial" w:eastAsia="Arial" w:hAnsi="Arial"/>
          <w:sz w:val="18"/>
          <w:szCs w:val="18"/>
          <w:color w:val="auto"/>
        </w:rPr>
        <w:t>out period of at least 14 days. Blood samples were collected prior to dosing and after dosing to measure zoledronic acid plasma concentrations and the effect of AXS</w:t>
      </w:r>
      <w:r>
        <w:rPr>
          <w:rFonts w:ascii="MS PGothic" w:cs="MS PGothic" w:eastAsia="MS PGothic" w:hAnsi="MS PGothic"/>
          <w:sz w:val="18"/>
          <w:szCs w:val="18"/>
          <w:color w:val="auto"/>
        </w:rPr>
        <w:t>‑</w:t>
      </w:r>
      <w:r>
        <w:rPr>
          <w:rFonts w:ascii="Arial" w:cs="Arial" w:eastAsia="Arial" w:hAnsi="Arial"/>
          <w:sz w:val="18"/>
          <w:szCs w:val="18"/>
          <w:color w:val="auto"/>
        </w:rPr>
        <w:t>02 on biomarkers of bone resorption, including serum CTx.</w:t>
      </w:r>
    </w:p>
    <w:p>
      <w:pPr>
        <w:spacing w:after="0" w:line="165" w:lineRule="exact"/>
        <w:rPr>
          <w:sz w:val="20"/>
          <w:szCs w:val="20"/>
          <w:color w:val="auto"/>
        </w:rPr>
      </w:pPr>
    </w:p>
    <w:p>
      <w:pPr>
        <w:ind w:right="380" w:firstLine="648"/>
        <w:spacing w:after="0" w:line="211" w:lineRule="exact"/>
        <w:rPr>
          <w:sz w:val="20"/>
          <w:szCs w:val="20"/>
          <w:color w:val="auto"/>
        </w:rPr>
      </w:pPr>
      <w:r>
        <w:rPr>
          <w:rFonts w:ascii="Arial" w:cs="Arial" w:eastAsia="Arial" w:hAnsi="Arial"/>
          <w:sz w:val="16"/>
          <w:szCs w:val="16"/>
          <w:color w:val="auto"/>
        </w:rPr>
        <w:t>Zoledronic acid was rapidly absorbed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with median time to reach the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of 30 to 45 minutes. The absolute oral bioavailability of zoledronic acid after</w:t>
      </w:r>
    </w:p>
    <w:p>
      <w:pPr>
        <w:spacing w:after="0" w:line="1" w:lineRule="exact"/>
        <w:rPr>
          <w:sz w:val="20"/>
          <w:szCs w:val="20"/>
          <w:color w:val="auto"/>
        </w:rPr>
      </w:pPr>
    </w:p>
    <w:p>
      <w:pPr>
        <w:ind w:right="240"/>
        <w:spacing w:after="0" w:line="193" w:lineRule="exact"/>
        <w:rPr>
          <w:sz w:val="20"/>
          <w:szCs w:val="20"/>
          <w:color w:val="auto"/>
        </w:rPr>
      </w:pPr>
      <w:r>
        <w:rPr>
          <w:rFonts w:ascii="Arial" w:cs="Arial" w:eastAsia="Arial" w:hAnsi="Arial"/>
          <w:sz w:val="17"/>
          <w:szCs w:val="17"/>
          <w:color w:val="auto"/>
        </w:rPr>
        <w:t>administration of AXS</w:t>
      </w:r>
      <w:r>
        <w:rPr>
          <w:rFonts w:ascii="MS PGothic" w:cs="MS PGothic" w:eastAsia="MS PGothic" w:hAnsi="MS PGothic"/>
          <w:sz w:val="17"/>
          <w:szCs w:val="17"/>
          <w:color w:val="auto"/>
        </w:rPr>
        <w:t>‑</w:t>
      </w:r>
      <w:r>
        <w:rPr>
          <w:rFonts w:ascii="Arial" w:cs="Arial" w:eastAsia="Arial" w:hAnsi="Arial"/>
          <w:sz w:val="17"/>
          <w:szCs w:val="17"/>
          <w:color w:val="auto"/>
        </w:rPr>
        <w:t>02 tablets found in this trial was greater than that reported for oral bisphosphonate agents currently marketed in the United States, based on FDA package inserts. Zoledronic acid plasma concentrations after oral administration of AXS</w:t>
      </w:r>
      <w:r>
        <w:rPr>
          <w:rFonts w:ascii="MS PGothic" w:cs="MS PGothic" w:eastAsia="MS PGothic" w:hAnsi="MS PGothic"/>
          <w:sz w:val="17"/>
          <w:szCs w:val="17"/>
          <w:color w:val="auto"/>
        </w:rPr>
        <w:t>‑</w:t>
      </w:r>
      <w:r>
        <w:rPr>
          <w:rFonts w:ascii="Arial" w:cs="Arial" w:eastAsia="Arial" w:hAnsi="Arial"/>
          <w:sz w:val="17"/>
          <w:szCs w:val="17"/>
          <w:color w:val="auto"/>
        </w:rPr>
        <w:t>02, measured using area under the plasma concentration curve, or AUC, and maximum plasma concentration, or C</w:t>
      </w:r>
      <w:r>
        <w:rPr>
          <w:rFonts w:ascii="Arial" w:cs="Arial" w:eastAsia="Arial" w:hAnsi="Arial"/>
          <w:sz w:val="28"/>
          <w:szCs w:val="28"/>
          <w:color w:val="auto"/>
          <w:vertAlign w:val="subscript"/>
        </w:rPr>
        <w:t>max</w:t>
      </w:r>
      <w:r>
        <w:rPr>
          <w:rFonts w:ascii="Arial" w:cs="Arial" w:eastAsia="Arial" w:hAnsi="Arial"/>
          <w:sz w:val="17"/>
          <w:szCs w:val="17"/>
          <w:color w:val="auto"/>
        </w:rPr>
        <w:t>, were found to be dose proportional in the range tested using the power model.</w:t>
      </w:r>
    </w:p>
    <w:p>
      <w:pPr>
        <w:spacing w:after="0" w:line="188" w:lineRule="exact"/>
        <w:rPr>
          <w:sz w:val="20"/>
          <w:szCs w:val="20"/>
          <w:color w:val="auto"/>
        </w:rPr>
      </w:pPr>
    </w:p>
    <w:p>
      <w:pPr>
        <w:jc w:val="both"/>
        <w:ind w:right="340" w:firstLine="648"/>
        <w:spacing w:after="0" w:line="194" w:lineRule="exact"/>
        <w:rPr>
          <w:sz w:val="20"/>
          <w:szCs w:val="20"/>
          <w:color w:val="auto"/>
        </w:rPr>
      </w:pPr>
      <w:r>
        <w:rPr>
          <w:rFonts w:ascii="Arial" w:cs="Arial" w:eastAsia="Arial" w:hAnsi="Arial"/>
          <w:sz w:val="18"/>
          <w:szCs w:val="18"/>
          <w:color w:val="auto"/>
        </w:rPr>
        <w:t>Oral administration of AXS</w:t>
      </w:r>
      <w:r>
        <w:rPr>
          <w:rFonts w:ascii="MS PGothic" w:cs="MS PGothic" w:eastAsia="MS PGothic" w:hAnsi="MS PGothic"/>
          <w:sz w:val="18"/>
          <w:szCs w:val="18"/>
          <w:color w:val="auto"/>
        </w:rPr>
        <w:t>‑</w:t>
      </w:r>
      <w:r>
        <w:rPr>
          <w:rFonts w:ascii="Arial" w:cs="Arial" w:eastAsia="Arial" w:hAnsi="Arial"/>
          <w:sz w:val="18"/>
          <w:szCs w:val="18"/>
          <w:color w:val="auto"/>
        </w:rPr>
        <w:t>02 resulted in marked reductions of biomarkers of bone resorption. For example, as shown in the figure below, levels of serum CTx were reduced by approximately 80 to 90% seven days after dosing. This effect was generally maintained 14 to 15 days after dosing.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Serum CTx change from baseline after oral administration of varying doses of 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02,</w:t>
      </w:r>
    </w:p>
    <w:p>
      <w:pPr>
        <w:jc w:val="center"/>
        <w:ind w:right="-39"/>
        <w:spacing w:after="0"/>
        <w:rPr>
          <w:sz w:val="20"/>
          <w:szCs w:val="20"/>
          <w:color w:val="auto"/>
        </w:rPr>
      </w:pPr>
      <w:r>
        <w:rPr>
          <w:rFonts w:ascii="Arial" w:cs="Arial" w:eastAsia="Arial" w:hAnsi="Arial"/>
          <w:sz w:val="18"/>
          <w:szCs w:val="18"/>
          <w:b w:val="1"/>
          <w:bCs w:val="1"/>
          <w:color w:val="auto"/>
        </w:rPr>
        <w:t>and IV administration of 1 mg zoledronic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125095</wp:posOffset>
            </wp:positionV>
            <wp:extent cx="4193540" cy="2358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354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7"/>
          <w:szCs w:val="17"/>
          <w:color w:val="auto"/>
        </w:rPr>
        <w:t>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or moderate in severity, were transient in nature, and were completely resolved by the end of the study. The most commonly reported adverse events were headache, fever, musculoskeletal pain, diarrhea, abdominal pain, nausea, myalgia, and chills. Adverse events were reported more frequently with increasing oral doses, and more frequently in the oral dose groups than in the IV dose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of Zoledronic Acid in the Pain of Knee OA Associated with BMLs</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was tested in an investigator</w:t>
      </w:r>
      <w:r>
        <w:rPr>
          <w:rFonts w:ascii="MS PGothic" w:cs="MS PGothic" w:eastAsia="MS PGothic" w:hAnsi="MS PGothic"/>
          <w:sz w:val="18"/>
          <w:szCs w:val="18"/>
          <w:color w:val="auto"/>
        </w:rPr>
        <w:t>‑</w:t>
      </w:r>
      <w:r>
        <w:rPr>
          <w:rFonts w:ascii="Arial" w:cs="Arial" w:eastAsia="Arial" w:hAnsi="Arial"/>
          <w:sz w:val="18"/>
          <w:szCs w:val="18"/>
          <w:color w:val="auto"/>
        </w:rPr>
        <w:t>initiated,</w:t>
      </w:r>
    </w:p>
    <w:p>
      <w:pPr>
        <w:spacing w:after="0" w:line="176" w:lineRule="exact"/>
        <w:rPr>
          <w:sz w:val="20"/>
          <w:szCs w:val="20"/>
          <w:color w:val="auto"/>
        </w:rPr>
      </w:pPr>
      <w:r>
        <w:rPr>
          <w:rFonts w:ascii="Arial" w:cs="Arial" w:eastAsia="Arial" w:hAnsi="Arial"/>
          <w:sz w:val="16"/>
          <w:szCs w:val="16"/>
          <w:color w:val="auto"/>
        </w:rPr>
        <w:t>single</w:t>
      </w:r>
      <w:r>
        <w:rPr>
          <w:rFonts w:ascii="MS PGothic" w:cs="MS PGothic" w:eastAsia="MS PGothic" w:hAnsi="MS PGothic"/>
          <w:sz w:val="16"/>
          <w:szCs w:val="16"/>
          <w:color w:val="auto"/>
        </w:rPr>
        <w:t>‑</w:t>
      </w:r>
      <w:r>
        <w:rPr>
          <w:rFonts w:ascii="Arial" w:cs="Arial" w:eastAsia="Arial" w:hAnsi="Arial"/>
          <w:sz w:val="16"/>
          <w:szCs w:val="16"/>
          <w:color w:val="auto"/>
        </w:rPr>
        <w:t>center,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in patients with knee OA and BMLs. In this trial, zoledronic</w:t>
      </w:r>
    </w:p>
    <w:p>
      <w:pPr>
        <w:spacing w:after="0" w:line="229" w:lineRule="auto"/>
        <w:rPr>
          <w:sz w:val="20"/>
          <w:szCs w:val="20"/>
          <w:color w:val="auto"/>
        </w:rPr>
      </w:pPr>
      <w:r>
        <w:rPr>
          <w:rFonts w:ascii="Arial" w:cs="Arial" w:eastAsia="Arial" w:hAnsi="Arial"/>
          <w:sz w:val="16"/>
          <w:szCs w:val="16"/>
          <w:color w:val="auto"/>
        </w:rPr>
        <w:t>acid treatment reduced pain and BML size, as further described below, demonstrating an effect on symptom and structure.</w:t>
      </w:r>
    </w:p>
    <w:p>
      <w:pPr>
        <w:spacing w:after="0" w:line="207" w:lineRule="exact"/>
        <w:rPr>
          <w:sz w:val="20"/>
          <w:szCs w:val="20"/>
          <w:color w:val="auto"/>
        </w:rPr>
      </w:pPr>
      <w:r>
        <w:rPr>
          <w:rFonts w:ascii="Arial" w:cs="Arial" w:eastAsia="Arial" w:hAnsi="Arial"/>
          <w:sz w:val="18"/>
          <w:szCs w:val="18"/>
          <w:color w:val="auto"/>
        </w:rPr>
        <w:t>The design and results of this trial have been reported in a peer</w:t>
      </w:r>
      <w:r>
        <w:rPr>
          <w:rFonts w:ascii="MS PGothic" w:cs="MS PGothic" w:eastAsia="MS PGothic" w:hAnsi="MS PGothic"/>
          <w:sz w:val="18"/>
          <w:szCs w:val="18"/>
          <w:color w:val="auto"/>
        </w:rPr>
        <w:t>‑</w:t>
      </w:r>
      <w:r>
        <w:rPr>
          <w:rFonts w:ascii="Arial" w:cs="Arial" w:eastAsia="Arial" w:hAnsi="Arial"/>
          <w:sz w:val="18"/>
          <w:szCs w:val="18"/>
          <w:color w:val="auto"/>
        </w:rPr>
        <w:t>reviewed journal.</w:t>
      </w:r>
    </w:p>
    <w:p>
      <w:pPr>
        <w:spacing w:after="0" w:line="16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In the trial, 59 patients, aged 50 to 80 years, with clinical knee OA and knee BMLs on MRI were randomized in a 1:1 ratio to receive either a single 5</w:t>
      </w:r>
      <w:r>
        <w:rPr>
          <w:rFonts w:ascii="MS PGothic" w:cs="MS PGothic" w:eastAsia="MS PGothic" w:hAnsi="MS PGothic"/>
          <w:sz w:val="16"/>
          <w:szCs w:val="16"/>
          <w:color w:val="auto"/>
        </w:rPr>
        <w:t>‑</w:t>
      </w:r>
      <w:r>
        <w:rPr>
          <w:rFonts w:ascii="Arial" w:cs="Arial" w:eastAsia="Arial" w:hAnsi="Arial"/>
          <w:sz w:val="16"/>
          <w:szCs w:val="16"/>
          <w:color w:val="auto"/>
        </w:rPr>
        <w:t>mg IV infusion of zoledronic acid or placebo. BMLs were determined using proton density</w:t>
      </w:r>
      <w:r>
        <w:rPr>
          <w:rFonts w:ascii="MS PGothic" w:cs="MS PGothic" w:eastAsia="MS PGothic" w:hAnsi="MS PGothic"/>
          <w:sz w:val="16"/>
          <w:szCs w:val="16"/>
          <w:color w:val="auto"/>
        </w:rPr>
        <w:t>‑</w:t>
      </w:r>
      <w:r>
        <w:rPr>
          <w:rFonts w:ascii="Arial" w:cs="Arial" w:eastAsia="Arial" w:hAnsi="Arial"/>
          <w:sz w:val="16"/>
          <w:szCs w:val="16"/>
          <w:color w:val="auto"/>
        </w:rPr>
        <w:t>weighted fat saturation magnetic resonance images at baseline, 6, and 12 months. Pain intensity was measured at baseline, 3, 6, and 12 months using a 100</w:t>
      </w:r>
      <w:r>
        <w:rPr>
          <w:rFonts w:ascii="MS PGothic" w:cs="MS PGothic" w:eastAsia="MS PGothic" w:hAnsi="MS PGothic"/>
          <w:sz w:val="16"/>
          <w:szCs w:val="16"/>
          <w:color w:val="auto"/>
        </w:rPr>
        <w:t>‑</w:t>
      </w:r>
      <w:r>
        <w:rPr>
          <w:rFonts w:ascii="Arial" w:cs="Arial" w:eastAsia="Arial" w:hAnsi="Arial"/>
          <w:sz w:val="16"/>
          <w:szCs w:val="16"/>
          <w:color w:val="auto"/>
        </w:rPr>
        <w:t>mm visual analogue scale, or VAS, which is a standard clinical measurement for pain severity. Total BML area was measured in square millimeters at baseline, 6, and 12 months. The primary outcomes were the change from baseline to 6 months in pain intensity as measured by the VAS, and maximal area of BML measured at</w:t>
      </w:r>
    </w:p>
    <w:p>
      <w:pPr>
        <w:spacing w:after="0" w:line="2"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6 months. Participants were allowed to remain on their background pain medications but the dose was kept constant through the trial period where possible. One subject randomized to placebo received zoledronic acid. Therefore, data for this patient was included in the zoledronic acid arm in the analyses and results discussed below. This analysis is referred to as a per protocol analysis.</w:t>
      </w:r>
    </w:p>
    <w:p>
      <w:pPr>
        <w:spacing w:after="0" w:line="164"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6"/>
          <w:szCs w:val="16"/>
          <w:color w:val="auto"/>
        </w:rPr>
        <w:t>At baseline, the mean VAS score was 54 mm. As shown in the figure below, there was a statistically significant reduction in pain intensity, measured using the VAS, from baseline to 6 months in the zoledronic acid</w:t>
      </w:r>
      <w:r>
        <w:rPr>
          <w:rFonts w:ascii="MS PGothic" w:cs="MS PGothic" w:eastAsia="MS PGothic" w:hAnsi="MS PGothic"/>
          <w:sz w:val="16"/>
          <w:szCs w:val="16"/>
          <w:color w:val="auto"/>
        </w:rPr>
        <w:t>‑</w:t>
      </w:r>
      <w:r>
        <w:rPr>
          <w:rFonts w:ascii="Arial" w:cs="Arial" w:eastAsia="Arial" w:hAnsi="Arial"/>
          <w:sz w:val="16"/>
          <w:szCs w:val="16"/>
          <w:color w:val="auto"/>
        </w:rPr>
        <w:t>treated group as compared to placebo, using the per protocol analysis. Changes in pain intensity between baseline and the other time points were numerically greater in the zoledronic acid arm than in the placebo arm but were not statistically significant.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Pain intensity over time in knee OA patients with BMLs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137795</wp:posOffset>
            </wp:positionV>
            <wp:extent cx="4056380" cy="2495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5638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line="207" w:lineRule="exact"/>
        <w:rPr>
          <w:sz w:val="20"/>
          <w:szCs w:val="20"/>
          <w:color w:val="auto"/>
        </w:rPr>
      </w:pPr>
      <w:r>
        <w:rPr>
          <w:rFonts w:ascii="Arial" w:cs="Arial" w:eastAsia="Arial" w:hAnsi="Arial"/>
          <w:sz w:val="18"/>
          <w:szCs w:val="18"/>
          <w:color w:val="auto"/>
        </w:rPr>
        <w:t xml:space="preserve">Source: Derived from </w:t>
      </w:r>
      <w:r>
        <w:rPr>
          <w:rFonts w:ascii="Arial" w:cs="Arial" w:eastAsia="Arial" w:hAnsi="Arial"/>
          <w:sz w:val="18"/>
          <w:szCs w:val="18"/>
          <w:i w:val="1"/>
          <w:iCs w:val="1"/>
          <w:color w:val="auto"/>
        </w:rPr>
        <w:t>Laslett et al. Ann Rheum Dis. 2012;71:1322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1328.</w:t>
      </w:r>
    </w:p>
    <w:p>
      <w:pPr>
        <w:spacing w:after="0" w:line="185" w:lineRule="exact"/>
        <w:rPr>
          <w:sz w:val="20"/>
          <w:szCs w:val="20"/>
          <w:color w:val="auto"/>
        </w:rPr>
      </w:pPr>
    </w:p>
    <w:p>
      <w:pPr>
        <w:ind w:right="159" w:firstLine="648"/>
        <w:spacing w:after="0" w:line="194" w:lineRule="exact"/>
        <w:rPr>
          <w:sz w:val="20"/>
          <w:szCs w:val="20"/>
          <w:color w:val="auto"/>
        </w:rPr>
      </w:pPr>
      <w:r>
        <w:rPr>
          <w:rFonts w:ascii="Arial" w:cs="Arial" w:eastAsia="Arial" w:hAnsi="Arial"/>
          <w:sz w:val="17"/>
          <w:szCs w:val="17"/>
          <w:color w:val="auto"/>
        </w:rPr>
        <w:t>As shown in the figure below, there was a statistically significant reduction in BML area at 6 months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as compared to placebo. At the 12 month assessment, the changes in BML size were lower in magnitude in the zoledronic acid arm as compared to the placebo arm and were not statistically significant.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BML area over time in subjects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137795</wp:posOffset>
            </wp:positionV>
            <wp:extent cx="4047490" cy="234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4749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20"/>
        <w:spacing w:after="0" w:line="207" w:lineRule="exact"/>
        <w:rPr>
          <w:sz w:val="20"/>
          <w:szCs w:val="20"/>
          <w:color w:val="auto"/>
        </w:rPr>
      </w:pPr>
      <w:r>
        <w:rPr>
          <w:rFonts w:ascii="Arial" w:cs="Arial" w:eastAsia="Arial" w:hAnsi="Arial"/>
          <w:sz w:val="18"/>
          <w:szCs w:val="18"/>
          <w:color w:val="auto"/>
        </w:rPr>
        <w:t xml:space="preserve">Source: Derived from </w:t>
      </w:r>
      <w:r>
        <w:rPr>
          <w:rFonts w:ascii="Arial" w:cs="Arial" w:eastAsia="Arial" w:hAnsi="Arial"/>
          <w:sz w:val="18"/>
          <w:szCs w:val="18"/>
          <w:i w:val="1"/>
          <w:iCs w:val="1"/>
          <w:color w:val="auto"/>
        </w:rPr>
        <w:t>Laslett et al. Ann Rheum Dis. 2012;71:1322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1328.</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00" w:firstLine="648"/>
        <w:spacing w:after="0" w:line="194" w:lineRule="exact"/>
        <w:rPr>
          <w:sz w:val="20"/>
          <w:szCs w:val="20"/>
          <w:color w:val="auto"/>
        </w:rPr>
      </w:pPr>
      <w:r>
        <w:rPr>
          <w:rFonts w:ascii="Arial" w:cs="Arial" w:eastAsia="Arial" w:hAnsi="Arial"/>
          <w:sz w:val="16"/>
          <w:szCs w:val="16"/>
          <w:color w:val="auto"/>
        </w:rPr>
        <w:t>The most commonly reported adverse events were acute phase reactions, which are primarily cold or flu</w:t>
      </w:r>
      <w:r>
        <w:rPr>
          <w:rFonts w:ascii="MS PGothic" w:cs="MS PGothic" w:eastAsia="MS PGothic" w:hAnsi="MS PGothic"/>
          <w:sz w:val="16"/>
          <w:szCs w:val="16"/>
          <w:color w:val="auto"/>
        </w:rPr>
        <w:t>‑</w:t>
      </w:r>
      <w:r>
        <w:rPr>
          <w:rFonts w:ascii="Arial" w:cs="Arial" w:eastAsia="Arial" w:hAnsi="Arial"/>
          <w:sz w:val="16"/>
          <w:szCs w:val="16"/>
          <w:color w:val="auto"/>
        </w:rPr>
        <w:t>like symptoms and headaches. Adverse events occurred more frequently in the zoledronic acid</w:t>
      </w:r>
      <w:r>
        <w:rPr>
          <w:rFonts w:ascii="MS PGothic" w:cs="MS PGothic" w:eastAsia="MS PGothic" w:hAnsi="MS PGothic"/>
          <w:sz w:val="16"/>
          <w:szCs w:val="16"/>
          <w:color w:val="auto"/>
        </w:rPr>
        <w:t>‑</w:t>
      </w:r>
      <w:r>
        <w:rPr>
          <w:rFonts w:ascii="Arial" w:cs="Arial" w:eastAsia="Arial" w:hAnsi="Arial"/>
          <w:sz w:val="16"/>
          <w:szCs w:val="16"/>
          <w:color w:val="auto"/>
        </w:rPr>
        <w:t>treated group. Serious adverse events were primarily non</w:t>
      </w:r>
      <w:r>
        <w:rPr>
          <w:rFonts w:ascii="MS PGothic" w:cs="MS PGothic" w:eastAsia="MS PGothic" w:hAnsi="MS PGothic"/>
          <w:sz w:val="16"/>
          <w:szCs w:val="16"/>
          <w:color w:val="auto"/>
        </w:rPr>
        <w:t>‑</w:t>
      </w:r>
      <w:r>
        <w:rPr>
          <w:rFonts w:ascii="Arial" w:cs="Arial" w:eastAsia="Arial" w:hAnsi="Arial"/>
          <w:sz w:val="16"/>
          <w:szCs w:val="16"/>
          <w:color w:val="auto"/>
        </w:rPr>
        <w:t>elective hospital admissions, none of which were considered causally related to study drug.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of Zoledronic Acid in CLBP Associated with MCs</w:t>
      </w:r>
    </w:p>
    <w:p>
      <w:pPr>
        <w:spacing w:after="0" w:line="185" w:lineRule="exact"/>
        <w:rPr>
          <w:sz w:val="20"/>
          <w:szCs w:val="20"/>
          <w:color w:val="auto"/>
        </w:rPr>
      </w:pPr>
    </w:p>
    <w:p>
      <w:pPr>
        <w:ind w:right="320" w:firstLine="648"/>
        <w:spacing w:after="0" w:line="189" w:lineRule="exact"/>
        <w:rPr>
          <w:sz w:val="20"/>
          <w:szCs w:val="20"/>
          <w:color w:val="auto"/>
        </w:rPr>
      </w:pPr>
      <w:r>
        <w:rPr>
          <w:rFonts w:ascii="Arial" w:cs="Arial" w:eastAsia="Arial" w:hAnsi="Arial"/>
          <w:sz w:val="18"/>
          <w:szCs w:val="18"/>
          <w:color w:val="auto"/>
        </w:rPr>
        <w:t>IV</w:t>
      </w:r>
      <w:r>
        <w:rPr>
          <w:rFonts w:ascii="MS PGothic" w:cs="MS PGothic" w:eastAsia="MS PGothic" w:hAnsi="MS PGothic"/>
          <w:sz w:val="18"/>
          <w:szCs w:val="18"/>
          <w:color w:val="auto"/>
        </w:rPr>
        <w:t>‑</w:t>
      </w:r>
      <w:r>
        <w:rPr>
          <w:rFonts w:ascii="Arial" w:cs="Arial" w:eastAsia="Arial" w:hAnsi="Arial"/>
          <w:sz w:val="18"/>
          <w:szCs w:val="18"/>
          <w:color w:val="auto"/>
        </w:rPr>
        <w:t>administered zoledronic acid was tested in an investigator</w:t>
      </w:r>
      <w:r>
        <w:rPr>
          <w:rFonts w:ascii="MS PGothic" w:cs="MS PGothic" w:eastAsia="MS PGothic" w:hAnsi="MS PGothic"/>
          <w:sz w:val="18"/>
          <w:szCs w:val="18"/>
          <w:color w:val="auto"/>
        </w:rPr>
        <w:t>‑</w:t>
      </w:r>
      <w:r>
        <w:rPr>
          <w:rFonts w:ascii="Arial" w:cs="Arial" w:eastAsia="Arial" w:hAnsi="Arial"/>
          <w:sz w:val="18"/>
          <w:szCs w:val="18"/>
          <w:color w:val="auto"/>
        </w:rPr>
        <w:t>initiated, single</w:t>
      </w:r>
      <w:r>
        <w:rPr>
          <w:rFonts w:ascii="MS PGothic" w:cs="MS PGothic" w:eastAsia="MS PGothic" w:hAnsi="MS PGothic"/>
          <w:sz w:val="18"/>
          <w:szCs w:val="18"/>
          <w:color w:val="auto"/>
        </w:rPr>
        <w:t>‑</w:t>
      </w:r>
      <w:r>
        <w:rPr>
          <w:rFonts w:ascii="Arial" w:cs="Arial" w:eastAsia="Arial" w:hAnsi="Arial"/>
          <w:sz w:val="18"/>
          <w:szCs w:val="18"/>
          <w:color w:val="auto"/>
        </w:rPr>
        <w:t>center,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trial in patients with CLBP associated with MCs. In this trial, zoledronic acid treatment resulted in statistically significant reductions in pain at 1 month and NSAID use at 12 months. We have exclusive rights to reference these trial data.</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the trial, 40 patients, with a mean age of approximately 50 years, with low back pain lasting at least 3 months and MCs on MRI, were randomized in a 1:1 ratio to receive either a single 5</w:t>
      </w:r>
      <w:r>
        <w:rPr>
          <w:rFonts w:ascii="MS PGothic" w:cs="MS PGothic" w:eastAsia="MS PGothic" w:hAnsi="MS PGothic"/>
          <w:sz w:val="16"/>
          <w:szCs w:val="16"/>
          <w:color w:val="auto"/>
        </w:rPr>
        <w:t>‑</w:t>
      </w:r>
      <w:r>
        <w:rPr>
          <w:rFonts w:ascii="Arial" w:cs="Arial" w:eastAsia="Arial" w:hAnsi="Arial"/>
          <w:sz w:val="16"/>
          <w:szCs w:val="16"/>
          <w:color w:val="auto"/>
        </w:rPr>
        <w:t>mg IV infusion of zoledronic acid or placebo. MCs were determined on MRI performed within 6 months prior to enrollment. Other inclusion criteria included pain intensity of at least 6 cm on a 10</w:t>
      </w:r>
      <w:r>
        <w:rPr>
          <w:rFonts w:ascii="MS PGothic" w:cs="MS PGothic" w:eastAsia="MS PGothic" w:hAnsi="MS PGothic"/>
          <w:sz w:val="16"/>
          <w:szCs w:val="16"/>
          <w:color w:val="auto"/>
        </w:rPr>
        <w:t>‑</w:t>
      </w:r>
      <w:r>
        <w:rPr>
          <w:rFonts w:ascii="Arial" w:cs="Arial" w:eastAsia="Arial" w:hAnsi="Arial"/>
          <w:sz w:val="16"/>
          <w:szCs w:val="16"/>
          <w:color w:val="auto"/>
        </w:rPr>
        <w:t>cm VAS or an Oswestry Disability Index, or ODI, of at least 30%. Low back pain intensity was measured at screening and 1 and 12 months after infusion using a 10</w:t>
      </w:r>
      <w:r>
        <w:rPr>
          <w:rFonts w:ascii="MS PGothic" w:cs="MS PGothic" w:eastAsia="MS PGothic" w:hAnsi="MS PGothic"/>
          <w:sz w:val="16"/>
          <w:szCs w:val="16"/>
          <w:color w:val="auto"/>
        </w:rPr>
        <w:t>‑</w:t>
      </w:r>
      <w:r>
        <w:rPr>
          <w:rFonts w:ascii="Arial" w:cs="Arial" w:eastAsia="Arial" w:hAnsi="Arial"/>
          <w:sz w:val="16"/>
          <w:szCs w:val="16"/>
          <w:color w:val="auto"/>
        </w:rPr>
        <w:t>cm VAS. The primary outcome was the change in low back pain intensity as measured by the VAS. Pain medication use was inquired about during study visits.</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Study participants had a mean low back pain duration of 293 days at study entry, and initial low back pain intensity of 6.7 on the VAS. All patients displayed either type 1, type 2, or mixed type 1 and type 2 MCs on MRI. As shown in the figure below, there was a statistically significant reduction in pain intensity, measured using the VAS, at 1 month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as compared to placebo. Changes in pain intensity at 12 months were numerically greater in the zoledronic acid arm than in the placebo arm but were not statistically significant.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pain intensity at 1 month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137795</wp:posOffset>
            </wp:positionV>
            <wp:extent cx="3902075" cy="2160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0207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8"/>
          <w:szCs w:val="18"/>
          <w:color w:val="auto"/>
        </w:rPr>
        <w:t>As shown in the figure below, at 1 year only 20% of patients in the zoledronic acid treatment group reported using NSAIDs compared to 60% of patients in the placebo group. At baseline, there were no differences in self</w:t>
      </w:r>
      <w:r>
        <w:rPr>
          <w:rFonts w:ascii="MS PGothic" w:cs="MS PGothic" w:eastAsia="MS PGothic" w:hAnsi="MS PGothic"/>
          <w:sz w:val="18"/>
          <w:szCs w:val="18"/>
          <w:color w:val="auto"/>
        </w:rPr>
        <w:t>‑</w:t>
      </w:r>
      <w:r>
        <w:rPr>
          <w:rFonts w:ascii="Arial" w:cs="Arial" w:eastAsia="Arial" w:hAnsi="Arial"/>
          <w:sz w:val="18"/>
          <w:szCs w:val="18"/>
          <w:color w:val="auto"/>
        </w:rPr>
        <w:t>reported use of NSAIDs between the treatment groups.</w:t>
      </w:r>
    </w:p>
    <w:p>
      <w:pPr>
        <w:spacing w:after="0" w:line="163"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The most commonly reported adverse events were acute phase reactions, which occurred more frequently in the zoledronic acid</w:t>
      </w:r>
      <w:r>
        <w:rPr>
          <w:rFonts w:ascii="MS PGothic" w:cs="MS PGothic" w:eastAsia="MS PGothic" w:hAnsi="MS PGothic"/>
          <w:sz w:val="17"/>
          <w:szCs w:val="17"/>
          <w:color w:val="auto"/>
        </w:rPr>
        <w:t>‑</w:t>
      </w:r>
      <w:r>
        <w:rPr>
          <w:rFonts w:ascii="Arial" w:cs="Arial" w:eastAsia="Arial" w:hAnsi="Arial"/>
          <w:sz w:val="17"/>
          <w:szCs w:val="17"/>
          <w:color w:val="auto"/>
        </w:rPr>
        <w:t>treated group. The majority of the acute phase reactions were rated mild to moderate in severity and typically resolved within three days of onset. Sinusitis requiring temporary hospitalization following zoledronic acid infusion was reported in one patient and was therefore classified as a serious adverse event.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NSAID use at 1 year in CLBP patients treated with zoledronic acid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137795</wp:posOffset>
            </wp:positionV>
            <wp:extent cx="3542030" cy="2400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Ongoing COAST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 Study</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In March 2016, we initiated the COAST-1 study, a Phase 3,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w:t>
      </w:r>
      <w:r>
        <w:rPr>
          <w:rFonts w:ascii="MS PGothic" w:cs="MS PGothic" w:eastAsia="MS PGothic" w:hAnsi="MS PGothic"/>
          <w:sz w:val="17"/>
          <w:szCs w:val="17"/>
          <w:color w:val="auto"/>
        </w:rPr>
        <w:t>‑</w:t>
      </w:r>
      <w:r>
        <w:rPr>
          <w:rFonts w:ascii="Arial" w:cs="Arial" w:eastAsia="Arial" w:hAnsi="Arial"/>
          <w:sz w:val="17"/>
          <w:szCs w:val="17"/>
          <w:color w:val="auto"/>
        </w:rPr>
        <w:t>controlled trial to assess the efficacy and safety of AXS</w:t>
      </w:r>
      <w:r>
        <w:rPr>
          <w:rFonts w:ascii="MS PGothic" w:cs="MS PGothic" w:eastAsia="MS PGothic" w:hAnsi="MS PGothic"/>
          <w:sz w:val="17"/>
          <w:szCs w:val="17"/>
          <w:color w:val="auto"/>
        </w:rPr>
        <w:t>‑</w:t>
      </w:r>
      <w:r>
        <w:rPr>
          <w:rFonts w:ascii="Arial" w:cs="Arial" w:eastAsia="Arial" w:hAnsi="Arial"/>
          <w:sz w:val="17"/>
          <w:szCs w:val="17"/>
          <w:color w:val="auto"/>
        </w:rPr>
        <w:t>02 in the treatment of the pain of knee OA associated with BMLs. This trial will enroll approximately 346 patients with clinically diagnosed knee OA and at least one confirmed BML in the affected knee on MRI. Eligible patients must be at least 50 years of age, either male or postmenopausal female, and have at least moderate pain intensity. The COAST-1 study is being conducted pursuant to an FDA SPA.</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After a baseline period, patients meeting the entry criteria are randomized in a 1:1 ratio to receive either (1) AXS</w:t>
      </w:r>
      <w:r>
        <w:rPr>
          <w:rFonts w:ascii="MS PGothic" w:cs="MS PGothic" w:eastAsia="MS PGothic" w:hAnsi="MS PGothic"/>
          <w:sz w:val="17"/>
          <w:szCs w:val="17"/>
          <w:color w:val="auto"/>
        </w:rPr>
        <w:t>‑</w:t>
      </w:r>
      <w:r>
        <w:rPr>
          <w:rFonts w:ascii="Arial" w:cs="Arial" w:eastAsia="Arial" w:hAnsi="Arial"/>
          <w:sz w:val="17"/>
          <w:szCs w:val="17"/>
          <w:color w:val="auto"/>
        </w:rPr>
        <w:t>02 tablets once per week or (2) matching placebo tablets once per week, under fasting conditions for 6 weeks. Randomized patients remain blinded for an additional 18 weeks, totaling 24 weeks for the double</w:t>
      </w:r>
      <w:r>
        <w:rPr>
          <w:rFonts w:ascii="MS PGothic" w:cs="MS PGothic" w:eastAsia="MS PGothic" w:hAnsi="MS PGothic"/>
          <w:sz w:val="17"/>
          <w:szCs w:val="17"/>
          <w:color w:val="auto"/>
        </w:rPr>
        <w:t>‑</w:t>
      </w:r>
      <w:r>
        <w:rPr>
          <w:rFonts w:ascii="Arial" w:cs="Arial" w:eastAsia="Arial" w:hAnsi="Arial"/>
          <w:sz w:val="17"/>
          <w:szCs w:val="17"/>
          <w:color w:val="auto"/>
        </w:rPr>
        <w:t>blind phase. The primary endpoint is the change in pain intensity from baseline to week 24, measured using the NRS. A pre-planned interim analysis was performed by an IDMC on the first 77 subjects enrolled in the trial. The IDMC recommended that the COAST-1 trial be continued to full enrollment. The IDMC also reviewed the available safety information in the study and confirmed that AXS-02 was safe and generally well-tolerated. Screening of subjects in this trial was paused pending results of the interim analysis, and will resume after readouts from our ongoing Phase 3 trial in TRD.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123825</wp:posOffset>
            </wp:positionV>
            <wp:extent cx="5556885" cy="1389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688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Phase 3 Trial in CLBP Associated with MCs</w:t>
      </w:r>
    </w:p>
    <w:p>
      <w:pPr>
        <w:spacing w:after="0" w:line="185" w:lineRule="exact"/>
        <w:rPr>
          <w:sz w:val="20"/>
          <w:szCs w:val="20"/>
          <w:color w:val="auto"/>
        </w:rPr>
      </w:pPr>
    </w:p>
    <w:p>
      <w:pPr>
        <w:ind w:right="160" w:firstLine="648"/>
        <w:spacing w:after="0" w:line="180" w:lineRule="exact"/>
        <w:rPr>
          <w:sz w:val="20"/>
          <w:szCs w:val="20"/>
          <w:color w:val="auto"/>
        </w:rPr>
      </w:pPr>
      <w:r>
        <w:rPr>
          <w:rFonts w:ascii="Arial" w:cs="Arial" w:eastAsia="Arial" w:hAnsi="Arial"/>
          <w:sz w:val="16"/>
          <w:szCs w:val="16"/>
          <w:color w:val="auto"/>
        </w:rPr>
        <w:t>We intend to initiate a Phase 3,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to assess the efficacy and safety of AXS</w:t>
      </w:r>
      <w:r>
        <w:rPr>
          <w:rFonts w:ascii="MS PGothic" w:cs="MS PGothic" w:eastAsia="MS PGothic" w:hAnsi="MS PGothic"/>
          <w:sz w:val="16"/>
          <w:szCs w:val="16"/>
          <w:color w:val="auto"/>
        </w:rPr>
        <w:t>‑</w:t>
      </w:r>
      <w:r>
        <w:rPr>
          <w:rFonts w:ascii="Arial" w:cs="Arial" w:eastAsia="Arial" w:hAnsi="Arial"/>
          <w:sz w:val="16"/>
          <w:szCs w:val="16"/>
          <w:color w:val="auto"/>
        </w:rPr>
        <w:t>02 in the treatment of CLBP associated with MCs. This trial is anticipated to enroll patients with low back pain lasting at least 3 months and confirmed type 1 or mixed type 1 and type 2 MCs on MRI. After a baseline period, patients meeting the entry criteria will be randomized in a 1:1 ratio to receive either (1) AXS</w:t>
      </w:r>
      <w:r>
        <w:rPr>
          <w:rFonts w:ascii="MS PGothic" w:cs="MS PGothic" w:eastAsia="MS PGothic" w:hAnsi="MS PGothic"/>
          <w:sz w:val="16"/>
          <w:szCs w:val="16"/>
          <w:color w:val="auto"/>
        </w:rPr>
        <w:t>‑</w:t>
      </w:r>
      <w:r>
        <w:rPr>
          <w:rFonts w:ascii="Arial" w:cs="Arial" w:eastAsia="Arial" w:hAnsi="Arial"/>
          <w:sz w:val="16"/>
          <w:szCs w:val="16"/>
          <w:color w:val="auto"/>
        </w:rPr>
        <w:t>02 tablets once per week or</w:t>
      </w:r>
    </w:p>
    <w:p>
      <w:pPr>
        <w:spacing w:after="0" w:line="1" w:lineRule="exact"/>
        <w:rPr>
          <w:sz w:val="20"/>
          <w:szCs w:val="20"/>
          <w:color w:val="auto"/>
        </w:rPr>
      </w:pPr>
    </w:p>
    <w:p>
      <w:pPr>
        <w:ind w:right="60" w:firstLine="3"/>
        <w:spacing w:after="0" w:line="184" w:lineRule="exact"/>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matching placebo tablets once per week, under fasting conditions for 6 weeks. Randomized patients will remain blinded for an additional 6 weeks, totaling 12 weeks for the double</w:t>
      </w:r>
      <w:r>
        <w:rPr>
          <w:rFonts w:ascii="MS PGothic" w:cs="MS PGothic" w:eastAsia="MS PGothic" w:hAnsi="MS PGothic"/>
          <w:sz w:val="16"/>
          <w:szCs w:val="16"/>
          <w:color w:val="auto"/>
        </w:rPr>
        <w:t>‑</w:t>
      </w:r>
      <w:r>
        <w:rPr>
          <w:rFonts w:ascii="Arial" w:cs="Arial" w:eastAsia="Arial" w:hAnsi="Arial"/>
          <w:sz w:val="16"/>
          <w:szCs w:val="16"/>
          <w:color w:val="auto"/>
        </w:rPr>
        <w:t>blind phase. The primary endpoint is anticipated to be the change in pain intensity from baseline to week 12, measured using the NRS. We anticipate that the trial will enroll a total of approximately 300 patients. We received IND clearance from the FDA to proceed with our planned Phase 3 clinical trial of AXS-02 in CLBP. The initiation of this clinical trial is contingent upon the availability of resources.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CREATE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 Study</w:t>
      </w:r>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In July 2015, we initiated the CREATE</w:t>
      </w:r>
      <w:r>
        <w:rPr>
          <w:rFonts w:ascii="MS PGothic" w:cs="MS PGothic" w:eastAsia="MS PGothic" w:hAnsi="MS PGothic"/>
          <w:sz w:val="16"/>
          <w:szCs w:val="16"/>
          <w:color w:val="auto"/>
        </w:rPr>
        <w:t>‑</w:t>
      </w:r>
      <w:r>
        <w:rPr>
          <w:rFonts w:ascii="Arial" w:cs="Arial" w:eastAsia="Arial" w:hAnsi="Arial"/>
          <w:sz w:val="16"/>
          <w:szCs w:val="16"/>
          <w:color w:val="auto"/>
        </w:rPr>
        <w:t>1 study, a Phase 3,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trial to assess the efficacy and safety of AXS</w:t>
      </w:r>
      <w:r>
        <w:rPr>
          <w:rFonts w:ascii="MS PGothic" w:cs="MS PGothic" w:eastAsia="MS PGothic" w:hAnsi="MS PGothic"/>
          <w:sz w:val="16"/>
          <w:szCs w:val="16"/>
          <w:color w:val="auto"/>
        </w:rPr>
        <w:t>‑</w:t>
      </w:r>
      <w:r>
        <w:rPr>
          <w:rFonts w:ascii="Arial" w:cs="Arial" w:eastAsia="Arial" w:hAnsi="Arial"/>
          <w:sz w:val="16"/>
          <w:szCs w:val="16"/>
          <w:color w:val="auto"/>
        </w:rPr>
        <w:t>02 in the treatment of pain associated with complex regional pain syndrome, or CRPS. An interim analysis was conducted to assess the efficacy and safety of AXS-02 and included 81 subjects. The IDMC recommended that the CREATE-1 trial be stopped for futility. The IDMC also reviewed the available safety information in the study and confirmed that AXS-02 was safe and generally well-tolerated. Additionally, AXS-02 treatment resulted in a significant reduction of serum CTx, a marker of bone resorption, as compared to placebo (p&lt;0.0001). Pursuant to the IDMC recommendation, we have discontinued enrollment in this study and are conducting study close-out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Osteoporosis</w:t>
      </w:r>
    </w:p>
    <w:p>
      <w:pPr>
        <w:spacing w:after="0" w:line="185"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Osteoporosis is a degenerative bone condition characterized by an imbalance in bone resorption and formation resulting in porous and brittle bones that are prone to fracture. Increased bone turnover markers, especially serum CTx, are associated with a higher incidence of osteoporosis and fracture risk. An estimated 200 million women are affected worldwide by osteoporosis, resulting in over 8.9 million fractures annually. Osteoporotic fractures occur in 1 in 3 women over age 50 and in 1 in 5 men over age 50. In 2017, worldwide sales of branded osteoporosis drugs totaled over $7.3 billion.</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potential for AXS-02 in the treatment of osteoporosis is currently being evaluated in a Phase 2 trial examining the ability of orally administered AXS-02 to reduce bone resorption over a 12-month period following a single 6-week treatment course consisting of one tablet a week for 6 weeks. Zoledronic acid, the active ingredient in AXS-02, is currently approved for the treatment of osteoporosis but is currently available only as an intravenous formulation. In contrast, AXS-02 is a novel oral formulation that has resulted in rapid absorption of zoledronic acid. The ongoing Phase 2 trial enrolled patients with complex regional pain syndrome who had been treated in the CREATE-1 trial. As previously reported, in that study, AXS-02 treatment resulted in a significant reduction of serum CTx, considered the reference standard marker of bone resorption by the International Osteoporosis Foundation, as compared to placebo, p&lt;0.0001, three months after a single treatment course. The current Phase 2 trial is examining the durability of this effect up to one year after treatment.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Neridronic Acid</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Neridronic acid, or neridronate, is a Phase 3-stage, intravenously administered bisphosphonate compound whose use for the treatment of certain pain conditions, including CRPS, is covered by more than 20 issued Axsome patents which provide protection out to 2033. CRPS is a debilitating condition characterized by severe, continuous, burning or throbbing pain in a limb. It is considered to be one of the most painful conditions, results in loss of physical function, and can lead to significant and sometimes permanent disability. Axsome’s extensive CRPS intellectual property portfolio reflects Axsome’s early and continued efforts and commitment to develop an effective treatment for this debilitating condition for which there is currently no approved drug.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Neridronic acid is currently being studied in two pivotal Phase 3 trials for the treatment of CRPS by Grünenthal GmbH, or Grünenthal. The Phase 3 trials were announced in June 2018 and are investigating the efficacy and safety of neridronic acid in 360 patients with CRPS. Grünenthal has filed post grant reviews, or PGRs, on five of the issued patents covering neridronic acid for the treatment of CRPS. Neridronic acid has been granted Breakthrough Therapy, Fast Track, and Orphan Drug designations for the treatment of CRPS by the FDA. The Breakthrough Therapy designation is supported by data from a randomized, double-blind, placebo-controlled Phase 2 clinical trial showing significant reduction in pain and symptoms of CRPS with neridronic acid treatment, according to public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MoSEIC™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The MoSEIC™, or Molecular Solubility Enhanced Inclusion Complex, technology was developed to improve the absorption of drug molecules after oral administration. Using a proprietary process, target drug molecules are combined with solubility enhancers to form inclusion complexes, which are then stabilized using a buffering system, to improve drug release and enhance absorption. We are currently developing two clinical-stage product candidates, AXS-07 and AXS-06, that utilize the MoSEIC technology to substantially increase the solubility and speed the absorption of meloxicam while maintaining durability of action.</w:t>
      </w:r>
    </w:p>
    <w:p>
      <w:pPr>
        <w:spacing w:after="0" w:line="162" w:lineRule="exact"/>
        <w:rPr>
          <w:sz w:val="20"/>
          <w:szCs w:val="20"/>
          <w:color w:val="auto"/>
        </w:rPr>
      </w:pPr>
    </w:p>
    <w:p>
      <w:pPr>
        <w:ind w:right="680" w:firstLine="648"/>
        <w:spacing w:after="0" w:line="235" w:lineRule="auto"/>
        <w:rPr>
          <w:sz w:val="20"/>
          <w:szCs w:val="20"/>
          <w:color w:val="auto"/>
        </w:rPr>
      </w:pPr>
      <w:r>
        <w:rPr>
          <w:rFonts w:ascii="Arial" w:cs="Arial" w:eastAsia="Arial" w:hAnsi="Arial"/>
          <w:sz w:val="18"/>
          <w:szCs w:val="18"/>
          <w:color w:val="auto"/>
        </w:rPr>
        <w:t>We have completed a Phase 1 pharmacokinetic clinical trial of MoSEIC™ meloxicam, in combination with esomeprazole, under a clinical trial application with Health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135255</wp:posOffset>
            </wp:positionV>
            <wp:extent cx="3987800" cy="2341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878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48"/>
        <w:spacing w:after="0" w:line="209" w:lineRule="auto"/>
        <w:rPr>
          <w:sz w:val="20"/>
          <w:szCs w:val="20"/>
          <w:color w:val="auto"/>
        </w:rPr>
      </w:pPr>
      <w:r>
        <w:rPr>
          <w:rFonts w:ascii="Arial" w:cs="Arial" w:eastAsia="Arial" w:hAnsi="Arial"/>
          <w:sz w:val="16"/>
          <w:szCs w:val="16"/>
          <w:color w:val="auto"/>
        </w:rPr>
        <w:t>Meloxicam is a potent and well characterized nonsteroidal anti-inflammatory drug, or NSAID, whose utility in acute pain has been limited by slow absorption resulting in a delayed T</w:t>
      </w:r>
      <w:r>
        <w:rPr>
          <w:rFonts w:ascii="Arial" w:cs="Arial" w:eastAsia="Arial" w:hAnsi="Arial"/>
          <w:sz w:val="26"/>
          <w:szCs w:val="26"/>
          <w:color w:val="auto"/>
          <w:vertAlign w:val="subscript"/>
        </w:rPr>
        <w:t>max</w:t>
      </w:r>
      <w:r>
        <w:rPr>
          <w:rFonts w:ascii="Arial" w:cs="Arial" w:eastAsia="Arial" w:hAnsi="Arial"/>
          <w:sz w:val="16"/>
          <w:szCs w:val="16"/>
          <w:color w:val="auto"/>
        </w:rPr>
        <w:t>. Our MoSEIC meloxicam technology is designed to</w:t>
      </w:r>
    </w:p>
    <w:p>
      <w:pPr>
        <w:spacing w:after="0" w:line="184" w:lineRule="auto"/>
        <w:rPr>
          <w:sz w:val="20"/>
          <w:szCs w:val="20"/>
          <w:color w:val="auto"/>
        </w:rPr>
      </w:pPr>
      <w:r>
        <w:rPr>
          <w:rFonts w:ascii="Arial" w:cs="Arial" w:eastAsia="Arial" w:hAnsi="Arial"/>
          <w:sz w:val="16"/>
          <w:szCs w:val="16"/>
          <w:color w:val="auto"/>
        </w:rPr>
        <w:t>improve the solubility of meloxicam thereby enhancing its absorption resulting in a reduced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as compared to standard</w:t>
      </w:r>
    </w:p>
    <w:p>
      <w:pPr>
        <w:spacing w:after="0" w:line="1" w:lineRule="exact"/>
        <w:rPr>
          <w:sz w:val="20"/>
          <w:szCs w:val="20"/>
          <w:color w:val="auto"/>
        </w:rPr>
      </w:pPr>
    </w:p>
    <w:p>
      <w:pPr>
        <w:ind w:right="360"/>
        <w:spacing w:after="0" w:line="182" w:lineRule="auto"/>
        <w:rPr>
          <w:sz w:val="20"/>
          <w:szCs w:val="20"/>
          <w:color w:val="auto"/>
        </w:rPr>
      </w:pPr>
      <w:r>
        <w:rPr>
          <w:rFonts w:ascii="Arial" w:cs="Arial" w:eastAsia="Arial" w:hAnsi="Arial"/>
          <w:sz w:val="18"/>
          <w:szCs w:val="18"/>
          <w:color w:val="auto"/>
        </w:rPr>
        <w:t>meloxicam. As shown in the figure above, results of our completed Phase 1 trial of MoSEIC meloxicam revealed a rapid T</w:t>
      </w:r>
      <w:r>
        <w:rPr>
          <w:rFonts w:ascii="Arial" w:cs="Arial" w:eastAsia="Arial" w:hAnsi="Arial"/>
          <w:sz w:val="30"/>
          <w:szCs w:val="30"/>
          <w:color w:val="auto"/>
          <w:vertAlign w:val="subscript"/>
        </w:rPr>
        <w:t>max</w:t>
      </w:r>
      <w:r>
        <w:rPr>
          <w:rFonts w:ascii="Arial" w:cs="Arial" w:eastAsia="Arial" w:hAnsi="Arial"/>
          <w:sz w:val="18"/>
          <w:szCs w:val="18"/>
          <w:color w:val="auto"/>
        </w:rPr>
        <w:t xml:space="preserve"> after oral administration, of 0.5 hour versus 4.5 hours for standard meloxicam.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06 is a novel, oral, investigational medicine consisting of MoSEIC™ meloxicam and esomeprazole. We are initially developing AXS-06 for the treatment of osteoarthritis and rheumatoid arthritis. Esomeprazole is a proton pump inhibitor, or PPI, which lowers stomach acidity and which has been shown to reduce the occurrence of NSAID-induced gastrointestinal ulcers. AXS-06 is designed to provide rapid, effective pain relief, and to reduce the risk of NSAID-induced ulcers, with convenient once-daily dosing.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Osteoarthritis and Rheumathoid Arthritis</w:t>
      </w:r>
    </w:p>
    <w:p>
      <w:pPr>
        <w:spacing w:after="0" w:line="185" w:lineRule="exact"/>
        <w:rPr>
          <w:sz w:val="20"/>
          <w:szCs w:val="20"/>
          <w:color w:val="auto"/>
        </w:rPr>
      </w:pPr>
    </w:p>
    <w:p>
      <w:pPr>
        <w:ind w:right="32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06 for relief of the signs and symptoms of osteoarthritis and rheumatoid arthritis, and reduction in the risk of developing upper gastrointestinal ulcers in patients at risk of developing NSAID-associated upper gastrointestinal ulcers.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Indication Overview</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Rheumatoid arthritis, or RA, is a chronic, systemic, inflammatory disease that affects connective tissue and is characterized by joint pain and destruction. RA is the most common type of autoimmune arthritis. Although joints, primarily in the hands and feet, are the primary target of RA, extra-articular manifestations can have a significant impact on other organ systems. According to the American College of Rheumatology, more than 1.3 million Americans suffer from RA.</w:t>
      </w:r>
    </w:p>
    <w:p>
      <w:pPr>
        <w:spacing w:after="0" w:line="155"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Osteoarthritis, or OA, is a degenerative joint disease, which mainly affects the articular cartilage. It is associated with ageing and most often affects the knees, hips, fingers, and lower spine region. OA is the most common form of arthritis. According to the Centers for Disease Control and Prevention, more than 30 million American adults suffer from OA.</w:t>
      </w:r>
    </w:p>
    <w:p>
      <w:pPr>
        <w:spacing w:after="0" w:line="14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06 in OA and RA</w:t>
      </w:r>
    </w:p>
    <w:p>
      <w:pPr>
        <w:spacing w:after="0" w:line="185" w:lineRule="exact"/>
        <w:rPr>
          <w:sz w:val="20"/>
          <w:szCs w:val="20"/>
          <w:color w:val="auto"/>
        </w:rPr>
      </w:pPr>
    </w:p>
    <w:p>
      <w:pPr>
        <w:ind w:right="120" w:firstLine="648"/>
        <w:spacing w:after="0" w:line="217" w:lineRule="auto"/>
        <w:rPr>
          <w:sz w:val="20"/>
          <w:szCs w:val="20"/>
          <w:color w:val="auto"/>
        </w:rPr>
      </w:pPr>
      <w:r>
        <w:rPr>
          <w:rFonts w:ascii="Arial" w:cs="Arial" w:eastAsia="Arial" w:hAnsi="Arial"/>
          <w:sz w:val="16"/>
          <w:szCs w:val="16"/>
          <w:color w:val="auto"/>
        </w:rPr>
        <w:t>Meloxicam is a well-characterized NSAID that is approved for the treatment of the signs and symptoms of OA and RA, and is marketed under the tradename Mobic®. Meloxicam is a long-acting NSAID with COX -2 preferential inhibition. Its long half-life allows for once-daily dosing.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which may result in a slow onset of analgesic action. In addition, like other NSAIDs, meloxicam can</w:t>
      </w:r>
    </w:p>
    <w:p>
      <w:pPr>
        <w:spacing w:after="0" w:line="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induce upper gastrointestinal ulcers which can be complicated by the development of bleeding, perforation or obstruction. Chronic use of NSAIDs has been reported to be associated with the development of gastrointestinal ulcers in as many as 25% of patients. AXS-06 is designed to overcome these limitations by combining a rapidly absorbed formulation of meloxicam with esomeprazole, an agent that has been proven to reduce the incidence of NSAID-associated gastrointestinal ulcers.</w:t>
      </w:r>
    </w:p>
    <w:p>
      <w:pPr>
        <w:spacing w:after="0" w:line="160"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Esomeprazole is a well-known PPI that is approved for the treatment of gastroesophageal reflux disease, and for the reduction of NSAID-associated gastric ulcers. It is marketed under the tradename Nexium® as a single agent. Esomeprazole is also approved as part of a fixed-dose combination with naproxen, under the tradename Vimovo®, for the reduction of NSAID-associated gastric ulcers. By acting specifically on the proton pump, esomeprazole blocks the final step in acid production, thus reducing gastric acidity.</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06</w:t>
      </w:r>
    </w:p>
    <w:p>
      <w:pPr>
        <w:spacing w:after="0" w:line="185" w:lineRule="exact"/>
        <w:rPr>
          <w:sz w:val="20"/>
          <w:szCs w:val="20"/>
          <w:color w:val="auto"/>
        </w:rPr>
      </w:pPr>
    </w:p>
    <w:p>
      <w:pPr>
        <w:jc w:val="both"/>
        <w:ind w:right="360" w:firstLine="648"/>
        <w:spacing w:after="0" w:line="194"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06 and intend to seek FDA approval for the product utilizing the 505(b)(2) regulatory pathway. We have completed one Phase 1 pharmacokinetic clinical trial of AXS</w:t>
      </w:r>
      <w:r>
        <w:rPr>
          <w:rFonts w:ascii="MS PGothic" w:cs="MS PGothic" w:eastAsia="MS PGothic" w:hAnsi="MS PGothic"/>
          <w:sz w:val="18"/>
          <w:szCs w:val="18"/>
          <w:color w:val="auto"/>
        </w:rPr>
        <w:t>‑</w:t>
      </w:r>
      <w:r>
        <w:rPr>
          <w:rFonts w:ascii="Arial" w:cs="Arial" w:eastAsia="Arial" w:hAnsi="Arial"/>
          <w:sz w:val="18"/>
          <w:szCs w:val="18"/>
          <w:color w:val="auto"/>
        </w:rPr>
        <w:t>06 under a clinical trial application with Health Canada.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July 2017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06 in OA and RA. Based on that meeting, we intend to submit an IND to the FDA and we believe that AXS-06 is Phase 3-ready.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Phase 1 Trial</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6"/>
          <w:szCs w:val="16"/>
          <w:color w:val="auto"/>
        </w:rPr>
        <w:t>We conducted a Phase 1 trial to assess the fasting pharmacokinetics, pharmacodynamics, safety, and tolerability of orally administered MoSEIC meloxicam in combination with esomeprazole, our AXS-06 product candidate. Esomeprazole is a proton pump inhibitor which lowers stomach acidity and which has been shown to reduce the occurrence of NSAID-induced gastrointestinal ulcers. The trial was a randomized, parallel group trial to evaluate the pharmacokinetics and safety of meloxicam and esomeprazole after single and multiple dose administration of AXS-06 in healthy volunteers. A total of 30 subjects were randomly assigned in a 1:1:1 ratio to treatment with AXS-06 tablets (15 mg meloxicam, 40 mg esomeprazole), Mobic® tablets (15 mg meloxicam), or Nexium® capsules (40 mg esomeprazole), once daily for 6 days under fasting conditions. The primary endpoint was the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of meloxicam. Secondary endpoints included C</w:t>
      </w:r>
      <w:r>
        <w:rPr>
          <w:rFonts w:ascii="Arial" w:cs="Arial" w:eastAsia="Arial" w:hAnsi="Arial"/>
          <w:sz w:val="26"/>
          <w:szCs w:val="26"/>
          <w:color w:val="auto"/>
          <w:vertAlign w:val="subscript"/>
        </w:rPr>
        <w:t>max</w:t>
      </w:r>
      <w:r>
        <w:rPr>
          <w:rFonts w:ascii="Arial" w:cs="Arial" w:eastAsia="Arial" w:hAnsi="Arial"/>
          <w:sz w:val="16"/>
          <w:szCs w:val="16"/>
          <w:color w:val="auto"/>
        </w:rPr>
        <w:t>, time to half maximum</w:t>
      </w:r>
    </w:p>
    <w:p>
      <w:pPr>
        <w:spacing w:after="0"/>
        <w:rPr>
          <w:sz w:val="20"/>
          <w:szCs w:val="20"/>
          <w:color w:val="auto"/>
        </w:rPr>
      </w:pPr>
      <w:r>
        <w:rPr>
          <w:rFonts w:ascii="Arial" w:cs="Arial" w:eastAsia="Arial" w:hAnsi="Arial"/>
          <w:sz w:val="18"/>
          <w:szCs w:val="18"/>
          <w:color w:val="auto"/>
        </w:rPr>
        <w:t>concentration, and time to therapeutic concentration.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median T</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for meloxicam, the trial’s primary endpoint, was 9 times faster for AXS-06 as compared to</w:t>
      </w:r>
    </w:p>
    <w:p>
      <w:pPr>
        <w:spacing w:after="0" w:line="53" w:lineRule="exact"/>
        <w:rPr>
          <w:sz w:val="20"/>
          <w:szCs w:val="20"/>
          <w:color w:val="auto"/>
        </w:rPr>
      </w:pPr>
    </w:p>
    <w:p>
      <w:pPr>
        <w:jc w:val="both"/>
        <w:ind w:right="120"/>
        <w:spacing w:after="0" w:line="201" w:lineRule="auto"/>
        <w:rPr>
          <w:sz w:val="20"/>
          <w:szCs w:val="20"/>
          <w:color w:val="auto"/>
        </w:rPr>
      </w:pPr>
      <w:r>
        <w:rPr>
          <w:rFonts w:ascii="Arial" w:cs="Arial" w:eastAsia="Arial" w:hAnsi="Arial"/>
          <w:sz w:val="16"/>
          <w:szCs w:val="16"/>
          <w:color w:val="auto"/>
        </w:rPr>
        <w:t>Mobic®, 0.5 hour versus 4.5 hours for AXS-06 and Mobic, respectively, p&lt;0.0001. AXS-06 also demonstrated higher mean C</w:t>
      </w:r>
      <w:r>
        <w:rPr>
          <w:rFonts w:ascii="Arial" w:cs="Arial" w:eastAsia="Arial" w:hAnsi="Arial"/>
          <w:sz w:val="26"/>
          <w:szCs w:val="26"/>
          <w:color w:val="auto"/>
          <w:vertAlign w:val="subscript"/>
        </w:rPr>
        <w:t>max</w:t>
      </w:r>
      <w:r>
        <w:rPr>
          <w:rFonts w:ascii="Arial" w:cs="Arial" w:eastAsia="Arial" w:hAnsi="Arial"/>
          <w:sz w:val="16"/>
          <w:szCs w:val="16"/>
          <w:color w:val="auto"/>
        </w:rPr>
        <w:t>, p=0.0018, faster time to therapeutic plasma concentration, p&lt;0.0001, and time to half-maximal plasma concentration,</w:t>
      </w:r>
    </w:p>
    <w:p>
      <w:pPr>
        <w:spacing w:after="0" w:line="1"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p&lt;0.0001, as compared to Mobic®. Terminal half-lives for meloxicam were similar for AXS-06 and Mobic® at approximately 20 and 22 hours, respectively. Plasma concentrations and terminal half-lives of esomeprazole after AXS-06 and Nexium® administration were comparable. AXS-06 was well tolerated with reported adverse events being similar across the three treatment arms. There were no serious adverse events in the study.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Agreements</w:t>
      </w:r>
    </w:p>
    <w:p>
      <w:pPr>
        <w:spacing w:after="0" w:line="189"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We have customary clinical supply agreements and customary agreements with clinical research organizations to help manage our clinical trials. Each of our commercial agreements are non</w:t>
      </w:r>
      <w:r>
        <w:rPr>
          <w:rFonts w:ascii="MS PGothic" w:cs="MS PGothic" w:eastAsia="MS PGothic" w:hAnsi="MS PGothic"/>
          <w:sz w:val="16"/>
          <w:szCs w:val="16"/>
          <w:color w:val="auto"/>
        </w:rPr>
        <w:t>‑</w:t>
      </w:r>
      <w:r>
        <w:rPr>
          <w:rFonts w:ascii="Arial" w:cs="Arial" w:eastAsia="Arial" w:hAnsi="Arial"/>
          <w:sz w:val="16"/>
          <w:szCs w:val="16"/>
          <w:color w:val="auto"/>
        </w:rPr>
        <w:t>exclusive, and we have no material contractual obligations under such agreements, except to the extent we order supply or request services to be performed.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License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02,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05, AXS</w:t>
      </w:r>
      <w:r>
        <w:rPr>
          <w:rFonts w:ascii="MS PGothic" w:cs="MS PGothic" w:eastAsia="MS PGothic" w:hAnsi="MS PGothic"/>
          <w:sz w:val="17"/>
          <w:szCs w:val="17"/>
          <w:color w:val="auto"/>
        </w:rPr>
        <w:t>‑</w:t>
      </w:r>
      <w:r>
        <w:rPr>
          <w:rFonts w:ascii="Arial" w:cs="Arial" w:eastAsia="Arial" w:hAnsi="Arial"/>
          <w:sz w:val="17"/>
          <w:szCs w:val="17"/>
          <w:color w:val="auto"/>
        </w:rPr>
        <w:t>02,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180" w:firstLine="648"/>
        <w:spacing w:after="0" w:line="185" w:lineRule="exact"/>
        <w:rPr>
          <w:sz w:val="20"/>
          <w:szCs w:val="20"/>
          <w:color w:val="auto"/>
        </w:rPr>
      </w:pPr>
      <w:r>
        <w:rPr>
          <w:rFonts w:ascii="Arial" w:cs="Arial" w:eastAsia="Arial" w:hAnsi="Arial"/>
          <w:sz w:val="17"/>
          <w:szCs w:val="17"/>
          <w:color w:val="auto"/>
        </w:rPr>
        <w:t>We seek to protect our product candidates and our technology through a combination of patents,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As of March 11, 2019, our intellectual property portfolio contains 192 issued patents and more than 165 pending applications in the United States and worldwide. Thirty-one issued United States patents and three issued foreign patents covering our AXS</w:t>
      </w:r>
      <w:r>
        <w:rPr>
          <w:rFonts w:ascii="MS PGothic" w:cs="MS PGothic" w:eastAsia="MS PGothic" w:hAnsi="MS PGothic"/>
          <w:sz w:val="17"/>
          <w:szCs w:val="17"/>
          <w:color w:val="auto"/>
        </w:rPr>
        <w:t>‑</w:t>
      </w:r>
      <w:r>
        <w:rPr>
          <w:rFonts w:ascii="Arial" w:cs="Arial" w:eastAsia="Arial" w:hAnsi="Arial"/>
          <w:sz w:val="17"/>
          <w:szCs w:val="17"/>
          <w:color w:val="auto"/>
        </w:rPr>
        <w:t>05 product candidate have claims covering pharmaceutical composition, drug delivery, and pharmacokinetics with protection extending through 2034 for our issued and pending applications. Ninety-nine issued United States patents and 51 issued foreign patents covering our AXS</w:t>
      </w:r>
      <w:r>
        <w:rPr>
          <w:rFonts w:ascii="MS PGothic" w:cs="MS PGothic" w:eastAsia="MS PGothic" w:hAnsi="MS PGothic"/>
          <w:sz w:val="17"/>
          <w:szCs w:val="17"/>
          <w:color w:val="auto"/>
        </w:rPr>
        <w:t>‑</w:t>
      </w:r>
      <w:r>
        <w:rPr>
          <w:rFonts w:ascii="Arial" w:cs="Arial" w:eastAsia="Arial" w:hAnsi="Arial"/>
          <w:sz w:val="17"/>
          <w:szCs w:val="17"/>
          <w:color w:val="auto"/>
        </w:rPr>
        <w:t>02 product candidate, and related compounds, have claims covering various aspects, including method of delivery, pharmacokinetics, composition of matter, and methods of use with protection extending through 2034 for both our issued patents and pending applications. Six issued United States patents and two issued foreign patents covering our AXS</w:t>
      </w:r>
      <w:r>
        <w:rPr>
          <w:rFonts w:ascii="MS PGothic" w:cs="MS PGothic" w:eastAsia="MS PGothic" w:hAnsi="MS PGothic"/>
          <w:sz w:val="17"/>
          <w:szCs w:val="17"/>
          <w:color w:val="auto"/>
        </w:rPr>
        <w:t>‑</w:t>
      </w:r>
      <w:r>
        <w:rPr>
          <w:rFonts w:ascii="Arial" w:cs="Arial" w:eastAsia="Arial" w:hAnsi="Arial"/>
          <w:sz w:val="17"/>
          <w:szCs w:val="17"/>
          <w:color w:val="auto"/>
        </w:rPr>
        <w:t>07 and AXS-06 product candidates, and related compounds, have claims covering various aspects, including pharmacokinetics, pharmaceutical composition, method of delivery and methods of use with protection extending through 2036 for both our issued patents and pending applications. We have pending PCT applications, as well as pending applications in Australia, Canada, China, Europe, Hong Kong, Israel, Japan, Malaysia, Mexico, Singapore, South Korea, and New Zealand. We have other patent applications with claims covering the other programs in our pipeline, including those that are not relevant to our current programs in development. We have licensed the patents and pending applications which cover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04, and AXS</w:t>
      </w:r>
      <w:r>
        <w:rPr>
          <w:rFonts w:ascii="MS PGothic" w:cs="MS PGothic" w:eastAsia="MS PGothic" w:hAnsi="MS PGothic"/>
          <w:sz w:val="17"/>
          <w:szCs w:val="17"/>
          <w:color w:val="auto"/>
        </w:rPr>
        <w:t>‑</w:t>
      </w:r>
      <w:r>
        <w:rPr>
          <w:rFonts w:ascii="Arial" w:cs="Arial" w:eastAsia="Arial" w:hAnsi="Arial"/>
          <w:sz w:val="17"/>
          <w:szCs w:val="17"/>
          <w:color w:val="auto"/>
        </w:rPr>
        <w:t>05 from Antecip. All of the other components of our intellectual property portfolio are owned by us.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Many pharmaceutical companies, biotechnology companies, and academic institutions are competing with us in the</w:t>
      </w:r>
    </w:p>
    <w:p>
      <w:pPr>
        <w:spacing w:after="0"/>
        <w:rPr>
          <w:sz w:val="20"/>
          <w:szCs w:val="20"/>
          <w:color w:val="auto"/>
        </w:rPr>
      </w:pPr>
      <w:r>
        <w:rPr>
          <w:rFonts w:ascii="Arial" w:cs="Arial" w:eastAsia="Arial" w:hAnsi="Arial"/>
          <w:sz w:val="16"/>
          <w:szCs w:val="16"/>
          <w:color w:val="auto"/>
        </w:rPr>
        <w:t>field of pain and CNS disorders and filing patent applications potentially relevant to our business. In order to contend with</w:t>
      </w:r>
    </w:p>
    <w:p>
      <w:pPr>
        <w:spacing w:after="0" w:line="176" w:lineRule="exact"/>
        <w:rPr>
          <w:sz w:val="20"/>
          <w:szCs w:val="20"/>
          <w:color w:val="auto"/>
        </w:rPr>
      </w:pPr>
      <w:r>
        <w:rPr>
          <w:rFonts w:ascii="Arial" w:cs="Arial" w:eastAsia="Arial" w:hAnsi="Arial"/>
          <w:sz w:val="16"/>
          <w:szCs w:val="16"/>
          <w:color w:val="auto"/>
        </w:rPr>
        <w:t>the inevitable possibility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conflicts, from time to time we review and assess the third</w:t>
      </w:r>
      <w:r>
        <w:rPr>
          <w:rFonts w:ascii="MS PGothic" w:cs="MS PGothic" w:eastAsia="MS PGothic" w:hAnsi="MS PGothic"/>
          <w:sz w:val="16"/>
          <w:szCs w:val="16"/>
          <w:color w:val="auto"/>
        </w:rPr>
        <w:t>‑</w:t>
      </w:r>
      <w:r>
        <w:rPr>
          <w:rFonts w:ascii="Arial" w:cs="Arial" w:eastAsia="Arial" w:hAnsi="Arial"/>
          <w:sz w:val="16"/>
          <w:szCs w:val="16"/>
          <w:color w:val="auto"/>
        </w:rPr>
        <w:t>party</w:t>
      </w:r>
    </w:p>
    <w:p>
      <w:pPr>
        <w:spacing w:after="0" w:line="229" w:lineRule="auto"/>
        <w:rPr>
          <w:sz w:val="20"/>
          <w:szCs w:val="20"/>
          <w:color w:val="auto"/>
        </w:rPr>
      </w:pPr>
      <w:r>
        <w:rPr>
          <w:rFonts w:ascii="Arial" w:cs="Arial" w:eastAsia="Arial" w:hAnsi="Arial"/>
          <w:sz w:val="16"/>
          <w:szCs w:val="16"/>
          <w:color w:val="auto"/>
        </w:rPr>
        <w:t>intellectual property landscape for competitive and other developments that may inform or impact our intellectual property</w:t>
      </w:r>
    </w:p>
    <w:p>
      <w:pPr>
        <w:spacing w:after="0" w:line="176" w:lineRule="exact"/>
        <w:rPr>
          <w:sz w:val="20"/>
          <w:szCs w:val="20"/>
          <w:color w:val="auto"/>
        </w:rPr>
      </w:pPr>
      <w:r>
        <w:rPr>
          <w:rFonts w:ascii="Arial" w:cs="Arial" w:eastAsia="Arial" w:hAnsi="Arial"/>
          <w:sz w:val="16"/>
          <w:szCs w:val="16"/>
          <w:color w:val="auto"/>
        </w:rPr>
        <w:t>development and commercialization strategies. With respect to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it is impossible to establish</w:t>
      </w:r>
    </w:p>
    <w:p>
      <w:pPr>
        <w:spacing w:after="0" w:line="176" w:lineRule="exact"/>
        <w:rPr>
          <w:sz w:val="20"/>
          <w:szCs w:val="20"/>
          <w:color w:val="auto"/>
        </w:rPr>
      </w:pPr>
      <w:r>
        <w:rPr>
          <w:rFonts w:ascii="Arial" w:cs="Arial" w:eastAsia="Arial" w:hAnsi="Arial"/>
          <w:sz w:val="17"/>
          <w:szCs w:val="17"/>
          <w:color w:val="auto"/>
        </w:rPr>
        <w:t>with certainty that our product candidates or discovery platform will be free of claims by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w:t>
      </w:r>
    </w:p>
    <w:p>
      <w:pPr>
        <w:spacing w:after="0" w:line="176" w:lineRule="exact"/>
        <w:rPr>
          <w:sz w:val="20"/>
          <w:szCs w:val="20"/>
          <w:color w:val="auto"/>
        </w:rPr>
      </w:pPr>
      <w:r>
        <w:rPr>
          <w:rFonts w:ascii="Arial" w:cs="Arial" w:eastAsia="Arial" w:hAnsi="Arial"/>
          <w:sz w:val="16"/>
          <w:szCs w:val="16"/>
          <w:color w:val="auto"/>
        </w:rPr>
        <w:t>holders or whether we will require licenses from such third parties. Even with modern databases and on</w:t>
      </w:r>
      <w:r>
        <w:rPr>
          <w:rFonts w:ascii="MS PGothic" w:cs="MS PGothic" w:eastAsia="MS PGothic" w:hAnsi="MS PGothic"/>
          <w:sz w:val="16"/>
          <w:szCs w:val="16"/>
          <w:color w:val="auto"/>
        </w:rPr>
        <w:t>‑</w:t>
      </w:r>
      <w:r>
        <w:rPr>
          <w:rFonts w:ascii="Arial" w:cs="Arial" w:eastAsia="Arial" w:hAnsi="Arial"/>
          <w:sz w:val="16"/>
          <w:szCs w:val="16"/>
          <w:color w:val="auto"/>
        </w:rPr>
        <w:t>line search engines,</w:t>
      </w:r>
    </w:p>
    <w:p>
      <w:pPr>
        <w:spacing w:after="0" w:line="176" w:lineRule="exact"/>
        <w:rPr>
          <w:sz w:val="20"/>
          <w:szCs w:val="20"/>
          <w:color w:val="auto"/>
        </w:rPr>
      </w:pPr>
      <w:r>
        <w:rPr>
          <w:rFonts w:ascii="Arial" w:cs="Arial" w:eastAsia="Arial" w:hAnsi="Arial"/>
          <w:sz w:val="16"/>
          <w:szCs w:val="16"/>
          <w:color w:val="auto"/>
        </w:rPr>
        <w:t>literature searches are imperfect and may fail to identify relevant patents and published applications. Even when a third</w:t>
      </w:r>
      <w:r>
        <w:rPr>
          <w:rFonts w:ascii="MS PGothic" w:cs="MS PGothic" w:eastAsia="MS PGothic" w:hAnsi="MS PGothic"/>
          <w:sz w:val="16"/>
          <w:szCs w:val="16"/>
          <w:color w:val="auto"/>
        </w:rPr>
        <w:t>‑</w:t>
      </w:r>
      <w:r>
        <w:rPr>
          <w:rFonts w:ascii="Arial" w:cs="Arial" w:eastAsia="Arial" w:hAnsi="Arial"/>
          <w:sz w:val="16"/>
          <w:szCs w:val="16"/>
          <w:color w:val="auto"/>
        </w:rPr>
        <w:t>party</w:t>
      </w:r>
    </w:p>
    <w:p>
      <w:pPr>
        <w:spacing w:after="0" w:line="216" w:lineRule="auto"/>
        <w:rPr>
          <w:sz w:val="20"/>
          <w:szCs w:val="20"/>
          <w:color w:val="auto"/>
        </w:rPr>
      </w:pPr>
      <w:r>
        <w:rPr>
          <w:rFonts w:ascii="Arial" w:cs="Arial" w:eastAsia="Arial" w:hAnsi="Arial"/>
          <w:sz w:val="17"/>
          <w:szCs w:val="17"/>
          <w:color w:val="auto"/>
        </w:rPr>
        <w:t>patent is identified, we may conclude, upon a thorough analysis, that we do not infringe the patent or that the patent is</w:t>
      </w:r>
    </w:p>
    <w:p>
      <w:pPr>
        <w:spacing w:after="0" w:line="176" w:lineRule="exact"/>
        <w:rPr>
          <w:sz w:val="20"/>
          <w:szCs w:val="20"/>
          <w:color w:val="auto"/>
        </w:rPr>
      </w:pPr>
      <w:r>
        <w:rPr>
          <w:rFonts w:ascii="Arial" w:cs="Arial" w:eastAsia="Arial" w:hAnsi="Arial"/>
          <w:sz w:val="16"/>
          <w:szCs w:val="16"/>
          <w:color w:val="auto"/>
        </w:rPr>
        <w:t>invalid. If the third</w:t>
      </w:r>
      <w:r>
        <w:rPr>
          <w:rFonts w:ascii="MS PGothic" w:cs="MS PGothic" w:eastAsia="MS PGothic" w:hAnsi="MS PGothic"/>
          <w:sz w:val="16"/>
          <w:szCs w:val="16"/>
          <w:color w:val="auto"/>
        </w:rPr>
        <w:t>‑</w:t>
      </w:r>
      <w:r>
        <w:rPr>
          <w:rFonts w:ascii="Arial" w:cs="Arial" w:eastAsia="Arial" w:hAnsi="Arial"/>
          <w:sz w:val="16"/>
          <w:szCs w:val="16"/>
          <w:color w:val="auto"/>
        </w:rPr>
        <w:t>party patent owner disagrees with our conclusion and we continue with the business activity in question,</w:t>
      </w:r>
    </w:p>
    <w:p>
      <w:pPr>
        <w:spacing w:after="0" w:line="215" w:lineRule="auto"/>
        <w:rPr>
          <w:sz w:val="20"/>
          <w:szCs w:val="20"/>
          <w:color w:val="auto"/>
        </w:rPr>
      </w:pPr>
      <w:r>
        <w:rPr>
          <w:rFonts w:ascii="Arial" w:cs="Arial" w:eastAsia="Arial" w:hAnsi="Arial"/>
          <w:sz w:val="17"/>
          <w:szCs w:val="17"/>
          <w:color w:val="auto"/>
        </w:rPr>
        <w:t>we might have patent litigation forced upon us. Alternatively, we might decide to initiate litigation in an attempt to have a</w:t>
      </w:r>
    </w:p>
    <w:p>
      <w:pPr>
        <w:spacing w:after="0" w:line="176" w:lineRule="exact"/>
        <w:rPr>
          <w:sz w:val="20"/>
          <w:szCs w:val="20"/>
          <w:color w:val="auto"/>
        </w:rPr>
      </w:pPr>
      <w:r>
        <w:rPr>
          <w:rFonts w:ascii="Arial" w:cs="Arial" w:eastAsia="Arial" w:hAnsi="Arial"/>
          <w:sz w:val="17"/>
          <w:szCs w:val="17"/>
          <w:color w:val="auto"/>
        </w:rPr>
        <w:t>court declare the third</w:t>
      </w:r>
      <w:r>
        <w:rPr>
          <w:rFonts w:ascii="MS PGothic" w:cs="MS PGothic" w:eastAsia="MS PGothic" w:hAnsi="MS PGothic"/>
          <w:sz w:val="17"/>
          <w:szCs w:val="17"/>
          <w:color w:val="auto"/>
        </w:rPr>
        <w:t>‑</w:t>
      </w:r>
      <w:r>
        <w:rPr>
          <w:rFonts w:ascii="Arial" w:cs="Arial" w:eastAsia="Arial" w:hAnsi="Arial"/>
          <w:sz w:val="17"/>
          <w:szCs w:val="17"/>
          <w:color w:val="auto"/>
        </w:rPr>
        <w:t>party patent invalid or not infringed by our activity. In either scenario, patent litigation typically is</w:t>
      </w:r>
    </w:p>
    <w:p>
      <w:pPr>
        <w:spacing w:after="0" w:line="215" w:lineRule="auto"/>
        <w:rPr>
          <w:sz w:val="20"/>
          <w:szCs w:val="20"/>
          <w:color w:val="auto"/>
        </w:rPr>
      </w:pPr>
      <w:r>
        <w:rPr>
          <w:rFonts w:ascii="Arial" w:cs="Arial" w:eastAsia="Arial" w:hAnsi="Arial"/>
          <w:sz w:val="17"/>
          <w:szCs w:val="17"/>
          <w:color w:val="auto"/>
        </w:rPr>
        <w:t>costly and time consuming, and the outcome is uncertain. The outcome of patent litigation is subject to uncertainties that</w:t>
      </w:r>
    </w:p>
    <w:p>
      <w:pPr>
        <w:spacing w:after="0" w:line="229" w:lineRule="auto"/>
        <w:rPr>
          <w:sz w:val="20"/>
          <w:szCs w:val="20"/>
          <w:color w:val="auto"/>
        </w:rPr>
      </w:pPr>
      <w:r>
        <w:rPr>
          <w:rFonts w:ascii="Arial" w:cs="Arial" w:eastAsia="Arial" w:hAnsi="Arial"/>
          <w:sz w:val="16"/>
          <w:szCs w:val="16"/>
          <w:color w:val="auto"/>
        </w:rPr>
        <w:t>cannot be quantified in advance, for example, the credibility of expert witnesses who may disagree on technical interpretation</w:t>
      </w:r>
    </w:p>
    <w:p>
      <w:pPr>
        <w:spacing w:after="0" w:line="230" w:lineRule="auto"/>
        <w:rPr>
          <w:sz w:val="20"/>
          <w:szCs w:val="20"/>
          <w:color w:val="auto"/>
        </w:rPr>
      </w:pPr>
      <w:r>
        <w:rPr>
          <w:rFonts w:ascii="Arial" w:cs="Arial" w:eastAsia="Arial" w:hAnsi="Arial"/>
          <w:sz w:val="16"/>
          <w:szCs w:val="16"/>
          <w:color w:val="auto"/>
        </w:rPr>
        <w:t>of scientific data. Ultimately, in the case of an adverse outcome in litigation, we could be prevented from commercializing a</w:t>
      </w:r>
    </w:p>
    <w:p>
      <w:pPr>
        <w:spacing w:after="0" w:line="229" w:lineRule="auto"/>
        <w:rPr>
          <w:sz w:val="20"/>
          <w:szCs w:val="20"/>
          <w:color w:val="auto"/>
        </w:rPr>
      </w:pPr>
      <w:r>
        <w:rPr>
          <w:rFonts w:ascii="Arial" w:cs="Arial" w:eastAsia="Arial" w:hAnsi="Arial"/>
          <w:sz w:val="16"/>
          <w:szCs w:val="16"/>
          <w:color w:val="auto"/>
        </w:rPr>
        <w:t>product or using certain aspects of our discovery platform as a result of patent infringement claims asserted against us. This</w:t>
      </w:r>
    </w:p>
    <w:p>
      <w:pPr>
        <w:spacing w:after="0" w:line="215" w:lineRule="auto"/>
        <w:rPr>
          <w:sz w:val="20"/>
          <w:szCs w:val="20"/>
          <w:color w:val="auto"/>
        </w:rPr>
      </w:pPr>
      <w:r>
        <w:rPr>
          <w:rFonts w:ascii="Arial" w:cs="Arial" w:eastAsia="Arial" w:hAnsi="Arial"/>
          <w:sz w:val="17"/>
          <w:szCs w:val="17"/>
          <w:color w:val="auto"/>
        </w:rPr>
        <w:t>could have a material adverse effect on our business. In addition to patents, we rely upon unpatented trade secrets,</w:t>
      </w:r>
    </w:p>
    <w:p>
      <w:pPr>
        <w:spacing w:after="0" w:line="176"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a competitive position. We seek to protect our</w:t>
      </w:r>
    </w:p>
    <w:p>
      <w:pPr>
        <w:spacing w:after="0" w:line="176" w:lineRule="exact"/>
        <w:rPr>
          <w:sz w:val="20"/>
          <w:szCs w:val="20"/>
          <w:color w:val="auto"/>
        </w:rPr>
      </w:pPr>
      <w:r>
        <w:rPr>
          <w:rFonts w:ascii="Arial" w:cs="Arial" w:eastAsia="Arial" w:hAnsi="Arial"/>
          <w:sz w:val="17"/>
          <w:szCs w:val="17"/>
          <w:color w:val="auto"/>
        </w:rPr>
        <w:t>proprietary information, including our trade secrets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by requiring our employees to execute</w:t>
      </w:r>
    </w:p>
    <w:p>
      <w:pPr>
        <w:spacing w:after="0" w:line="176" w:lineRule="exact"/>
        <w:rPr>
          <w:sz w:val="20"/>
          <w:szCs w:val="20"/>
          <w:color w:val="auto"/>
        </w:rPr>
      </w:pPr>
      <w:r>
        <w:rPr>
          <w:rFonts w:ascii="Arial" w:cs="Arial" w:eastAsia="Arial" w:hAnsi="Arial"/>
          <w:sz w:val="16"/>
          <w:szCs w:val="16"/>
          <w:color w:val="auto"/>
        </w:rPr>
        <w:t>Proprietary Information, Inventions, Non</w:t>
      </w:r>
      <w:r>
        <w:rPr>
          <w:rFonts w:ascii="MS PGothic" w:cs="MS PGothic" w:eastAsia="MS PGothic" w:hAnsi="MS PGothic"/>
          <w:sz w:val="16"/>
          <w:szCs w:val="16"/>
          <w:color w:val="auto"/>
        </w:rPr>
        <w:t>‑</w:t>
      </w:r>
      <w:r>
        <w:rPr>
          <w:rFonts w:ascii="Arial" w:cs="Arial" w:eastAsia="Arial" w:hAnsi="Arial"/>
          <w:sz w:val="16"/>
          <w:szCs w:val="16"/>
          <w:color w:val="auto"/>
        </w:rPr>
        <w:t>Solicitation, and Non</w:t>
      </w:r>
      <w:r>
        <w:rPr>
          <w:rFonts w:ascii="MS PGothic" w:cs="MS PGothic" w:eastAsia="MS PGothic" w:hAnsi="MS PGothic"/>
          <w:sz w:val="16"/>
          <w:szCs w:val="16"/>
          <w:color w:val="auto"/>
        </w:rPr>
        <w:t>‑</w:t>
      </w:r>
      <w:r>
        <w:rPr>
          <w:rFonts w:ascii="Arial" w:cs="Arial" w:eastAsia="Arial" w:hAnsi="Arial"/>
          <w:sz w:val="16"/>
          <w:szCs w:val="16"/>
          <w:color w:val="auto"/>
        </w:rPr>
        <w:t>Competition Agreements upon the commencement of their</w:t>
      </w:r>
    </w:p>
    <w:p>
      <w:pPr>
        <w:spacing w:after="0" w:line="229" w:lineRule="auto"/>
        <w:rPr>
          <w:sz w:val="20"/>
          <w:szCs w:val="20"/>
          <w:color w:val="auto"/>
        </w:rPr>
      </w:pPr>
      <w:r>
        <w:rPr>
          <w:rFonts w:ascii="Arial" w:cs="Arial" w:eastAsia="Arial" w:hAnsi="Arial"/>
          <w:sz w:val="16"/>
          <w:szCs w:val="16"/>
          <w:color w:val="auto"/>
        </w:rPr>
        <w:t>employment. Consultants and other advisors are required to sign consulting agreements. These agreements generally provide</w:t>
      </w:r>
    </w:p>
    <w:p>
      <w:pPr>
        <w:spacing w:after="0" w:line="229" w:lineRule="auto"/>
        <w:rPr>
          <w:sz w:val="20"/>
          <w:szCs w:val="20"/>
          <w:color w:val="auto"/>
        </w:rPr>
      </w:pPr>
      <w:r>
        <w:rPr>
          <w:rFonts w:ascii="Arial" w:cs="Arial" w:eastAsia="Arial" w:hAnsi="Arial"/>
          <w:sz w:val="16"/>
          <w:szCs w:val="16"/>
          <w:color w:val="auto"/>
        </w:rPr>
        <w:t>that all confidential information developed or made known during the course of the relationship with us be kept confidential</w:t>
      </w:r>
    </w:p>
    <w:p>
      <w:pPr>
        <w:spacing w:after="0" w:line="229" w:lineRule="auto"/>
        <w:rPr>
          <w:sz w:val="20"/>
          <w:szCs w:val="20"/>
          <w:color w:val="auto"/>
        </w:rPr>
      </w:pPr>
      <w:r>
        <w:rPr>
          <w:rFonts w:ascii="Arial" w:cs="Arial" w:eastAsia="Arial" w:hAnsi="Arial"/>
          <w:sz w:val="16"/>
          <w:szCs w:val="16"/>
          <w:color w:val="auto"/>
        </w:rPr>
        <w:t>and not be disclosed to third parties except in specific circumstances. In the case of our employees, the agreements also</w:t>
      </w:r>
    </w:p>
    <w:p>
      <w:pPr>
        <w:spacing w:after="0" w:line="215" w:lineRule="auto"/>
        <w:rPr>
          <w:sz w:val="20"/>
          <w:szCs w:val="20"/>
          <w:color w:val="auto"/>
        </w:rPr>
      </w:pPr>
      <w:r>
        <w:rPr>
          <w:rFonts w:ascii="Arial" w:cs="Arial" w:eastAsia="Arial" w:hAnsi="Arial"/>
          <w:sz w:val="17"/>
          <w:szCs w:val="17"/>
          <w:color w:val="auto"/>
        </w:rPr>
        <w:t>typically provide that all inventions resulting from work performed for us, utilizing our property, or relating to our business</w:t>
      </w:r>
    </w:p>
    <w:p>
      <w:pPr>
        <w:spacing w:after="0" w:line="229" w:lineRule="auto"/>
        <w:rPr>
          <w:sz w:val="20"/>
          <w:szCs w:val="20"/>
          <w:color w:val="auto"/>
        </w:rPr>
      </w:pPr>
      <w:r>
        <w:rPr>
          <w:rFonts w:ascii="Arial" w:cs="Arial" w:eastAsia="Arial" w:hAnsi="Arial"/>
          <w:sz w:val="16"/>
          <w:szCs w:val="16"/>
          <w:color w:val="auto"/>
        </w:rPr>
        <w:t>and conceived or completed during employment shall be our exclusive property to the extent permitted by law. Further,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 confidentiality agreements from entities that receive our confidential data or materials.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intend to build a commercial infrastructure in the United States in advance of anticipated drug approval of our product candidates. We believe that we can cost</w:t>
      </w:r>
      <w:r>
        <w:rPr>
          <w:rFonts w:ascii="MS PGothic" w:cs="MS PGothic" w:eastAsia="MS PGothic" w:hAnsi="MS PGothic"/>
          <w:sz w:val="17"/>
          <w:szCs w:val="17"/>
          <w:color w:val="auto"/>
        </w:rPr>
        <w:t>‑</w:t>
      </w:r>
      <w:r>
        <w:rPr>
          <w:rFonts w:ascii="Arial" w:cs="Arial" w:eastAsia="Arial" w:hAnsi="Arial"/>
          <w:sz w:val="17"/>
          <w:szCs w:val="17"/>
          <w:color w:val="auto"/>
        </w:rPr>
        <w:t>effectively implement a targeted sales force required to commercialize our products, if approved, in the United States for the treatment of the pain of knee OA associated with BMLs, and CLBP associated with MCs. Support for this team will include sales management, internal sales support, distribution support, and an internal marketing group. Additional requisite capabilities will include focused management of key accounts such as managed care organizations, group purchasing organizations, and government accounts. We may seek co</w:t>
      </w:r>
      <w:r>
        <w:rPr>
          <w:rFonts w:ascii="MS PGothic" w:cs="MS PGothic" w:eastAsia="MS PGothic" w:hAnsi="MS PGothic"/>
          <w:sz w:val="17"/>
          <w:szCs w:val="17"/>
          <w:color w:val="auto"/>
        </w:rPr>
        <w:t>‑</w:t>
      </w:r>
      <w:r>
        <w:rPr>
          <w:rFonts w:ascii="Arial" w:cs="Arial" w:eastAsia="Arial" w:hAnsi="Arial"/>
          <w:sz w:val="17"/>
          <w:szCs w:val="17"/>
          <w:color w:val="auto"/>
        </w:rPr>
        <w:t>promotion partners for our sales efforts to reach other United States physician groups, such as primary care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March 2015, we formed a Depression Scientific Advisory Board, or SAB, composed of leading experts in the areas of depression, FDA regulations, and clinical trial design. These experts provide key scientific, clinical, and strategic guidance concerning our development programs in depression and other CNS disorders. The following members were appointed to our Depression SAB: Maurizio Fava, M.D., Director of the Clinical Research Program and Executive Vice Chair of the Department of Psychiatry at Massachusetts General Hospital, and Slater Family Professor of Psychiatry at Harvard Medical School; Thomas Laughren, M.D., retired Division Director of the FDA’s Division of Psychiatry Products; and Dan Iosifescu, M.D., Associate Professor, Department of Psychiatry at NYU Langone Medical Center, and Consultant in Psychiatry at Massachusetts General Hospital. We also benefit from the guidance of our other scientific advisors in the areas of AD, smoking cessation, migraine, knee OA, CLBP, and clinical trial design.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pain and CNS markets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 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Product Candidates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Competition</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Patients with MDD are typically treated with a variety of anti-depressant medications such as SSRIs and SNRIs. Some of these treatments include: Prozac, which is marketed by Eli Lilly and Company; Zoloft, which is marketed by Pfizer, Inc.; Effexor, which is marketed by Pfizer, Inc. and Wellbutrin, which is marketed by GlaxoSmithKline. There are two medications approved for the treatment of TRD, Symbyax, which is marketed by Eli Lilly and Company, and Spravato, which is marketed by Janssen Pharmaceuticals, Inc. We are aware of several companies developing compounds for the treatment of depression including Sage Therapeutics, Inc. and VistaGen Therapeutics, Inc. We are aware of other companies working to develop therapeutics for the treatment of agitation associated with AD, including Otsuka Pharmaceutical Co. Ltd., which is working to develop a combination of DM and quinidine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 Competition</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There are a number of products approved for the acute treatment of migraine including Maxalt, which is marketed by Merck &amp; Co., Inc.; and Treximet, which is marketed by Pernix Therapeutics Holdings, Inc. We are aware of several companies developing compounds for the treatment of migraine including Alder BioPharmaceuticals, Inc.; Allergan plc; Amgen Inc.; Biohaven Pharmaceutical Holding Company Ltd.; and Eli Lilly and Company.</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 Competition</w:t>
      </w:r>
    </w:p>
    <w:p>
      <w:pPr>
        <w:spacing w:after="0" w:line="18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Products approved to treat the symptoms of narcolepsy include Ritalin, which is marketed by Novartis Pharmaceuticals; Provigil and Nuvigil, which are both marketed by Teva Pharmaceutical Industries Ltd; and Xyrem, which is marketed by Jazz Pharmaceuticals plc. We are aware of several companies developing compounds for the treatment of the symptoms of narcolepsy including Avadel Pharmaceuticals plc; Harmony Biosciences LLC; and Jazz Pharmaceuticals plc.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PPC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AXS-02 Competition</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Companies working to develop therapeutics for the treatment of pain associated with knee OA include Flexion Therapeutics, Inc.; Regeneron Pharmaceuticals Inc.; and Levolta Pharmaceuticals, Inc., which is developing an IV zoledronic acid product for the treatment of knee OA. We are aware of one company attempting to develop oral dosage forms of zoledronic acid for the treatment of complex regional pain syndrome, Grunenthal GmbH.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AXS-06 Competition</w:t>
      </w:r>
    </w:p>
    <w:p>
      <w:pPr>
        <w:spacing w:after="0" w:line="18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Patients with osteoarthritis and rheumatoid arthritis are typically treated with over-the-counter NSAIDs, prescription NSAIDs, corticosteroids, opioids, biologic agents and topical analgesics. Companies working to develop therapeutics for the treatment of pain associated with osteoarthritis and rheumatoid arthritis include Eli Lilly and Company; Flexion Therapeutics, Inc; GlaxoSmithKline; Pfizer, Inc.; Regeneron Pharmaceuticals Inc.; and Teva Pharmaceuticals Industries Ltd.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Neridronic Acid Competition</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are aware of one company working to develop neridronate for the treatment of certain pain conditions, including CRPS: Grünenthal GmbH.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Manufacturing of drugs and product candidates are done by third-parties and manufacturing of both drug substance and drug product must comply with FDA current good manufacturing practice, or cGMP, regulations. Our product candidates comprise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candidate active 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63" w:lineRule="exact"/>
        <w:rPr>
          <w:sz w:val="20"/>
          <w:szCs w:val="20"/>
          <w:color w:val="auto"/>
        </w:rPr>
      </w:pPr>
    </w:p>
    <w:p>
      <w:pPr>
        <w:ind w:left="980" w:right="40" w:hanging="329"/>
        <w:spacing w:after="0" w:line="235"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84" w:lineRule="exact"/>
        <w:rPr>
          <w:rFonts w:ascii="Arial" w:cs="Arial" w:eastAsia="Arial" w:hAnsi="Arial"/>
          <w:sz w:val="18"/>
          <w:szCs w:val="18"/>
          <w:color w:val="auto"/>
        </w:rPr>
      </w:pPr>
    </w:p>
    <w:p>
      <w:pPr>
        <w:ind w:left="980" w:right="200" w:hanging="329"/>
        <w:spacing w:after="0" w:line="235"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61" w:lineRule="exact"/>
        <w:rPr>
          <w:rFonts w:ascii="Arial" w:cs="Arial" w:eastAsia="Arial" w:hAnsi="Arial"/>
          <w:sz w:val="18"/>
          <w:szCs w:val="18"/>
          <w:color w:val="auto"/>
        </w:rPr>
      </w:pPr>
    </w:p>
    <w:p>
      <w:pPr>
        <w:ind w:left="980" w:right="440" w:hanging="329"/>
        <w:spacing w:after="0" w:line="203" w:lineRule="exact"/>
        <w:tabs>
          <w:tab w:leader="none" w:pos="9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human clinical trials to establish the safety and efficacy of the proposed drug candidates for its intended use, performed in accordance with current Good Clinical Practices, or GCP;</w:t>
      </w:r>
    </w:p>
    <w:p>
      <w:pPr>
        <w:spacing w:after="0" w:line="162" w:lineRule="exact"/>
        <w:rPr>
          <w:rFonts w:ascii="Arial" w:cs="Arial" w:eastAsia="Arial" w:hAnsi="Arial"/>
          <w:sz w:val="16"/>
          <w:szCs w:val="16"/>
          <w:color w:val="auto"/>
        </w:rPr>
      </w:pPr>
    </w:p>
    <w:p>
      <w:pPr>
        <w:ind w:left="980" w:right="40" w:hanging="329"/>
        <w:spacing w:after="0" w:line="235"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manufacturing processes in compliance with current Good Manufacturing Practices (cGMPs) to ensure the drug’s identity, strength, quality, and purity;</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compilation of required information and submission to the FDA of an NDA;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980" w:right="20" w:hanging="329"/>
        <w:spacing w:after="0" w:line="249" w:lineRule="auto"/>
        <w:tabs>
          <w:tab w:leader="none" w:pos="9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4" w:lineRule="exact"/>
        <w:rPr>
          <w:rFonts w:ascii="Arial" w:cs="Arial" w:eastAsia="Arial" w:hAnsi="Arial"/>
          <w:sz w:val="16"/>
          <w:szCs w:val="16"/>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for particular indications for 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185"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An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0"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65"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62"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which may overlap or be combined.</w:t>
      </w:r>
    </w:p>
    <w:p>
      <w:pPr>
        <w:spacing w:after="0" w:line="162" w:lineRule="exact"/>
        <w:rPr>
          <w:sz w:val="20"/>
          <w:szCs w:val="20"/>
          <w:color w:val="auto"/>
        </w:rPr>
      </w:pPr>
    </w:p>
    <w:p>
      <w:pPr>
        <w:ind w:left="980" w:hanging="329"/>
        <w:spacing w:after="0" w:line="189" w:lineRule="exact"/>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in healthy human volunteers or subjects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test the product candidate for safety, dosage tolerance, structure</w:t>
      </w:r>
      <w:r>
        <w:rPr>
          <w:rFonts w:ascii="MS PGothic" w:cs="MS PGothic" w:eastAsia="MS PGothic" w:hAnsi="MS PGothic"/>
          <w:sz w:val="18"/>
          <w:szCs w:val="18"/>
          <w:color w:val="auto"/>
        </w:rPr>
        <w:t>‑</w:t>
      </w:r>
      <w:r>
        <w:rPr>
          <w:rFonts w:ascii="Arial" w:cs="Arial" w:eastAsia="Arial" w:hAnsi="Arial"/>
          <w:sz w:val="18"/>
          <w:szCs w:val="18"/>
          <w:color w:val="auto"/>
        </w:rPr>
        <w:t>activity relationships, mechanism of action, absorption, metabolism, distribution, and excretion. If possible, Phase 1 trials may also be used to gain an initial indication of product effectiveness.</w:t>
      </w:r>
    </w:p>
    <w:p>
      <w:pPr>
        <w:spacing w:after="0" w:line="162" w:lineRule="exact"/>
        <w:rPr>
          <w:rFonts w:ascii="Arial" w:cs="Arial" w:eastAsia="Arial" w:hAnsi="Arial"/>
          <w:sz w:val="18"/>
          <w:szCs w:val="18"/>
          <w:color w:val="auto"/>
        </w:rPr>
      </w:pPr>
    </w:p>
    <w:p>
      <w:pPr>
        <w:ind w:left="980" w:right="160" w:hanging="329"/>
        <w:spacing w:after="0" w:line="224"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in limited subject populations with a specified disease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preliminary efficacy, identify optimal dosages, dosage tolerance and schedule, possible adverse effects and safety risks, and expanded evidence of safety.</w:t>
      </w:r>
    </w:p>
    <w:p>
      <w:pPr>
        <w:spacing w:after="0" w:line="163" w:lineRule="exact"/>
        <w:rPr>
          <w:rFonts w:ascii="Arial" w:cs="Arial" w:eastAsia="Arial" w:hAnsi="Arial"/>
          <w:sz w:val="18"/>
          <w:szCs w:val="18"/>
          <w:color w:val="auto"/>
        </w:rPr>
      </w:pPr>
    </w:p>
    <w:p>
      <w:pPr>
        <w:ind w:left="980" w:right="340" w:hanging="329"/>
        <w:spacing w:after="0" w:line="187" w:lineRule="exact"/>
        <w:tabs>
          <w:tab w:leader="none" w:pos="9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These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are undertaken in expanded subject populations,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at geographically 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7"/>
          <w:szCs w:val="17"/>
          <w:color w:val="auto"/>
        </w:rPr>
        <w:t>‑</w:t>
      </w:r>
      <w:r>
        <w:rPr>
          <w:rFonts w:ascii="Arial" w:cs="Arial" w:eastAsia="Arial" w:hAnsi="Arial"/>
          <w:sz w:val="17"/>
          <w:szCs w:val="17"/>
          <w:color w:val="auto"/>
        </w:rPr>
        <w:t>benefit profile of the product, and to provide adequate information for the labeling of the product. Typically, two Phase 3 trials are required by the FDA for product approval.</w:t>
      </w:r>
    </w:p>
    <w:p>
      <w:pPr>
        <w:spacing w:after="0" w:line="161" w:lineRule="exact"/>
        <w:rPr>
          <w:sz w:val="20"/>
          <w:szCs w:val="20"/>
          <w:color w:val="auto"/>
        </w:rPr>
      </w:pPr>
    </w:p>
    <w:p>
      <w:pPr>
        <w:ind w:right="80" w:firstLine="648"/>
        <w:spacing w:after="0" w:line="220" w:lineRule="auto"/>
        <w:rPr>
          <w:sz w:val="20"/>
          <w:szCs w:val="20"/>
          <w:color w:val="auto"/>
        </w:rPr>
      </w:pPr>
      <w:r>
        <w:rPr>
          <w:rFonts w:ascii="Arial" w:cs="Arial" w:eastAsia="Arial" w:hAnsi="Arial"/>
          <w:sz w:val="17"/>
          <w:szCs w:val="17"/>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65" w:lineRule="exact"/>
        <w:rPr>
          <w:sz w:val="20"/>
          <w:szCs w:val="20"/>
          <w:color w:val="auto"/>
        </w:rPr>
      </w:pPr>
    </w:p>
    <w:p>
      <w:pPr>
        <w:ind w:right="260" w:firstLine="648"/>
        <w:spacing w:after="0" w:line="229" w:lineRule="auto"/>
        <w:rPr>
          <w:sz w:val="20"/>
          <w:szCs w:val="20"/>
          <w:color w:val="auto"/>
        </w:rPr>
      </w:pPr>
      <w:r>
        <w:rPr>
          <w:rFonts w:ascii="Arial" w:cs="Arial" w:eastAsia="Arial" w:hAnsi="Arial"/>
          <w:sz w:val="17"/>
          <w:szCs w:val="17"/>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6"/>
          <w:szCs w:val="16"/>
          <w:color w:val="auto"/>
        </w:rPr>
        <w:t>‑</w:t>
      </w:r>
      <w:r>
        <w:rPr>
          <w:rFonts w:ascii="Arial" w:cs="Arial" w:eastAsia="Arial" w:hAnsi="Arial"/>
          <w:sz w:val="16"/>
          <w:szCs w:val="16"/>
          <w:color w:val="auto"/>
        </w:rPr>
        <w:t>upon clinical trial protocol is followed, the clinical trial endpoints are achieved, and there is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185" w:lineRule="exact"/>
        <w:rPr>
          <w:sz w:val="20"/>
          <w:szCs w:val="20"/>
          <w:color w:val="auto"/>
        </w:rPr>
      </w:pPr>
    </w:p>
    <w:p>
      <w:pPr>
        <w:ind w:right="60" w:firstLine="648"/>
        <w:spacing w:after="0" w:line="210" w:lineRule="auto"/>
        <w:rPr>
          <w:sz w:val="20"/>
          <w:szCs w:val="20"/>
          <w:color w:val="auto"/>
        </w:rPr>
      </w:pPr>
      <w:r>
        <w:rPr>
          <w:rFonts w:ascii="Arial" w:cs="Arial" w:eastAsia="Arial" w:hAnsi="Arial"/>
          <w:sz w:val="18"/>
          <w:szCs w:val="18"/>
          <w:color w:val="auto"/>
        </w:rPr>
        <w:t>Assuming successful completion of the required clinical and preclinical testing, the results of product development, including chemistry, manufacturing, and control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Product candidates that are designated as orphan drugs, which are further described below, are also not subject to application user fees unless the application includes an indication other than the orphan indication.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22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Once the FDA receives an application, it has 60 days to review the NDA to determine if it is substantially complete to permit a substantive review, before it accepts the application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Arial" w:cs="Arial" w:eastAsia="Arial" w:hAnsi="Arial"/>
          <w:sz w:val="18"/>
          <w:szCs w:val="18"/>
          <w:color w:val="auto"/>
        </w:rPr>
        <w:t>depth substantive review of the NDA.</w:t>
      </w:r>
    </w:p>
    <w:p>
      <w:pPr>
        <w:spacing w:after="0" w:line="162"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The FDA has agreed to a set of performance goals and procedures under PDUFA to review 90% of all applications within ten months from the 60 day filing date for its initial review of a standard NDA for a New Molecular Entity, or NME. For non NME standard applications, the FDA has set the goal of completing its review of 90% of all applications within ten months from the submission receipt date. Such deadlines are referred to as the PDUFA date. The PDUFA date is only a goal, thus, the FDA does not always meet its PDUFA dates. The review process and the PDUFA date may also be extended if the FDA requests, or the NDA sponsor otherwise provides, substantial additional information or clarification regarding the submission.</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47"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16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chemistry, manufacturing, and control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65"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69"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5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Arial" w:cs="Arial" w:eastAsia="Arial" w:hAnsi="Arial"/>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65"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7"/>
          <w:szCs w:val="17"/>
          <w:color w:val="auto"/>
        </w:rPr>
        <w:t>‑</w:t>
      </w:r>
      <w:r>
        <w:rPr>
          <w:rFonts w:ascii="Arial" w:cs="Arial" w:eastAsia="Arial" w:hAnsi="Arial"/>
          <w:sz w:val="17"/>
          <w:szCs w:val="17"/>
          <w:color w:val="auto"/>
        </w:rPr>
        <w:t xml:space="preserve"> and post</w:t>
      </w:r>
      <w:r>
        <w:rPr>
          <w:rFonts w:ascii="MS PGothic" w:cs="MS PGothic" w:eastAsia="MS PGothic" w:hAnsi="MS PGothic"/>
          <w:sz w:val="17"/>
          <w:szCs w:val="17"/>
          <w:color w:val="auto"/>
        </w:rPr>
        <w:t>‑</w:t>
      </w:r>
      <w:r>
        <w:rPr>
          <w:rFonts w:ascii="Arial" w:cs="Arial" w:eastAsia="Arial" w:hAnsi="Arial"/>
          <w:sz w:val="17"/>
          <w:szCs w:val="17"/>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Approval Process</w:t>
      </w:r>
    </w:p>
    <w:p>
      <w:pPr>
        <w:spacing w:after="0" w:line="18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Arial" w:cs="Arial" w:eastAsia="Arial" w:hAnsi="Arial"/>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list with the FDA certain patents whose claims cover the applicant’s product and method of use. Upon approval of an NDA, each of the patents listed in the application for the drug is then published in </w:t>
      </w:r>
      <w:r>
        <w:rPr>
          <w:rFonts w:ascii="Arial" w:cs="Arial" w:eastAsia="Arial" w:hAnsi="Arial"/>
          <w:sz w:val="18"/>
          <w:szCs w:val="18"/>
          <w:i w:val="1"/>
          <w:iCs w:val="1"/>
          <w:color w:val="auto"/>
        </w:rPr>
        <w:t>Approved Drug Products with Therapeutic Equivalence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Evaluations</w:t>
      </w:r>
      <w:r>
        <w:rPr>
          <w:rFonts w:ascii="Arial" w:cs="Arial" w:eastAsia="Arial" w:hAnsi="Arial"/>
          <w:sz w:val="18"/>
          <w:szCs w:val="18"/>
          <w:color w:val="auto"/>
        </w:rPr>
        <w:t>, also known as the Orange Book. These products may be cited by potential competitors in support of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an ANDA or 505(b)(2) NDA.</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Any applicant who files an abbreviated new drug application, or ANDA, seeking approval of a generic equivalent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the patent is invalid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w:t>
      </w:r>
      <w:r>
        <w:rPr>
          <w:rFonts w:ascii="MS PGothic" w:cs="MS PGothic" w:eastAsia="MS PGothic" w:hAnsi="MS PGothic"/>
          <w:sz w:val="17"/>
          <w:szCs w:val="17"/>
          <w:color w:val="auto"/>
        </w:rPr>
        <w:t>‑</w:t>
      </w:r>
      <w:r>
        <w:rPr>
          <w:rFonts w:ascii="Arial" w:cs="Arial" w:eastAsia="Arial" w:hAnsi="Arial"/>
          <w:sz w:val="17"/>
          <w:szCs w:val="17"/>
          <w:color w:val="auto"/>
        </w:rPr>
        <w:t>month stay.</w:t>
      </w:r>
    </w:p>
    <w:p>
      <w:pPr>
        <w:spacing w:after="0" w:line="168"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In instances where an ANDA or 505(b)(2) NDA applicant files a paragraph IV certification, the NDA holder or patent owners regularly take action to trigger the 30</w:t>
      </w:r>
      <w:r>
        <w:rPr>
          <w:rFonts w:ascii="MS PGothic" w:cs="MS PGothic" w:eastAsia="MS PGothic" w:hAnsi="MS PGothic"/>
          <w:sz w:val="18"/>
          <w:szCs w:val="18"/>
          <w:color w:val="auto"/>
        </w:rPr>
        <w:t>‑</w:t>
      </w:r>
      <w:r>
        <w:rPr>
          <w:rFonts w:ascii="Arial" w:cs="Arial" w:eastAsia="Arial" w:hAnsi="Arial"/>
          <w:sz w:val="18"/>
          <w:szCs w:val="18"/>
          <w:color w:val="auto"/>
        </w:rPr>
        <w:t>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85"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Market exclusivity provisions under the FDCA can also delay the submission or the approval effective date of certain applications. The FDA provides periods of regulatory exclusivity, which provides the holder of an approved NDA limited protection from new competition in the marketplace for the innovation represented by its approved drug.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and make an ANDA or a 505(b)(2) NDA approval effective for an application submitted by another company that contains the previously approved active moiety. An ANDA or 505(b)(2) application, however, may be submitted one year before NCE exclusivity expires if a paragraph IV certification is filed.</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If a product is not eligible for NCE exclusivity, it may be eligible for three years of exclusivity. Three</w:t>
      </w:r>
      <w:r>
        <w:rPr>
          <w:rFonts w:ascii="MS PGothic" w:cs="MS PGothic" w:eastAsia="MS PGothic" w:hAnsi="MS PGothic"/>
          <w:sz w:val="16"/>
          <w:szCs w:val="16"/>
          <w:color w:val="auto"/>
        </w:rPr>
        <w:t>‑</w:t>
      </w:r>
      <w:r>
        <w:rPr>
          <w:rFonts w:ascii="Arial" w:cs="Arial" w:eastAsia="Arial" w:hAnsi="Arial"/>
          <w:sz w:val="16"/>
          <w:szCs w:val="16"/>
          <w:color w:val="auto"/>
        </w:rPr>
        <w:t>year exclusivity is available to the holder of an NDA, including a 505(b)(2) NDA, for a particular condition of approval, or change to a marketed product, such as a new formulation or indication for a previously approved product, if one or more new clinical studies, other than bioavailability or bioequivalence studies, was essential to the approval of the application and was conducted or sponsored by the applicant.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period protects against FDA making an ANDAs and 505(b)(2) NDAs for the condition of the new drug’s approval effective. As a general matter, the three year exclusivity does not prohibit the FDA from making an approval for ANDAs or 505(b)(2) NDAs effective for generic versions of the original, unmodified drug product. Five</w:t>
      </w:r>
      <w:r>
        <w:rPr>
          <w:rFonts w:ascii="MS PGothic" w:cs="MS PGothic" w:eastAsia="MS PGothic" w:hAnsi="MS PGothic"/>
          <w:sz w:val="16"/>
          <w:szCs w:val="16"/>
          <w:color w:val="auto"/>
        </w:rPr>
        <w:t>‑</w:t>
      </w:r>
      <w:r>
        <w:rPr>
          <w:rFonts w:ascii="Arial" w:cs="Arial" w:eastAsia="Arial" w:hAnsi="Arial"/>
          <w:sz w:val="16"/>
          <w:szCs w:val="16"/>
          <w:color w:val="auto"/>
        </w:rPr>
        <w:t>year and three</w:t>
      </w:r>
      <w:r>
        <w:rPr>
          <w:rFonts w:ascii="MS PGothic" w:cs="MS PGothic" w:eastAsia="MS PGothic" w:hAnsi="MS PGothic"/>
          <w:sz w:val="16"/>
          <w:szCs w:val="16"/>
          <w:color w:val="auto"/>
        </w:rPr>
        <w:t>‑</w:t>
      </w:r>
      <w:r>
        <w:rPr>
          <w:rFonts w:ascii="Arial" w:cs="Arial" w:eastAsia="Arial" w:hAnsi="Arial"/>
          <w:sz w:val="16"/>
          <w:szCs w:val="16"/>
          <w:color w:val="auto"/>
        </w:rPr>
        <w:t>year exclusivity will also not delay the submission or approval effective date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necessary to demonstrate safety and efficacy. Moreover, even if a product receives a period of exclusivity, a physician may prescribe the reference listed drug or a generic version of the reference listed drug off</w:t>
      </w:r>
      <w:r>
        <w:rPr>
          <w:rFonts w:ascii="MS PGothic" w:cs="MS PGothic" w:eastAsia="MS PGothic" w:hAnsi="MS PGothic"/>
          <w:sz w:val="16"/>
          <w:szCs w:val="16"/>
          <w:color w:val="auto"/>
        </w:rPr>
        <w:t>‑</w:t>
      </w:r>
      <w:r>
        <w:rPr>
          <w:rFonts w:ascii="Arial" w:cs="Arial" w:eastAsia="Arial" w:hAnsi="Arial"/>
          <w:sz w:val="16"/>
          <w:szCs w:val="16"/>
          <w:color w:val="auto"/>
        </w:rPr>
        <w:t>label for the same use as the newly approved drug.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Pediatric exclusivity is another type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in the United States and, if granted,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Arial" w:cs="Arial" w:eastAsia="Arial" w:hAnsi="Arial"/>
          <w:sz w:val="17"/>
          <w:szCs w:val="17"/>
          <w:color w:val="auto"/>
        </w:rPr>
        <w:t>patent exclusivity period described above.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Additionally, sponsors must present a plausible hypothesis for clinical superiority to obtain orphan designation if there is a drug already approved by the FDA that is intended for the same indication and that is considered by the FDA to be the same drug as the already approved drug. This hypothesis must be demonstrated to obtain orphan drug exclusivity. If granted, prior to product approval, Orphan Drug Designation entitles a party to financial incentives such as opportunities for grant funding towards clinical study costs, tax advantages, and application user</w:t>
      </w:r>
      <w:r>
        <w:rPr>
          <w:rFonts w:ascii="MS PGothic" w:cs="MS PGothic" w:eastAsia="MS PGothic" w:hAnsi="MS PGothic"/>
          <w:sz w:val="16"/>
          <w:szCs w:val="16"/>
          <w:color w:val="auto"/>
        </w:rPr>
        <w:t>‑</w:t>
      </w:r>
      <w:r>
        <w:rPr>
          <w:rFonts w:ascii="Arial" w:cs="Arial" w:eastAsia="Arial" w:hAnsi="Arial"/>
          <w:sz w:val="16"/>
          <w:szCs w:val="16"/>
          <w:color w:val="auto"/>
        </w:rPr>
        <w:t>fee waivers. The tax advantages, however, were recently limited in Congress’ recent tax reform efforts. In addition,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 In some cases, a Fast Track product may be eligible for Accelerated Approval or Priority Review.</w:t>
      </w:r>
    </w:p>
    <w:p>
      <w:pPr>
        <w:spacing w:after="0" w:line="167"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rather than the standard review of ten months under current PDUFA guidelines, of the 60</w:t>
      </w:r>
      <w:r>
        <w:rPr>
          <w:rFonts w:ascii="MS PGothic" w:cs="MS PGothic" w:eastAsia="MS PGothic" w:hAnsi="MS PGothic"/>
          <w:sz w:val="17"/>
          <w:szCs w:val="17"/>
          <w:color w:val="auto"/>
        </w:rPr>
        <w:t>‑</w:t>
      </w:r>
      <w:r>
        <w:rPr>
          <w:rFonts w:ascii="Arial" w:cs="Arial" w:eastAsia="Arial" w:hAnsi="Arial"/>
          <w:sz w:val="17"/>
          <w:szCs w:val="17"/>
          <w:color w:val="auto"/>
        </w:rPr>
        <w:t>day filing date for NMEs and within six months of the submission receipt date for non</w:t>
      </w:r>
      <w:r>
        <w:rPr>
          <w:rFonts w:ascii="MS PGothic" w:cs="MS PGothic" w:eastAsia="MS PGothic" w:hAnsi="MS PGothic"/>
          <w:sz w:val="17"/>
          <w:szCs w:val="17"/>
          <w:color w:val="auto"/>
        </w:rPr>
        <w:t>‑</w:t>
      </w:r>
      <w:r>
        <w:rPr>
          <w:rFonts w:ascii="Arial" w:cs="Arial" w:eastAsia="Arial" w:hAnsi="Arial"/>
          <w:sz w:val="17"/>
          <w:szCs w:val="17"/>
          <w:color w:val="auto"/>
        </w:rPr>
        <w:t>NMEs. Products that are eligible for Fast Track designation may also be considered appropriate to receive a Priority Review.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99" w:firstLine="648"/>
        <w:spacing w:after="0" w:line="182" w:lineRule="exact"/>
        <w:rPr>
          <w:sz w:val="20"/>
          <w:szCs w:val="20"/>
          <w:color w:val="auto"/>
        </w:rPr>
      </w:pPr>
      <w:r>
        <w:rPr>
          <w:rFonts w:ascii="Arial" w:cs="Arial" w:eastAsia="Arial" w:hAnsi="Arial"/>
          <w:sz w:val="17"/>
          <w:szCs w:val="17"/>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7"/>
          <w:szCs w:val="17"/>
          <w:color w:val="auto"/>
        </w:rPr>
        <w:t>‑</w:t>
      </w:r>
      <w:r>
        <w:rPr>
          <w:rFonts w:ascii="Arial" w:cs="Arial" w:eastAsia="Arial" w:hAnsi="Arial"/>
          <w:sz w:val="17"/>
          <w:szCs w:val="17"/>
          <w:color w:val="auto"/>
        </w:rPr>
        <w:t>disciplinary review.</w:t>
      </w:r>
    </w:p>
    <w:p>
      <w:pPr>
        <w:spacing w:after="0" w:line="162" w:lineRule="exact"/>
        <w:rPr>
          <w:sz w:val="20"/>
          <w:szCs w:val="20"/>
          <w:color w:val="auto"/>
        </w:rPr>
      </w:pPr>
    </w:p>
    <w:p>
      <w:pPr>
        <w:ind w:right="119" w:firstLine="648"/>
        <w:spacing w:after="0" w:line="28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185"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65" w:lineRule="exact"/>
        <w:rPr>
          <w:sz w:val="20"/>
          <w:szCs w:val="20"/>
          <w:color w:val="auto"/>
        </w:rPr>
      </w:pPr>
    </w:p>
    <w:p>
      <w:pPr>
        <w:ind w:right="39" w:firstLine="648"/>
        <w:spacing w:after="0" w:line="183" w:lineRule="exact"/>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161"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off</w:t>
      </w:r>
      <w:r>
        <w:rPr>
          <w:rFonts w:ascii="MS PGothic" w:cs="MS PGothic" w:eastAsia="MS PGothic" w:hAnsi="MS PGothic"/>
          <w:sz w:val="16"/>
          <w:szCs w:val="16"/>
          <w:color w:val="auto"/>
        </w:rPr>
        <w:t>‑</w:t>
      </w:r>
      <w:r>
        <w:rPr>
          <w:rFonts w:ascii="Arial" w:cs="Arial" w:eastAsia="Arial" w:hAnsi="Arial"/>
          <w:sz w:val="16"/>
          <w:szCs w:val="16"/>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0" w:firstLine="648"/>
        <w:spacing w:after="0" w:line="221" w:lineRule="auto"/>
        <w:rPr>
          <w:sz w:val="20"/>
          <w:szCs w:val="20"/>
          <w:color w:val="auto"/>
        </w:rPr>
      </w:pPr>
      <w:r>
        <w:rPr>
          <w:rFonts w:ascii="Arial" w:cs="Arial" w:eastAsia="Arial" w:hAnsi="Arial"/>
          <w:sz w:val="17"/>
          <w:szCs w:val="17"/>
          <w:color w:val="auto"/>
        </w:rPr>
        <w:t>The Drug Supply Chain Security Act, or DSCSA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 The distribution of product samples continues to be regulated under the PDMA.</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185"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and the Health Resources and Services Administration,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and regulations as well as data privacy and security laws and regulations, which are described below.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federal Anti 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 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 Kickback Statute. Instead, the legality of the arrangement will be evaluated on a case by case basis based on a cumulative review of all of its facts and circumstances to determine whether one purpose of an arrangement involving remuneration is to induce referrals of federal healthcare covered business. The Patient Protection and Affordable Care Act, or ACA, of 2010, as amended, modified the intent requirement under the Anti Kickback Statute to a stricter standard, such that a person or entity no longer needs to have actual knowledge of the statute or specific intent to violate it in order to have committed a violation. In addition, a violation of the federal Anti Kickback Statute may be grounds for the government or a whistleblower to assert that a claim for payment of items or services resulting from such violation constitutes a false or fraudulent claim for purposes of the federal civil False Claims Act. Certain Anti-Kickback safe harbor provisions that protect the rebates paid by drug manufacturers to third parties may be repealed pursuant to a pending regulatory proposal.</w:t>
      </w:r>
    </w:p>
    <w:p>
      <w:pPr>
        <w:spacing w:after="0" w:line="170"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civil monetary penalty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ACA further created new federal requirements for reporting under the Physician Payments Sunshine Act, or the Sunshine Act,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 Beyond the ACA, financial arrangements and incentives that may impact healthcare decision-making continue to be a subject of attention for Congress and health regulators. For example, the federal Eliminating Kickbacks in Recovery Act of 2018 (EKRA) notably in some instances (relating to recovery centers, clinical treatment facilities, and clinical laboratories) applies to services payable by commercial insurers and self-pay patients, as opposed to only services for which payment is available from government payors.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overpayments caused by understated rebate amounts, and overpayments that are retained for more than 60 days after discovering the overpayment. False claims act enforcement may also arise from claims filed as the result of manufacturing marketing materials that contained inaccurate statements or provided certain reimbursement guidance.</w:t>
      </w:r>
    </w:p>
    <w:p>
      <w:pPr>
        <w:spacing w:after="0" w:line="164" w:lineRule="exact"/>
        <w:rPr>
          <w:sz w:val="20"/>
          <w:szCs w:val="20"/>
          <w:color w:val="auto"/>
        </w:rPr>
      </w:pPr>
    </w:p>
    <w:p>
      <w:pPr>
        <w:ind w:right="100" w:firstLine="648"/>
        <w:spacing w:after="0" w:line="211" w:lineRule="auto"/>
        <w:rPr>
          <w:sz w:val="20"/>
          <w:szCs w:val="20"/>
          <w:color w:val="auto"/>
        </w:rPr>
      </w:pPr>
      <w:r>
        <w:rPr>
          <w:rFonts w:ascii="Arial" w:cs="Arial" w:eastAsia="Arial" w:hAnsi="Arial"/>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 imposes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w:t>
      </w:r>
    </w:p>
    <w:p>
      <w:pPr>
        <w:spacing w:after="0" w:line="165" w:lineRule="exact"/>
        <w:rPr>
          <w:sz w:val="20"/>
          <w:szCs w:val="20"/>
          <w:color w:val="auto"/>
        </w:rPr>
      </w:pPr>
    </w:p>
    <w:p>
      <w:pPr>
        <w:ind w:right="180" w:firstLine="648"/>
        <w:spacing w:after="0" w:line="232" w:lineRule="auto"/>
        <w:rPr>
          <w:sz w:val="20"/>
          <w:szCs w:val="20"/>
          <w:color w:val="auto"/>
        </w:rPr>
      </w:pPr>
      <w:r>
        <w:rPr>
          <w:rFonts w:ascii="Arial" w:cs="Arial" w:eastAsia="Arial" w:hAnsi="Arial"/>
          <w:sz w:val="17"/>
          <w:szCs w:val="17"/>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potential FCA liability.</w:t>
      </w:r>
    </w:p>
    <w:p>
      <w:pPr>
        <w:spacing w:after="0" w:line="166"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and report the ceiling price to the Health Resources and Services Agency within Health and Human Services.</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imposes certain requirements on covered entities relating to the privacy, security, and transmission of individually identifiable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performs certain functions or activities that involve the use or disclosure of protected health information on behalf of, or provides services to, a covered entity.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6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It remains unclear what, if any, modifications will be made to this legislation or how it will be interpreted. The effects of the CCPA potentially are significant, however, and may require us to modify our data processing practices, and may cause us to incur substantial costs and expenses to comply. Although the law includes certain limited exceptions, including for information collected as part of clinical trials as specified in the law, it remains unclear what, if any, modifications will be made to this legislation or how it will be interpreted.</w:t>
      </w:r>
    </w:p>
    <w:p>
      <w:pPr>
        <w:spacing w:after="0" w:line="169"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7"/>
          <w:szCs w:val="17"/>
          <w:color w:val="auto"/>
        </w:rPr>
        <w:t>‑</w:t>
      </w:r>
      <w:r>
        <w:rPr>
          <w:rFonts w:ascii="Arial" w:cs="Arial" w:eastAsia="Arial" w:hAnsi="Arial"/>
          <w:sz w:val="17"/>
          <w:szCs w:val="17"/>
          <w:color w:val="auto"/>
        </w:rPr>
        <w:t>party payor,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7"/>
          <w:szCs w:val="17"/>
          <w:color w:val="auto"/>
        </w:rPr>
        <w:t>‑</w:t>
      </w:r>
      <w:r>
        <w:rPr>
          <w:rFonts w:ascii="Arial" w:cs="Arial" w:eastAsia="Arial" w:hAnsi="Arial"/>
          <w:sz w:val="17"/>
          <w:szCs w:val="17"/>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that any of our products are sold in a foreign country, we may be subject to similar foreign laws and</w:t>
      </w:r>
    </w:p>
    <w:p>
      <w:pPr>
        <w:spacing w:after="0" w:line="183" w:lineRule="exact"/>
        <w:rPr>
          <w:sz w:val="20"/>
          <w:szCs w:val="20"/>
          <w:color w:val="auto"/>
        </w:rPr>
      </w:pPr>
      <w:r>
        <w:rPr>
          <w:rFonts w:ascii="Arial" w:cs="Arial" w:eastAsia="Arial" w:hAnsi="Arial"/>
          <w:sz w:val="17"/>
          <w:szCs w:val="17"/>
          <w:color w:val="auto"/>
        </w:rPr>
        <w:t>regulations, which may include, for instance, applicable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including safety surveillance,</w:t>
      </w:r>
    </w:p>
    <w:p>
      <w:pPr>
        <w:spacing w:after="0" w:line="176"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fraud and abuse laws, and implementation of corporate compliance programs and reporting of payments or transfers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to healthcare professionals.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commercial success of our product candidates and our ability to commercialize any approved product</w:t>
      </w:r>
    </w:p>
    <w:p>
      <w:pPr>
        <w:spacing w:after="0" w:line="215" w:lineRule="auto"/>
        <w:rPr>
          <w:sz w:val="20"/>
          <w:szCs w:val="20"/>
          <w:color w:val="auto"/>
        </w:rPr>
      </w:pPr>
      <w:r>
        <w:rPr>
          <w:rFonts w:ascii="Arial" w:cs="Arial" w:eastAsia="Arial" w:hAnsi="Arial"/>
          <w:sz w:val="17"/>
          <w:szCs w:val="17"/>
          <w:color w:val="auto"/>
        </w:rPr>
        <w:t>candidates successfully will depend in part on the extent to which governmental payor programs at the federal and state</w:t>
      </w:r>
    </w:p>
    <w:p>
      <w:pPr>
        <w:spacing w:after="0" w:line="176" w:lineRule="exact"/>
        <w:rPr>
          <w:sz w:val="20"/>
          <w:szCs w:val="20"/>
          <w:color w:val="auto"/>
        </w:rPr>
      </w:pPr>
      <w:r>
        <w:rPr>
          <w:rFonts w:ascii="Arial" w:cs="Arial" w:eastAsia="Arial" w:hAnsi="Arial"/>
          <w:sz w:val="17"/>
          <w:szCs w:val="17"/>
          <w:color w:val="auto"/>
        </w:rPr>
        <w:t>levels, including Medicare and Medicaid, private health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provide coverage for and</w:t>
      </w:r>
    </w:p>
    <w:p>
      <w:pPr>
        <w:spacing w:after="0" w:line="229" w:lineRule="auto"/>
        <w:rPr>
          <w:sz w:val="20"/>
          <w:szCs w:val="20"/>
          <w:color w:val="auto"/>
        </w:rPr>
      </w:pPr>
      <w:r>
        <w:rPr>
          <w:rFonts w:ascii="Arial" w:cs="Arial" w:eastAsia="Arial" w:hAnsi="Arial"/>
          <w:sz w:val="16"/>
          <w:szCs w:val="16"/>
          <w:color w:val="auto"/>
        </w:rPr>
        <w:t>establish adequate reimbursement levels for our product candidates. Government authorities, private health insurers, and</w:t>
      </w:r>
    </w:p>
    <w:p>
      <w:pPr>
        <w:spacing w:after="0" w:line="215" w:lineRule="auto"/>
        <w:rPr>
          <w:sz w:val="20"/>
          <w:szCs w:val="20"/>
          <w:color w:val="auto"/>
        </w:rPr>
      </w:pPr>
      <w:r>
        <w:rPr>
          <w:rFonts w:ascii="Arial" w:cs="Arial" w:eastAsia="Arial" w:hAnsi="Arial"/>
          <w:sz w:val="17"/>
          <w:szCs w:val="17"/>
          <w:color w:val="auto"/>
        </w:rPr>
        <w:t>other organizations generally decide which drugs they will pay for and establish reimbursement levels for healthcare.</w:t>
      </w:r>
    </w:p>
    <w:p>
      <w:pPr>
        <w:spacing w:after="0" w:line="229" w:lineRule="auto"/>
        <w:rPr>
          <w:sz w:val="20"/>
          <w:szCs w:val="20"/>
          <w:color w:val="auto"/>
        </w:rPr>
      </w:pPr>
      <w:r>
        <w:rPr>
          <w:rFonts w:ascii="Arial" w:cs="Arial" w:eastAsia="Arial" w:hAnsi="Arial"/>
          <w:sz w:val="16"/>
          <w:szCs w:val="16"/>
          <w:color w:val="auto"/>
        </w:rPr>
        <w:t>Medicare is a federally funded program managed by the Centers for Medicare and Medicaid Services, or CMS, through local</w:t>
      </w:r>
    </w:p>
    <w:p>
      <w:pPr>
        <w:spacing w:after="0" w:line="229" w:lineRule="auto"/>
        <w:rPr>
          <w:sz w:val="20"/>
          <w:szCs w:val="20"/>
          <w:color w:val="auto"/>
        </w:rPr>
      </w:pPr>
      <w:r>
        <w:rPr>
          <w:rFonts w:ascii="Arial" w:cs="Arial" w:eastAsia="Arial" w:hAnsi="Arial"/>
          <w:sz w:val="16"/>
          <w:szCs w:val="16"/>
          <w:color w:val="auto"/>
        </w:rPr>
        <w:t>contractors that administer coverage and reimbursement for certain healthcare items and services furnished to the elderly and</w:t>
      </w:r>
    </w:p>
    <w:p>
      <w:pPr>
        <w:spacing w:after="0" w:line="204" w:lineRule="auto"/>
        <w:rPr>
          <w:sz w:val="20"/>
          <w:szCs w:val="20"/>
          <w:color w:val="auto"/>
        </w:rPr>
      </w:pPr>
      <w:r>
        <w:rPr>
          <w:rFonts w:ascii="Arial" w:cs="Arial" w:eastAsia="Arial" w:hAnsi="Arial"/>
          <w:sz w:val="18"/>
          <w:szCs w:val="18"/>
          <w:color w:val="auto"/>
        </w:rPr>
        <w:t>disabled. Medicaid is an insurance program for certain categories of patients whose income and assets fall below</w:t>
      </w:r>
    </w:p>
    <w:p>
      <w:pPr>
        <w:spacing w:after="0" w:line="176" w:lineRule="exact"/>
        <w:rPr>
          <w:sz w:val="20"/>
          <w:szCs w:val="20"/>
          <w:color w:val="auto"/>
        </w:rPr>
      </w:pPr>
      <w:r>
        <w:rPr>
          <w:rFonts w:ascii="Arial" w:cs="Arial" w:eastAsia="Arial" w:hAnsi="Arial"/>
          <w:sz w:val="16"/>
          <w:szCs w:val="16"/>
          <w:color w:val="auto"/>
        </w:rPr>
        <w:t>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w:t>
      </w:r>
    </w:p>
    <w:p>
      <w:pPr>
        <w:spacing w:after="0" w:line="229" w:lineRule="auto"/>
        <w:rPr>
          <w:sz w:val="20"/>
          <w:szCs w:val="20"/>
          <w:color w:val="auto"/>
        </w:rPr>
      </w:pPr>
      <w:r>
        <w:rPr>
          <w:rFonts w:ascii="Arial" w:cs="Arial" w:eastAsia="Arial" w:hAnsi="Arial"/>
          <w:sz w:val="16"/>
          <w:szCs w:val="16"/>
          <w:color w:val="auto"/>
        </w:rPr>
        <w:t>federal government sets general guidelines for Medicaid and each state creates specific regulations that govern its individual</w:t>
      </w:r>
    </w:p>
    <w:p>
      <w:pPr>
        <w:spacing w:after="0" w:line="215" w:lineRule="auto"/>
        <w:rPr>
          <w:sz w:val="20"/>
          <w:szCs w:val="20"/>
          <w:color w:val="auto"/>
        </w:rPr>
      </w:pPr>
      <w:r>
        <w:rPr>
          <w:rFonts w:ascii="Arial" w:cs="Arial" w:eastAsia="Arial" w:hAnsi="Arial"/>
          <w:sz w:val="17"/>
          <w:szCs w:val="17"/>
          <w:color w:val="auto"/>
        </w:rPr>
        <w:t>program, including supplemental rebate programs that prioritize coverage for drugs on the state Preferred Drug List.</w:t>
      </w:r>
    </w:p>
    <w:p>
      <w:pPr>
        <w:spacing w:after="0" w:line="229" w:lineRule="auto"/>
        <w:rPr>
          <w:sz w:val="20"/>
          <w:szCs w:val="20"/>
          <w:color w:val="auto"/>
        </w:rPr>
      </w:pPr>
      <w:r>
        <w:rPr>
          <w:rFonts w:ascii="Arial" w:cs="Arial" w:eastAsia="Arial" w:hAnsi="Arial"/>
          <w:sz w:val="16"/>
          <w:szCs w:val="16"/>
          <w:color w:val="auto"/>
        </w:rPr>
        <w:t>Similarly, government laws and regulations establish the parameters for coverage of prescription drugs by Tricare, the health</w:t>
      </w:r>
    </w:p>
    <w:p>
      <w:pPr>
        <w:spacing w:after="0" w:line="229" w:lineRule="auto"/>
        <w:rPr>
          <w:sz w:val="20"/>
          <w:szCs w:val="20"/>
          <w:color w:val="auto"/>
        </w:rPr>
      </w:pPr>
      <w:r>
        <w:rPr>
          <w:rFonts w:ascii="Arial" w:cs="Arial" w:eastAsia="Arial" w:hAnsi="Arial"/>
          <w:sz w:val="16"/>
          <w:szCs w:val="16"/>
          <w:color w:val="auto"/>
        </w:rPr>
        <w:t>care program for military personnel, retirees, and related beneficiaries. Many states have also created pharmacy assistance</w:t>
      </w:r>
    </w:p>
    <w:p>
      <w:pPr>
        <w:spacing w:after="0" w:line="216" w:lineRule="auto"/>
        <w:rPr>
          <w:sz w:val="20"/>
          <w:szCs w:val="20"/>
          <w:color w:val="auto"/>
        </w:rPr>
      </w:pPr>
      <w:r>
        <w:rPr>
          <w:rFonts w:ascii="Arial" w:cs="Arial" w:eastAsia="Arial" w:hAnsi="Arial"/>
          <w:sz w:val="17"/>
          <w:szCs w:val="17"/>
          <w:color w:val="auto"/>
        </w:rPr>
        <w:t>programs for individuals who do not qualify for federal programs. In the United States, private health insurers and other</w:t>
      </w:r>
    </w:p>
    <w:p>
      <w:pPr>
        <w:spacing w:after="0" w:line="176"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often provide reimbursement for products and services based on the level at which the government</w:t>
      </w:r>
    </w:p>
    <w:p>
      <w:pPr>
        <w:spacing w:after="0"/>
        <w:rPr>
          <w:sz w:val="20"/>
          <w:szCs w:val="20"/>
          <w:color w:val="auto"/>
        </w:rPr>
      </w:pPr>
      <w:r>
        <w:rPr>
          <w:rFonts w:ascii="Arial" w:cs="Arial" w:eastAsia="Arial" w:hAnsi="Arial"/>
          <w:sz w:val="18"/>
          <w:szCs w:val="18"/>
          <w:color w:val="auto"/>
        </w:rPr>
        <w:t>provides reimbursement through the Medicare or Medicaid programs for such products and services.</w:t>
      </w:r>
    </w:p>
    <w:p>
      <w:pPr>
        <w:spacing w:after="0" w:line="169"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the United States, the European Union, and other potentially significant markets for our product candidates,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These restrictions and limitations influence the purchase of healthcare services and products. Third</w:t>
      </w:r>
      <w:r>
        <w:rPr>
          <w:rFonts w:ascii="MS PGothic" w:cs="MS PGothic" w:eastAsia="MS PGothic" w:hAnsi="MS PGothic"/>
          <w:sz w:val="17"/>
          <w:szCs w:val="17"/>
          <w:color w:val="auto"/>
        </w:rPr>
        <w:t>‑</w:t>
      </w:r>
      <w:r>
        <w:rPr>
          <w:rFonts w:ascii="Arial" w:cs="Arial" w:eastAsia="Arial" w:hAnsi="Arial"/>
          <w:sz w:val="17"/>
          <w:szCs w:val="17"/>
          <w:color w:val="auto"/>
        </w:rPr>
        <w:t>party payors are developing increasingly sophisticated methods of controlling healthcare costs. Third</w:t>
      </w:r>
      <w:r>
        <w:rPr>
          <w:rFonts w:ascii="MS PGothic" w:cs="MS PGothic" w:eastAsia="MS PGothic" w:hAnsi="MS PGothic"/>
          <w:sz w:val="17"/>
          <w:szCs w:val="17"/>
          <w:color w:val="auto"/>
        </w:rPr>
        <w:t>‑</w:t>
      </w:r>
      <w:r>
        <w:rPr>
          <w:rFonts w:ascii="Arial" w:cs="Arial" w:eastAsia="Arial" w:hAnsi="Arial"/>
          <w:sz w:val="17"/>
          <w:szCs w:val="17"/>
          <w:color w:val="auto"/>
        </w:rPr>
        <w:t>party payors may limit coverage to specific drug products on an approved list, or formulary, which might not include all of the FDA</w:t>
      </w:r>
      <w:r>
        <w:rPr>
          <w:rFonts w:ascii="MS PGothic" w:cs="MS PGothic" w:eastAsia="MS PGothic" w:hAnsi="MS PGothic"/>
          <w:sz w:val="17"/>
          <w:szCs w:val="17"/>
          <w:color w:val="auto"/>
        </w:rPr>
        <w:t>‑</w:t>
      </w:r>
      <w:r>
        <w:rPr>
          <w:rFonts w:ascii="Arial" w:cs="Arial" w:eastAsia="Arial" w:hAnsi="Arial"/>
          <w:sz w:val="17"/>
          <w:szCs w:val="17"/>
          <w:color w:val="auto"/>
        </w:rPr>
        <w:t>approved drug products for a particular indication. Third</w:t>
      </w:r>
      <w:r>
        <w:rPr>
          <w:rFonts w:ascii="MS PGothic" w:cs="MS PGothic" w:eastAsia="MS PGothic" w:hAnsi="MS PGothic"/>
          <w:sz w:val="17"/>
          <w:szCs w:val="17"/>
          <w:color w:val="auto"/>
        </w:rPr>
        <w:t>‑</w:t>
      </w:r>
      <w:r>
        <w:rPr>
          <w:rFonts w:ascii="Arial" w:cs="Arial" w:eastAsia="Arial" w:hAnsi="Arial"/>
          <w:sz w:val="17"/>
          <w:szCs w:val="17"/>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challenging the price and examining the medical necessity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medical products and services, in addition to their safety and efficacy. Absent clinical differentiators, third</w:t>
      </w:r>
      <w:r>
        <w:rPr>
          <w:rFonts w:ascii="MS PGothic" w:cs="MS PGothic" w:eastAsia="MS PGothic" w:hAnsi="MS PGothic"/>
          <w:sz w:val="17"/>
          <w:szCs w:val="17"/>
          <w:color w:val="auto"/>
        </w:rPr>
        <w:t>‑</w:t>
      </w:r>
      <w:r>
        <w:rPr>
          <w:rFonts w:ascii="Arial" w:cs="Arial" w:eastAsia="Arial" w:hAnsi="Arial"/>
          <w:sz w:val="17"/>
          <w:szCs w:val="17"/>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61"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3"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or the rebate percentages required to secure coverage may not yield an adequate margin over cost.</w:t>
      </w:r>
    </w:p>
    <w:p>
      <w:pPr>
        <w:spacing w:after="0" w:line="16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Moreover, a payor’s decision to provide coverage for a drug product does not imply that an adequate reimbursement rate will be approved.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6"/>
          <w:szCs w:val="16"/>
          <w:color w:val="auto"/>
        </w:rPr>
        <w:t>‑</w:t>
      </w:r>
      <w:r>
        <w:rPr>
          <w:rFonts w:ascii="Arial" w:cs="Arial" w:eastAsia="Arial" w:hAnsi="Arial"/>
          <w:sz w:val="16"/>
          <w:szCs w:val="16"/>
          <w:color w:val="auto"/>
        </w:rPr>
        <w:t>party coverage or adequate reimbursement for our product candidates in whole or in part.</w:t>
      </w:r>
    </w:p>
    <w:p>
      <w:pPr>
        <w:spacing w:after="0" w:line="167"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In early 2019, the U.S. Department of Health and Human Services published a rule package that proposes to eliminate the Anti-Kickback Statute safe harbor protection for rebates paid by drug manufacturers to pharmacy benefit managers, Medicare Part D plans, and Medicaid managed care plans. The proposed regulation would also create new safe harbors for fees charged to manufacturers by pharmacy benefit managers and for drug discounts offered to patients at the point of sale. If adopted, these rule amendments are expected to cause significant changes throughout the drug supply chain, and could affect our business operations and prospects in unknown and material ways.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8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2"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For example, the Medicare Prescription Drug, Improvement, and Modernization Act of 2003, or MMA, established a new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6"/>
          <w:szCs w:val="16"/>
          <w:color w:val="auto"/>
        </w:rPr>
        <w:t>‑</w:t>
      </w:r>
      <w:r>
        <w:rPr>
          <w:rFonts w:ascii="Arial" w:cs="Arial" w:eastAsia="Arial" w:hAnsi="Arial"/>
          <w:sz w:val="16"/>
          <w:szCs w:val="16"/>
          <w:color w:val="auto"/>
        </w:rPr>
        <w:t>governmental payors.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firstLine="648"/>
        <w:spacing w:after="0" w:line="182" w:lineRule="exact"/>
        <w:rPr>
          <w:sz w:val="20"/>
          <w:szCs w:val="20"/>
          <w:color w:val="auto"/>
        </w:rPr>
      </w:pPr>
      <w:r>
        <w:rPr>
          <w:rFonts w:ascii="Arial" w:cs="Arial" w:eastAsia="Arial" w:hAnsi="Arial"/>
          <w:sz w:val="17"/>
          <w:szCs w:val="17"/>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7"/>
          <w:szCs w:val="17"/>
          <w:color w:val="auto"/>
        </w:rPr>
        <w:t>‑</w:t>
      </w:r>
      <w:r>
        <w:rPr>
          <w:rFonts w:ascii="Arial" w:cs="Arial" w:eastAsia="Arial" w:hAnsi="Arial"/>
          <w:sz w:val="17"/>
          <w:szCs w:val="17"/>
          <w:color w:val="auto"/>
        </w:rPr>
        <w:t>party payors do not consider our product candidates to be cost</w:t>
      </w:r>
      <w:r>
        <w:rPr>
          <w:rFonts w:ascii="MS PGothic" w:cs="MS PGothic" w:eastAsia="MS PGothic" w:hAnsi="MS PGothic"/>
          <w:sz w:val="17"/>
          <w:szCs w:val="17"/>
          <w:color w:val="auto"/>
        </w:rPr>
        <w:t>‑</w:t>
      </w:r>
      <w:r>
        <w:rPr>
          <w:rFonts w:ascii="Arial" w:cs="Arial" w:eastAsia="Arial" w:hAnsi="Arial"/>
          <w:sz w:val="17"/>
          <w:szCs w:val="17"/>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62" w:lineRule="exact"/>
        <w:rPr>
          <w:sz w:val="20"/>
          <w:szCs w:val="20"/>
          <w:color w:val="auto"/>
        </w:rPr>
      </w:pPr>
    </w:p>
    <w:p>
      <w:pPr>
        <w:ind w:right="19" w:firstLine="648"/>
        <w:spacing w:after="0" w:line="232" w:lineRule="auto"/>
        <w:rPr>
          <w:sz w:val="20"/>
          <w:szCs w:val="20"/>
          <w:color w:val="auto"/>
        </w:rPr>
      </w:pPr>
      <w:r>
        <w:rPr>
          <w:rFonts w:ascii="Arial" w:cs="Arial" w:eastAsia="Arial" w:hAnsi="Arial"/>
          <w:sz w:val="16"/>
          <w:szCs w:val="16"/>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75" w:lineRule="exact"/>
        <w:rPr>
          <w:sz w:val="20"/>
          <w:szCs w:val="20"/>
          <w:color w:val="auto"/>
        </w:rPr>
      </w:pPr>
    </w:p>
    <w:p>
      <w:pPr>
        <w:ind w:right="159" w:firstLine="648"/>
        <w:spacing w:after="0" w:line="239" w:lineRule="auto"/>
        <w:rPr>
          <w:sz w:val="20"/>
          <w:szCs w:val="20"/>
          <w:color w:val="auto"/>
        </w:rPr>
      </w:pPr>
      <w:r>
        <w:rPr>
          <w:rFonts w:ascii="Arial" w:cs="Arial" w:eastAsia="Arial" w:hAnsi="Arial"/>
          <w:sz w:val="16"/>
          <w:szCs w:val="16"/>
          <w:color w:val="auto"/>
        </w:rPr>
        <w:t>The ACA also imposed an affirmative obligation to report and repay any overpayments, including those payments that resulted from violations of the Anti-Kickback Statute, false claims act, or civil monetary penalties statute, within sixty</w:t>
      </w:r>
    </w:p>
    <w:p>
      <w:pPr>
        <w:spacing w:after="0" w:line="1" w:lineRule="exact"/>
        <w:rPr>
          <w:sz w:val="20"/>
          <w:szCs w:val="20"/>
          <w:color w:val="auto"/>
        </w:rPr>
      </w:pPr>
    </w:p>
    <w:p>
      <w:pPr>
        <w:ind w:right="159" w:firstLine="3"/>
        <w:spacing w:after="0" w:line="218"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63" w:lineRule="exact"/>
        <w:rPr>
          <w:sz w:val="20"/>
          <w:szCs w:val="20"/>
          <w:color w:val="auto"/>
        </w:rPr>
      </w:pPr>
    </w:p>
    <w:p>
      <w:pPr>
        <w:ind w:right="199" w:firstLine="648"/>
        <w:spacing w:after="0" w:line="236" w:lineRule="auto"/>
        <w:rPr>
          <w:sz w:val="20"/>
          <w:szCs w:val="20"/>
          <w:color w:val="auto"/>
        </w:rPr>
      </w:pPr>
      <w:r>
        <w:rPr>
          <w:rFonts w:ascii="Arial" w:cs="Arial" w:eastAsia="Arial" w:hAnsi="Arial"/>
          <w:sz w:val="16"/>
          <w:szCs w:val="16"/>
          <w:color w:val="auto"/>
        </w:rPr>
        <w:t>The cost of pharmaceuticals continues to generate substantial governmental and third party payor interest, and pharmaceutical pricing and marketing currently received a great deal of Congressional and administrative attention. Some states, such as California, have enacted transparency laws that require manufacturers to report drug price increases and related information. In addition, for example, in 2018 CMS proposed a new rule that if finalized would require direct-to-consumer television advertisements of prescription drugs, for which payment is available through or under Medicare or Medicaid, to include in the advertisement the Wholesale Acquisition Cost, or list price, of that drug. We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firstLine="648"/>
        <w:spacing w:after="0" w:line="185" w:lineRule="exact"/>
        <w:rPr>
          <w:sz w:val="20"/>
          <w:szCs w:val="20"/>
          <w:color w:val="auto"/>
        </w:rPr>
      </w:pPr>
      <w:r>
        <w:rPr>
          <w:rFonts w:ascii="Arial" w:cs="Arial" w:eastAsia="Arial" w:hAnsi="Arial"/>
          <w:sz w:val="17"/>
          <w:szCs w:val="17"/>
          <w:color w:val="auto"/>
        </w:rPr>
        <w:t>Government and private payors also increasingly require pre</w:t>
      </w:r>
      <w:r>
        <w:rPr>
          <w:rFonts w:ascii="MS PGothic" w:cs="MS PGothic" w:eastAsia="MS PGothic" w:hAnsi="MS PGothic"/>
          <w:sz w:val="17"/>
          <w:szCs w:val="17"/>
          <w:color w:val="auto"/>
        </w:rPr>
        <w:t>‑</w:t>
      </w:r>
      <w:r>
        <w:rPr>
          <w:rFonts w:ascii="Arial" w:cs="Arial" w:eastAsia="Arial" w:hAnsi="Arial"/>
          <w:sz w:val="17"/>
          <w:szCs w:val="17"/>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7"/>
          <w:szCs w:val="17"/>
          <w:color w:val="auto"/>
        </w:rPr>
        <w:t>‑</w:t>
      </w:r>
      <w:r>
        <w:rPr>
          <w:rFonts w:ascii="Arial" w:cs="Arial" w:eastAsia="Arial" w:hAnsi="Arial"/>
          <w:sz w:val="17"/>
          <w:szCs w:val="17"/>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65" w:lineRule="exact"/>
        <w:rPr>
          <w:sz w:val="20"/>
          <w:szCs w:val="20"/>
          <w:color w:val="auto"/>
        </w:rPr>
      </w:pPr>
    </w:p>
    <w:p>
      <w:pPr>
        <w:ind w:right="220" w:firstLine="648"/>
        <w:spacing w:after="0" w:line="212" w:lineRule="auto"/>
        <w:rPr>
          <w:sz w:val="20"/>
          <w:szCs w:val="20"/>
          <w:color w:val="auto"/>
        </w:rPr>
      </w:pPr>
      <w:r>
        <w:rPr>
          <w:rFonts w:ascii="Arial" w:cs="Arial" w:eastAsia="Arial" w:hAnsi="Arial"/>
          <w:sz w:val="18"/>
          <w:szCs w:val="18"/>
          <w:color w:val="auto"/>
        </w:rPr>
        <w:t>Other legislative changes have been proposed and adopted since the ACA was enacted. For example, in August 2011, the Budget Control Act of 2011, as amended, reduced funding under certain conditions to several government programs, including aggregate reductions to Medicare payments to providers of up to 2% per fiscal year, which remain in effect through 2027 unless additional Congressional action is taken. The Center for Medicare and Medicaid Services has promulgated or amended a number of cost containment and value based reimbursement measures in the ordinary course of business, and it is expected to continue revising its regulations and policies in response to market conditions and administrative directives.</w:t>
      </w:r>
    </w:p>
    <w:p>
      <w:pPr>
        <w:spacing w:after="0" w:line="16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Since January 2017, Congress and the Trump Administration have been engaged in various efforts to repeal or materially modify various aspects of ACA. The results and effects of such ongoing efforts have varied after facing judicial and Congressional challenges, but could affect our business operations and prospects in unknown ways, and it is unclear how ACA and other laws ultimately will be implemented. For example, the United States District Court for the Northern District of Texas struck down the ACA, deeming it unconstitutional given that Congress repealed the individual mandate in 2017. This decision has been stayed pending outcome of an appeal to the Fifth Circuit Court of Appeals.</w:t>
      </w:r>
    </w:p>
    <w:p>
      <w:pPr>
        <w:spacing w:after="0" w:line="16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4"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85" w:lineRule="exact"/>
        <w:rPr>
          <w:sz w:val="20"/>
          <w:szCs w:val="20"/>
          <w:color w:val="auto"/>
        </w:rPr>
      </w:pPr>
    </w:p>
    <w:p>
      <w:pPr>
        <w:ind w:right="60" w:firstLine="648"/>
        <w:spacing w:after="0" w:line="210"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 Drug Approval Process</w:t>
      </w:r>
    </w:p>
    <w:p>
      <w:pPr>
        <w:spacing w:after="0" w:line="185"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Arial" w:cs="Arial" w:eastAsia="Arial" w:hAnsi="Arial"/>
          <w:sz w:val="18"/>
          <w:szCs w:val="18"/>
          <w:color w:val="auto"/>
        </w:rPr>
        <w:t>called centralized, decentralized, mutual recognition, or national authorization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Centralized Procedure</w:t>
      </w:r>
    </w:p>
    <w:p>
      <w:pPr>
        <w:spacing w:after="0" w:line="185" w:lineRule="exact"/>
        <w:rPr>
          <w:sz w:val="20"/>
          <w:szCs w:val="20"/>
          <w:color w:val="auto"/>
        </w:rPr>
      </w:pPr>
    </w:p>
    <w:p>
      <w:pPr>
        <w:ind w:right="140" w:firstLine="648"/>
        <w:spacing w:after="0" w:line="220"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Authorization Procedures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47" w:lineRule="exact"/>
        <w:rPr>
          <w:sz w:val="20"/>
          <w:szCs w:val="20"/>
          <w:color w:val="auto"/>
        </w:rPr>
      </w:pPr>
    </w:p>
    <w:p>
      <w:pPr>
        <w:ind w:left="980" w:hanging="329"/>
        <w:spacing w:after="0" w:line="214"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line="214"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In the mutual recognition procedure, a medicine is first authorized in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Member State, 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National procedures. </w:t>
      </w:r>
      <w:r>
        <w:rPr>
          <w:rFonts w:ascii="Arial" w:cs="Arial" w:eastAsia="Arial" w:hAnsi="Arial"/>
          <w:sz w:val="18"/>
          <w:szCs w:val="18"/>
          <w:color w:val="auto"/>
        </w:rPr>
        <w:t>Purely national procedures continue to be possible but are strictly limited to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to be authorized in one member state only.</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6"/>
          <w:szCs w:val="16"/>
          <w:color w:val="auto"/>
        </w:rPr>
        <w:t>‑</w:t>
      </w:r>
      <w:r>
        <w:rPr>
          <w:rFonts w:ascii="Arial" w:cs="Arial" w:eastAsia="Arial" w:hAnsi="Arial"/>
          <w:sz w:val="16"/>
          <w:szCs w:val="16"/>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Conducting research and development is central to our business model. We have invested and expect to continue to invest significant time and capital in our research and development operations. Our research and development expenses were $23.5 million, $20.0 million, and $21.2 million for the years ended December 31, 2018, 2017, and 2016, respectively. We plan to increase our research and development expenses for the foreseeable future as we seek to complete the development of AXS-05, AXS-07, AXS-09, AXS-12, AXS-02, and AXS-06.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8"/>
          <w:szCs w:val="18"/>
          <w:color w:val="auto"/>
        </w:rPr>
        <w:t>As of March 11, 2019, we had 29 full</w:t>
      </w:r>
      <w:r>
        <w:rPr>
          <w:rFonts w:ascii="MS PGothic" w:cs="MS PGothic" w:eastAsia="MS PGothic" w:hAnsi="MS PGothic"/>
          <w:sz w:val="18"/>
          <w:szCs w:val="18"/>
          <w:color w:val="auto"/>
        </w:rPr>
        <w:t>‑</w:t>
      </w:r>
      <w:r>
        <w:rPr>
          <w:rFonts w:ascii="Arial" w:cs="Arial" w:eastAsia="Arial" w:hAnsi="Arial"/>
          <w:sz w:val="18"/>
          <w:szCs w:val="18"/>
          <w:color w:val="auto"/>
        </w:rPr>
        <w:t>time employees. None of our employees is represented by a collective bargaining agreement and we have never experienced any work stoppage. We believe that we maintain good relations with our employees.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We were incorporated in Delaware in January 2012. Our offices are located at 25 Broadway, 9</w:t>
      </w:r>
      <w:r>
        <w:rPr>
          <w:rFonts w:ascii="Arial" w:cs="Arial" w:eastAsia="Arial" w:hAnsi="Arial"/>
          <w:sz w:val="8"/>
          <w:szCs w:val="8"/>
          <w:color w:val="auto"/>
        </w:rPr>
        <w:t>th</w:t>
      </w:r>
      <w:r>
        <w:rPr>
          <w:rFonts w:ascii="Arial" w:cs="Arial" w:eastAsia="Arial" w:hAnsi="Arial"/>
          <w:sz w:val="18"/>
          <w:szCs w:val="18"/>
          <w:color w:val="auto"/>
        </w:rPr>
        <w:t xml:space="preserve"> Floor, New York, New York 10004, and our telephone number is (212) 332-3241.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(1) the last day of the fiscal year (a) following the fifth anniversary of the completion of our initial public offering in November 2015, (b) in which we have total annual gross revenue of at least $1.07 billion, or (c) in which we are deemed to be a large accelerated filer, which means the market value of our common stock that is held by non-affiliates exceeded $700 million as of the prior June 30</w:t>
      </w:r>
      <w:r>
        <w:rPr>
          <w:rFonts w:ascii="Arial" w:cs="Arial" w:eastAsia="Arial" w:hAnsi="Arial"/>
          <w:sz w:val="7"/>
          <w:szCs w:val="7"/>
          <w:color w:val="auto"/>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Annual Report on Form 10-K, including our consolidated financial statements and the related notes and the section titled “Management’s Discussion and Analysis of Financial Condition and Results of Operations.”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CNS product candidates AXS-02, AXS-05, AXS-06, AXS-07, AXS-09, and AXS-12, which we refer to herein as our product candidates, with the goal of achieving regulatory approval. Since inception, we have incurred significant operating losses. Our net losses were $31.0 million and $28.9 million for the years ended December 31, 2018 and 2017, respectively. As of December 31, 2018, we had an accumulated deficit of $107.6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940" w:hanging="289"/>
        <w:spacing w:after="0" w:line="207" w:lineRule="exact"/>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spacing w:after="0" w:line="184" w:lineRule="exact"/>
        <w:rPr>
          <w:rFonts w:ascii="Arial" w:cs="Arial" w:eastAsia="Arial" w:hAnsi="Arial"/>
          <w:sz w:val="18"/>
          <w:szCs w:val="18"/>
          <w:color w:val="auto"/>
        </w:rPr>
      </w:pPr>
    </w:p>
    <w:p>
      <w:pPr>
        <w:ind w:left="980" w:right="500" w:hanging="329"/>
        <w:spacing w:after="0" w:line="203" w:lineRule="exact"/>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07 for the acute treatment of migraine;</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our Phase 2 clinical trials with AXS</w:t>
      </w:r>
      <w:r>
        <w:rPr>
          <w:rFonts w:ascii="MS PGothic" w:cs="MS PGothic" w:eastAsia="MS PGothic" w:hAnsi="MS PGothic"/>
          <w:sz w:val="18"/>
          <w:szCs w:val="18"/>
          <w:color w:val="auto"/>
        </w:rPr>
        <w:t>‑</w:t>
      </w:r>
      <w:r>
        <w:rPr>
          <w:rFonts w:ascii="Arial" w:cs="Arial" w:eastAsia="Arial" w:hAnsi="Arial"/>
          <w:sz w:val="18"/>
          <w:szCs w:val="18"/>
          <w:color w:val="auto"/>
        </w:rPr>
        <w:t>12 in narcolepsy;</w:t>
      </w:r>
    </w:p>
    <w:p>
      <w:pPr>
        <w:spacing w:after="0" w:line="184" w:lineRule="exact"/>
        <w:rPr>
          <w:rFonts w:ascii="Arial" w:cs="Arial" w:eastAsia="Arial" w:hAnsi="Arial"/>
          <w:sz w:val="18"/>
          <w:szCs w:val="18"/>
          <w:color w:val="auto"/>
        </w:rPr>
      </w:pPr>
    </w:p>
    <w:p>
      <w:pPr>
        <w:ind w:left="980" w:right="20" w:hanging="329"/>
        <w:spacing w:after="0" w:line="235" w:lineRule="auto"/>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161" w:lineRule="exact"/>
        <w:rPr>
          <w:rFonts w:ascii="Arial" w:cs="Arial" w:eastAsia="Arial" w:hAnsi="Arial"/>
          <w:sz w:val="18"/>
          <w:szCs w:val="18"/>
          <w:color w:val="auto"/>
        </w:rPr>
      </w:pPr>
    </w:p>
    <w:p>
      <w:pPr>
        <w:ind w:left="980" w:right="320" w:hanging="329"/>
        <w:spacing w:after="0" w:line="194" w:lineRule="exact"/>
        <w:tabs>
          <w:tab w:leader="none" w:pos="9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to evaluate, plan for, and conduct, clinical trials for our Axsome PPC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knee osteoarthritis, or OA, associated with bone marrow lesions, or BMLs and AXS-06 for the treatment of osteoarthritis and rheumatoid arthritis;</w:t>
      </w:r>
    </w:p>
    <w:p>
      <w:pPr>
        <w:spacing w:after="0" w:line="161" w:lineRule="exact"/>
        <w:rPr>
          <w:rFonts w:ascii="Arial" w:cs="Arial" w:eastAsia="Arial" w:hAnsi="Arial"/>
          <w:sz w:val="17"/>
          <w:szCs w:val="17"/>
          <w:color w:val="auto"/>
        </w:rPr>
      </w:pPr>
    </w:p>
    <w:p>
      <w:pPr>
        <w:ind w:left="940" w:hanging="289"/>
        <w:spacing w:after="0" w:line="207" w:lineRule="exact"/>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940" w:hanging="289"/>
        <w:spacing w:after="0" w:line="184" w:lineRule="exact"/>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940" w:hanging="289"/>
        <w:spacing w:after="0" w:line="196" w:lineRule="exact"/>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40" w:hanging="289"/>
        <w:spacing w:after="0" w:line="207" w:lineRule="exact"/>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980" w:right="500" w:hanging="329"/>
        <w:spacing w:after="0" w:line="235" w:lineRule="auto"/>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980" w:right="20" w:hanging="329"/>
        <w:spacing w:after="0" w:line="224" w:lineRule="auto"/>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980" w:right="140" w:hanging="329"/>
        <w:spacing w:after="0" w:line="258" w:lineRule="auto"/>
        <w:tabs>
          <w:tab w:leader="none" w:pos="9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200"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46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980" w:hanging="329"/>
        <w:spacing w:after="0" w:line="224"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980" w:right="240" w:hanging="329"/>
        <w:spacing w:after="0" w:line="203" w:lineRule="exact"/>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believe our current cash, which includes proceeds from the January 2019 at-the-market equity financings and the March 2019 term loan, will be sufficient to fund our anticipated operating cash requirements into at least the fourth quarter of 2021.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2" w:lineRule="exact"/>
        <w:rPr>
          <w:sz w:val="20"/>
          <w:szCs w:val="20"/>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associated with conducting additional non-clinical studies with any of our product candidates;</w:t>
      </w:r>
    </w:p>
    <w:p>
      <w:pPr>
        <w:spacing w:after="0" w:line="196" w:lineRule="exact"/>
        <w:rPr>
          <w:rFonts w:ascii="Arial" w:cs="Arial" w:eastAsia="Arial" w:hAnsi="Arial"/>
          <w:sz w:val="17"/>
          <w:szCs w:val="17"/>
          <w:color w:val="auto"/>
        </w:rPr>
      </w:pPr>
    </w:p>
    <w:p>
      <w:pPr>
        <w:ind w:left="980" w:right="48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our product candidates;</w:t>
      </w:r>
    </w:p>
    <w:p>
      <w:pPr>
        <w:spacing w:after="0" w:line="196" w:lineRule="exact"/>
        <w:rPr>
          <w:rFonts w:ascii="Arial" w:cs="Arial" w:eastAsia="Arial" w:hAnsi="Arial"/>
          <w:sz w:val="17"/>
          <w:szCs w:val="17"/>
          <w:color w:val="auto"/>
        </w:rPr>
      </w:pPr>
    </w:p>
    <w:p>
      <w:pPr>
        <w:ind w:left="980" w:right="40" w:hanging="329"/>
        <w:spacing w:after="0" w:line="194" w:lineRule="exact"/>
        <w:tabs>
          <w:tab w:leader="none" w:pos="9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161" w:lineRule="exact"/>
        <w:rPr>
          <w:rFonts w:ascii="Arial" w:cs="Arial" w:eastAsia="Arial" w:hAnsi="Arial"/>
          <w:sz w:val="17"/>
          <w:szCs w:val="17"/>
          <w:color w:val="auto"/>
        </w:rPr>
      </w:pPr>
    </w:p>
    <w:p>
      <w:pPr>
        <w:ind w:left="980" w:right="8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980" w:right="92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80" w:right="240" w:hanging="329"/>
        <w:spacing w:after="0" w:line="235"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61" w:lineRule="exact"/>
        <w:rPr>
          <w:rFonts w:ascii="Arial" w:cs="Arial" w:eastAsia="Arial" w:hAnsi="Arial"/>
          <w:sz w:val="18"/>
          <w:szCs w:val="18"/>
          <w:color w:val="auto"/>
        </w:rPr>
      </w:pPr>
    </w:p>
    <w:p>
      <w:pPr>
        <w:ind w:left="980" w:right="40" w:hanging="329"/>
        <w:spacing w:after="0" w:line="203" w:lineRule="exact"/>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existing obligations under our original term loan facility with SVB, as amended, and such obligations are considered fully repaid and extinguished. The new term loan facility matures in February 2023 and has an interest-only monthly payment period for twelve months, which may be extended to 18 months upon drawing of the second tranche. Following the interest-only payment period, we will begin making monthly payments of principal and interest until the maturity date. Interest will accrue on the unpaid principal balance of the outstanding loan advances at a floating per annum rate equal to the greater of (i) seven and one-half of one percent (7.50%) and (ii) two percent (2.0%) above the prime rate.</w:t>
      </w:r>
    </w:p>
    <w:p>
      <w:pPr>
        <w:spacing w:after="0" w:line="16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our Phase 3 clinical trial with AXS-05 for the treatment of TRD in March 2016, our Phase 2/3 trial with AXS-05 for the treatment of agitation associated with AD in July 2017, our Phase 2 with AXS-05 trial for the treatment of MDD in June 2018, our Phase 2 trial with AXS-12 for the treatment of narcolepsy in January 2019, and our Phase 3 trial with AXS-07 for the acute treatment of migraine in March 2019. As a result of one or more risks discussed in this section, we cannot assure you that we will meet projected timelines related to these trials.</w:t>
      </w:r>
    </w:p>
    <w:p>
      <w:pPr>
        <w:spacing w:after="0" w:line="1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candidates in the foreseeable future, or at all. Any significant delays in obtaining approval for and commercializing our product candidates will have a material adverse impact on our business and financial condition.</w:t>
      </w:r>
    </w:p>
    <w:p>
      <w:pPr>
        <w:spacing w:after="0" w:line="13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and one Phase 2 trial in MDD. For AXS-07, we have only conducted one Phase 1 clinical trial. For AXS-09, we have only completed one Phase 1 clinical trial. Finally, for AXS-12, we recently initiated a Phase 2 study.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w:t>
      </w:r>
    </w:p>
    <w:p>
      <w:pPr>
        <w:spacing w:after="0" w:line="121"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conducted one interim analysis for the ongoing Phase 3 trial of AXS-05 in TRD and for the ongoing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2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980" w:right="120" w:hanging="329"/>
        <w:spacing w:after="0" w:line="235"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980" w:right="140" w:hanging="329"/>
        <w:spacing w:after="0" w:line="235"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980" w:right="600" w:hanging="329"/>
        <w:spacing w:after="0" w:line="235"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980" w:right="160" w:hanging="329"/>
        <w:spacing w:after="0" w:line="235"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160" w:hanging="329"/>
        <w:spacing w:after="0" w:line="203" w:lineRule="exact"/>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18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depression, agitation associated with AD, and smoking cessation, AXS-07 for the acute treatment of migraine and AXS-12 for the treatment of narcolepsy.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164" w:lineRule="exact"/>
        <w:rPr>
          <w:sz w:val="20"/>
          <w:szCs w:val="20"/>
          <w:color w:val="auto"/>
        </w:rPr>
      </w:pPr>
    </w:p>
    <w:p>
      <w:pPr>
        <w:ind w:right="79" w:firstLine="648"/>
        <w:spacing w:after="0" w:line="203"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194" w:lineRule="exact"/>
        <w:rPr>
          <w:sz w:val="20"/>
          <w:szCs w:val="20"/>
          <w:color w:val="auto"/>
        </w:rPr>
      </w:pPr>
      <w:r>
        <w:rPr>
          <w:rFonts w:ascii="Arial" w:cs="Arial" w:eastAsia="Arial" w:hAnsi="Arial"/>
          <w:sz w:val="17"/>
          <w:szCs w:val="17"/>
          <w:color w:val="auto"/>
        </w:rPr>
        <w:t>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 containing or rizatriptan-containing products including Vivlodex, Mobic, and Maxalt.</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Based on the side effects disclosed in EMA product label for marketed drugs that contain the same active molecule as our product candidate, AXS-12 may result in decreased appetite, insomnia, agitation, anxiety, dizziness, headache, paraesthesia,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220" w:firstLine="648"/>
        <w:spacing w:after="0" w:line="226"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7"/>
          <w:szCs w:val="17"/>
          <w:color w:val="auto"/>
        </w:rPr>
        <w:t>‑</w:t>
      </w:r>
      <w:r>
        <w:rPr>
          <w:rFonts w:ascii="Arial" w:cs="Arial" w:eastAsia="Arial" w:hAnsi="Arial"/>
          <w:sz w:val="17"/>
          <w:szCs w:val="17"/>
          <w:color w:val="auto"/>
        </w:rPr>
        <w:t>risk launch.” The risk involved in doing so can be substantial because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5"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980" w:right="240" w:hanging="329"/>
        <w:spacing w:after="0" w:line="235" w:lineRule="auto"/>
        <w:tabs>
          <w:tab w:leader="none" w:pos="9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line="235"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980" w:right="40" w:hanging="329"/>
        <w:spacing w:after="0" w:line="238" w:lineRule="auto"/>
        <w:tabs>
          <w:tab w:leader="none" w:pos="9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1" w:lineRule="exact"/>
        <w:rPr>
          <w:rFonts w:ascii="Arial" w:cs="Arial" w:eastAsia="Arial" w:hAnsi="Arial"/>
          <w:sz w:val="17"/>
          <w:szCs w:val="17"/>
          <w:color w:val="auto"/>
        </w:rPr>
      </w:pPr>
    </w:p>
    <w:p>
      <w:pPr>
        <w:ind w:left="980" w:right="80" w:hanging="329"/>
        <w:spacing w:after="0" w:line="224" w:lineRule="auto"/>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sz w:val="20"/>
          <w:szCs w:val="20"/>
          <w:color w:val="auto"/>
        </w:rPr>
      </w:pPr>
    </w:p>
    <w:p>
      <w:pPr>
        <w:ind w:left="980" w:right="280" w:hanging="329"/>
        <w:spacing w:after="0" w:line="209" w:lineRule="auto"/>
        <w:tabs>
          <w:tab w:leader="none" w:pos="98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2" w:lineRule="exact"/>
        <w:rPr>
          <w:sz w:val="20"/>
          <w:szCs w:val="20"/>
          <w:color w:val="auto"/>
        </w:rPr>
      </w:pPr>
    </w:p>
    <w:p>
      <w:pPr>
        <w:ind w:left="980" w:right="40" w:hanging="329"/>
        <w:spacing w:after="0" w:line="194" w:lineRule="exact"/>
        <w:tabs>
          <w:tab w:leader="none" w:pos="9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980" w:right="180" w:hanging="329"/>
        <w:spacing w:after="0" w:line="214" w:lineRule="auto"/>
        <w:tabs>
          <w:tab w:leader="none" w:pos="9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2" w:lineRule="exact"/>
        <w:rPr>
          <w:rFonts w:ascii="Arial" w:cs="Arial" w:eastAsia="Arial" w:hAnsi="Arial"/>
          <w:sz w:val="18"/>
          <w:szCs w:val="18"/>
          <w:color w:val="auto"/>
        </w:rPr>
      </w:pPr>
    </w:p>
    <w:p>
      <w:pPr>
        <w:ind w:left="980" w:right="140" w:hanging="329"/>
        <w:spacing w:after="0" w:line="235" w:lineRule="auto"/>
        <w:tabs>
          <w:tab w:leader="none" w:pos="9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980" w:hanging="329"/>
        <w:spacing w:after="0" w:line="289" w:lineRule="auto"/>
        <w:tabs>
          <w:tab w:leader="none" w:pos="9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980" w:right="440" w:hanging="329"/>
        <w:spacing w:after="0" w:line="235" w:lineRule="auto"/>
        <w:tabs>
          <w:tab w:leader="none" w:pos="9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980" w:right="60" w:hanging="329"/>
        <w:spacing w:after="0" w:line="180" w:lineRule="exact"/>
        <w:tabs>
          <w:tab w:leader="none" w:pos="9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 Finally, for AXS-12, we will need to conduct additional clinical studies in addition to our newly initiated Phase 2 trial in order to file an NDA for this product candidate. The outcome of our studies may further necessitate additional clinical or preclinical work;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left="940" w:hanging="289"/>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980" w:right="440" w:hanging="329"/>
        <w:spacing w:after="0" w:line="259" w:lineRule="auto"/>
        <w:tabs>
          <w:tab w:leader="none" w:pos="9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7" w:lineRule="exact"/>
        <w:rPr>
          <w:rFonts w:ascii="Arial" w:cs="Arial" w:eastAsia="Arial" w:hAnsi="Arial"/>
          <w:sz w:val="16"/>
          <w:szCs w:val="16"/>
          <w:color w:val="auto"/>
        </w:rPr>
      </w:pPr>
    </w:p>
    <w:p>
      <w:pPr>
        <w:ind w:left="980" w:right="100" w:hanging="329"/>
        <w:spacing w:after="0" w:line="235" w:lineRule="auto"/>
        <w:tabs>
          <w:tab w:leader="none" w:pos="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980" w:right="100" w:hanging="329"/>
        <w:spacing w:after="0" w:line="184" w:lineRule="exact"/>
        <w:tabs>
          <w:tab w:leader="none" w:pos="9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6"/>
          <w:szCs w:val="16"/>
          <w:color w:val="auto"/>
        </w:rPr>
        <w:t>‑</w:t>
      </w:r>
      <w:r>
        <w:rPr>
          <w:rFonts w:ascii="Arial" w:cs="Arial" w:eastAsia="Arial" w:hAnsi="Arial"/>
          <w:sz w:val="16"/>
          <w:szCs w:val="16"/>
          <w:color w:val="auto"/>
        </w:rPr>
        <w:t>02, the species and doses used in our preclinical studies, and the results of our preclinical studies;</w:t>
      </w:r>
    </w:p>
    <w:p>
      <w:pPr>
        <w:spacing w:after="0" w:line="162" w:lineRule="exact"/>
        <w:rPr>
          <w:rFonts w:ascii="Arial" w:cs="Arial" w:eastAsia="Arial" w:hAnsi="Arial"/>
          <w:sz w:val="16"/>
          <w:szCs w:val="16"/>
          <w:color w:val="auto"/>
        </w:rPr>
      </w:pPr>
    </w:p>
    <w:p>
      <w:pPr>
        <w:ind w:left="980" w:hanging="329"/>
        <w:spacing w:after="0" w:line="232" w:lineRule="auto"/>
        <w:tabs>
          <w:tab w:leader="none" w:pos="9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w:t>
      </w:r>
    </w:p>
    <w:p>
      <w:pPr>
        <w:spacing w:after="0" w:line="2" w:lineRule="exact"/>
        <w:rPr>
          <w:rFonts w:ascii="Arial" w:cs="Arial" w:eastAsia="Arial" w:hAnsi="Arial"/>
          <w:sz w:val="16"/>
          <w:szCs w:val="16"/>
          <w:color w:val="auto"/>
        </w:rPr>
      </w:pPr>
    </w:p>
    <w:p>
      <w:pPr>
        <w:ind w:left="980" w:right="760"/>
        <w:spacing w:after="0" w:line="226" w:lineRule="auto"/>
        <w:rPr>
          <w:rFonts w:ascii="Arial" w:cs="Arial" w:eastAsia="Arial" w:hAnsi="Arial"/>
          <w:sz w:val="16"/>
          <w:szCs w:val="16"/>
          <w:color w:val="auto"/>
        </w:rPr>
      </w:pPr>
      <w:r>
        <w:rPr>
          <w:rFonts w:ascii="Arial" w:cs="Arial" w:eastAsia="Arial" w:hAnsi="Arial"/>
          <w:sz w:val="18"/>
          <w:szCs w:val="18"/>
          <w:color w:val="auto"/>
        </w:rPr>
        <w:t>(2) pathway. If we are prevented from using the 505(b)(2) pathway, we will need to use the more time consuming and expensive NDA pathway to receive product approval;</w:t>
      </w:r>
    </w:p>
    <w:p>
      <w:pPr>
        <w:spacing w:after="0" w:line="121" w:lineRule="exact"/>
        <w:rPr>
          <w:sz w:val="20"/>
          <w:szCs w:val="20"/>
          <w:color w:val="auto"/>
        </w:rPr>
      </w:pPr>
    </w:p>
    <w:p>
      <w:pPr>
        <w:ind w:left="980" w:right="160" w:hanging="329"/>
        <w:spacing w:after="0" w:line="211" w:lineRule="auto"/>
        <w:tabs>
          <w:tab w:leader="none" w:pos="98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3" w:lineRule="exact"/>
        <w:rPr>
          <w:sz w:val="20"/>
          <w:szCs w:val="20"/>
          <w:color w:val="auto"/>
        </w:rPr>
      </w:pPr>
    </w:p>
    <w:p>
      <w:pPr>
        <w:ind w:left="940" w:hanging="289"/>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980" w:right="300" w:hanging="329"/>
        <w:spacing w:after="0" w:line="258" w:lineRule="auto"/>
        <w:tabs>
          <w:tab w:leader="none" w:pos="9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980" w:right="100" w:hanging="329"/>
        <w:spacing w:after="0" w:line="235" w:lineRule="auto"/>
        <w:tabs>
          <w:tab w:leader="none" w:pos="9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980" w:right="20" w:hanging="329"/>
        <w:spacing w:after="0" w:line="235" w:lineRule="auto"/>
        <w:tabs>
          <w:tab w:leader="none" w:pos="9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440" w:hanging="329"/>
        <w:spacing w:after="0" w:line="235" w:lineRule="auto"/>
        <w:tabs>
          <w:tab w:leader="none" w:pos="9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ind w:left="980" w:right="220" w:hanging="329"/>
        <w:spacing w:after="0" w:line="259" w:lineRule="auto"/>
        <w:tabs>
          <w:tab w:leader="none" w:pos="9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7" w:lineRule="exact"/>
        <w:rPr>
          <w:rFonts w:ascii="Arial" w:cs="Arial" w:eastAsia="Arial" w:hAnsi="Arial"/>
          <w:sz w:val="16"/>
          <w:szCs w:val="16"/>
          <w:color w:val="auto"/>
        </w:rPr>
      </w:pPr>
    </w:p>
    <w:p>
      <w:pPr>
        <w:ind w:left="940" w:hanging="289"/>
        <w:spacing w:after="0" w:line="207" w:lineRule="exact"/>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 During the course of review, the FDA may also request or require additional chemistry, manufacturing, and control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62"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1"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980" w:right="400" w:hanging="329"/>
        <w:spacing w:after="0" w:line="235" w:lineRule="auto"/>
        <w:tabs>
          <w:tab w:leader="none" w:pos="9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980" w:right="440" w:hanging="329"/>
        <w:spacing w:after="0" w:line="289" w:lineRule="auto"/>
        <w:tabs>
          <w:tab w:leader="none" w:pos="9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980" w:right="120" w:hanging="329"/>
        <w:spacing w:after="0" w:line="235" w:lineRule="auto"/>
        <w:tabs>
          <w:tab w:leader="none" w:pos="9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treatment of agitation associated with AD, we exclude patients who have been treated with certain classes of medications. For our Phase 3 clinical trial with AXS-07 for the acute treatment of migraine, only patients with a history of inadequate response to prior migraine treatments will be enrolled.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5"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single-agent product candidate.</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Finally, the FDA’s requirements concerning combination products may change in the future. Moreover, the applicable requirements for approval may differ from country to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12"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As product candidates are developed through preclinical studies to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7"/>
          <w:szCs w:val="17"/>
          <w:color w:val="auto"/>
        </w:rPr>
        <w:t>‑</w:t>
      </w:r>
      <w:r>
        <w:rPr>
          <w:rFonts w:ascii="Arial" w:cs="Arial" w:eastAsia="Arial" w:hAnsi="Arial"/>
          <w:sz w:val="17"/>
          <w:szCs w:val="17"/>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63"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6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5"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7"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6"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980" w:right="1220" w:hanging="329"/>
        <w:spacing w:after="0" w:line="289" w:lineRule="auto"/>
        <w:tabs>
          <w:tab w:leader="none" w:pos="9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84" w:lineRule="exact"/>
        <w:rPr>
          <w:rFonts w:ascii="Arial" w:cs="Arial" w:eastAsia="Arial" w:hAnsi="Arial"/>
          <w:sz w:val="18"/>
          <w:szCs w:val="18"/>
          <w:color w:val="auto"/>
        </w:rPr>
      </w:pPr>
    </w:p>
    <w:p>
      <w:pPr>
        <w:ind w:left="980" w:right="100" w:hanging="329"/>
        <w:spacing w:after="0" w:line="249" w:lineRule="auto"/>
        <w:tabs>
          <w:tab w:leader="none" w:pos="9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54" w:lineRule="exact"/>
        <w:rPr>
          <w:rFonts w:ascii="Arial" w:cs="Arial" w:eastAsia="Arial" w:hAnsi="Arial"/>
          <w:sz w:val="16"/>
          <w:szCs w:val="16"/>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980" w:right="800" w:hanging="329"/>
        <w:spacing w:after="0" w:line="258" w:lineRule="auto"/>
        <w:tabs>
          <w:tab w:leader="none" w:pos="9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980" w:right="260" w:hanging="329"/>
        <w:spacing w:after="0" w:line="289" w:lineRule="auto"/>
        <w:tabs>
          <w:tab w:leader="none" w:pos="9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4440" w:right="2680" w:hanging="3789"/>
        <w:spacing w:after="0" w:line="731" w:lineRule="auto"/>
        <w:tabs>
          <w:tab w:leader="none" w:pos="9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line="194" w:lineRule="exact"/>
        <w:tabs>
          <w:tab w:leader="none" w:pos="9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63" w:lineRule="exact"/>
        <w:rPr>
          <w:rFonts w:ascii="Arial" w:cs="Arial" w:eastAsia="Arial" w:hAnsi="Arial"/>
          <w:sz w:val="16"/>
          <w:szCs w:val="16"/>
          <w:color w:val="auto"/>
        </w:rPr>
      </w:pPr>
    </w:p>
    <w:p>
      <w:pPr>
        <w:ind w:left="980" w:right="80" w:hanging="329"/>
        <w:spacing w:after="0" w:line="224" w:lineRule="auto"/>
        <w:tabs>
          <w:tab w:leader="none" w:pos="9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EU General Data Protection Regulation, or the GDPR, which became enforceable beginning May 25, 2018;</w:t>
      </w:r>
    </w:p>
    <w:p>
      <w:pPr>
        <w:spacing w:after="0" w:line="163" w:lineRule="exact"/>
        <w:rPr>
          <w:sz w:val="20"/>
          <w:szCs w:val="20"/>
          <w:color w:val="auto"/>
        </w:rPr>
      </w:pPr>
    </w:p>
    <w:p>
      <w:pPr>
        <w:ind w:left="980" w:right="180" w:hanging="329"/>
        <w:spacing w:after="0" w:line="222" w:lineRule="auto"/>
        <w:tabs>
          <w:tab w:leader="none" w:pos="98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63" w:lineRule="exact"/>
        <w:rPr>
          <w:sz w:val="20"/>
          <w:szCs w:val="20"/>
          <w:color w:val="auto"/>
        </w:rPr>
      </w:pPr>
    </w:p>
    <w:p>
      <w:pPr>
        <w:ind w:left="980" w:right="46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980" w:right="32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980" w:right="560" w:hanging="329"/>
        <w:spacing w:after="0" w:line="258" w:lineRule="auto"/>
        <w:tabs>
          <w:tab w:leader="none" w:pos="9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costs of compliance with U.S. laws and regulations for foreign operations, including the Foreign Corrupt Practices Act or comparable foreign regulations, and the risks and costs of noncompliance;</w:t>
      </w:r>
    </w:p>
    <w:p>
      <w:pPr>
        <w:spacing w:after="0" w:line="146" w:lineRule="exact"/>
        <w:rPr>
          <w:rFonts w:ascii="Arial" w:cs="Arial" w:eastAsia="Arial" w:hAnsi="Arial"/>
          <w:sz w:val="17"/>
          <w:szCs w:val="17"/>
          <w:color w:val="auto"/>
        </w:rPr>
      </w:pPr>
    </w:p>
    <w:p>
      <w:pPr>
        <w:ind w:left="980" w:right="42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980" w:right="480" w:hanging="329"/>
        <w:spacing w:after="0" w:line="235" w:lineRule="auto"/>
        <w:tabs>
          <w:tab w:leader="none" w:pos="9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Generic forms of the active ingredients of our product candidates, including zoledronic acid, DM, bupropion,</w:t>
      </w:r>
    </w:p>
    <w:p>
      <w:pPr>
        <w:spacing w:after="0" w:line="215" w:lineRule="auto"/>
        <w:rPr>
          <w:sz w:val="20"/>
          <w:szCs w:val="20"/>
          <w:color w:val="auto"/>
        </w:rPr>
      </w:pPr>
      <w:r>
        <w:rPr>
          <w:rFonts w:ascii="Arial" w:cs="Arial" w:eastAsia="Arial" w:hAnsi="Arial"/>
          <w:sz w:val="17"/>
          <w:szCs w:val="17"/>
          <w:color w:val="auto"/>
        </w:rPr>
        <w:t>meloxicam, rizatriptan, reboxetine, and esomeprazole, are available in the United States or abroad and could be used</w:t>
      </w:r>
    </w:p>
    <w:p>
      <w:pPr>
        <w:spacing w:after="0" w:line="176" w:lineRule="exact"/>
        <w:rPr>
          <w:sz w:val="20"/>
          <w:szCs w:val="20"/>
          <w:color w:val="auto"/>
        </w:rPr>
      </w:pPr>
      <w:r>
        <w:rPr>
          <w:rFonts w:ascii="Arial" w:cs="Arial" w:eastAsia="Arial" w:hAnsi="Arial"/>
          <w:sz w:val="16"/>
          <w:szCs w:val="16"/>
          <w:color w:val="auto"/>
        </w:rPr>
        <w:t>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w:t>
      </w:r>
    </w:p>
    <w:p>
      <w:pPr>
        <w:spacing w:after="0" w:line="216" w:lineRule="auto"/>
        <w:rPr>
          <w:sz w:val="20"/>
          <w:szCs w:val="20"/>
          <w:color w:val="auto"/>
        </w:rPr>
      </w:pPr>
      <w:r>
        <w:rPr>
          <w:rFonts w:ascii="Arial" w:cs="Arial" w:eastAsia="Arial" w:hAnsi="Arial"/>
          <w:sz w:val="17"/>
          <w:szCs w:val="17"/>
          <w:color w:val="auto"/>
        </w:rPr>
        <w:t>and financial condition. For example, even though zoledronic acid is not currently approved for the treatment of pain, we</w:t>
      </w:r>
    </w:p>
    <w:p>
      <w:pPr>
        <w:spacing w:after="0" w:line="229" w:lineRule="auto"/>
        <w:rPr>
          <w:sz w:val="20"/>
          <w:szCs w:val="20"/>
          <w:color w:val="auto"/>
        </w:rPr>
      </w:pPr>
      <w:r>
        <w:rPr>
          <w:rFonts w:ascii="Arial" w:cs="Arial" w:eastAsia="Arial" w:hAnsi="Arial"/>
          <w:sz w:val="16"/>
          <w:szCs w:val="16"/>
          <w:color w:val="auto"/>
        </w:rPr>
        <w:t>would not be able to prevent a physician from prescribing zoledronic acid in intravenous form for such treatment. Nor could</w:t>
      </w:r>
    </w:p>
    <w:p>
      <w:pPr>
        <w:spacing w:after="0" w:line="229" w:lineRule="auto"/>
        <w:rPr>
          <w:sz w:val="20"/>
          <w:szCs w:val="20"/>
          <w:color w:val="auto"/>
        </w:rPr>
      </w:pPr>
      <w:r>
        <w:rPr>
          <w:rFonts w:ascii="Arial" w:cs="Arial" w:eastAsia="Arial" w:hAnsi="Arial"/>
          <w:sz w:val="16"/>
          <w:szCs w:val="16"/>
          <w:color w:val="auto"/>
        </w:rPr>
        <w:t>we prevent a payor from offering favorable coverage for such product and disadvantaging our product candidates, even if the</w:t>
      </w:r>
    </w:p>
    <w:p>
      <w:pPr>
        <w:spacing w:after="0"/>
        <w:rPr>
          <w:sz w:val="20"/>
          <w:szCs w:val="20"/>
          <w:color w:val="auto"/>
        </w:rPr>
      </w:pPr>
      <w:r>
        <w:rPr>
          <w:rFonts w:ascii="Arial" w:cs="Arial" w:eastAsia="Arial" w:hAnsi="Arial"/>
          <w:sz w:val="18"/>
          <w:szCs w:val="18"/>
          <w:color w:val="auto"/>
        </w:rPr>
        <w:t>generics would be used off-label.</w:t>
      </w:r>
    </w:p>
    <w:p>
      <w:pPr>
        <w:spacing w:after="0" w:line="169"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clinical trial sites and patient registration for clinical trials, as well as in acquiring technologies complementary to, or necessary for, our programs.</w:t>
      </w:r>
    </w:p>
    <w:p>
      <w:pPr>
        <w:spacing w:after="0" w:line="162"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79"/>
        <w:spacing w:after="0" w:line="189" w:lineRule="exact"/>
        <w:rPr>
          <w:sz w:val="20"/>
          <w:szCs w:val="20"/>
          <w:color w:val="auto"/>
        </w:rPr>
      </w:pPr>
      <w:r>
        <w:rPr>
          <w:rFonts w:ascii="Arial" w:cs="Arial" w:eastAsia="Arial" w:hAnsi="Arial"/>
          <w:sz w:val="18"/>
          <w:szCs w:val="18"/>
          <w:b w:val="1"/>
          <w:bCs w:val="1"/>
          <w:i w:val="1"/>
          <w:iCs w:val="1"/>
          <w:color w:val="auto"/>
        </w:rPr>
        <w:t>AXS-12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339" w:firstLine="648"/>
        <w:spacing w:after="0" w:line="194" w:lineRule="exact"/>
        <w:rPr>
          <w:sz w:val="20"/>
          <w:szCs w:val="20"/>
          <w:color w:val="auto"/>
        </w:rPr>
      </w:pPr>
      <w:r>
        <w:rPr>
          <w:rFonts w:ascii="Arial" w:cs="Arial" w:eastAsia="Arial" w:hAnsi="Arial"/>
          <w:sz w:val="18"/>
          <w:szCs w:val="18"/>
          <w:color w:val="auto"/>
        </w:rPr>
        <w:t>AXS-12 received Orphan Drug Designation from the FDA for the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02 received Orphan Drug Designation from the FDA for the treatment of CRPS. We may also seek Orphan Drug Designation for our other product candidates, as appropriate.</w:t>
      </w:r>
    </w:p>
    <w:p>
      <w:pPr>
        <w:spacing w:after="0" w:line="163"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39" w:firstLine="648"/>
        <w:spacing w:after="0" w:line="238"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940" w:hanging="289"/>
        <w:spacing w:after="0"/>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07" w:lineRule="exact"/>
        <w:rPr>
          <w:rFonts w:ascii="Arial" w:cs="Arial" w:eastAsia="Arial" w:hAnsi="Arial"/>
          <w:sz w:val="16"/>
          <w:szCs w:val="16"/>
          <w:color w:val="auto"/>
        </w:rPr>
      </w:pPr>
    </w:p>
    <w:p>
      <w:pPr>
        <w:ind w:left="980" w:right="34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980" w:right="6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07" w:lineRule="exact"/>
        <w:rPr>
          <w:rFonts w:ascii="Arial" w:cs="Arial" w:eastAsia="Arial" w:hAnsi="Arial"/>
          <w:sz w:val="16"/>
          <w:szCs w:val="16"/>
          <w:color w:val="auto"/>
        </w:rPr>
      </w:pPr>
    </w:p>
    <w:p>
      <w:pPr>
        <w:ind w:left="980" w:right="8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980" w:right="90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61" w:lineRule="exact"/>
        <w:rPr>
          <w:rFonts w:ascii="Arial" w:cs="Arial" w:eastAsia="Arial" w:hAnsi="Arial"/>
          <w:sz w:val="18"/>
          <w:szCs w:val="18"/>
          <w:color w:val="auto"/>
        </w:rPr>
      </w:pPr>
    </w:p>
    <w:p>
      <w:pPr>
        <w:ind w:left="980" w:right="66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980" w:right="420" w:hanging="329"/>
        <w:spacing w:after="0" w:line="235"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940" w:hanging="289"/>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980" w:right="319" w:hanging="329"/>
        <w:spacing w:after="0" w:line="235" w:lineRule="auto"/>
        <w:tabs>
          <w:tab w:leader="none" w:pos="9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980" w:right="319" w:hanging="329"/>
        <w:spacing w:after="0" w:line="203" w:lineRule="exact"/>
        <w:tabs>
          <w:tab w:leader="none" w:pos="9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980" w:right="179" w:hanging="329"/>
        <w:spacing w:after="0" w:line="235" w:lineRule="auto"/>
        <w:tabs>
          <w:tab w:leader="none" w:pos="9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196" w:lineRule="exact"/>
        <w:rPr>
          <w:rFonts w:ascii="Arial" w:cs="Arial" w:eastAsia="Arial" w:hAnsi="Arial"/>
          <w:sz w:val="17"/>
          <w:szCs w:val="17"/>
          <w:color w:val="auto"/>
        </w:rPr>
      </w:pPr>
    </w:p>
    <w:p>
      <w:pPr>
        <w:ind w:left="980" w:right="119" w:hanging="329"/>
        <w:spacing w:after="0" w:line="258" w:lineRule="auto"/>
        <w:tabs>
          <w:tab w:leader="none" w:pos="9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980" w:right="219" w:hanging="329"/>
        <w:spacing w:after="0" w:line="235" w:lineRule="auto"/>
        <w:tabs>
          <w:tab w:leader="none" w:pos="9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39" w:lineRule="exact"/>
        <w:rPr>
          <w:sz w:val="20"/>
          <w:szCs w:val="20"/>
          <w:color w:val="auto"/>
        </w:rPr>
      </w:pPr>
    </w:p>
    <w:p>
      <w:pPr>
        <w:ind w:left="980" w:hanging="329"/>
        <w:spacing w:after="0"/>
        <w:tabs>
          <w:tab w:leader="none" w:pos="98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the extent and strength of our marketing and distribution of such product candidate;</w:t>
      </w:r>
    </w:p>
    <w:p>
      <w:pPr>
        <w:spacing w:after="0" w:line="161" w:lineRule="exact"/>
        <w:rPr>
          <w:sz w:val="20"/>
          <w:szCs w:val="20"/>
          <w:color w:val="auto"/>
        </w:rPr>
      </w:pPr>
    </w:p>
    <w:p>
      <w:pPr>
        <w:ind w:left="980" w:right="139" w:hanging="329"/>
        <w:spacing w:after="0" w:line="235" w:lineRule="auto"/>
        <w:tabs>
          <w:tab w:leader="none" w:pos="9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980" w:right="359" w:hanging="329"/>
        <w:spacing w:after="0" w:line="289" w:lineRule="auto"/>
        <w:tabs>
          <w:tab w:leader="none" w:pos="9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40" w:hanging="2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980" w:right="260" w:hanging="329"/>
        <w:spacing w:after="0" w:line="235" w:lineRule="auto"/>
        <w:tabs>
          <w:tab w:leader="none" w:pos="9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980" w:right="700" w:hanging="329"/>
        <w:spacing w:after="0" w:line="235" w:lineRule="auto"/>
        <w:tabs>
          <w:tab w:leader="none" w:pos="9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65"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20"/>
        <w:spacing w:after="0" w:line="225" w:lineRule="auto"/>
        <w:rPr>
          <w:sz w:val="20"/>
          <w:szCs w:val="20"/>
          <w:color w:val="auto"/>
        </w:rPr>
      </w:pPr>
      <w:r>
        <w:rPr>
          <w:rFonts w:ascii="Arial" w:cs="Arial" w:eastAsia="Arial" w:hAnsi="Arial"/>
          <w:sz w:val="17"/>
          <w:szCs w:val="17"/>
          <w:color w:val="auto"/>
        </w:rPr>
        <w:t>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2" w:lineRule="exact"/>
        <w:rPr>
          <w:sz w:val="20"/>
          <w:szCs w:val="20"/>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07" w:lineRule="exact"/>
        <w:rPr>
          <w:rFonts w:ascii="Arial" w:cs="Arial" w:eastAsia="Arial" w:hAnsi="Arial"/>
          <w:sz w:val="16"/>
          <w:szCs w:val="16"/>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165" w:lineRule="exact"/>
        <w:rPr>
          <w:sz w:val="20"/>
          <w:szCs w:val="20"/>
          <w:color w:val="auto"/>
        </w:rPr>
      </w:pPr>
    </w:p>
    <w:p>
      <w:pPr>
        <w:ind w:right="220" w:firstLine="648"/>
        <w:spacing w:after="0" w:line="187"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181" w:lineRule="exact"/>
        <w:rPr>
          <w:sz w:val="20"/>
          <w:szCs w:val="20"/>
          <w:color w:val="auto"/>
        </w:rPr>
      </w:pPr>
      <w:r>
        <w:rPr>
          <w:rFonts w:ascii="Arial" w:cs="Arial" w:eastAsia="Arial" w:hAnsi="Arial"/>
          <w:sz w:val="16"/>
          <w:szCs w:val="16"/>
          <w:color w:val="auto"/>
        </w:rPr>
        <w:t>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8"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60"/>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60"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1"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6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59"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940" w:hanging="2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980" w:right="179" w:hanging="329"/>
        <w:spacing w:after="0" w:line="232" w:lineRule="auto"/>
        <w:tabs>
          <w:tab w:leader="none" w:pos="9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7"/>
          <w:szCs w:val="17"/>
          <w:color w:val="auto"/>
        </w:rPr>
      </w:pPr>
    </w:p>
    <w:p>
      <w:pPr>
        <w:ind w:left="980" w:right="259" w:hanging="329"/>
        <w:spacing w:after="0" w:line="224"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980" w:right="319" w:hanging="329"/>
        <w:spacing w:after="0" w:line="235"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980" w:right="319" w:hanging="329"/>
        <w:spacing w:after="0" w:line="219"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8"/>
          <w:szCs w:val="18"/>
          <w:color w:val="auto"/>
        </w:rPr>
      </w:pPr>
    </w:p>
    <w:p>
      <w:pPr>
        <w:ind w:left="980" w:right="99" w:hanging="329"/>
        <w:spacing w:after="0" w:line="224"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jc w:val="both"/>
        <w:ind w:left="980" w:right="399" w:hanging="329"/>
        <w:spacing w:after="0" w:line="224"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980" w:right="39" w:hanging="329"/>
        <w:spacing w:after="0" w:line="249" w:lineRule="auto"/>
        <w:tabs>
          <w:tab w:leader="none" w:pos="9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ind w:left="980" w:right="179" w:hanging="329"/>
        <w:spacing w:after="0" w:line="224"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980" w:right="59" w:hanging="329"/>
        <w:spacing w:after="0" w:line="235" w:lineRule="auto"/>
        <w:tabs>
          <w:tab w:leader="none" w:pos="9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79"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32"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79" w:lineRule="exact"/>
        <w:rPr>
          <w:sz w:val="20"/>
          <w:szCs w:val="20"/>
          <w:color w:val="auto"/>
        </w:rPr>
      </w:pPr>
      <w:r>
        <w:rPr>
          <w:rFonts w:ascii="Arial" w:cs="Arial" w:eastAsia="Arial" w:hAnsi="Arial"/>
          <w:sz w:val="16"/>
          <w:szCs w:val="16"/>
          <w:color w:val="auto"/>
        </w:rPr>
        <w:t>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If any of the license agreements with Antecip are terminated for any reason, our business, financial condition, results of operations, and prospects will be materially harmed.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4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67" w:lineRule="exact"/>
        <w:rPr>
          <w:sz w:val="20"/>
          <w:szCs w:val="20"/>
          <w:color w:val="auto"/>
        </w:rPr>
      </w:pPr>
    </w:p>
    <w:p>
      <w:pPr>
        <w:ind w:left="980" w:right="220" w:hanging="329"/>
        <w:spacing w:after="0" w:line="235" w:lineRule="auto"/>
        <w:tabs>
          <w:tab w:leader="none" w:pos="9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60"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980" w:right="60" w:hanging="329"/>
        <w:spacing w:after="0" w:line="235"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980" w:right="20" w:hanging="329"/>
        <w:spacing w:after="0" w:line="238" w:lineRule="auto"/>
        <w:tabs>
          <w:tab w:leader="none" w:pos="9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980" w:right="100" w:hanging="329"/>
        <w:spacing w:after="0" w:line="259" w:lineRule="auto"/>
        <w:tabs>
          <w:tab w:leader="none" w:pos="9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47" w:lineRule="exact"/>
        <w:rPr>
          <w:rFonts w:ascii="Arial" w:cs="Arial" w:eastAsia="Arial" w:hAnsi="Arial"/>
          <w:sz w:val="16"/>
          <w:szCs w:val="16"/>
          <w:color w:val="auto"/>
        </w:rPr>
      </w:pPr>
    </w:p>
    <w:p>
      <w:pPr>
        <w:ind w:left="980" w:right="140" w:hanging="329"/>
        <w:spacing w:after="0" w:line="224"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in October 2018, a petition for post-grant review of U.S. Patent No. 9,867,839, which we refer to as the ‘839 patent, and on January 3, 2018, petitions for post-grant reviews of U.S. Patents No. 9,931,352, which we refer to as the ‘352 patent, 10,039,774, which refer to as the ‘774 patent, and 10,052,338, which we refer to as the ‘338 patent, were filed at the USPTO by Grunenthal.</w:t>
      </w:r>
    </w:p>
    <w:p>
      <w:pPr>
        <w:spacing w:after="0" w:line="18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‘999, ‘352, ‘774, and ‘338 patents contain claims directed to the use of neridronic acid for the treatment of CRPS, and is one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initiate proceedings to review the validity of the ‘239, the ‘862, the ‘268, the ‘245, the ‘999, the ‘839, the ‘352, the ‘774, and the ‘338 patents.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383"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August 2017, we responded to and opposed the petition for the ‘862 patent. In November 2017, the PTAB rendered a decision to initiate a post-grant review for that patent. In February 2018, we responded to the PTAB decision to institute a post-grant review. On November 14, 2018, the Patent Trial and Appeal Board, or PTAB, entered a final written decision holding that the claims were invalid for lack of enablement, and for some claims, lack of novelty and/or obviousness. On January 16, 2019, we appealed the decision of the PTAB to the United States Court of Appeals for the Federal Circuit.</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February 2018, we responded to and opposed the petition for the ‘268 patent. In May 2018, the PTAB rendered a decision to initiate a post-grant review for the patent. In August 2018, we responded to the PTAB decision to institute a post-grant review.</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October 2018, the PTAB rendered a decision to initiate a post grant review for the ‘245 patent. In July, 2019, we responded to the PTAB decision to institute a post-grant review.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2019, the PTAB rendered a decision to initiate a post-grant review for the ‘999 patent.</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980" w:right="340" w:hanging="329"/>
        <w:spacing w:after="0" w:line="258" w:lineRule="auto"/>
        <w:tabs>
          <w:tab w:leader="none" w:pos="9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980" w:right="680" w:hanging="329"/>
        <w:spacing w:after="0" w:line="235" w:lineRule="auto"/>
        <w:tabs>
          <w:tab w:leader="none" w:pos="9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980" w:right="340" w:hanging="329"/>
        <w:spacing w:after="0" w:line="235" w:lineRule="auto"/>
        <w:tabs>
          <w:tab w:leader="none" w:pos="9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980" w:right="160" w:hanging="329"/>
        <w:spacing w:after="0" w:line="235" w:lineRule="auto"/>
        <w:tabs>
          <w:tab w:leader="none" w:pos="9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220" w:hanging="329"/>
        <w:spacing w:after="0" w:line="235" w:lineRule="auto"/>
        <w:tabs>
          <w:tab w:leader="none" w:pos="9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this Annual Report on Form 10-K,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and foreign laws. Even though we do not and will not control referrals of healthcare services or bill directly to Medicare, Medicaid, or other 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 are and will be applicable to our business. We would be subject to healthcare fraud and abuse by both the federal government and the states in which we conduct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63"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179" w:lineRule="exact"/>
        <w:rPr>
          <w:sz w:val="20"/>
          <w:szCs w:val="20"/>
          <w:color w:val="auto"/>
        </w:rPr>
      </w:pPr>
      <w:r>
        <w:rPr>
          <w:rFonts w:ascii="Arial" w:cs="Arial" w:eastAsia="Arial" w:hAnsi="Arial"/>
          <w:sz w:val="16"/>
          <w:szCs w:val="16"/>
          <w:color w:val="auto"/>
        </w:rPr>
        <w:t>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additional legislation to repeal and replace elements of the ACA. The United States District Court for the Northern District of Texas struck down the ACA, deeming it unconstitutional given that Congress repealed the individual mandate in 2017. While this decision has been stayed pending outcome of an appeal to the Fifth Circuit Court of Appeals, so the ruling does not have immediate effect, it is unclear how this decision, subsequent appeals, and other efforts to repeal and replace the ACA will impact the ACA. It is also unclear how regulatory and subregulatory policy, which fluctuate continually, may affect interpretation and implementation of the ACA and its practical effects on our business.</w:t>
      </w:r>
    </w:p>
    <w:p>
      <w:pPr>
        <w:spacing w:after="0" w:line="165"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66"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ability to sell our products profitably. If reimbursement of our products is unavailable or limited in scope or amount, or if pricing is set at unsatisfactory levels, our business could be harmed, possibly materially.</w:t>
      </w:r>
    </w:p>
    <w:p>
      <w:pPr>
        <w:spacing w:after="0" w:line="162"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ind w:right="279"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219" w:firstLine="648"/>
        <w:spacing w:after="0" w:line="203" w:lineRule="exact"/>
        <w:rPr>
          <w:sz w:val="20"/>
          <w:szCs w:val="20"/>
          <w:color w:val="auto"/>
        </w:rPr>
      </w:pPr>
      <w:r>
        <w:rPr>
          <w:rFonts w:ascii="Arial" w:cs="Arial" w:eastAsia="Arial" w:hAnsi="Arial"/>
          <w:sz w:val="16"/>
          <w:szCs w:val="16"/>
          <w:color w:val="auto"/>
        </w:rPr>
        <w:t>As of March 11, 2019, we had only 29 full</w:t>
      </w:r>
      <w:r>
        <w:rPr>
          <w:rFonts w:ascii="MS PGothic" w:cs="MS PGothic" w:eastAsia="MS PGothic" w:hAnsi="MS PGothic"/>
          <w:sz w:val="16"/>
          <w:szCs w:val="16"/>
          <w:color w:val="auto"/>
        </w:rPr>
        <w:t>‑</w:t>
      </w:r>
      <w:r>
        <w:rPr>
          <w:rFonts w:ascii="Arial" w:cs="Arial" w:eastAsia="Arial" w:hAnsi="Arial"/>
          <w:sz w:val="16"/>
          <w:szCs w:val="16"/>
          <w:color w:val="auto"/>
        </w:rPr>
        <w:t>time employees. We will need to substantially expand our managerial, commercial, financial, manufacturing, and other personnel resources in order to manage our operations and</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59" w:lineRule="exact"/>
        <w:rPr>
          <w:sz w:val="20"/>
          <w:szCs w:val="20"/>
          <w:color w:val="auto"/>
        </w:rPr>
      </w:pPr>
    </w:p>
    <w:p>
      <w:pPr>
        <w:ind w:left="980" w:right="240" w:hanging="329"/>
        <w:spacing w:after="0" w:line="224" w:lineRule="auto"/>
        <w:tabs>
          <w:tab w:leader="none" w:pos="9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980" w:right="480" w:hanging="329"/>
        <w:spacing w:after="0" w:line="235" w:lineRule="auto"/>
        <w:tabs>
          <w:tab w:leader="none" w:pos="9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08"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68"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8"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1"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49"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laws, regulations and industry standards relating to privacy and data protection in the United States, the EU and other jurisdictions, and we cannot determine the impact such future laws, regulations and standards may have on our business.</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 w:lineRule="exact"/>
        <w:rPr>
          <w:sz w:val="20"/>
          <w:szCs w:val="20"/>
          <w:color w:val="auto"/>
        </w:rPr>
      </w:pPr>
    </w:p>
    <w:p>
      <w:pPr>
        <w:ind w:right="40" w:firstLine="401"/>
        <w:spacing w:after="0" w:line="233"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63"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980" w:right="80" w:hanging="329"/>
        <w:spacing w:after="0" w:line="235" w:lineRule="auto"/>
        <w:tabs>
          <w:tab w:leader="none" w:pos="9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980" w:right="440" w:hanging="329"/>
        <w:spacing w:after="0" w:line="235" w:lineRule="auto"/>
        <w:tabs>
          <w:tab w:leader="none" w:pos="9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54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 including securities analysts;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980" w:right="70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980" w:right="580" w:hanging="329"/>
        <w:spacing w:after="0" w:line="235" w:lineRule="auto"/>
        <w:tabs>
          <w:tab w:leader="none" w:pos="9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980" w:right="440" w:hanging="329"/>
        <w:spacing w:after="0" w:line="224"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63" w:lineRule="exact"/>
        <w:rPr>
          <w:rFonts w:ascii="Arial" w:cs="Arial" w:eastAsia="Arial" w:hAnsi="Arial"/>
          <w:sz w:val="18"/>
          <w:szCs w:val="18"/>
          <w:color w:val="auto"/>
        </w:rPr>
      </w:pPr>
    </w:p>
    <w:p>
      <w:pPr>
        <w:ind w:left="980" w:right="120" w:hanging="329"/>
        <w:spacing w:after="0" w:line="219"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980" w:right="240" w:hanging="329"/>
        <w:spacing w:after="0" w:line="203" w:lineRule="exact"/>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980" w:right="360" w:hanging="329"/>
        <w:spacing w:after="0" w:line="235"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980" w:right="240" w:hanging="329"/>
        <w:spacing w:after="0" w:line="235"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980" w:right="220" w:hanging="329"/>
        <w:spacing w:after="0" w:line="235"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4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47"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As of March 11, 2019, our executive officers, directors, and 5% stockholders and their affiliates beneficially owned an aggregate of approximately 31%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of March 11, 2019, we have outstanding 33,280,355 shares of common stock and 2,488,533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25,199,214 are freely tradable. The remainder of the outstanding shares of common stock are held by our affiliates and may be considered “control securities” for purposes of Rule 144 under the Securities 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addition, we have filed one or more registration statements on Form S-8 registering the issuance of an aggregate of 6,277,562 shares of common stock subject to options or other equity awards issued or reserved for future issuance under our 2015 Omnibus Incentive Compensation Plan, or the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61" w:lineRule="exact"/>
        <w:rPr>
          <w:sz w:val="20"/>
          <w:szCs w:val="20"/>
          <w:color w:val="auto"/>
        </w:rPr>
      </w:pPr>
    </w:p>
    <w:p>
      <w:pPr>
        <w:ind w:right="600"/>
        <w:spacing w:after="0" w:line="238" w:lineRule="auto"/>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our capital raises, including our December 2017 registered direct offering, our October 2018 registered direct offering, and the proceeds from sales pursuant to our previous Sales Agreement, and may not use them effectively.</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2017 registered direct offering, our October 2018 registered direct offering, and the proceeds from sales pursuant to our October 2017 “at-the-market” sales agreement with Leerink Partners LLC, which provided for the sale of up to $30.0 million of our common stock from time to time, and which was fully completed in January 2019, and our stockholders will not have the opportunity as part of their investment decision to assess whether the net proceeds from our Capital Raises are being used appropriately. You may not agree with our decisions, and our use of the proceeds may not yield any return on your investment. Because of the number and variability of factors that will determine our use of the net proceeds from our Capital Raisestheir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You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6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w:t>
      </w:r>
      <w:r>
        <w:rPr>
          <w:rFonts w:ascii="Arial" w:cs="Arial" w:eastAsia="Arial" w:hAnsi="Arial"/>
          <w:sz w:val="8"/>
          <w:szCs w:val="8"/>
          <w:color w:val="auto"/>
        </w:rPr>
        <w:t>th</w:t>
      </w:r>
      <w:r>
        <w:rPr>
          <w:rFonts w:ascii="Arial" w:cs="Arial" w:eastAsia="Arial" w:hAnsi="Arial"/>
          <w:sz w:val="18"/>
          <w:szCs w:val="18"/>
          <w:color w:val="auto"/>
        </w:rPr>
        <w:t>, and (3) the date on which we have issued more than $1.0 billion in non-convertible debt during the prior three-year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2018, we had U.S. federal net operating loss, NOL, carryforwards of approximately $87 million. Net operating loss carry forwards amounting to $60 million generated before the 2018 tax year will start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expiring beginning 2033, if we have not used them prior to that time, and the net operating losses of approximately $27 million generated in 2018 has an indefinite carryforward period. Net operating loss carry 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339" w:firstLine="648"/>
        <w:spacing w:after="0" w:line="194" w:lineRule="exact"/>
        <w:rPr>
          <w:sz w:val="20"/>
          <w:szCs w:val="20"/>
          <w:color w:val="auto"/>
        </w:rPr>
      </w:pPr>
      <w:r>
        <w:rPr>
          <w:rFonts w:ascii="Arial" w:cs="Arial" w:eastAsia="Arial" w:hAnsi="Arial"/>
          <w:sz w:val="16"/>
          <w:szCs w:val="16"/>
          <w:color w:val="auto"/>
        </w:rPr>
        <w:t>Our corporate and executive office is located at 25 Broadway in New York, New York. We currently have a month</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month agreement for office space that automatically renews for successive monthly periods, unless we provide notice of non</w:t>
      </w:r>
      <w:r>
        <w:rPr>
          <w:rFonts w:ascii="MS PGothic" w:cs="MS PGothic" w:eastAsia="MS PGothic" w:hAnsi="MS PGothic"/>
          <w:sz w:val="16"/>
          <w:szCs w:val="16"/>
          <w:color w:val="auto"/>
        </w:rPr>
        <w:t>‑</w:t>
      </w:r>
      <w:r>
        <w:rPr>
          <w:rFonts w:ascii="Arial" w:cs="Arial" w:eastAsia="Arial" w:hAnsi="Arial"/>
          <w:sz w:val="16"/>
          <w:szCs w:val="16"/>
          <w:color w:val="auto"/>
        </w:rPr>
        <w:t>renewal. We believe that our current facilities are suitable and adequate to meet our current needs.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559"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27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44" w:lineRule="exact"/>
        <w:rPr>
          <w:sz w:val="20"/>
          <w:szCs w:val="20"/>
          <w:color w:val="auto"/>
        </w:rPr>
      </w:pPr>
    </w:p>
    <w:p>
      <w:pPr>
        <w:ind w:right="299" w:firstLine="648"/>
        <w:spacing w:after="0" w:line="238" w:lineRule="auto"/>
        <w:rPr>
          <w:sz w:val="20"/>
          <w:szCs w:val="20"/>
          <w:color w:val="auto"/>
        </w:rPr>
      </w:pPr>
      <w:r>
        <w:rPr>
          <w:rFonts w:ascii="Arial" w:cs="Arial" w:eastAsia="Arial" w:hAnsi="Arial"/>
          <w:sz w:val="17"/>
          <w:szCs w:val="17"/>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44"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following graph illustrates a comparison of the total cumulative stockholder return for our common stock from November 19, 2015, which is the date our common stock first began trading on the Nasdaq Capital Market, through December 31, 2018 to two indices: the NASDAQ Composite Index and the NASDAQ Biotechnology Index. The graph assumes an initial investment of $100 on November 19, 2015, in our common stock, the NASDAQ Composite Index, and the NASDAQ Biotechnology Index and assumes reinvestment of dividends.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96520</wp:posOffset>
            </wp:positionV>
            <wp:extent cx="5454015" cy="3902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54015"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number of record holders of our common stock as of March 11, 2019 was 26. This number does not reflect the beneficial holders of our common stock who hold shares in street name through brokerage accounts or other nominees.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credit facility with Silicon Valley Bank, or SVB, and WestRiver Innovation Lending Fund VIII, L.P., or WestRiver, preclude us from paying cash dividends without SVB’s and WestRiver’s consent.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 following Statement of Operations Data for the years ended December 31, 2018, 2017 and 2016 and Balance Sheet Data as of December 31, 2018, 2017, and 2016, as set forth below are derived from our audited consolidated financial statements included elsewhere in this Annual Report on Form 10-K. This financial data should be read in conjunction with “Item 7. Management’s Discussion and Analysis of Financial Condition and Results of Operations” and “Item 8. Financial Statements and Supplementary Data.” Our historical results are not necessarily indicative of the results that may be expected in the future.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r>
      <w:tr>
        <w:trPr>
          <w:trHeight w:val="129"/>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Statements of operations data:</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23,495,055</w:t>
            </w: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19,957,616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21,199,860</w:t>
            </w:r>
          </w:p>
        </w:tc>
        <w:tc>
          <w:tcPr>
            <w:tcW w:w="40" w:type="dxa"/>
            <w:vAlign w:val="bottom"/>
            <w:shd w:val="clear" w:color="auto" w:fill="CCEEFF"/>
          </w:tcPr>
          <w:p>
            <w:pPr>
              <w:spacing w:after="0"/>
              <w:rPr>
                <w:sz w:val="15"/>
                <w:szCs w:val="15"/>
                <w:color w:val="auto"/>
              </w:rPr>
            </w:pPr>
          </w:p>
        </w:tc>
      </w:tr>
      <w:tr>
        <w:trPr>
          <w:trHeight w:val="176"/>
        </w:trPr>
        <w:tc>
          <w:tcPr>
            <w:tcW w:w="51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9,351,522</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7,206,691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6,343,648</w:t>
            </w:r>
          </w:p>
        </w:tc>
        <w:tc>
          <w:tcPr>
            <w:tcW w:w="40" w:type="dxa"/>
            <w:vAlign w:val="bottom"/>
            <w:tcBorders>
              <w:bottom w:val="single" w:sz="8" w:color="CCEEFF"/>
            </w:tcBorders>
          </w:tcPr>
          <w:p>
            <w:pPr>
              <w:spacing w:after="0"/>
              <w:rPr>
                <w:sz w:val="15"/>
                <w:szCs w:val="15"/>
                <w:color w:val="auto"/>
              </w:rPr>
            </w:pPr>
          </w:p>
        </w:tc>
      </w:tr>
      <w:tr>
        <w:trPr>
          <w:trHeight w:val="169"/>
        </w:trPr>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32,846,577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27,164,307</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27,543,508</w:t>
            </w:r>
          </w:p>
        </w:tc>
        <w:tc>
          <w:tcPr>
            <w:tcW w:w="40" w:type="dxa"/>
            <w:vAlign w:val="bottom"/>
            <w:shd w:val="clear" w:color="auto" w:fill="CCEEFF"/>
          </w:tcPr>
          <w:p>
            <w:pPr>
              <w:spacing w:after="0"/>
              <w:rPr>
                <w:sz w:val="14"/>
                <w:szCs w:val="14"/>
                <w:color w:val="auto"/>
              </w:rPr>
            </w:pPr>
          </w:p>
        </w:tc>
      </w:tr>
      <w:tr>
        <w:trPr>
          <w:trHeight w:val="169"/>
        </w:trPr>
        <w:tc>
          <w:tcPr>
            <w:tcW w:w="5140" w:type="dxa"/>
            <w:vAlign w:val="bottom"/>
          </w:tcPr>
          <w:p>
            <w:pPr>
              <w:spacing w:after="0" w:line="170" w:lineRule="exact"/>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(32,846,577)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8"/>
                <w:szCs w:val="18"/>
                <w:color w:val="auto"/>
                <w:w w:val="95"/>
              </w:rPr>
              <w:t>(27,164,307)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8"/>
                <w:szCs w:val="18"/>
                <w:color w:val="auto"/>
                <w:w w:val="95"/>
              </w:rPr>
              <w:t>(27,543,508)</w:t>
            </w:r>
          </w:p>
        </w:tc>
        <w:tc>
          <w:tcPr>
            <w:tcW w:w="40" w:type="dxa"/>
            <w:vAlign w:val="bottom"/>
          </w:tcPr>
          <w:p>
            <w:pPr>
              <w:spacing w:after="0"/>
              <w:rPr>
                <w:sz w:val="14"/>
                <w:szCs w:val="14"/>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(1,127,305)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(1,340,199)</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(132,424)</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Tax credit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217,418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207,114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474,279</w:t>
            </w:r>
          </w:p>
        </w:tc>
        <w:tc>
          <w:tcPr>
            <w:tcW w:w="40" w:type="dxa"/>
            <w:vAlign w:val="bottom"/>
          </w:tcPr>
          <w:p>
            <w:pPr>
              <w:spacing w:after="0"/>
              <w:rPr>
                <w:sz w:val="15"/>
                <w:szCs w:val="15"/>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2,791,000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(646,000)</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83"/>
        </w:trPr>
        <w:tc>
          <w:tcPr>
            <w:tcW w:w="51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(30,965,464)</w:t>
            </w:r>
          </w:p>
        </w:tc>
        <w:tc>
          <w:tcPr>
            <w:tcW w:w="2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(28,943,392)</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5"/>
              </w:rPr>
              <w:t>(27,201,653)</w:t>
            </w:r>
          </w:p>
        </w:tc>
      </w:tr>
      <w:tr>
        <w:trPr>
          <w:trHeight w:val="196"/>
        </w:trPr>
        <w:tc>
          <w:tcPr>
            <w:tcW w:w="514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Weighted average common shares outstanding—basic and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26,883,656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22,764,606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19,150,690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0"/>
        </w:trPr>
        <w:tc>
          <w:tcPr>
            <w:tcW w:w="5140" w:type="dxa"/>
            <w:vAlign w:val="bottom"/>
          </w:tcPr>
          <w:p>
            <w:pPr>
              <w:spacing w:after="0" w:line="163" w:lineRule="exact"/>
              <w:rPr>
                <w:sz w:val="20"/>
                <w:szCs w:val="20"/>
                <w:color w:val="auto"/>
              </w:rPr>
            </w:pPr>
            <w:r>
              <w:rPr>
                <w:rFonts w:ascii="Arial" w:cs="Arial" w:eastAsia="Arial" w:hAnsi="Arial"/>
                <w:sz w:val="18"/>
                <w:szCs w:val="18"/>
                <w:color w:val="auto"/>
              </w:rPr>
              <w:t>Net loss per common share—basic and diluted</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(1.42)</w:t>
            </w:r>
          </w:p>
        </w:tc>
        <w:tc>
          <w:tcPr>
            <w:tcW w:w="40" w:type="dxa"/>
            <w:vAlign w:val="bottom"/>
          </w:tcPr>
          <w:p>
            <w:pPr>
              <w:spacing w:after="0"/>
              <w:rPr>
                <w:sz w:val="14"/>
                <w:szCs w:val="14"/>
                <w:color w:val="auto"/>
              </w:rPr>
            </w:pPr>
          </w:p>
        </w:tc>
      </w:tr>
      <w:tr>
        <w:trPr>
          <w:trHeight w:val="500"/>
        </w:trPr>
        <w:tc>
          <w:tcPr>
            <w:tcW w:w="5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2"/>
              </w:rPr>
              <w:t>As of December 31,</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3"/>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r>
      <w:tr>
        <w:trPr>
          <w:trHeight w:val="129"/>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13,968,742</w:t>
            </w:r>
          </w:p>
        </w:tc>
        <w:tc>
          <w:tcPr>
            <w:tcW w:w="40" w:type="dxa"/>
            <w:vAlign w:val="bottom"/>
          </w:tcPr>
          <w:p>
            <w:pPr>
              <w:spacing w:after="0"/>
              <w:rPr>
                <w:sz w:val="15"/>
                <w:szCs w:val="15"/>
                <w:color w:val="auto"/>
              </w:rPr>
            </w:pPr>
          </w:p>
        </w:tc>
        <w:tc>
          <w:tcPr>
            <w:tcW w:w="2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34,021,123</w:t>
            </w:r>
          </w:p>
        </w:tc>
        <w:tc>
          <w:tcPr>
            <w:tcW w:w="14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36,618,497</w:t>
            </w:r>
          </w:p>
        </w:tc>
        <w:tc>
          <w:tcPr>
            <w:tcW w:w="40" w:type="dxa"/>
            <w:vAlign w:val="bottom"/>
          </w:tcPr>
          <w:p>
            <w:pPr>
              <w:spacing w:after="0"/>
              <w:rPr>
                <w:sz w:val="15"/>
                <w:szCs w:val="15"/>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15,379,279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35,555,564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38,212,608</w:t>
            </w:r>
          </w:p>
        </w:tc>
        <w:tc>
          <w:tcPr>
            <w:tcW w:w="4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10,821,938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12,175,336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7,170,712</w:t>
            </w:r>
          </w:p>
        </w:tc>
        <w:tc>
          <w:tcPr>
            <w:tcW w:w="40" w:type="dxa"/>
            <w:vAlign w:val="bottom"/>
          </w:tcPr>
          <w:p>
            <w:pPr>
              <w:spacing w:after="0"/>
              <w:rPr>
                <w:sz w:val="15"/>
                <w:szCs w:val="15"/>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 net of discounts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3,619,420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6,663,005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9,470,445</w:t>
            </w:r>
          </w:p>
        </w:tc>
        <w:tc>
          <w:tcPr>
            <w:tcW w:w="4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2"/>
              </w:rPr>
              <w:t>(107,550,307)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(76,584,843)</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5"/>
              </w:rPr>
              <w:t>(47,641,451)</w:t>
            </w: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937,921</w:t>
            </w: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16,717,223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21,571,451</w:t>
            </w:r>
          </w:p>
        </w:tc>
        <w:tc>
          <w:tcPr>
            <w:tcW w:w="40" w:type="dxa"/>
            <w:vAlign w:val="bottom"/>
            <w:shd w:val="clear" w:color="auto" w:fill="CCEEFF"/>
          </w:tcPr>
          <w:p>
            <w:pPr>
              <w:spacing w:after="0"/>
              <w:rPr>
                <w:sz w:val="15"/>
                <w:szCs w:val="15"/>
                <w:color w:val="auto"/>
              </w:rPr>
            </w:pPr>
          </w:p>
        </w:tc>
      </w:tr>
      <w:tr>
        <w:trPr>
          <w:trHeight w:val="810"/>
        </w:trPr>
        <w:tc>
          <w:tcPr>
            <w:tcW w:w="5140" w:type="dxa"/>
            <w:vAlign w:val="bottom"/>
          </w:tcPr>
          <w:p>
            <w:pPr>
              <w:ind w:left="440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You should read the following discussion and analysis in conjunction with “Item 6. Selected Financial Data,”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The Axsome Pain and Primary Care business unit, or Axsome PPC, houses Axsome’s pain and primary care assets, including AXS-02 and AXS-06, and intellectual property which covers these and related product candidates and molecules being developed by Axsome and others. We are conducting a Phase 3 trial with AXS-05 in treatment resistant depression, or TRD, which we refer to as the STRIDE-1 study, and a Phase 2/3 trial in agitation associated with Alzheimer's disease, or AD, which we refer to as the ADVANCE-1 study. We have completed a Phase 2 trial in major depressive disorder, or MDD, which we refer to as the ASCEND study. Additionally, AXS-05 is currently in a Phase 2 trial in smoking cessation. AXS-07 is being developed for the acute treatment of migraine. AXS-12 is being developed for the treatment of narcolepsy. We are also conducting a Phase 3 trial with AXS-02 in knee osteoarthritis, or OA, associated with bone marrow lesions, or BMLs, pursuant to a Special Protocol Assessment, or SPA, which we refer to as the COAST-1 study.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5"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AXS-05 is a novel, oral, investigational NMDA receptor antagonist with multimodal activity under development for the treatment of CNS disorders. AXS-05 consists of bupropion and dextromethorphan, or DM, and utilizes Axsome’s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firstLine="648"/>
        <w:spacing w:after="0" w:line="219" w:lineRule="auto"/>
        <w:rPr>
          <w:sz w:val="20"/>
          <w:szCs w:val="20"/>
          <w:color w:val="auto"/>
        </w:rPr>
      </w:pPr>
      <w:r>
        <w:rPr>
          <w:rFonts w:ascii="Arial" w:cs="Arial" w:eastAsia="Arial" w:hAnsi="Arial"/>
          <w:sz w:val="16"/>
          <w:szCs w:val="16"/>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w:t>
      </w:r>
    </w:p>
    <w:p>
      <w:pPr>
        <w:spacing w:after="0" w:line="3" w:lineRule="exact"/>
        <w:rPr>
          <w:sz w:val="20"/>
          <w:szCs w:val="20"/>
          <w:color w:val="auto"/>
        </w:rPr>
      </w:pPr>
    </w:p>
    <w:p>
      <w:pPr>
        <w:ind w:right="80"/>
        <w:spacing w:after="0" w:line="208" w:lineRule="auto"/>
        <w:rPr>
          <w:sz w:val="20"/>
          <w:szCs w:val="20"/>
          <w:color w:val="auto"/>
        </w:rPr>
      </w:pPr>
      <w:r>
        <w:rPr>
          <w:rFonts w:ascii="Arial" w:cs="Arial" w:eastAsia="Arial" w:hAnsi="Arial"/>
          <w:sz w:val="16"/>
          <w:szCs w:val="16"/>
          <w:color w:val="auto"/>
        </w:rPr>
        <w:t>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w:t>
      </w:r>
    </w:p>
    <w:p>
      <w:pPr>
        <w:spacing w:after="0" w:line="3"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3"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6"/>
          <w:szCs w:val="16"/>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Reboxetine, the active agent in AXS-12, significantly and dose-dependently reduced narcoleptic episodes in hypocretin-, or orexin-deficient mice, a well-established genetic animal model of narcolepsy.</w:t>
      </w:r>
    </w:p>
    <w:p>
      <w:pPr>
        <w:spacing w:after="0" w:line="161"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Axsome Pain and Primary Care business unit, or Axsome PPC,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6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02 utilizing the 505(b)(2) regulatory development pathway.</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06 as compared to standard meloxicam. We intend to seek FDA approval for AXS-06 utilizing the 505(b)(2) regulatory development pathway.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2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ability to become profitable depends on our ability to generate revenue. We do not expect to generate significant revenue unless and until we obtain marketing approval for and successfully commercialize one of our product candidates.</w:t>
      </w:r>
    </w:p>
    <w:p>
      <w:pPr>
        <w:spacing w:after="0" w:line="124"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We have incurred significant operating and net losses since inception. We incurred net losses of $31.0 million, $28.9 million, and $27.2 million for the years ended December 31, 2018, 2017, and 2016, respectively. Our accumulated deficit as of December 31, 2018 was $107.6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380"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by program for the years ended</w:t>
      </w:r>
    </w:p>
    <w:p>
      <w:pPr>
        <w:spacing w:after="0"/>
        <w:rPr>
          <w:sz w:val="20"/>
          <w:szCs w:val="20"/>
          <w:color w:val="auto"/>
        </w:rPr>
      </w:pPr>
      <w:r>
        <w:rPr>
          <w:rFonts w:ascii="Arial" w:cs="Arial" w:eastAsia="Arial" w:hAnsi="Arial"/>
          <w:sz w:val="18"/>
          <w:szCs w:val="18"/>
          <w:color w:val="auto"/>
        </w:rPr>
        <w:t>December 31, 2018, 2017, and 2016:</w:t>
      </w:r>
    </w:p>
    <w:p>
      <w:pPr>
        <w:spacing w:after="0" w:line="16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Year ended</w:t>
      </w:r>
    </w:p>
    <w:p>
      <w:pPr>
        <w:jc w:val="center"/>
        <w:ind w:left="538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4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r>
      <w:tr>
        <w:trPr>
          <w:trHeight w:val="129"/>
        </w:trPr>
        <w:tc>
          <w:tcPr>
            <w:tcW w:w="4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4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AXS-05</w:t>
            </w:r>
          </w:p>
        </w:tc>
        <w:tc>
          <w:tcPr>
            <w:tcW w:w="13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13,460,809</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9,780,593</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8,444,618</w:t>
            </w:r>
          </w:p>
        </w:tc>
        <w:tc>
          <w:tcPr>
            <w:tcW w:w="40" w:type="dxa"/>
            <w:vAlign w:val="bottom"/>
            <w:shd w:val="clear" w:color="auto" w:fill="CCEEFF"/>
          </w:tcPr>
          <w:p>
            <w:pPr>
              <w:spacing w:after="0"/>
              <w:rPr>
                <w:sz w:val="15"/>
                <w:szCs w:val="15"/>
                <w:color w:val="auto"/>
              </w:rPr>
            </w:pPr>
          </w:p>
        </w:tc>
      </w:tr>
      <w:tr>
        <w:trPr>
          <w:trHeight w:val="176"/>
        </w:trPr>
        <w:tc>
          <w:tcPr>
            <w:tcW w:w="422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3,222,208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180,255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4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AXS-12</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193,459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4220" w:type="dxa"/>
            <w:vAlign w:val="bottom"/>
          </w:tcPr>
          <w:p>
            <w:pPr>
              <w:ind w:left="220"/>
              <w:spacing w:after="0" w:line="176" w:lineRule="exact"/>
              <w:rPr>
                <w:sz w:val="20"/>
                <w:szCs w:val="20"/>
                <w:color w:val="auto"/>
              </w:rPr>
            </w:pPr>
            <w:r>
              <w:rPr>
                <w:rFonts w:ascii="Arial" w:cs="Arial" w:eastAsia="Arial" w:hAnsi="Arial"/>
                <w:sz w:val="18"/>
                <w:szCs w:val="18"/>
                <w:color w:val="auto"/>
              </w:rPr>
              <w:t>AXS-02</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740,341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6,775,736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9,414,980</w:t>
            </w: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71,164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480,425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353,957</w:t>
            </w:r>
          </w:p>
        </w:tc>
        <w:tc>
          <w:tcPr>
            <w:tcW w:w="40" w:type="dxa"/>
            <w:vAlign w:val="bottom"/>
            <w:shd w:val="clear" w:color="auto" w:fill="CCEEFF"/>
          </w:tcPr>
          <w:p>
            <w:pPr>
              <w:spacing w:after="0"/>
              <w:rPr>
                <w:sz w:val="15"/>
                <w:szCs w:val="15"/>
                <w:color w:val="auto"/>
              </w:rPr>
            </w:pPr>
          </w:p>
        </w:tc>
      </w:tr>
      <w:tr>
        <w:trPr>
          <w:trHeight w:val="176"/>
        </w:trPr>
        <w:tc>
          <w:tcPr>
            <w:tcW w:w="422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5,415,127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2,126,978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1,870,679</w:t>
            </w: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391,946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613,629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1,115,626</w:t>
            </w:r>
          </w:p>
        </w:tc>
        <w:tc>
          <w:tcPr>
            <w:tcW w:w="40" w:type="dxa"/>
            <w:vAlign w:val="bottom"/>
            <w:shd w:val="clear" w:color="auto" w:fill="CCEEFF"/>
          </w:tcPr>
          <w:p>
            <w:pPr>
              <w:spacing w:after="0"/>
              <w:rPr>
                <w:sz w:val="15"/>
                <w:szCs w:val="15"/>
                <w:color w:val="auto"/>
              </w:rPr>
            </w:pPr>
          </w:p>
        </w:tc>
      </w:tr>
      <w:tr>
        <w:trPr>
          <w:trHeight w:val="176"/>
        </w:trPr>
        <w:tc>
          <w:tcPr>
            <w:tcW w:w="422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122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23,495,055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19,957,616</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21,199,860</w:t>
            </w:r>
          </w:p>
        </w:tc>
        <w:tc>
          <w:tcPr>
            <w:tcW w:w="40" w:type="dxa"/>
            <w:vAlign w:val="bottom"/>
          </w:tcPr>
          <w:p>
            <w:pPr>
              <w:spacing w:after="0"/>
              <w:rPr>
                <w:sz w:val="15"/>
                <w:szCs w:val="15"/>
                <w:color w:val="auto"/>
              </w:rPr>
            </w:pPr>
          </w:p>
        </w:tc>
      </w:tr>
    </w:tbl>
    <w:p>
      <w:pPr>
        <w:spacing w:after="0" w:line="188"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 xml:space="preserve">Other research and development expenses primarily consist of employee salaries and benefits, facilities and overhead costs, and expenses for terminated programs. For the </w:t>
      </w:r>
      <w:r>
        <w:rPr>
          <w:rFonts w:ascii="Arial" w:cs="Arial" w:eastAsia="Arial" w:hAnsi="Arial"/>
          <w:sz w:val="17"/>
          <w:szCs w:val="17"/>
          <w:b w:val="1"/>
          <w:bCs w:val="1"/>
          <w:color w:val="auto"/>
        </w:rPr>
        <w:t>year</w:t>
      </w:r>
      <w:r>
        <w:rPr>
          <w:rFonts w:ascii="Arial" w:cs="Arial" w:eastAsia="Arial" w:hAnsi="Arial"/>
          <w:sz w:val="17"/>
          <w:szCs w:val="17"/>
          <w:color w:val="auto"/>
        </w:rPr>
        <w:t xml:space="preserve"> ended December 31, 2018, all employee salaries and benefits were allocated to Other research and development expenses whereas for the year ended 2017 and 2016, a majority of employee salaries and benefits were allocated to the respective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Interest and amortization of debt discount expense primarily consists of cash interest and non</w:t>
      </w:r>
      <w:r>
        <w:rPr>
          <w:rFonts w:ascii="MS PGothic" w:cs="MS PGothic" w:eastAsia="MS PGothic" w:hAnsi="MS PGothic"/>
          <w:sz w:val="18"/>
          <w:szCs w:val="18"/>
          <w:color w:val="auto"/>
        </w:rPr>
        <w:t>‑</w:t>
      </w:r>
      <w:r>
        <w:rPr>
          <w:rFonts w:ascii="Arial" w:cs="Arial" w:eastAsia="Arial" w:hAnsi="Arial"/>
          <w:sz w:val="18"/>
          <w:szCs w:val="18"/>
          <w:color w:val="auto"/>
        </w:rPr>
        <w:t>cash costs related to our original term loan and loan amendment with SVB, which was originally entered into in November 2016 and amended in November 2018 (see “Liquidity and Capital Resources” below for a further discussion).We amortize these costs over the term of our debt agreements as interest expense in our consolidated statement of operations. Interest and amortization of debt discount expense also includes interest income earned on cash.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tax credits represent the receipt of the New York City Biotechnology Tax Credit, or NYC Biotech credit, and receipt by Axsome Therapeutics Australia PTY, LTD, our Australian subsidiary, of the Australia Tax Incentive Credit, related to allowable research and development expenses incurred for our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were classified as a warrant liability and recorded at fair value. The warrant liability was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 The warrants expired on December 11,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63"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While our significant accounting policies are more fully described in Note 2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2018, we do not believe any material uncertain tax positions are present.</w:t>
      </w:r>
    </w:p>
    <w:p>
      <w:pPr>
        <w:spacing w:after="0" w:line="155" w:lineRule="exact"/>
        <w:rPr>
          <w:sz w:val="20"/>
          <w:szCs w:val="20"/>
          <w:color w:val="auto"/>
        </w:rPr>
      </w:pPr>
    </w:p>
    <w:p>
      <w:pPr>
        <w:jc w:val="both"/>
        <w:ind w:right="420" w:firstLine="648"/>
        <w:spacing w:after="0" w:line="238" w:lineRule="auto"/>
        <w:rPr>
          <w:sz w:val="20"/>
          <w:szCs w:val="20"/>
          <w:color w:val="auto"/>
        </w:rPr>
      </w:pPr>
      <w:r>
        <w:rPr>
          <w:rFonts w:ascii="Arial" w:cs="Arial" w:eastAsia="Arial" w:hAnsi="Arial"/>
          <w:sz w:val="17"/>
          <w:szCs w:val="17"/>
          <w:color w:val="auto"/>
        </w:rPr>
        <w:t>As of December 31, 2018, we had U.S. federal net operating loss, or NOL carryforwards of approximately $87 million. NOLs amounting to $60 million generated before the 2018 tax year will start expiring beginning 2033, and the NOLs of approximately $27 million generated in 2018 have an indefinite carryforward period.</w:t>
      </w:r>
    </w:p>
    <w:p>
      <w:pPr>
        <w:spacing w:after="0" w:line="161"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Utilization of the net operating losses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63"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On December 22, 2017, the U.S. President signed the Tax Cuts and Jobs Act, or the Act, into law. Effective January 1, 2018, among other changes, the Act (1) reduces the U.S. federal corporate tax rate from 35 percent to 21 percent, (2) changes the rules relating to net operating loss, or NOL, carryforwards and carrybacks, (3) eliminates the corporate alternative minimum tax, or AMT, and changes how existing AMT credits can be realized; and (4) requires companies to pay a one-time transition tax on certain unrepatriated earnings of foreign subsidiaries.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85"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For issued stock options, we estimate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our common stock, the risk-free interest rate, the estimated life of the option, the closing market price of our common stock and the exercise price. The estimates utilized in the Black-Scholes calculation involve inherent uncertainties and the application of management judgment. In addition, we recognize expense for equity award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64" w:lineRule="exact"/>
        <w:rPr>
          <w:sz w:val="20"/>
          <w:szCs w:val="20"/>
          <w:color w:val="auto"/>
        </w:rPr>
      </w:pPr>
    </w:p>
    <w:p>
      <w:pPr>
        <w:ind w:right="79" w:firstLine="648"/>
        <w:spacing w:after="0" w:line="258" w:lineRule="auto"/>
        <w:rPr>
          <w:sz w:val="20"/>
          <w:szCs w:val="20"/>
          <w:color w:val="auto"/>
        </w:rPr>
      </w:pPr>
      <w:r>
        <w:rPr>
          <w:rFonts w:ascii="Arial" w:cs="Arial" w:eastAsia="Arial" w:hAnsi="Arial"/>
          <w:sz w:val="17"/>
          <w:szCs w:val="17"/>
          <w:color w:val="auto"/>
        </w:rPr>
        <w:t>Our policy upon exercise of stock options is that shares will be issued as new shares drawing on our 2015 Omnibus Incentive Compensation Plan share pool that was adopted by the stockholders in November 2015.</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2017:</w:t>
      </w:r>
    </w:p>
    <w:p>
      <w:pPr>
        <w:spacing w:after="0" w:line="191"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w:t>
      </w:r>
    </w:p>
    <w:p>
      <w:pPr>
        <w:ind w:left="74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2"/>
              <w:spacing w:after="0" w:line="136" w:lineRule="exact"/>
              <w:rPr>
                <w:sz w:val="20"/>
                <w:szCs w:val="20"/>
                <w:color w:val="auto"/>
              </w:rPr>
            </w:pPr>
            <w:r>
              <w:rPr>
                <w:rFonts w:ascii="Arial" w:cs="Arial" w:eastAsia="Arial" w:hAnsi="Arial"/>
                <w:sz w:val="14"/>
                <w:szCs w:val="14"/>
                <w:b w:val="1"/>
                <w:bCs w:val="1"/>
                <w:color w:val="auto"/>
              </w:rPr>
              <w:t>2017</w:t>
            </w:r>
          </w:p>
        </w:tc>
      </w:tr>
      <w:tr>
        <w:trPr>
          <w:trHeight w:val="129"/>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51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23,495,055</w:t>
            </w:r>
          </w:p>
        </w:tc>
        <w:tc>
          <w:tcPr>
            <w:tcW w:w="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19,957,616</w:t>
            </w: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9,351,522</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7,206,691</w:t>
            </w:r>
          </w:p>
        </w:tc>
      </w:tr>
      <w:tr>
        <w:trPr>
          <w:trHeight w:val="169"/>
        </w:trPr>
        <w:tc>
          <w:tcPr>
            <w:tcW w:w="51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32,846,577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27,164,307</w:t>
            </w:r>
          </w:p>
        </w:tc>
      </w:tr>
      <w:tr>
        <w:trPr>
          <w:trHeight w:val="169"/>
        </w:trPr>
        <w:tc>
          <w:tcPr>
            <w:tcW w:w="5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(32,846,577)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(27,164,307)</w:t>
            </w: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(1,127,305)</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(1,340,199)</w:t>
            </w: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r>
      <w:tr>
        <w:trPr>
          <w:trHeight w:val="176"/>
        </w:trPr>
        <w:tc>
          <w:tcPr>
            <w:tcW w:w="51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2,791,000</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(646,000)</w:t>
            </w:r>
          </w:p>
        </w:tc>
      </w:tr>
      <w:tr>
        <w:trPr>
          <w:trHeight w:val="176"/>
        </w:trPr>
        <w:tc>
          <w:tcPr>
            <w:tcW w:w="51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(30,965,464)</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(28,943,392)</w:t>
            </w:r>
          </w:p>
        </w:tc>
      </w:tr>
    </w:tbl>
    <w:p>
      <w:pPr>
        <w:spacing w:after="0" w:line="256"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were $23.5 million, compared to $20.0 million for the year ended December 31, 2017, an increase of $3.5 million. The increase was primarily due to increased costs for our STRIDE-1 and ADVANCE-1 studies, initiation and completion of our ASCEND study, and AXS-07 and AXS-12 study startup and manufacturing costs, which was partially offset by a reduction in the costs of our clinical trials for AXS-02 and AXS-05 and nonclinical work on AXS-05.</w:t>
      </w:r>
    </w:p>
    <w:p>
      <w:pPr>
        <w:spacing w:after="0" w:line="16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were $9.4 million, as compared to $7.2 million for the year ended December 31, 2017, an increase of $2.2 million. The increase was primarily due to higher intellectual property costs and legal expenses, external fees associated with operating as a public company, as well as an increase in personnel costs.</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i w:val="1"/>
          <w:iCs w:val="1"/>
          <w:color w:val="auto"/>
        </w:rPr>
        <w:t xml:space="preserve">Interest and Amortization of Debt Discount Expense. </w:t>
      </w:r>
      <w:r>
        <w:rPr>
          <w:rFonts w:ascii="Arial" w:cs="Arial" w:eastAsia="Arial" w:hAnsi="Arial"/>
          <w:sz w:val="17"/>
          <w:szCs w:val="17"/>
          <w:color w:val="auto"/>
        </w:rPr>
        <w:t>Interest and amortization of debt discount expense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was $1.1 million, as compared to $1.3 million for the year ended December 31, 2017, a decrease of $0.2 million. The decrease was primarily related to lower interest expense and amortization of the debt discount associated with our loan and security agreement with SVB due to a lower principal balance.</w:t>
      </w:r>
    </w:p>
    <w:p>
      <w:pPr>
        <w:spacing w:after="0" w:line="16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Tax credit income for the year ended December 31, 2018 and 2017 was $0.2 million and represents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by Axsome Therapeutics Australia PTY LTD, our Australian subsidiary, of the Australia Tax Incentive Credit related to the 2017 and 2016 research and development expenses incurred for our product candidates.</w:t>
      </w:r>
    </w:p>
    <w:p>
      <w:pPr>
        <w:spacing w:after="0" w:line="161"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For the year ended December 31, 2018, we recorded income of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the change in fair value of our warrant liability in connection with the warrants issued as part of our December 2017 registered direct offering. The change in fair value is due to the decrease of our closing stock price over the course of the year, from when the warrants were initially issued. For the year ended December 31, 2017, we recorded expense of $0.6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years ended December 31, 2017 and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510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ind w:left="340"/>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2016</w:t>
            </w:r>
          </w:p>
        </w:tc>
      </w:tr>
      <w:tr>
        <w:trPr>
          <w:trHeight w:val="169"/>
        </w:trPr>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510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19,957,616</w:t>
            </w:r>
          </w:p>
        </w:tc>
        <w:tc>
          <w:tcPr>
            <w:tcW w:w="16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21,199,860</w:t>
            </w: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7,206,691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6,343,648</w:t>
            </w:r>
          </w:p>
        </w:tc>
      </w:tr>
      <w:tr>
        <w:trPr>
          <w:trHeight w:val="169"/>
        </w:trPr>
        <w:tc>
          <w:tcPr>
            <w:tcW w:w="51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27,164,307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27,543,508</w:t>
            </w:r>
          </w:p>
        </w:tc>
      </w:tr>
      <w:tr>
        <w:trPr>
          <w:trHeight w:val="169"/>
        </w:trPr>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(27,164,307)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(27,543,508)</w:t>
            </w:r>
          </w:p>
        </w:tc>
      </w:tr>
      <w:tr>
        <w:trPr>
          <w:trHeight w:val="176"/>
        </w:trPr>
        <w:tc>
          <w:tcPr>
            <w:tcW w:w="510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(1,340,199)</w:t>
            </w:r>
          </w:p>
        </w:tc>
        <w:tc>
          <w:tcPr>
            <w:tcW w:w="1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(132,424)</w:t>
            </w:r>
          </w:p>
        </w:tc>
      </w:tr>
      <w:tr>
        <w:trPr>
          <w:trHeight w:val="176"/>
        </w:trPr>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474,279</w:t>
            </w:r>
          </w:p>
        </w:tc>
      </w:tr>
      <w:tr>
        <w:trPr>
          <w:trHeight w:val="176"/>
        </w:trPr>
        <w:tc>
          <w:tcPr>
            <w:tcW w:w="510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(646,000)</w:t>
            </w:r>
          </w:p>
        </w:tc>
        <w:tc>
          <w:tcPr>
            <w:tcW w:w="1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1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(28,943,392)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(27,201,653)</w:t>
            </w:r>
          </w:p>
        </w:tc>
      </w:tr>
    </w:tbl>
    <w:p>
      <w:pPr>
        <w:spacing w:after="0" w:line="188"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were $20.0 million, compared to $21.2 million for the year ended December 31, 2016, a decrease of $1.2 million. The decrease was primarily due to the lower costs of our previously initiated clinical trials, offset by the initiation of our ADVANCE-1 study as well as an increase in personnel costs and stock compensation expense.</w:t>
      </w:r>
    </w:p>
    <w:p>
      <w:pPr>
        <w:spacing w:after="0" w:line="163" w:lineRule="exact"/>
        <w:rPr>
          <w:sz w:val="20"/>
          <w:szCs w:val="20"/>
          <w:color w:val="auto"/>
        </w:rPr>
      </w:pPr>
    </w:p>
    <w:p>
      <w:pPr>
        <w:jc w:val="both"/>
        <w:ind w:right="80" w:firstLine="693"/>
        <w:spacing w:after="0" w:line="23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were $7.2 million, as compared to $6.3 million for the year ended December 31, 2016, an increase of $0.9 million. The increase was primarily due to higher intellectual property costs, stock compensation expense and placement agent expenses associated with our registered direct offering completed in December 2017.</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was $1.3 million, as compared to $0.1 million for the year ended December 31, 2016, an increase of $1.2 million. The increase was related to interest and the amortization of the debt discount associated with our loan and security agreement with SVB which began in November 2016.</w:t>
      </w:r>
    </w:p>
    <w:p>
      <w:pPr>
        <w:spacing w:after="0" w:line="12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During the year ended December 31, 2017, the income of $0.2 million represents the receipt by</w:t>
      </w:r>
      <w:r>
        <w:rPr>
          <w:rFonts w:ascii="Arial" w:cs="Arial" w:eastAsia="Arial" w:hAnsi="Arial"/>
          <w:sz w:val="17"/>
          <w:szCs w:val="17"/>
          <w:i w:val="1"/>
          <w:iCs w:val="1"/>
          <w:color w:val="auto"/>
        </w:rPr>
        <w:t xml:space="preserve"> </w:t>
      </w:r>
      <w:r>
        <w:rPr>
          <w:rFonts w:ascii="Arial" w:cs="Arial" w:eastAsia="Arial" w:hAnsi="Arial"/>
          <w:sz w:val="17"/>
          <w:szCs w:val="17"/>
          <w:color w:val="auto"/>
        </w:rPr>
        <w:t>Axsome Therapeutics Australia PTY LTD, our Australian subsidiary, of the Australia Tax Incentive Credit related to the 2016 research and development expenses for our product candidates. In 2016, we received the NYC Biotech credit in the amount of $0.5 million related to the research and development expenses of our product candidates.</w:t>
      </w:r>
    </w:p>
    <w:p>
      <w:pPr>
        <w:spacing w:after="0" w:line="16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expense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year ended December 31, 2017 of $0.6 million. There was no warrant liability recorded during the year ended December 31,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47"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4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31"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In October 2017, we entered into an “at-the-market” sales agreement, or the Sales Agreement, with Leerink Partners LLC, or Leerink, pursuant to which we could sell up to $30 million in shares of our common stock from time to time through Leerink, acting as our sales agent, in one or more at-the-market offerings. We received approximately $4.2 million in gross proceeds from the sales of our common stock to Leerink under the Sales Agreement during the year ended December 31, 2018. In January 2019, we raised approximately $25.8 million in gross proceeds through the sale of 3,164,015 shares under the Sales Agreement. Upon completion of the final sale, the Sales Agreement was automatically terminated. Leerink received a commission of 3.0% of the gross proceeds for all shares sold under the Sales Agreement.</w:t>
      </w:r>
    </w:p>
    <w:p>
      <w:pPr>
        <w:spacing w:after="0" w:line="12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December 2017, we completed a registered direct offering priced at the market, whereby we sold an aggregate of $9.5 million worth of units, or Units, at a purchase price of $5.325 per Unit, with each Unit consisting of (i)one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 Both the Common Warrants and the Placement Agent Warrants expired on December 11,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September 27, 2018, we entered into a purchase agreement with certain institutional and accredited investors, which we refer to as the RDO Investors, for the sale by us directly to the RDO Investors of an aggregate of 2,966,667 shares of the our common stock, at a purchase price of $3.00 per share, which we refer to as the 2018 Registered Direct Offering, for gross proceeds of approximately $8.9 million. The 2018 Registered Direct Offering closed on October 1, 2018, and we received net proceeds of approximately $8.8 million, after deducting transaction expenses. The 2,966,667 shares of common stock sold in the 2018 Registered Direct Offering were offered and sold by us directly to the RDO Investors, without a placement agent, underwriter, broker or dealer, pursuant to a prospectus supplement to the 2016 Shelf Registration Statement.</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In March 2019, we entered into a loan and security agreement with SVB and WestRiver Innovation Lending Fund VIII, L.P., or WestRiver, for a term loan up to $24.0 million, which completely replaces the Original Term Loan and the First Amendment to the Original Term Loan. The initial tranche of $20.0 million was funded shortly after executing the loan agreement. The second tranche of $4.0 million is available to be drawn, at our option, subject to the achievement of positive data, on or prior to August 15, 2019, with respect to our ongoing Phase 2 clinical trial for AXS-12 in narcolepsy, sufficient to submit a Phase 3 protocol to FDA, provided that we have not received any objections from the FDA within thirty days after submission of such Phase 3 protocol A portion of the initial tranche was used to satisfy our existing obligations under</w:t>
      </w:r>
    </w:p>
    <w:p>
      <w:pPr>
        <w:ind w:right="180"/>
        <w:spacing w:after="0" w:line="226" w:lineRule="auto"/>
        <w:rPr>
          <w:sz w:val="20"/>
          <w:szCs w:val="20"/>
          <w:color w:val="auto"/>
        </w:rPr>
      </w:pPr>
      <w:r>
        <w:rPr>
          <w:rFonts w:ascii="Arial" w:cs="Arial" w:eastAsia="Arial" w:hAnsi="Arial"/>
          <w:sz w:val="18"/>
          <w:szCs w:val="18"/>
          <w:color w:val="auto"/>
        </w:rPr>
        <w:t>our November 2016 term loan facility with SVB, as amended in November 2018, and such obligations are considered fully repaid and extinguished.</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believe our current cash, which includes proceeds from the January 2019 at-the-market equity financings and the March 2019 term loan, will be sufficient to fund our anticipated operating cash requirements into at least the fourth quarter of 2021.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right"/>
              <w:ind w:right="1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5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36"/>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r>
      <w:tr>
        <w:trPr>
          <w:trHeight w:val="129"/>
        </w:trPr>
        <w:tc>
          <w:tcPr>
            <w:tcW w:w="5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26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w w:val="94"/>
              </w:rPr>
              <w:t>(30,053,701)</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(26,471,652)</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5"/>
              </w:rPr>
              <w:t>(21,281,304)</w:t>
            </w:r>
          </w:p>
        </w:tc>
      </w:tr>
      <w:tr>
        <w:trPr>
          <w:trHeight w:val="176"/>
        </w:trPr>
        <w:tc>
          <w:tcPr>
            <w:tcW w:w="5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(32,696)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(9,898)</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(104,561)</w:t>
            </w:r>
          </w:p>
        </w:tc>
      </w:tr>
      <w:tr>
        <w:trPr>
          <w:trHeight w:val="176"/>
        </w:trPr>
        <w:tc>
          <w:tcPr>
            <w:tcW w:w="52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10,034,016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23,884,176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9,968,102</w:t>
            </w:r>
          </w:p>
        </w:tc>
        <w:tc>
          <w:tcPr>
            <w:tcW w:w="40" w:type="dxa"/>
            <w:vAlign w:val="bottom"/>
            <w:tcBorders>
              <w:bottom w:val="single" w:sz="8" w:color="CCEEFF"/>
            </w:tcBorders>
          </w:tcPr>
          <w:p>
            <w:pPr>
              <w:spacing w:after="0"/>
              <w:rPr>
                <w:sz w:val="15"/>
                <w:szCs w:val="15"/>
                <w:color w:val="auto"/>
              </w:rPr>
            </w:pPr>
          </w:p>
        </w:tc>
      </w:tr>
      <w:tr>
        <w:trPr>
          <w:trHeight w:val="176"/>
        </w:trPr>
        <w:tc>
          <w:tcPr>
            <w:tcW w:w="52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(20,052,381)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(2,597,374)</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(11,417,763)</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for the year ended December 31, 2018 was $30.1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$26.5 million for the year ended December 31, 2017. The increase of $3.6 million in net cash used was primarily related to an increase in operating expenses in 2018 compared to 2017 for ADVANCE-1, STRIDE-1, and ASCEND clinical trials, offset by increase in change in operating liabilities.</w:t>
      </w:r>
    </w:p>
    <w:p>
      <w:pPr>
        <w:spacing w:after="0" w:line="163"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Net cash used in operating activities for the year ended December 31, 2017 was $26.5 million as compared to $21.3 million for the year ended December 31, 2016. The increase of $5.2 million in net cash used was primarily related to a reduction in accounts payable and accrued expenses and an increase in general and administrative expenses, which includes $0.2 million in placement agent expense associated with our registered direct offering in December 2017.</w:t>
      </w:r>
    </w:p>
    <w:p>
      <w:pPr>
        <w:spacing w:after="0" w:line="155"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equipment was less than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2018 and December 31, 2017. Cash used in investing activities was $0.1 million for the year ended December 31,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for the year ended December 31, 2018 was</w:t>
      </w:r>
    </w:p>
    <w:p>
      <w:pPr>
        <w:spacing w:after="0" w:line="229" w:lineRule="auto"/>
        <w:rPr>
          <w:sz w:val="20"/>
          <w:szCs w:val="20"/>
          <w:color w:val="auto"/>
        </w:rPr>
      </w:pPr>
      <w:r>
        <w:rPr>
          <w:rFonts w:ascii="Arial" w:cs="Arial" w:eastAsia="Arial" w:hAnsi="Arial"/>
          <w:sz w:val="16"/>
          <w:szCs w:val="16"/>
          <w:color w:val="auto"/>
        </w:rPr>
        <w:t>$10.0 million, which includes net proceeds from the sale of common stock in the October 2018 registered direct offering of</w:t>
      </w:r>
    </w:p>
    <w:p>
      <w:pPr>
        <w:spacing w:after="0" w:line="215" w:lineRule="auto"/>
        <w:rPr>
          <w:sz w:val="20"/>
          <w:szCs w:val="20"/>
          <w:color w:val="auto"/>
        </w:rPr>
      </w:pPr>
      <w:r>
        <w:rPr>
          <w:rFonts w:ascii="Arial" w:cs="Arial" w:eastAsia="Arial" w:hAnsi="Arial"/>
          <w:sz w:val="17"/>
          <w:szCs w:val="17"/>
          <w:color w:val="auto"/>
        </w:rPr>
        <w:t>$8.8 million, $4.1 million in proceeds from sales made through at-the-market offerings, as well as $0.5 million from the</w:t>
      </w:r>
    </w:p>
    <w:p>
      <w:pPr>
        <w:spacing w:after="0"/>
        <w:rPr>
          <w:sz w:val="20"/>
          <w:szCs w:val="20"/>
          <w:color w:val="auto"/>
        </w:rPr>
      </w:pPr>
      <w:r>
        <w:rPr>
          <w:rFonts w:ascii="Arial" w:cs="Arial" w:eastAsia="Arial" w:hAnsi="Arial"/>
          <w:sz w:val="18"/>
          <w:szCs w:val="18"/>
          <w:color w:val="auto"/>
        </w:rPr>
        <w:t>exercise of options and warrants, partially offset by principal repayment on our term loan of $3.3 million.</w:t>
      </w:r>
    </w:p>
    <w:p>
      <w:pPr>
        <w:spacing w:after="0" w:line="16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Net cash provided by financing activities for the year ended December 31, 2017 was $23.9 million, which included the net proceeds from the sale of common stock in the March 2017 public offering of $14.8 million, the December 2017 registered direct offering of $8.8 million, $0.1 million in proceeds from sales made through at-the-market offerings, as well as $0.5 million from the exercise of options and warrants, partially offset by principal repayment on our November 2016 term loan with SVB of $0.3 million. Net cash provided by financing activities for the year ended December 31, 2016 was $10.0 million, which consisted of the net proceeds received from our November 2016 term loan with SVB..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rFonts w:ascii="Arial" w:cs="Arial" w:eastAsia="Arial" w:hAnsi="Arial"/>
          <w:sz w:val="18"/>
          <w:szCs w:val="18"/>
          <w:color w:val="auto"/>
        </w:rPr>
      </w:pPr>
    </w:p>
    <w:p>
      <w:pPr>
        <w:ind w:left="660" w:right="640" w:hanging="333"/>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94" w:lineRule="exact"/>
        <w:rPr>
          <w:rFonts w:ascii="Arial" w:cs="Arial" w:eastAsia="Arial" w:hAnsi="Arial"/>
          <w:sz w:val="18"/>
          <w:szCs w:val="18"/>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17"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94" w:lineRule="exact"/>
        <w:rPr>
          <w:rFonts w:ascii="Arial" w:cs="Arial" w:eastAsia="Arial" w:hAnsi="Arial"/>
          <w:sz w:val="18"/>
          <w:szCs w:val="18"/>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17" w:lineRule="exact"/>
        <w:rPr>
          <w:rFonts w:ascii="Arial" w:cs="Arial" w:eastAsia="Arial" w:hAnsi="Arial"/>
          <w:sz w:val="18"/>
          <w:szCs w:val="18"/>
          <w:color w:val="auto"/>
        </w:rPr>
      </w:pPr>
    </w:p>
    <w:p>
      <w:pPr>
        <w:ind w:left="660" w:right="480" w:hanging="333"/>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rFonts w:ascii="Arial" w:cs="Arial" w:eastAsia="Arial" w:hAnsi="Arial"/>
          <w:sz w:val="18"/>
          <w:szCs w:val="18"/>
          <w:color w:val="auto"/>
        </w:rPr>
      </w:pPr>
    </w:p>
    <w:p>
      <w:pPr>
        <w:ind w:left="660" w:right="800" w:hanging="333"/>
        <w:spacing w:after="0" w:line="203" w:lineRule="exact"/>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contractual obligations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one year</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ind w:right="96"/>
              <w:spacing w:after="0"/>
              <w:rPr>
                <w:sz w:val="20"/>
                <w:szCs w:val="20"/>
                <w:color w:val="auto"/>
              </w:rPr>
            </w:pPr>
            <w:r>
              <w:rPr>
                <w:rFonts w:ascii="Arial" w:cs="Arial" w:eastAsia="Arial" w:hAnsi="Arial"/>
                <w:sz w:val="14"/>
                <w:szCs w:val="14"/>
                <w:b w:val="1"/>
                <w:bCs w:val="1"/>
                <w:color w:val="auto"/>
                <w:w w:val="96"/>
              </w:rPr>
              <w:t>1 - 3 years</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3 - 5 years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69"/>
        </w:trPr>
        <w:tc>
          <w:tcPr>
            <w:tcW w:w="37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Term loan</w:t>
            </w:r>
          </w:p>
        </w:tc>
        <w:tc>
          <w:tcPr>
            <w:tcW w:w="340" w:type="dxa"/>
            <w:vAlign w:val="bottom"/>
            <w:gridSpan w:val="2"/>
            <w:shd w:val="clear" w:color="auto" w:fill="CCEEFF"/>
          </w:tcPr>
          <w:p>
            <w:pPr>
              <w:jc w:val="right"/>
              <w:ind w:right="5"/>
              <w:spacing w:after="0" w:line="17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6,981,944</w:t>
            </w:r>
          </w:p>
        </w:tc>
        <w:tc>
          <w:tcPr>
            <w:tcW w:w="3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w w:val="94"/>
              </w:rPr>
              <w:t>3,797,299</w:t>
            </w:r>
          </w:p>
        </w:tc>
        <w:tc>
          <w:tcPr>
            <w:tcW w:w="3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3,184,645</w:t>
            </w:r>
          </w:p>
        </w:tc>
        <w:tc>
          <w:tcPr>
            <w:tcW w:w="440" w:type="dxa"/>
            <w:vAlign w:val="bottom"/>
            <w:gridSpan w:val="2"/>
            <w:shd w:val="clear" w:color="auto" w:fill="CCEEFF"/>
          </w:tcPr>
          <w:p>
            <w:pPr>
              <w:ind w:left="180"/>
              <w:spacing w:after="0" w:line="170"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170"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40"/>
              <w:spacing w:after="0" w:line="170" w:lineRule="exact"/>
              <w:rPr>
                <w:sz w:val="20"/>
                <w:szCs w:val="20"/>
                <w:color w:val="auto"/>
              </w:rPr>
            </w:pPr>
            <w:r>
              <w:rPr>
                <w:rFonts w:ascii="Arial" w:cs="Arial" w:eastAsia="Arial" w:hAnsi="Arial"/>
                <w:sz w:val="18"/>
                <w:szCs w:val="18"/>
                <w:color w:val="auto"/>
              </w:rPr>
              <w:t>—</w:t>
            </w:r>
          </w:p>
        </w:tc>
      </w:tr>
      <w:tr>
        <w:trPr>
          <w:trHeight w:val="176"/>
        </w:trPr>
        <w:tc>
          <w:tcPr>
            <w:tcW w:w="3780" w:type="dxa"/>
            <w:vAlign w:val="bottom"/>
          </w:tcPr>
          <w:p>
            <w:pPr>
              <w:spacing w:after="0" w:line="170" w:lineRule="exact"/>
              <w:rPr>
                <w:sz w:val="20"/>
                <w:szCs w:val="20"/>
                <w:color w:val="auto"/>
              </w:rPr>
            </w:pPr>
            <w:r>
              <w:rPr>
                <w:rFonts w:ascii="Arial" w:cs="Arial" w:eastAsia="Arial" w:hAnsi="Arial"/>
                <w:sz w:val="18"/>
                <w:szCs w:val="18"/>
                <w:color w:val="auto"/>
              </w:rPr>
              <w:t>Total contractual obligations</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6,981,944</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0"/>
              <w:spacing w:after="0" w:line="170" w:lineRule="exact"/>
              <w:rPr>
                <w:sz w:val="20"/>
                <w:szCs w:val="20"/>
                <w:color w:val="auto"/>
              </w:rPr>
            </w:pPr>
            <w:r>
              <w:rPr>
                <w:rFonts w:ascii="Arial" w:cs="Arial" w:eastAsia="Arial" w:hAnsi="Arial"/>
                <w:sz w:val="18"/>
                <w:szCs w:val="18"/>
                <w:color w:val="auto"/>
                <w:w w:val="94"/>
              </w:rPr>
              <w:t>3,797,299</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3,184,645</w:t>
            </w: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80"/>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4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r>
    </w:tbl>
    <w:p>
      <w:pPr>
        <w:spacing w:after="0" w:line="202"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 For a more detailed description of these agreements, please see “Business—Material License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6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November 2016, we entered into a loan and security agreement with Silicon Valley Bank, or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2"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SVB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27"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We were permitted to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4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4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In November 2018, we amended the loan and security agreement with SVB to provide an additional $4 million growth capital loan, related to our narcolepsy clinical program with AXS-12. The additional capital was available to be drawn, at our option, subject to the achievement of a specified clinical milestone. Our obligations under the loan and security agreement, as amended, along with the ability to draw down on the additional $4.0 million tranche, were subsequently extinguished in connection with the establishment of a new term loan facility with SVB during March 2019.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54"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On December 1, 2016, we filed the 2016 Shelf Registration Statement with the SEC for the issuance of common stock, preferred stock, warrants, rights, debt securities and units up to an aggregate amount of $150.0 million. On December 16, 2016, the 2016 Shelf Registration Statement was declared effective by the SEC. At the time any of the securities covered by the 2016 Shelf Registration Statement are offered for sale, a prospectus supplement will be prepared and filed with the SEC containing specific information about the terms of any such offering.</w:t>
      </w:r>
    </w:p>
    <w:p>
      <w:pPr>
        <w:spacing w:after="0" w:line="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February 2016, the Financial Accounting Standards Board, or FASB, issued Accounting Standards Update, or ASU No. 2016-02, Leases (Topic 842), which supersedes FASB Topic 840, Leases (Topic 840),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We elected to use the transition method approved by the FASB in accordance with ASU No. 2018-11, Leases, which allows companies to apply the provisions of the new leasing standard as of January 1, 2019, without adjusting the comparative periods presented by recognizing a cumulative-effect adjustment to the opening balance of retained earnings. We applied a policy election to exclude short-term leases from balance sheet recognition and also elected certain practical expedients at adoption. As permitted under these expedients, we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Although we are still finalizing its evaluation of the standard update and the quantification of its impact, we expect its adoption will not have a material impact on our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Cash Receipts and Cash Payments, </w:t>
      </w:r>
      <w:r>
        <w:rPr>
          <w:rFonts w:ascii="Arial" w:cs="Arial" w:eastAsia="Arial" w:hAnsi="Arial"/>
          <w:sz w:val="16"/>
          <w:szCs w:val="16"/>
          <w:color w:val="auto"/>
        </w:rPr>
        <w:t>which is guidance to address diversity in practice with respect to how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have adopted this guidance effective January 1, 2018 and the adoption of the guidance did not have a material impact to our financial statements.</w:t>
      </w:r>
    </w:p>
    <w:p>
      <w:pPr>
        <w:spacing w:after="0" w:line="5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 xml:space="preserve">In May 2017, the FASB issued No. ASU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We have adopted this guidance effective January 1, 2018 and the adoption of the guidance did not have a material impact to our financial statements.</w:t>
      </w:r>
    </w:p>
    <w:p>
      <w:pPr>
        <w:spacing w:after="0" w:line="71"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 xml:space="preserve">In June 2018, the FASB issued No. ASU 2018-07, </w:t>
      </w:r>
      <w:r>
        <w:rPr>
          <w:rFonts w:ascii="Arial" w:cs="Arial" w:eastAsia="Arial" w:hAnsi="Arial"/>
          <w:sz w:val="18"/>
          <w:szCs w:val="18"/>
          <w:i w:val="1"/>
          <w:iCs w:val="1"/>
          <w:color w:val="auto"/>
        </w:rPr>
        <w:t>Compensation-Stock Compensation (Topic 718):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Nonemployee Share-Based Payment Accounting </w:t>
      </w:r>
      <w:r>
        <w:rPr>
          <w:rFonts w:ascii="Arial" w:cs="Arial" w:eastAsia="Arial" w:hAnsi="Arial"/>
          <w:sz w:val="18"/>
          <w:szCs w:val="18"/>
          <w:color w:val="auto"/>
        </w:rPr>
        <w:t>to simplify the accounting for share-based payments to nonemployees by</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it with the accounting for share-based payments to employees, with certain exceptions. The standard will be effective for annual and interim periods beginning after December 15, 2018, with early adoption permitted upon issuance. We have adopted this guidance effective October 1, 2018 and the adoption of the guidance did not have a material impact on our financial statements.</w:t>
      </w:r>
    </w:p>
    <w:p>
      <w:pPr>
        <w:spacing w:after="0" w:line="8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July 2018, the FASB issued ASU No. 2018-09, Codification Improvements,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We are currently evaluating the potential impact of the new guidance.</w:t>
      </w:r>
    </w:p>
    <w:p>
      <w:pPr>
        <w:spacing w:after="0" w:line="8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p>
    <w:p>
      <w:pPr>
        <w:ind w:right="140"/>
        <w:spacing w:after="0" w:line="288" w:lineRule="auto"/>
        <w:rPr>
          <w:sz w:val="20"/>
          <w:szCs w:val="20"/>
          <w:color w:val="auto"/>
        </w:rPr>
      </w:pPr>
      <w:r>
        <w:rPr>
          <w:rFonts w:ascii="Arial" w:cs="Arial" w:eastAsia="Arial" w:hAnsi="Arial"/>
          <w:sz w:val="16"/>
          <w:szCs w:val="16"/>
          <w:color w:val="auto"/>
        </w:rPr>
        <w:t xml:space="preserve">requirements on fair value measurements based on the FASB Concepts Statement, </w:t>
      </w:r>
      <w:r>
        <w:rPr>
          <w:rFonts w:ascii="Arial" w:cs="Arial" w:eastAsia="Arial" w:hAnsi="Arial"/>
          <w:sz w:val="16"/>
          <w:szCs w:val="16"/>
          <w:i w:val="1"/>
          <w:iCs w:val="1"/>
          <w:color w:val="auto"/>
        </w:rPr>
        <w:t>Conceptual Framework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Reporting-Chapter 8: Notes to the Financial Statements</w:t>
      </w:r>
      <w:r>
        <w:rPr>
          <w:rFonts w:ascii="Arial" w:cs="Arial" w:eastAsia="Arial" w:hAnsi="Arial"/>
          <w:sz w:val="16"/>
          <w:szCs w:val="16"/>
          <w:color w:val="auto"/>
        </w:rPr>
        <w:t>. The amendments on changes in unrealized gains and losses, the</w:t>
      </w:r>
      <w:r>
        <w:rPr>
          <w:rFonts w:ascii="Arial" w:cs="Arial" w:eastAsia="Arial" w:hAnsi="Arial"/>
          <w:sz w:val="16"/>
          <w:szCs w:val="16"/>
          <w:i w:val="1"/>
          <w:iCs w:val="1"/>
          <w:color w:val="auto"/>
        </w:rPr>
        <w:t xml:space="preserve"> </w:t>
      </w:r>
      <w:r>
        <w:rPr>
          <w:rFonts w:ascii="Arial" w:cs="Arial" w:eastAsia="Arial" w:hAnsi="Arial"/>
          <w:sz w:val="16"/>
          <w:szCs w:val="16"/>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We are currently evaluating the potential impact of the new guidance.</w:t>
      </w:r>
    </w:p>
    <w:p>
      <w:pPr>
        <w:spacing w:after="0" w:line="169" w:lineRule="exact"/>
        <w:rPr>
          <w:sz w:val="20"/>
          <w:szCs w:val="20"/>
          <w:color w:val="auto"/>
        </w:rPr>
      </w:pPr>
    </w:p>
    <w:p>
      <w:pPr>
        <w:ind w:right="360" w:firstLine="647"/>
        <w:spacing w:after="0" w:line="297"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Simplification</w:t>
      </w:r>
      <w:r>
        <w:rPr>
          <w:rFonts w:ascii="Arial" w:cs="Arial" w:eastAsia="Arial" w:hAnsi="Arial"/>
          <w:sz w:val="16"/>
          <w:szCs w:val="16"/>
          <w:color w:val="auto"/>
        </w:rPr>
        <w:t>, amending certain disclosure requirements that were redundant, duplicative, overlapping, outdated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superseded. The changes are generally expected to reduce or eliminate certain disclosures; however, the amendments did expand interim period disclosure requirements related to changes in stockholders’ equity. The final rule is effective on November 5, 2018 and the adoption of the guidance did not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right="1860"/>
        <w:spacing w:after="0" w:line="456"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are exposed to market risks in the ordinary course of our business. These market risks are principally limited to interest rate fluctuations. We had cash of $14.0 million as of December 31, 2018.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We do not believe a 10% change in these currencies on December 31, 2018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Our consolidated financial statements and the notes thereto, included in Part IV, Item 15(a), part 1, are incorporated by reference into this Item 8.</w:t>
      </w:r>
    </w:p>
    <w:p>
      <w:pPr>
        <w:spacing w:after="0" w:line="117" w:lineRule="exact"/>
        <w:rPr>
          <w:sz w:val="20"/>
          <w:szCs w:val="20"/>
          <w:color w:val="auto"/>
        </w:rPr>
      </w:pPr>
    </w:p>
    <w:p>
      <w:pPr>
        <w:ind w:right="114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principal financial officer, evaluated the effectiveness of our disclosure controls and procedures as of December 31, 2018.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principal executive officer and principal financial officer concluded that, as of such date, our disclosure controls and procedures were effective.</w:t>
      </w:r>
    </w:p>
    <w:p>
      <w:pPr>
        <w:spacing w:after="0" w:line="57"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and maintaining adequate internal control over financial reporting (as defined in Rule 13a-15(f) or Rule 15d-15(f) under the Exchange Act). Our management assessed the effectiveness of our internal control over financial reporting as of December 31, 2018. In making this assessment, our management used the criteria established in Internal Control – Integrated Framework (2013) issued by the Committee of Sponsoring Organizations of the Treadway Commission, or COSO Framework. Our management has concluded that, as of December 31, 2018, our internal control over financial reporting was effective based on these criteria.</w:t>
      </w:r>
    </w:p>
    <w:p>
      <w:pPr>
        <w:spacing w:after="0" w:line="57"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the attestation by our independent registered public accounting firm because emerging growth companies are exempt from this requirement.</w:t>
      </w:r>
    </w:p>
    <w:p>
      <w:pPr>
        <w:spacing w:after="0" w:line="5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i w:val="1"/>
          <w:iCs w:val="1"/>
          <w:color w:val="auto"/>
        </w:rPr>
        <w:t xml:space="preserve">Inherent Limitations on Effectiveness of Controls. </w:t>
      </w:r>
      <w:r>
        <w:rPr>
          <w:rFonts w:ascii="Arial" w:cs="Arial" w:eastAsia="Arial" w:hAnsi="Arial"/>
          <w:sz w:val="18"/>
          <w:szCs w:val="18"/>
          <w:color w:val="auto"/>
        </w:rPr>
        <w:t>Our management, including our principal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ind w:left="4180"/>
        <w:spacing w:after="0"/>
        <w:rPr>
          <w:sz w:val="20"/>
          <w:szCs w:val="20"/>
          <w:color w:val="auto"/>
        </w:rPr>
      </w:pPr>
      <w:r>
        <w:rPr>
          <w:rFonts w:ascii="Arial" w:cs="Arial" w:eastAsia="Arial" w:hAnsi="Arial"/>
          <w:sz w:val="18"/>
          <w:szCs w:val="18"/>
          <w:b w:val="1"/>
          <w:bCs w:val="1"/>
          <w:color w:val="auto"/>
        </w:rPr>
        <w:t>PART III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2018 Annual Meeting of Stockholders or will be included in an amendment to this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2019 Annual Meeting of Stockholders or will be included in an amendment to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right="719"/>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2"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2019 Annual Meeting of Stockholders or will be included in an amendment to this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2019 Annual Meeting of Stockholders or will be included in an amendment to this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right="239" w:firstLine="648"/>
        <w:spacing w:after="0" w:line="25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2019 Annual Meeting of Stockholders or will be included in an amendment to this Annual Report on Form 10-K.</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Consolidated Financial Statements</w:t>
      </w:r>
    </w:p>
    <w:p>
      <w:pPr>
        <w:spacing w:after="0" w:line="148"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The following consolidated financial statements of Axsome Therapeutics, Inc. are filed as part of this report.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331"/>
        </w:trPr>
        <w:tc>
          <w:tcPr>
            <w:tcW w:w="12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Report of Independent Registered Public Accounting Firm</w:t>
              </w:r>
            </w:hyperlink>
          </w:p>
        </w:tc>
        <w:tc>
          <w:tcPr>
            <w:tcW w:w="41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331"/>
        </w:trPr>
        <w:tc>
          <w:tcPr>
            <w:tcW w:w="120" w:type="dxa"/>
            <w:vAlign w:val="bottom"/>
          </w:tcPr>
          <w:p>
            <w:pPr>
              <w:spacing w:after="0"/>
              <w:rPr>
                <w:sz w:val="24"/>
                <w:szCs w:val="24"/>
                <w:color w:val="auto"/>
              </w:rPr>
            </w:pPr>
          </w:p>
        </w:tc>
        <w:tc>
          <w:tcPr>
            <w:tcW w:w="8360" w:type="dxa"/>
            <w:vAlign w:val="bottom"/>
            <w:gridSpan w:val="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Consolidated Balance Sheets as of December 31, 2018 and 2017</w:t>
              </w:r>
            </w:hyperlink>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Consolidated Statements of Operations for the Years Ended December 31, 2018, 2017, and 2016</w:t>
              </w:r>
            </w:hyperlink>
          </w:p>
        </w:tc>
        <w:tc>
          <w:tcPr>
            <w:tcW w:w="14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31"/>
        </w:trPr>
        <w:tc>
          <w:tcPr>
            <w:tcW w:w="120" w:type="dxa"/>
            <w:vAlign w:val="bottom"/>
          </w:tcPr>
          <w:p>
            <w:pPr>
              <w:spacing w:after="0"/>
              <w:rPr>
                <w:sz w:val="24"/>
                <w:szCs w:val="24"/>
                <w:color w:val="auto"/>
              </w:rPr>
            </w:pPr>
          </w:p>
        </w:tc>
        <w:tc>
          <w:tcPr>
            <w:tcW w:w="8360" w:type="dxa"/>
            <w:vAlign w:val="bottom"/>
            <w:gridSpan w:val="8"/>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Consolidated Statements of Stockholders’ Equity for the Years Ended December 31, 2018, 2017, and 2016</w:t>
              </w:r>
            </w:hyperlink>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31"/>
        </w:trPr>
        <w:tc>
          <w:tcPr>
            <w:tcW w:w="120" w:type="dxa"/>
            <w:vAlign w:val="bottom"/>
          </w:tcPr>
          <w:p>
            <w:pPr>
              <w:spacing w:after="0"/>
              <w:rPr>
                <w:sz w:val="24"/>
                <w:szCs w:val="24"/>
                <w:color w:val="auto"/>
              </w:rPr>
            </w:pPr>
          </w:p>
        </w:tc>
        <w:tc>
          <w:tcPr>
            <w:tcW w:w="7680" w:type="dxa"/>
            <w:vAlign w:val="bottom"/>
            <w:tcBorders>
              <w:top w:val="single" w:sz="8" w:color="0000EE"/>
            </w:tcBorders>
            <w:gridSpan w:val="7"/>
          </w:tcPr>
          <w:p>
            <w:pPr>
              <w:spacing w:after="0"/>
              <w:rPr>
                <w:rFonts w:ascii="Arial" w:cs="Arial" w:eastAsia="Arial" w:hAnsi="Arial"/>
                <w:sz w:val="18"/>
                <w:szCs w:val="18"/>
                <w:color w:val="0000EE"/>
                <w:w w:val="97"/>
              </w:rPr>
            </w:pPr>
            <w:hyperlink w:anchor="page144">
              <w:r>
                <w:rPr>
                  <w:rFonts w:ascii="Arial" w:cs="Arial" w:eastAsia="Arial" w:hAnsi="Arial"/>
                  <w:sz w:val="18"/>
                  <w:szCs w:val="18"/>
                  <w:color w:val="0000EE"/>
                  <w:w w:val="97"/>
                </w:rPr>
                <w:t>Consolidated Statements of Cash Flows for the Years Ended December 31, 2018, 2017, and 2016</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31"/>
        </w:trPr>
        <w:tc>
          <w:tcPr>
            <w:tcW w:w="120" w:type="dxa"/>
            <w:vAlign w:val="bottom"/>
          </w:tcPr>
          <w:p>
            <w:pPr>
              <w:spacing w:after="0"/>
              <w:rPr>
                <w:sz w:val="24"/>
                <w:szCs w:val="24"/>
                <w:color w:val="auto"/>
              </w:rPr>
            </w:pPr>
          </w:p>
        </w:tc>
        <w:tc>
          <w:tcPr>
            <w:tcW w:w="3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Notes to the Consolidated Financial Statements</w:t>
              </w:r>
            </w:hyperlink>
          </w:p>
        </w:tc>
        <w:tc>
          <w:tcPr>
            <w:tcW w:w="3580" w:type="dxa"/>
            <w:vAlign w:val="bottom"/>
            <w:tcBorders>
              <w:top w:val="single" w:sz="8" w:color="0000EE"/>
            </w:tcBorders>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547"/>
        </w:trPr>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2.</w:t>
            </w:r>
          </w:p>
        </w:tc>
        <w:tc>
          <w:tcPr>
            <w:tcW w:w="7220" w:type="dxa"/>
            <w:vAlign w:val="bottom"/>
            <w:gridSpan w:val="7"/>
          </w:tcPr>
          <w:p>
            <w:pPr>
              <w:ind w:left="360"/>
              <w:spacing w:after="0"/>
              <w:rPr>
                <w:sz w:val="20"/>
                <w:szCs w:val="20"/>
                <w:color w:val="auto"/>
              </w:rPr>
            </w:pPr>
            <w:r>
              <w:rPr>
                <w:rFonts w:ascii="Arial" w:cs="Arial" w:eastAsia="Arial" w:hAnsi="Arial"/>
                <w:sz w:val="18"/>
                <w:szCs w:val="18"/>
                <w:color w:val="auto"/>
              </w:rPr>
              <w:t>Consolidated Financial Statement Schedules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8360" w:type="dxa"/>
            <w:vAlign w:val="bottom"/>
            <w:gridSpan w:val="8"/>
          </w:tcPr>
          <w:p>
            <w:pPr>
              <w:ind w:left="540"/>
              <w:spacing w:after="0"/>
              <w:rPr>
                <w:sz w:val="20"/>
                <w:szCs w:val="20"/>
                <w:color w:val="auto"/>
              </w:rPr>
            </w:pPr>
            <w:r>
              <w:rPr>
                <w:rFonts w:ascii="Arial" w:cs="Arial" w:eastAsia="Arial" w:hAnsi="Arial"/>
                <w:sz w:val="18"/>
                <w:szCs w:val="18"/>
                <w:color w:val="auto"/>
                <w:w w:val="93"/>
              </w:rPr>
              <w:t>All schedules are omitted as the information required is inapplicable or the information is presented in the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8480" w:type="dxa"/>
            <w:vAlign w:val="bottom"/>
            <w:gridSpan w:val="9"/>
          </w:tcPr>
          <w:p>
            <w:pPr>
              <w:spacing w:after="0"/>
              <w:rPr>
                <w:sz w:val="20"/>
                <w:szCs w:val="20"/>
                <w:color w:val="auto"/>
              </w:rPr>
            </w:pPr>
            <w:r>
              <w:rPr>
                <w:rFonts w:ascii="Arial" w:cs="Arial" w:eastAsia="Arial" w:hAnsi="Arial"/>
                <w:sz w:val="18"/>
                <w:szCs w:val="18"/>
                <w:color w:val="auto"/>
              </w:rPr>
              <w:t>consolidated financial statements or the related notes.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50"/>
        </w:trPr>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3.</w:t>
            </w:r>
          </w:p>
        </w:tc>
        <w:tc>
          <w:tcPr>
            <w:tcW w:w="7220" w:type="dxa"/>
            <w:vAlign w:val="bottom"/>
            <w:gridSpan w:val="7"/>
          </w:tcPr>
          <w:p>
            <w:pPr>
              <w:ind w:left="360"/>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8360" w:type="dxa"/>
            <w:vAlign w:val="bottom"/>
            <w:gridSpan w:val="8"/>
          </w:tcPr>
          <w:p>
            <w:pPr>
              <w:ind w:left="540"/>
              <w:spacing w:after="0"/>
              <w:rPr>
                <w:sz w:val="20"/>
                <w:szCs w:val="20"/>
                <w:color w:val="auto"/>
              </w:rPr>
            </w:pPr>
            <w:r>
              <w:rPr>
                <w:rFonts w:ascii="Arial" w:cs="Arial" w:eastAsia="Arial" w:hAnsi="Arial"/>
                <w:sz w:val="18"/>
                <w:szCs w:val="18"/>
                <w:color w:val="auto"/>
                <w:w w:val="93"/>
              </w:rPr>
              <w:t>The list of exhibits filed with this report is set forth in the Exhibit Index following the signature page and is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848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Axsome Therapeutics, Inc.</w:t>
      </w: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8520" w:type="dxa"/>
            <w:vAlign w:val="bottom"/>
            <w:gridSpan w:val="8"/>
            <w:vMerge w:val="restart"/>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Report of Independent Registered Public Accounting Firm</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8520" w:type="dxa"/>
            <w:vAlign w:val="bottom"/>
            <w:gridSpan w:val="8"/>
            <w:vMerge w:val="continue"/>
          </w:tcPr>
          <w:p>
            <w:pPr>
              <w:spacing w:after="0"/>
              <w:rPr>
                <w:sz w:val="15"/>
                <w:szCs w:val="15"/>
                <w:color w:val="auto"/>
              </w:rPr>
            </w:pPr>
          </w:p>
        </w:tc>
        <w:tc>
          <w:tcPr>
            <w:tcW w:w="38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0000EE"/>
            </w:tcBorders>
            <w:gridSpan w:val="2"/>
          </w:tcPr>
          <w:p>
            <w:pPr>
              <w:spacing w:after="0" w:line="15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Consolidated Balance Sheets as of December 31, 2018 and</w:t>
              </w:r>
            </w:hyperlink>
          </w:p>
        </w:tc>
        <w:tc>
          <w:tcPr>
            <w:tcW w:w="2680" w:type="dxa"/>
            <w:vAlign w:val="bottom"/>
            <w:gridSpan w:val="2"/>
          </w:tcPr>
          <w:p>
            <w:pPr>
              <w:jc w:val="right"/>
              <w:ind w:right="2260"/>
              <w:spacing w:after="0" w:line="156"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2017</w:t>
              </w:r>
            </w:hyperlink>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vMerge w:val="restart"/>
          </w:tcPr>
          <w:p>
            <w:pPr>
              <w:ind w:left="140"/>
              <w:spacing w:after="0" w:line="17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3</w:t>
            </w:r>
          </w:p>
        </w:tc>
        <w:tc>
          <w:tcPr>
            <w:tcW w:w="0" w:type="dxa"/>
            <w:vAlign w:val="bottom"/>
          </w:tcPr>
          <w:p>
            <w:pPr>
              <w:spacing w:after="0" w:line="20" w:lineRule="exact"/>
              <w:rPr>
                <w:sz w:val="1"/>
                <w:szCs w:val="1"/>
                <w:color w:val="auto"/>
              </w:rPr>
            </w:pPr>
          </w:p>
        </w:tc>
      </w:tr>
      <w:tr>
        <w:trPr>
          <w:trHeight w:val="156"/>
        </w:trPr>
        <w:tc>
          <w:tcPr>
            <w:tcW w:w="8520" w:type="dxa"/>
            <w:vAlign w:val="bottom"/>
            <w:gridSpan w:val="8"/>
          </w:tcPr>
          <w:p>
            <w:pPr>
              <w:spacing w:after="0" w:line="156"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Operations for the years ended December 31, 2018, 2017, and 2016</w:t>
              </w:r>
            </w:hyperlink>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tcBorders>
              <w:top w:val="single" w:sz="8" w:color="0000EE"/>
            </w:tcBorders>
            <w:gridSpan w:val="5"/>
          </w:tcPr>
          <w:p>
            <w:pPr>
              <w:spacing w:after="0" w:line="15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Consolidated Statements of Stockholders’ Equity for the years ended December 31, 2018, 2017,</w:t>
              </w:r>
            </w:hyperlink>
          </w:p>
        </w:tc>
        <w:tc>
          <w:tcPr>
            <w:tcW w:w="60" w:type="dxa"/>
            <w:vAlign w:val="bottom"/>
          </w:tcPr>
          <w:p>
            <w:pPr>
              <w:spacing w:after="0"/>
              <w:rPr>
                <w:sz w:val="13"/>
                <w:szCs w:val="13"/>
                <w:color w:val="auto"/>
              </w:rPr>
            </w:pPr>
          </w:p>
        </w:tc>
        <w:tc>
          <w:tcPr>
            <w:tcW w:w="1560" w:type="dxa"/>
            <w:vAlign w:val="bottom"/>
            <w:gridSpan w:val="2"/>
          </w:tcPr>
          <w:p>
            <w:pPr>
              <w:spacing w:after="0" w:line="156" w:lineRule="exact"/>
              <w:rPr>
                <w:rFonts w:ascii="Arial" w:cs="Arial" w:eastAsia="Arial" w:hAnsi="Arial"/>
                <w:sz w:val="18"/>
                <w:szCs w:val="18"/>
                <w:color w:val="0000EE"/>
              </w:rPr>
            </w:pPr>
            <w:hyperlink w:anchor="page143">
              <w:r>
                <w:rPr>
                  <w:rFonts w:ascii="Arial" w:cs="Arial" w:eastAsia="Arial" w:hAnsi="Arial"/>
                  <w:sz w:val="18"/>
                  <w:szCs w:val="18"/>
                  <w:color w:val="0000EE"/>
                </w:rPr>
                <w:t>and 2016</w:t>
              </w:r>
            </w:hyperlink>
          </w:p>
        </w:tc>
        <w:tc>
          <w:tcPr>
            <w:tcW w:w="40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156"/>
        </w:trPr>
        <w:tc>
          <w:tcPr>
            <w:tcW w:w="7640" w:type="dxa"/>
            <w:vAlign w:val="bottom"/>
            <w:tcBorders>
              <w:top w:val="single" w:sz="8" w:color="0000EE"/>
            </w:tcBorders>
            <w:gridSpan w:val="7"/>
          </w:tcPr>
          <w:p>
            <w:pPr>
              <w:spacing w:after="0" w:line="156"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Consolidated Statements of Cash Flows for the years ended December 31, 2018, 2017, and 2016</w:t>
              </w:r>
            </w:hyperlink>
          </w:p>
        </w:tc>
        <w:tc>
          <w:tcPr>
            <w:tcW w:w="880" w:type="dxa"/>
            <w:vAlign w:val="bottom"/>
          </w:tcPr>
          <w:p>
            <w:pPr>
              <w:spacing w:after="0"/>
              <w:rPr>
                <w:sz w:val="13"/>
                <w:szCs w:val="13"/>
                <w:color w:val="auto"/>
              </w:rPr>
            </w:pPr>
          </w:p>
        </w:tc>
        <w:tc>
          <w:tcPr>
            <w:tcW w:w="40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156"/>
        </w:trPr>
        <w:tc>
          <w:tcPr>
            <w:tcW w:w="696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45">
              <w:r>
                <w:rPr>
                  <w:rFonts w:ascii="Arial" w:cs="Arial" w:eastAsia="Arial" w:hAnsi="Arial"/>
                  <w:sz w:val="18"/>
                  <w:szCs w:val="18"/>
                  <w:color w:val="0000EE"/>
                </w:rPr>
                <w:t>Notes to Consolidated Financial Statements</w:t>
              </w:r>
            </w:hyperlink>
          </w:p>
        </w:tc>
        <w:tc>
          <w:tcPr>
            <w:tcW w:w="1560" w:type="dxa"/>
            <w:vAlign w:val="bottom"/>
            <w:gridSpan w:val="2"/>
          </w:tcPr>
          <w:p>
            <w:pPr>
              <w:spacing w:after="0"/>
              <w:rPr>
                <w:sz w:val="13"/>
                <w:szCs w:val="13"/>
                <w:color w:val="auto"/>
              </w:rPr>
            </w:pPr>
          </w:p>
        </w:tc>
        <w:tc>
          <w:tcPr>
            <w:tcW w:w="40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Axsome Therapeutics,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have audited the accompanying consolidated balance sheets of Axsome Therapeutics, Inc. (the “Company”) as of December 31, 2018 and 2017, the related consolidated statements of operations,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3" w:lineRule="auto"/>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March 14, 2019</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92"/>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1"/>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13,968,742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34,021,123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1,246,360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1,278,418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15,215,102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35,299,541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51,832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68,071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112,345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187,952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15,379,279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3,687,245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3,435,456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3,843,299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2,679,534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3,291,394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3,269,346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320"/>
              <w:spacing w:after="0" w:line="176" w:lineRule="exact"/>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5"/>
                <w:szCs w:val="15"/>
                <w:color w:val="auto"/>
              </w:rPr>
            </w:pPr>
          </w:p>
        </w:tc>
        <w:tc>
          <w:tcPr>
            <w:tcW w:w="12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10,821,938</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12,175,336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Loan payable, long-term</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3,619,420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6,663,005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14,441,358</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18,838,341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4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5"/>
              </w:rPr>
              <w:t>Preferred stock, $0.0001 par value per share (10,000,000 shares authorized, none issued</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outstanding at December 31, 2018 and December 31, 2017, respectively)</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7"/>
                <w:szCs w:val="17"/>
                <w:color w:val="auto"/>
                <w:w w:val="95"/>
              </w:rPr>
              <w:t>Common stock, $0.0001 par value per share (150,000,000 shares authorized, 30,087,213</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w w:val="90"/>
              </w:rPr>
              <w:t>and 25,492,992 shares issued and outstanding at December 31, 2018 and December 31,</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2017, respectively)</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108,485,219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93,299,517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5"/>
                <w:szCs w:val="15"/>
                <w:color w:val="auto"/>
              </w:rPr>
            </w:pPr>
          </w:p>
        </w:tc>
        <w:tc>
          <w:tcPr>
            <w:tcW w:w="12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6"/>
              </w:rPr>
              <w:t>(107,550,307)</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5"/>
              </w:rPr>
              <w:t>(76,584,843)</w:t>
            </w:r>
          </w:p>
        </w:tc>
        <w:tc>
          <w:tcPr>
            <w:tcW w:w="0" w:type="dxa"/>
            <w:vAlign w:val="bottom"/>
          </w:tcPr>
          <w:p>
            <w:pPr>
              <w:spacing w:after="0"/>
              <w:rPr>
                <w:sz w:val="1"/>
                <w:szCs w:val="1"/>
                <w:color w:val="auto"/>
              </w:rPr>
            </w:pPr>
          </w:p>
        </w:tc>
      </w:tr>
      <w:tr>
        <w:trPr>
          <w:trHeight w:val="169"/>
        </w:trPr>
        <w:tc>
          <w:tcPr>
            <w:tcW w:w="6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937,921</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16,717,223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15,379,279</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r>
      <w:tr>
        <w:trPr>
          <w:trHeight w:val="129"/>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2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23,495,055</w:t>
            </w:r>
          </w:p>
        </w:tc>
        <w:tc>
          <w:tcPr>
            <w:tcW w:w="14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19,957,616</w:t>
            </w:r>
          </w:p>
        </w:tc>
        <w:tc>
          <w:tcPr>
            <w:tcW w:w="14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21,199,860</w:t>
            </w:r>
          </w:p>
        </w:tc>
        <w:tc>
          <w:tcPr>
            <w:tcW w:w="40" w:type="dxa"/>
            <w:vAlign w:val="bottom"/>
          </w:tcPr>
          <w:p>
            <w:pPr>
              <w:spacing w:after="0"/>
              <w:rPr>
                <w:sz w:val="15"/>
                <w:szCs w:val="15"/>
                <w:color w:val="auto"/>
              </w:rPr>
            </w:pPr>
          </w:p>
        </w:tc>
      </w:tr>
      <w:tr>
        <w:trPr>
          <w:trHeight w:val="176"/>
        </w:trPr>
        <w:tc>
          <w:tcPr>
            <w:tcW w:w="5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9,351,522</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7,206,691</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6,343,648</w:t>
            </w:r>
          </w:p>
        </w:tc>
        <w:tc>
          <w:tcPr>
            <w:tcW w:w="40" w:type="dxa"/>
            <w:vAlign w:val="bottom"/>
            <w:shd w:val="clear" w:color="auto" w:fill="CCEEFF"/>
          </w:tcPr>
          <w:p>
            <w:pPr>
              <w:spacing w:after="0"/>
              <w:rPr>
                <w:sz w:val="15"/>
                <w:szCs w:val="15"/>
                <w:color w:val="auto"/>
              </w:rPr>
            </w:pPr>
          </w:p>
        </w:tc>
      </w:tr>
      <w:tr>
        <w:trPr>
          <w:trHeight w:val="169"/>
        </w:trPr>
        <w:tc>
          <w:tcPr>
            <w:tcW w:w="52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32,846,577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27,164,307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27,543,508</w:t>
            </w:r>
          </w:p>
        </w:tc>
        <w:tc>
          <w:tcPr>
            <w:tcW w:w="40" w:type="dxa"/>
            <w:vAlign w:val="bottom"/>
            <w:tcBorders>
              <w:bottom w:val="single" w:sz="8" w:color="CCEEFF"/>
            </w:tcBorders>
          </w:tcPr>
          <w:p>
            <w:pPr>
              <w:spacing w:after="0"/>
              <w:rPr>
                <w:sz w:val="14"/>
                <w:szCs w:val="14"/>
                <w:color w:val="auto"/>
              </w:rPr>
            </w:pPr>
          </w:p>
        </w:tc>
      </w:tr>
      <w:tr>
        <w:trPr>
          <w:trHeight w:val="169"/>
        </w:trPr>
        <w:tc>
          <w:tcPr>
            <w:tcW w:w="52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(32,846,577)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(27,164,307)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(27,543,508)</w:t>
            </w:r>
          </w:p>
        </w:tc>
        <w:tc>
          <w:tcPr>
            <w:tcW w:w="40" w:type="dxa"/>
            <w:vAlign w:val="bottom"/>
            <w:shd w:val="clear" w:color="auto" w:fill="CCEEFF"/>
          </w:tcPr>
          <w:p>
            <w:pPr>
              <w:spacing w:after="0"/>
              <w:rPr>
                <w:sz w:val="14"/>
                <w:szCs w:val="14"/>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(1,127,305)</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(1,340,199)</w:t>
            </w:r>
          </w:p>
        </w:tc>
        <w:tc>
          <w:tcPr>
            <w:tcW w:w="18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(132,424)</w:t>
            </w: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474,279</w:t>
            </w:r>
          </w:p>
        </w:tc>
        <w:tc>
          <w:tcPr>
            <w:tcW w:w="40" w:type="dxa"/>
            <w:vAlign w:val="bottom"/>
            <w:shd w:val="clear" w:color="auto" w:fill="CCEEFF"/>
          </w:tcPr>
          <w:p>
            <w:pPr>
              <w:spacing w:after="0"/>
              <w:rPr>
                <w:sz w:val="15"/>
                <w:szCs w:val="15"/>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(646,000)</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89"/>
        </w:trPr>
        <w:tc>
          <w:tcPr>
            <w:tcW w:w="52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(30,965,464)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(28,943,392)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(27,201,653)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0"/>
        </w:trPr>
        <w:tc>
          <w:tcPr>
            <w:tcW w:w="52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tcPr>
          <w:p>
            <w:pPr>
              <w:spacing w:after="0"/>
              <w:rPr>
                <w:sz w:val="14"/>
                <w:szCs w:val="14"/>
                <w:color w:val="auto"/>
              </w:rPr>
            </w:pPr>
          </w:p>
        </w:tc>
      </w:tr>
      <w:tr>
        <w:trPr>
          <w:trHeight w:val="183"/>
        </w:trPr>
        <w:tc>
          <w:tcPr>
            <w:tcW w:w="5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Weighted average common shares outstanding, basic and diluted</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26,883,656</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22,764,606</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19,150,690</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paid-in capital</w:t>
            </w: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29"/>
        </w:trPr>
        <w:tc>
          <w:tcPr>
            <w:tcW w:w="3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2015</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19,149,417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1,915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66,882,144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(20,439,798)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46,444,261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2,031,418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2,031,418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exercise of options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9,000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33,029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33,030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Issuance of warrants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264,395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264,395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(27,201,653)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(27,201,653)</w:t>
            </w:r>
          </w:p>
        </w:tc>
        <w:tc>
          <w:tcPr>
            <w:tcW w:w="0" w:type="dxa"/>
            <w:vAlign w:val="bottom"/>
          </w:tcPr>
          <w:p>
            <w:pPr>
              <w:spacing w:after="0"/>
              <w:rPr>
                <w:sz w:val="1"/>
                <w:szCs w:val="1"/>
                <w:color w:val="auto"/>
              </w:rPr>
            </w:pPr>
          </w:p>
        </w:tc>
      </w:tr>
      <w:tr>
        <w:trPr>
          <w:trHeight w:val="129"/>
        </w:trPr>
        <w:tc>
          <w:tcPr>
            <w:tcW w:w="3800" w:type="dxa"/>
            <w:vAlign w:val="bottom"/>
          </w:tcPr>
          <w:p>
            <w:pPr>
              <w:spacing w:after="0" w:line="129" w:lineRule="exact"/>
              <w:rPr>
                <w:sz w:val="20"/>
                <w:szCs w:val="20"/>
                <w:color w:val="auto"/>
              </w:rPr>
            </w:pPr>
            <w:r>
              <w:rPr>
                <w:rFonts w:ascii="Arial" w:cs="Arial" w:eastAsia="Arial" w:hAnsi="Arial"/>
                <w:sz w:val="14"/>
                <w:szCs w:val="14"/>
                <w:color w:val="auto"/>
              </w:rPr>
              <w:t>Balance at December 31, 2016</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19,158,417</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1,916</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69,210,986</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(47,641,451)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21,571,451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2,072,210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2,072,210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Proceeds from exercise of options</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88,922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316,710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316,719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warrants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129,149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167,881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167,894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6,116,504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color w:val="auto"/>
              </w:rPr>
              <w:t>611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21,531,730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21,532,341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(28,943,392)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(28,943,392)</w:t>
            </w:r>
          </w:p>
        </w:tc>
        <w:tc>
          <w:tcPr>
            <w:tcW w:w="0" w:type="dxa"/>
            <w:vAlign w:val="bottom"/>
          </w:tcPr>
          <w:p>
            <w:pPr>
              <w:spacing w:after="0"/>
              <w:rPr>
                <w:sz w:val="1"/>
                <w:szCs w:val="1"/>
                <w:color w:val="auto"/>
              </w:rPr>
            </w:pPr>
          </w:p>
        </w:tc>
      </w:tr>
      <w:tr>
        <w:trPr>
          <w:trHeight w:val="129"/>
        </w:trPr>
        <w:tc>
          <w:tcPr>
            <w:tcW w:w="3800" w:type="dxa"/>
            <w:vAlign w:val="bottom"/>
          </w:tcPr>
          <w:p>
            <w:pPr>
              <w:spacing w:after="0" w:line="129" w:lineRule="exact"/>
              <w:rPr>
                <w:sz w:val="20"/>
                <w:szCs w:val="20"/>
                <w:color w:val="auto"/>
              </w:rPr>
            </w:pPr>
            <w:r>
              <w:rPr>
                <w:rFonts w:ascii="Arial" w:cs="Arial" w:eastAsia="Arial" w:hAnsi="Arial"/>
                <w:sz w:val="14"/>
                <w:szCs w:val="14"/>
                <w:color w:val="auto"/>
              </w:rPr>
              <w:t>Balance at December 31, 2017</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25,492,992</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2,549</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93,299,517</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(76,584,843)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16,717,223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1,754,974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1,754,974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278,925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380,293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380,322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warrants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101,310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131,693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131,703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37,842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37,842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4,213,986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12,880,900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12,881,321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(30,965,464)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rPr>
              <w:t>(30,965,464)</w:t>
            </w:r>
          </w:p>
        </w:tc>
        <w:tc>
          <w:tcPr>
            <w:tcW w:w="0" w:type="dxa"/>
            <w:vAlign w:val="bottom"/>
          </w:tcPr>
          <w:p>
            <w:pPr>
              <w:spacing w:after="0"/>
              <w:rPr>
                <w:sz w:val="1"/>
                <w:szCs w:val="1"/>
                <w:color w:val="auto"/>
              </w:rPr>
            </w:pPr>
          </w:p>
        </w:tc>
      </w:tr>
      <w:tr>
        <w:trPr>
          <w:trHeight w:val="136"/>
        </w:trPr>
        <w:tc>
          <w:tcPr>
            <w:tcW w:w="3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2018</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30,087,213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3,009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108,485,219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(107,550,307)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937,921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29"/>
        </w:trPr>
        <w:tc>
          <w:tcPr>
            <w:tcW w:w="5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20"/>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2016</w:t>
            </w: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400" w:type="dxa"/>
            <w:vAlign w:val="bottom"/>
            <w:gridSpan w:val="2"/>
          </w:tcPr>
          <w:p>
            <w:pPr>
              <w:jc w:val="right"/>
              <w:ind w:right="4"/>
              <w:spacing w:after="0" w:line="162"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w w:val="99"/>
              </w:rPr>
              <w:t>(30,965,464)</w:t>
            </w:r>
          </w:p>
        </w:tc>
        <w:tc>
          <w:tcPr>
            <w:tcW w:w="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w w:val="96"/>
              </w:rPr>
              <w:t>(28,943,392)</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w w:val="96"/>
              </w:rPr>
              <w:t>(27,201,653)</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1,754,974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2,072,210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2,031,418</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375,635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470,521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68,930</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(2,791,000)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646,000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48,935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42,557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20,484</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536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32,058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102,143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(383,942)</w:t>
            </w:r>
          </w:p>
        </w:tc>
      </w:tr>
      <w:tr>
        <w:trPr>
          <w:trHeight w:val="162"/>
        </w:trPr>
        <w:tc>
          <w:tcPr>
            <w:tcW w:w="5360" w:type="dxa"/>
            <w:vAlign w:val="bottom"/>
          </w:tcPr>
          <w:p>
            <w:pPr>
              <w:ind w:left="220"/>
              <w:spacing w:after="0" w:line="162" w:lineRule="exact"/>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75,607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(75,131)</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(86,196)</w:t>
            </w:r>
          </w:p>
        </w:tc>
      </w:tr>
      <w:tr>
        <w:trPr>
          <w:trHeight w:val="162"/>
        </w:trPr>
        <w:tc>
          <w:tcPr>
            <w:tcW w:w="536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251,789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(645,717)</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2,188,810</w:t>
            </w:r>
          </w:p>
        </w:tc>
      </w:tr>
      <w:tr>
        <w:trPr>
          <w:trHeight w:val="162"/>
        </w:trPr>
        <w:tc>
          <w:tcPr>
            <w:tcW w:w="5360" w:type="dxa"/>
            <w:vAlign w:val="bottom"/>
          </w:tcPr>
          <w:p>
            <w:pPr>
              <w:ind w:left="22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1,163,765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(140,843)</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2,080,845</w:t>
            </w:r>
          </w:p>
        </w:tc>
      </w:tr>
      <w:tr>
        <w:trPr>
          <w:trHeight w:val="156"/>
        </w:trPr>
        <w:tc>
          <w:tcPr>
            <w:tcW w:w="5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9"/>
              </w:rPr>
              <w:t>(30,053,701)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6"/>
              </w:rPr>
              <w:t>(26,471,652)</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6"/>
              </w:rPr>
              <w:t>(21,281,304)</w:t>
            </w: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(32,696)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(9,898)</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(104,561)</w:t>
            </w:r>
          </w:p>
        </w:tc>
      </w:tr>
      <w:tr>
        <w:trPr>
          <w:trHeight w:val="156"/>
        </w:trPr>
        <w:tc>
          <w:tcPr>
            <w:tcW w:w="53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(32,696)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(9,898)</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(104,561)</w:t>
            </w:r>
          </w:p>
        </w:tc>
      </w:tr>
      <w:tr>
        <w:trPr>
          <w:trHeight w:val="156"/>
        </w:trPr>
        <w:tc>
          <w:tcPr>
            <w:tcW w:w="536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Proceeds from issuance of term loan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10,000,000</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Payment of debt issuance costs</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(25,997)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(64,928)</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(3,333,333)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(277,778)</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12,881,321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23,677,341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131,703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167,894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33,030</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380,322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316,719</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r>
      <w:tr>
        <w:trPr>
          <w:trHeight w:val="156"/>
        </w:trPr>
        <w:tc>
          <w:tcPr>
            <w:tcW w:w="53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10,034,016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23,884,176</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9,968,102</w:t>
            </w:r>
          </w:p>
        </w:tc>
      </w:tr>
      <w:tr>
        <w:trPr>
          <w:trHeight w:val="156"/>
        </w:trPr>
        <w:tc>
          <w:tcPr>
            <w:tcW w:w="53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9"/>
              </w:rPr>
              <w:t>(20,052,381)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(2,597,374)</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6"/>
              </w:rPr>
              <w:t>(11,417,763)</w:t>
            </w:r>
          </w:p>
        </w:tc>
      </w:tr>
      <w:tr>
        <w:trPr>
          <w:trHeight w:val="156"/>
        </w:trPr>
        <w:tc>
          <w:tcPr>
            <w:tcW w:w="53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Cash at beginning of period</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34,021,123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36,618,497</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48,036,260</w:t>
            </w:r>
          </w:p>
        </w:tc>
      </w:tr>
      <w:tr>
        <w:trPr>
          <w:trHeight w:val="176"/>
        </w:trPr>
        <w:tc>
          <w:tcPr>
            <w:tcW w:w="53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at end of period</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13,968,742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34,021,123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36,618,497</w:t>
            </w: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53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Interest paid</w:t>
            </w:r>
          </w:p>
        </w:tc>
        <w:tc>
          <w:tcPr>
            <w:tcW w:w="400" w:type="dxa"/>
            <w:vAlign w:val="bottom"/>
            <w:gridSpan w:val="2"/>
            <w:shd w:val="clear" w:color="auto" w:fill="CCEEFF"/>
          </w:tcPr>
          <w:p>
            <w:pPr>
              <w:jc w:val="right"/>
              <w:ind w:right="4"/>
              <w:spacing w:after="0" w:line="176"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771,966</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865,278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46,667</w:t>
            </w: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6"/>
                <w:szCs w:val="16"/>
                <w:b w:val="1"/>
                <w:bCs w:val="1"/>
                <w:color w:val="auto"/>
              </w:rPr>
              <w:t>Supplemental disclosures of non-cash financing activity: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53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7"/>
              </w:rPr>
              <w:t>Establishment of warrant liabilities in connection with common stock issuance</w:t>
            </w:r>
          </w:p>
        </w:tc>
        <w:tc>
          <w:tcPr>
            <w:tcW w:w="400" w:type="dxa"/>
            <w:vAlign w:val="bottom"/>
            <w:gridSpan w:val="2"/>
            <w:shd w:val="clear" w:color="auto" w:fill="CCEEFF"/>
          </w:tcPr>
          <w:p>
            <w:pPr>
              <w:jc w:val="right"/>
              <w:ind w:right="4"/>
              <w:spacing w:after="0" w:line="176"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2,145,000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r>
      <w:tr>
        <w:trPr>
          <w:trHeight w:val="206"/>
        </w:trPr>
        <w:tc>
          <w:tcPr>
            <w:tcW w:w="536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4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37,842</w:t>
            </w: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264,395</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7"/>
          <w:szCs w:val="17"/>
          <w:color w:val="auto"/>
        </w:rPr>
        <w:t>‑</w:t>
      </w:r>
      <w:r>
        <w:rPr>
          <w:rFonts w:ascii="Arial" w:cs="Arial" w:eastAsia="Arial" w:hAnsi="Arial"/>
          <w:sz w:val="17"/>
          <w:szCs w:val="17"/>
          <w:color w:val="auto"/>
        </w:rPr>
        <w:t>05, AXS-07, AXS-09, and AXS-12, which are being developed for multiple indications. The Axsome Pain and Primary Care business unit (“Axsome PPC”) houses Axsome’s pain and primary care assets, including AXS-02 and AXS-06, and intellectual property which covers these and related product candidates and molecules being developed by Axsome and others.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189"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In connection with the completion of the Company’s initial public offering (“IPO”) on November 24, 2015, the Company’s stockholders approved an amended and restated Certificate of Incorporation, in which its authorized capital stock consists of 150,000,000 shares of common stock, par value $0.0001 per share, and 10,000,000 shares of preferred stock, par value $0.0001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December 31, 2018, the Company had an accumulated deficit of $107.6 million.</w:t>
      </w:r>
    </w:p>
    <w:p>
      <w:pPr>
        <w:spacing w:after="0" w:line="163"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6"/>
          <w:szCs w:val="16"/>
          <w:color w:val="auto"/>
        </w:rPr>
        <w:t>In November 2015, the Company completed its IPO, whereby it sold 5,666,667 shares of common stock at a public offering price of $9.00 per share. The Company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November 2016, the Company entered into a loan and security agreement with Silicon Valley Bank (“SVB”) for a term loan of up to $20.0 million. The initial tranche of $10.0 million was funded shortly after executing the loan agreement. The Company did not achieve the conditional criteria to access the second and third tranches before the specified dates and the $10.0 million in additional term loan advances subsequently expired. In November 2018, the Company amended the loan and security agreement with SVB to provide an additional $4.0 million growth capital loan, related to the Company’s narcolepsy clinical program with AXS-12. The additional capital was available to be drawn, at the Company’s option, subject to the achievement of a specified clinical milestone. The Company’s obligations under the loan and security agreement, as amended, along with the ability of the Company to draw down on the additional $4.0 million tranche, were subsequently extinguished in connection with the establishment of a new term loan facility with SVB during March 2019 (see below).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9"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In October 2017, the Company entered into a sales agreement (the “Sales Agreement”) with Leerink Partners LLC ("Leerink"), pursuant to which the Company could sell up to $30 million in shares of its common stock from time to time through Leerink, acting as its sales agent, in one or more at-the-market offerings. The Company received approximately $4.2 million in gross proceeds, of which net proceeds were approximately $4.1 million from the sales of its common stock to Leerink under the Sales Agreement during the year ended December 31, 2018. In January 2019, the Company raised approximately $25.8 million in gross proceeds through the sale of 3,164,015 shares under the Sales Agreement. Upon completion of the final sale, the Sales Agreement was automatically terminated, Leerink received a commission of 3.0% of the gross proceeds for all shares sold under the Sales Agreement.</w:t>
      </w:r>
    </w:p>
    <w:p>
      <w:pPr>
        <w:spacing w:after="0" w:line="168" w:lineRule="exact"/>
        <w:rPr>
          <w:sz w:val="20"/>
          <w:szCs w:val="20"/>
          <w:color w:val="auto"/>
        </w:rPr>
      </w:pPr>
    </w:p>
    <w:p>
      <w:pPr>
        <w:ind w:right="219" w:firstLine="648"/>
        <w:spacing w:after="0" w:line="216" w:lineRule="auto"/>
        <w:rPr>
          <w:sz w:val="20"/>
          <w:szCs w:val="20"/>
          <w:color w:val="auto"/>
        </w:rPr>
      </w:pPr>
      <w:r>
        <w:rPr>
          <w:rFonts w:ascii="Arial" w:cs="Arial" w:eastAsia="Arial" w:hAnsi="Arial"/>
          <w:sz w:val="18"/>
          <w:szCs w:val="18"/>
          <w:color w:val="auto"/>
        </w:rPr>
        <w:t>In December 2017, the Company completed a registered direct offering (“the 2017 Registered Direct Offering”) priced at the market, whereby it sold 1,783,587 shares of common stock and warrants to purchase up to an aggregate of 1,783,587 shares of its common stock at a combined purchase price of $5.325 per share. The Company received gross proceeds of approximately $9.5 million and net proceeds of approximately $8.8 million, net of underwriting discounts and offering expenses.</w:t>
      </w:r>
    </w:p>
    <w:p>
      <w:pPr>
        <w:spacing w:after="0" w:line="122"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 pursuant to a prospectus supplement to the 2016 Shelf Registration Statement.</w:t>
      </w:r>
    </w:p>
    <w:p>
      <w:pPr>
        <w:spacing w:after="0" w:line="127"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In March 2019, the Company entered into a $24.0 million growth capital term loan facility with SVB and WestRiver. The two-tranche loan agreement consists of an initial $20.0 million tranche, which was funded shortly upon closing, with the remaining $4.0 million available to be drawn, at the Company’s option, subject to the achievement of positive data, on or prior to August 15, 2019, with respect to the Company’s ongoing Phase 2 clinical trial for AXS-12 in narcolepsy, sufficient to submit a Phase 3 protocol to FDA, provided that the Company has not received any objections from the FDA within thirty days after submission of such Phase 3 protocol. A portion of the first tranche was used to satisfy the Company’s existing obligations under its previously disclosed term loan facility with SVB, as amended, and such obligations are considered fully repaid and extinguished (refer to Note 6, Loan and Security Agreement).</w:t>
      </w:r>
    </w:p>
    <w:p>
      <w:pPr>
        <w:spacing w:after="0" w:line="235" w:lineRule="exact"/>
        <w:rPr>
          <w:sz w:val="20"/>
          <w:szCs w:val="20"/>
          <w:color w:val="auto"/>
        </w:rPr>
      </w:pPr>
    </w:p>
    <w:p>
      <w:pPr>
        <w:ind w:right="19" w:firstLine="648"/>
        <w:spacing w:after="0" w:line="225"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22" w:lineRule="exact"/>
        <w:rPr>
          <w:sz w:val="20"/>
          <w:szCs w:val="20"/>
          <w:color w:val="auto"/>
        </w:rPr>
      </w:pPr>
    </w:p>
    <w:p>
      <w:pPr>
        <w:ind w:right="99" w:firstLine="648"/>
        <w:spacing w:after="0" w:line="229" w:lineRule="auto"/>
        <w:rPr>
          <w:sz w:val="20"/>
          <w:szCs w:val="20"/>
          <w:color w:val="auto"/>
        </w:rPr>
      </w:pPr>
      <w:r>
        <w:rPr>
          <w:rFonts w:ascii="Arial" w:cs="Arial" w:eastAsia="Arial" w:hAnsi="Arial"/>
          <w:sz w:val="17"/>
          <w:szCs w:val="17"/>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December 31, 2018 and 2017.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December 31, 2018,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The fair value of the warrants are discussed in Note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The Company incurred third</w:t>
      </w:r>
      <w:r>
        <w:rPr>
          <w:rFonts w:ascii="MS PGothic" w:cs="MS PGothic" w:eastAsia="MS PGothic" w:hAnsi="MS PGothic"/>
          <w:sz w:val="18"/>
          <w:szCs w:val="18"/>
          <w:color w:val="auto"/>
        </w:rPr>
        <w:t>‑</w:t>
      </w:r>
      <w:r>
        <w:rPr>
          <w:rFonts w:ascii="Arial" w:cs="Arial" w:eastAsia="Arial" w:hAnsi="Arial"/>
          <w:sz w:val="18"/>
          <w:szCs w:val="18"/>
          <w:color w:val="auto"/>
        </w:rPr>
        <w:t>party costs in connection with the Company’s term loans as described in Note 6 – Loan and Security Agreement. These costs are classified on the consolidated balance sheet as a direct deduction from the debt liability. The Company amortizes these costs over the term of its debt agreements as interest expense in the consolidated statement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8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79"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2018,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right="79" w:firstLine="648"/>
        <w:spacing w:after="0" w:line="181" w:lineRule="exact"/>
        <w:rPr>
          <w:sz w:val="20"/>
          <w:szCs w:val="20"/>
          <w:color w:val="auto"/>
        </w:rPr>
      </w:pPr>
      <w:r>
        <w:rPr>
          <w:rFonts w:ascii="Arial" w:cs="Arial" w:eastAsia="Arial" w:hAnsi="Arial"/>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63"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The Company’s policy upon exercise of stock options is that shares will be issued as new shares drawing on the Company’s 2015 Omnibus Incentive Compensation Plan share pool that was adopted by the stockholders in November 2015.</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w:t>
      </w:r>
    </w:p>
    <w:p>
      <w:pPr>
        <w:spacing w:after="0" w:line="18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The tax credit represents the receipt of the New York City Biotechnology Tax Credit (“NYC Biotech credit”), and receipt by Axsome Therapeutics Australia PTY, LTD, the Company’s Australian subsidiary, of the Australia Tax Incentive Credit, related to the Company’s research and development expenses incurred for its product candidates. These expenses were incurred in prior periods and therefore the grant income was recorded when the funds were received.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convertible notes,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years ended December 31, 2018,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Topic 840, </w:t>
      </w:r>
      <w:r>
        <w:rPr>
          <w:rFonts w:ascii="Arial" w:cs="Arial" w:eastAsia="Arial" w:hAnsi="Arial"/>
          <w:sz w:val="17"/>
          <w:szCs w:val="17"/>
          <w:i w:val="1"/>
          <w:iCs w:val="1"/>
          <w:color w:val="auto"/>
        </w:rPr>
        <w:t>Leases (Topic 840)</w:t>
      </w:r>
      <w:r>
        <w:rPr>
          <w:rFonts w:ascii="Arial" w:cs="Arial" w:eastAsia="Arial" w:hAnsi="Arial"/>
          <w:sz w:val="17"/>
          <w:szCs w:val="17"/>
          <w:color w:val="auto"/>
        </w:rPr>
        <w:t xml:space="preserve">,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The Company elected to use the transition method approved by the FASB in accordance with ASU No. 2018-11, </w:t>
      </w:r>
      <w:r>
        <w:rPr>
          <w:rFonts w:ascii="Arial" w:cs="Arial" w:eastAsia="Arial" w:hAnsi="Arial"/>
          <w:sz w:val="17"/>
          <w:szCs w:val="17"/>
          <w:i w:val="1"/>
          <w:iCs w:val="1"/>
          <w:color w:val="auto"/>
        </w:rPr>
        <w:t>Leases</w:t>
      </w:r>
      <w:r>
        <w:rPr>
          <w:rFonts w:ascii="Arial" w:cs="Arial" w:eastAsia="Arial" w:hAnsi="Arial"/>
          <w:sz w:val="17"/>
          <w:szCs w:val="17"/>
          <w:color w:val="auto"/>
        </w:rPr>
        <w:t>, which allows companies to apply the provisions of the new leasing standard as of January 1, 2019, without adjusting the comparative periods presented by recognizing a cumulative-effect adjustment to the opening balance of retained earnings. The Company applied a policy election to exclude short-term leases from balance sheet recognition and also elected certain practical expedients at adoption. As permitted under these expedients, the Company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Although the Company is still finalizing its evaluation of the standard update and the quantification of its impact, the Company expects its adoption will not have a material impact its financial statements.</w:t>
      </w:r>
    </w:p>
    <w:p>
      <w:pPr>
        <w:spacing w:after="0" w:line="168"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Cash Receipts and Cash Payments</w:t>
      </w:r>
      <w:r>
        <w:rPr>
          <w:rFonts w:ascii="Arial" w:cs="Arial" w:eastAsia="Arial" w:hAnsi="Arial"/>
          <w:sz w:val="18"/>
          <w:szCs w:val="18"/>
          <w:color w:val="auto"/>
        </w:rPr>
        <w:t>, 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16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Nonemployee Share-Based Payment Accounting</w:t>
      </w:r>
      <w:r>
        <w:rPr>
          <w:rFonts w:ascii="Arial" w:cs="Arial" w:eastAsia="Arial" w:hAnsi="Arial"/>
          <w:sz w:val="16"/>
          <w:szCs w:val="16"/>
          <w:color w:val="auto"/>
        </w:rPr>
        <w:t>, to simplify the accounting for share-based payments to nonemployees by</w:t>
      </w:r>
      <w:r>
        <w:rPr>
          <w:rFonts w:ascii="Arial" w:cs="Arial" w:eastAsia="Arial" w:hAnsi="Arial"/>
          <w:sz w:val="16"/>
          <w:szCs w:val="16"/>
          <w:i w:val="1"/>
          <w:iCs w:val="1"/>
          <w:color w:val="auto"/>
        </w:rPr>
        <w:t xml:space="preserve"> </w:t>
      </w:r>
      <w:r>
        <w:rPr>
          <w:rFonts w:ascii="Arial" w:cs="Arial" w:eastAsia="Arial" w:hAnsi="Arial"/>
          <w:sz w:val="16"/>
          <w:szCs w:val="16"/>
          <w:color w:val="auto"/>
        </w:rPr>
        <w:t>aligning it with the accounting for share-based payments to employees, with certain exceptions. The standard will be effective for annual and interim periods beginning after December 15, 2018. The Company early adopted this guidance effective October 1, 2018 and the adoption did not have a material impact on the Company’s financial statements.</w:t>
      </w:r>
    </w:p>
    <w:p>
      <w:pPr>
        <w:spacing w:after="0" w:line="15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is currently evaluating the potential impact of the new guidance.</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on fair value measurements based on the FASB Concepts Statement, Conceptual Framework for Financial Reporting-Chapter 8: Notes to the Financial Statements.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is currently evaluating the potential impact of the new guidance.</w:t>
      </w:r>
    </w:p>
    <w:p>
      <w:pPr>
        <w:spacing w:after="0" w:line="168"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Simplification</w:t>
      </w:r>
      <w:r>
        <w:rPr>
          <w:rFonts w:ascii="Arial" w:cs="Arial" w:eastAsia="Arial" w:hAnsi="Arial"/>
          <w:sz w:val="16"/>
          <w:szCs w:val="16"/>
          <w:color w:val="auto"/>
        </w:rPr>
        <w:t>, amending certain disclosure requirements that were redundant, duplicative, overlapping, outdated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superseded. The changes are generally expected to reduce or eliminate certain disclosures; however, the amendments did expand interim period disclosure requirements related to changes in stockholders’ equity. The final rule was effective on November 5, 2018 and the adoption of the guidance did not have a material impact on the Company’s financial statements.</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18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Accounting Standards Codification (“ASC”) 820, Fair Value Measurements and Disclosures</w:t>
      </w:r>
      <w:r>
        <w:rPr>
          <w:rFonts w:ascii="Arial" w:cs="Arial" w:eastAsia="Arial" w:hAnsi="Arial"/>
          <w:sz w:val="18"/>
          <w:szCs w:val="18"/>
          <w:color w:val="auto"/>
        </w:rPr>
        <w:t>, financial instruments were measured at fair value using a three-level hierarchy which maximizes use of observable inputs and minimizes use of unobservable inputs:</w:t>
      </w:r>
    </w:p>
    <w:p>
      <w:pPr>
        <w:spacing w:after="0" w:line="163"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189" w:lineRule="exact"/>
        <w:rPr>
          <w:sz w:val="20"/>
          <w:szCs w:val="20"/>
          <w:color w:val="auto"/>
        </w:rPr>
      </w:pPr>
    </w:p>
    <w:p>
      <w:pPr>
        <w:ind w:right="19" w:firstLine="648"/>
        <w:spacing w:after="0" w:line="221" w:lineRule="auto"/>
        <w:rPr>
          <w:sz w:val="20"/>
          <w:szCs w:val="20"/>
          <w:color w:val="auto"/>
        </w:rPr>
      </w:pPr>
      <w:r>
        <w:rPr>
          <w:rFonts w:ascii="Arial" w:cs="Arial" w:eastAsia="Arial" w:hAnsi="Arial"/>
          <w:sz w:val="17"/>
          <w:szCs w:val="17"/>
          <w:color w:val="auto"/>
        </w:rPr>
        <w:t xml:space="preserve">In connection with the Company’s 2017 Registered Direct Offering, the Company issued common stock warrants (“Common Warrants”) to certain investors to purchase an aggregate of 1,783,587 shares of its common stock. The Common Warrants were exercisable at $5.25 per share and expired on December 11, 2018. Additionally, as part of the 2017 Registered Direct Offering, the Company issued warrants (the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(collectively the “2017 Warrants”) were analyzed and it was determined that they required liability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registered common stock warrants that require the issuance of registered shares upon exercise and do not expressly preclude an implied right to cash settlement are accounted for as derivative liabilities. The Company classified these derivative warrant liabilities on the consolidated balance sheet as a current liability.</w:t>
      </w:r>
    </w:p>
    <w:p>
      <w:pPr>
        <w:spacing w:after="0" w:line="167"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The fair value of the Common Warrants at December 4, 2017, the date these warrants were issued, and December 31, 2017 were determined to be approximately $2,064,000 and $2,683,000, respectively, as calculated using Black-Scholes with the following assumptions: (1) stock price of $5.00 and $5.60, respectively; (2) a risk-free rate of 1.66% and 1.76%, respectively; and (3) an expected volatility of 61% and 62%, respectively. The fair value of the Common Warrants were reported as a warrant liability on the balance sheet and the change in the fair value between December 4, 2017 and December 31, 2017 is reported as a change in fair value of the warrant liability on the statement of operations.</w:t>
      </w:r>
    </w:p>
    <w:p>
      <w:pPr>
        <w:spacing w:after="0" w:line="161"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The fair value of the Placement Agent Warrants at December 4, 2017, the date these warrants were issued, and December 31, 2017 were determined to be approximately $81,000 and $108,000, respectively, as calculated using Black-Scholes with the following assumptions: (1) stock price of $5.00 and $5.60, respectively; (2) a risk-free rate of 1.66% and 1.76%, respectively; and (3) an expected volatility of 61% and 62%, respectively. The fair value of the Placement Agent Warrants were reported as a warrant liability on the balance sheet and the change in the fair value between December 4, 2017 and December 31, 2017 is reported as a change in fair value of the warrant liability on the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Sensitivity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85"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As of December 31, 2017, the fair value of the warrant liability utilizes inputs including: share price, expected volatility and risk-free rate.</w:t>
      </w:r>
    </w:p>
    <w:p>
      <w:pPr>
        <w:sectPr>
          <w:pgSz w:w="11900" w:h="16838" w:orient="portrait"/>
          <w:cols w:equalWidth="0" w:num="1">
            <w:col w:w="9039"/>
          </w:cols>
          <w:pgMar w:left="1420" w:top="111"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A 10% plus/minus change in share price will result in an estimated increase/decrease of $0.7 million in the value of the warrant liability,</w:t>
      </w:r>
    </w:p>
    <w:p>
      <w:pPr>
        <w:spacing w:after="0" w:line="54" w:lineRule="exact"/>
        <w:rPr>
          <w:sz w:val="20"/>
          <w:szCs w:val="20"/>
          <w:color w:val="auto"/>
        </w:rPr>
      </w:pPr>
    </w:p>
    <w:p>
      <w:pPr>
        <w:ind w:right="219"/>
        <w:spacing w:after="0" w:line="235" w:lineRule="auto"/>
        <w:rPr>
          <w:sz w:val="20"/>
          <w:szCs w:val="20"/>
          <w:color w:val="auto"/>
        </w:rPr>
      </w:pPr>
      <w:r>
        <w:rPr>
          <w:rFonts w:ascii="Arial" w:cs="Arial" w:eastAsia="Arial" w:hAnsi="Arial"/>
          <w:sz w:val="18"/>
          <w:szCs w:val="18"/>
          <w:color w:val="auto"/>
        </w:rPr>
        <w:t>A 10% plus/minus change in the expected volatility will result in an estimated increase/decrease of $0.2 million in the value of the warrant liability, and</w:t>
      </w:r>
    </w:p>
    <w:p>
      <w:pPr>
        <w:spacing w:after="0" w:line="67" w:lineRule="exact"/>
        <w:rPr>
          <w:sz w:val="20"/>
          <w:szCs w:val="20"/>
          <w:color w:val="auto"/>
        </w:rPr>
      </w:pPr>
    </w:p>
    <w:p>
      <w:pPr>
        <w:ind w:right="339"/>
        <w:spacing w:after="0" w:line="293" w:lineRule="auto"/>
        <w:rPr>
          <w:sz w:val="20"/>
          <w:szCs w:val="20"/>
          <w:color w:val="auto"/>
        </w:rPr>
      </w:pPr>
      <w:r>
        <w:rPr>
          <w:rFonts w:ascii="Arial" w:cs="Arial" w:eastAsia="Arial" w:hAnsi="Arial"/>
          <w:sz w:val="18"/>
          <w:szCs w:val="18"/>
          <w:color w:val="auto"/>
        </w:rPr>
        <w:t>A 10% plus/minus change in the risk-free interest rate will result in an immaterial change in the value of the warrant liability.</w:t>
      </w:r>
    </w:p>
    <w:p>
      <w:pPr>
        <w:spacing w:after="0" w:line="143" w:lineRule="exact"/>
        <w:rPr>
          <w:sz w:val="20"/>
          <w:szCs w:val="20"/>
          <w:color w:val="auto"/>
        </w:rPr>
      </w:pPr>
    </w:p>
    <w:p>
      <w:pPr>
        <w:sectPr>
          <w:pgSz w:w="11900" w:h="16838" w:orient="portrait"/>
          <w:cols w:equalWidth="0" w:num="2">
            <w:col w:w="20" w:space="300"/>
            <w:col w:w="8719"/>
          </w:cols>
          <w:pgMar w:left="1420" w:top="111" w:right="1440" w:bottom="1440" w:gutter="0" w:footer="0" w:header="0"/>
          <w:type w:val="continuous"/>
        </w:sectPr>
      </w:pPr>
    </w:p>
    <w:p>
      <w:pPr>
        <w:ind w:right="139" w:firstLine="648"/>
        <w:spacing w:after="0" w:line="235" w:lineRule="auto"/>
        <w:rPr>
          <w:sz w:val="20"/>
          <w:szCs w:val="20"/>
          <w:color w:val="auto"/>
        </w:rPr>
      </w:pPr>
      <w:r>
        <w:rPr>
          <w:rFonts w:ascii="Arial" w:cs="Arial" w:eastAsia="Arial" w:hAnsi="Arial"/>
          <w:sz w:val="18"/>
          <w:szCs w:val="18"/>
          <w:color w:val="auto"/>
        </w:rPr>
        <w:t>The 2017 Warrants associated with 2017 Registered Direct Offering expired on December 11, 2018, and therefore, the warrant liability was zero as of December 31, 2018.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financial liabilities measured at fair value on a recurring basis as of December 31, 2016.</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changes in the fair value of Level 3 liabilities for the years ended</w:t>
      </w:r>
    </w:p>
    <w:p>
      <w:pPr>
        <w:spacing w:after="0"/>
        <w:rPr>
          <w:sz w:val="20"/>
          <w:szCs w:val="20"/>
          <w:color w:val="auto"/>
        </w:rPr>
      </w:pPr>
      <w:r>
        <w:rPr>
          <w:rFonts w:ascii="Arial" w:cs="Arial" w:eastAsia="Arial" w:hAnsi="Arial"/>
          <w:sz w:val="18"/>
          <w:szCs w:val="18"/>
          <w:color w:val="auto"/>
        </w:rPr>
        <w:t>December 31, 2018 and 2017:</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Beginning of period</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1"/>
              </w:rPr>
              <w:t>Issuances</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Change in fair value (1)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End of period</w:t>
            </w:r>
          </w:p>
        </w:tc>
      </w:tr>
      <w:tr>
        <w:trPr>
          <w:trHeight w:val="169"/>
        </w:trPr>
        <w:tc>
          <w:tcPr>
            <w:tcW w:w="3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83"/>
        </w:trPr>
        <w:tc>
          <w:tcPr>
            <w:tcW w:w="3640" w:type="dxa"/>
            <w:vAlign w:val="bottom"/>
          </w:tcPr>
          <w:p>
            <w:pPr>
              <w:ind w:left="220"/>
              <w:spacing w:after="0" w:line="176" w:lineRule="exact"/>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147"/>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c>
          <w:tcPr>
            <w:tcW w:w="20" w:type="dxa"/>
            <w:vAlign w:val="bottom"/>
          </w:tcPr>
          <w:p>
            <w:pPr>
              <w:spacing w:after="0"/>
              <w:rPr>
                <w:sz w:val="15"/>
                <w:szCs w:val="15"/>
                <w:color w:val="auto"/>
              </w:rPr>
            </w:pPr>
          </w:p>
        </w:tc>
        <w:tc>
          <w:tcPr>
            <w:tcW w:w="2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581"/>
        </w:trPr>
        <w:tc>
          <w:tcPr>
            <w:tcW w:w="364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24"/>
                <w:szCs w:val="24"/>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Beginning of period</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1"/>
              </w:rPr>
              <w:t>Issuances</w:t>
            </w:r>
          </w:p>
        </w:tc>
        <w:tc>
          <w:tcPr>
            <w:tcW w:w="120" w:type="dxa"/>
            <w:vAlign w:val="bottom"/>
          </w:tcPr>
          <w:p>
            <w:pPr>
              <w:spacing w:after="0"/>
              <w:rPr>
                <w:sz w:val="24"/>
                <w:szCs w:val="2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Change in fair value (1)</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End of period</w:t>
            </w:r>
          </w:p>
        </w:tc>
      </w:tr>
      <w:tr>
        <w:trPr>
          <w:trHeight w:val="169"/>
        </w:trPr>
        <w:tc>
          <w:tcPr>
            <w:tcW w:w="36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2,145,000</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646,000</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r>
      <w:tr>
        <w:trPr>
          <w:trHeight w:val="176"/>
        </w:trPr>
        <w:tc>
          <w:tcPr>
            <w:tcW w:w="3640" w:type="dxa"/>
            <w:vAlign w:val="bottom"/>
          </w:tcPr>
          <w:p>
            <w:pPr>
              <w:ind w:left="220"/>
              <w:spacing w:after="0" w:line="176" w:lineRule="exact"/>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147"/>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2,145,000</w:t>
            </w:r>
          </w:p>
        </w:tc>
        <w:tc>
          <w:tcPr>
            <w:tcW w:w="4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646,000</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2,791,000</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change in the fair values of the warrants are recorded in the statements of operations.</w:t>
      </w: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6"/>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368"/>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68"/>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line="176" w:lineRule="exact"/>
              <w:rPr>
                <w:sz w:val="20"/>
                <w:szCs w:val="20"/>
                <w:color w:val="auto"/>
              </w:rPr>
            </w:pPr>
            <w:r>
              <w:rPr>
                <w:rFonts w:ascii="Arial" w:cs="Arial" w:eastAsia="Arial" w:hAnsi="Arial"/>
                <w:sz w:val="18"/>
                <w:szCs w:val="18"/>
                <w:color w:val="auto"/>
                <w:w w:val="92"/>
              </w:rPr>
              <w:t>Net loss</w:t>
            </w:r>
          </w:p>
        </w:tc>
        <w:tc>
          <w:tcPr>
            <w:tcW w:w="444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w w:val="95"/>
              </w:rPr>
              <w:t>(30,965,464)</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gridSpan w:val="6"/>
          </w:tcPr>
          <w:p>
            <w:pPr>
              <w:jc w:val="right"/>
              <w:ind w:right="40"/>
              <w:spacing w:after="0" w:line="176" w:lineRule="exact"/>
              <w:rPr>
                <w:sz w:val="20"/>
                <w:szCs w:val="20"/>
                <w:color w:val="auto"/>
              </w:rPr>
            </w:pPr>
            <w:r>
              <w:rPr>
                <w:rFonts w:ascii="Arial" w:cs="Arial" w:eastAsia="Arial" w:hAnsi="Arial"/>
                <w:sz w:val="18"/>
                <w:szCs w:val="18"/>
                <w:color w:val="auto"/>
              </w:rPr>
              <w:t>(28,943,392)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(27,201,653)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Weighted average common shares outstanding—basic and diluted</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26,883,656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22,764,606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7"/>
              </w:rPr>
              <w:t>19,150,690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(1.15)</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(1.27)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gridSpan w:val="11"/>
          </w:tcPr>
          <w:p>
            <w:pPr>
              <w:ind w:left="20"/>
              <w:spacing w:after="0"/>
              <w:rPr>
                <w:sz w:val="20"/>
                <w:szCs w:val="20"/>
                <w:color w:val="auto"/>
              </w:rPr>
            </w:pPr>
            <w:r>
              <w:rPr>
                <w:rFonts w:ascii="Arial" w:cs="Arial" w:eastAsia="Arial" w:hAnsi="Arial"/>
                <w:sz w:val="18"/>
                <w:szCs w:val="18"/>
                <w:color w:val="auto"/>
                <w:w w:val="91"/>
              </w:rPr>
              <w:t>The following potentially dilutive securities outstanding at December 31, 2018, 2017,</w:t>
            </w:r>
          </w:p>
        </w:tc>
        <w:tc>
          <w:tcPr>
            <w:tcW w:w="2220" w:type="dxa"/>
            <w:vAlign w:val="bottom"/>
            <w:gridSpan w:val="12"/>
          </w:tcPr>
          <w:p>
            <w:pPr>
              <w:jc w:val="right"/>
              <w:ind w:right="20"/>
              <w:spacing w:after="0"/>
              <w:rPr>
                <w:sz w:val="20"/>
                <w:szCs w:val="20"/>
                <w:color w:val="auto"/>
              </w:rPr>
            </w:pPr>
            <w:r>
              <w:rPr>
                <w:rFonts w:ascii="Arial" w:cs="Arial" w:eastAsia="Arial" w:hAnsi="Arial"/>
                <w:sz w:val="18"/>
                <w:szCs w:val="18"/>
                <w:color w:val="auto"/>
                <w:w w:val="90"/>
              </w:rPr>
              <w:t>and 2016 have been excluded</w:t>
            </w:r>
          </w:p>
        </w:tc>
        <w:tc>
          <w:tcPr>
            <w:tcW w:w="0" w:type="dxa"/>
            <w:vAlign w:val="bottom"/>
          </w:tcPr>
          <w:p>
            <w:pPr>
              <w:spacing w:after="0"/>
              <w:rPr>
                <w:sz w:val="1"/>
                <w:szCs w:val="1"/>
                <w:color w:val="auto"/>
              </w:rPr>
            </w:pPr>
          </w:p>
        </w:tc>
      </w:tr>
      <w:tr>
        <w:trPr>
          <w:trHeight w:val="230"/>
        </w:trPr>
        <w:tc>
          <w:tcPr>
            <w:tcW w:w="7900" w:type="dxa"/>
            <w:vAlign w:val="bottom"/>
            <w:gridSpan w:val="18"/>
          </w:tcPr>
          <w:p>
            <w:pPr>
              <w:spacing w:after="0" w:line="207" w:lineRule="exact"/>
              <w:rPr>
                <w:sz w:val="20"/>
                <w:szCs w:val="20"/>
                <w:color w:val="auto"/>
              </w:rPr>
            </w:pPr>
            <w:r>
              <w:rPr>
                <w:rFonts w:ascii="Arial" w:cs="Arial" w:eastAsia="Arial" w:hAnsi="Arial"/>
                <w:sz w:val="18"/>
                <w:szCs w:val="18"/>
                <w:color w:val="auto"/>
                <w:w w:val="98"/>
              </w:rPr>
              <w:t>from the computation of diluted weighted average shares outstanding, as they would be anti</w:t>
            </w:r>
            <w:r>
              <w:rPr>
                <w:rFonts w:ascii="MS PGothic" w:cs="MS PGothic" w:eastAsia="MS PGothic" w:hAnsi="MS PGothic"/>
                <w:sz w:val="18"/>
                <w:szCs w:val="18"/>
                <w:color w:val="auto"/>
                <w:w w:val="98"/>
              </w:rPr>
              <w:t>‑</w:t>
            </w:r>
            <w:r>
              <w:rPr>
                <w:rFonts w:ascii="Arial" w:cs="Arial" w:eastAsia="Arial" w:hAnsi="Arial"/>
                <w:sz w:val="18"/>
                <w:szCs w:val="18"/>
                <w:color w:val="auto"/>
                <w:w w:val="98"/>
              </w:rPr>
              <w:t>dilutive: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right"/>
              <w:ind w:right="108"/>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5"/>
            <w:shd w:val="clear" w:color="auto" w:fill="CCEEFF"/>
          </w:tcPr>
          <w:p>
            <w:pPr>
              <w:jc w:val="right"/>
              <w:spacing w:after="0" w:line="176" w:lineRule="exact"/>
              <w:rPr>
                <w:sz w:val="20"/>
                <w:szCs w:val="20"/>
                <w:color w:val="auto"/>
              </w:rPr>
            </w:pPr>
            <w:r>
              <w:rPr>
                <w:rFonts w:ascii="Arial" w:cs="Arial" w:eastAsia="Arial" w:hAnsi="Arial"/>
                <w:sz w:val="18"/>
                <w:szCs w:val="18"/>
                <w:color w:val="auto"/>
              </w:rPr>
              <w:t>2,291,163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2,315,638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1,772,050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line="176" w:lineRule="exact"/>
              <w:rPr>
                <w:sz w:val="20"/>
                <w:szCs w:val="20"/>
                <w:color w:val="auto"/>
              </w:rPr>
            </w:pPr>
            <w:r>
              <w:rPr>
                <w:rFonts w:ascii="Arial" w:cs="Arial" w:eastAsia="Arial" w:hAnsi="Arial"/>
                <w:sz w:val="18"/>
                <w:szCs w:val="18"/>
                <w:color w:val="auto"/>
                <w:w w:val="82"/>
              </w:rPr>
              <w:t>Warrants</w:t>
            </w: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5"/>
          </w:tcPr>
          <w:p>
            <w:pPr>
              <w:jc w:val="right"/>
              <w:spacing w:after="0" w:line="176" w:lineRule="exact"/>
              <w:rPr>
                <w:sz w:val="20"/>
                <w:szCs w:val="20"/>
                <w:color w:val="auto"/>
              </w:rPr>
            </w:pPr>
            <w:r>
              <w:rPr>
                <w:rFonts w:ascii="Arial" w:cs="Arial" w:eastAsia="Arial" w:hAnsi="Arial"/>
                <w:sz w:val="18"/>
                <w:szCs w:val="18"/>
                <w:color w:val="auto"/>
              </w:rPr>
              <w:t>123,037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ind w:left="240"/>
              <w:spacing w:after="0" w:line="176" w:lineRule="exact"/>
              <w:rPr>
                <w:sz w:val="20"/>
                <w:szCs w:val="20"/>
                <w:color w:val="auto"/>
              </w:rPr>
            </w:pPr>
            <w:r>
              <w:rPr>
                <w:rFonts w:ascii="Arial" w:cs="Arial" w:eastAsia="Arial" w:hAnsi="Arial"/>
                <w:sz w:val="18"/>
                <w:szCs w:val="18"/>
                <w:color w:val="auto"/>
                <w:w w:val="94"/>
              </w:rPr>
              <w:t>2,099,199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337,746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44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2,414,200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gridSpan w:val="4"/>
            <w:shd w:val="clear" w:color="auto" w:fill="CCEEFF"/>
          </w:tcPr>
          <w:p>
            <w:pPr>
              <w:ind w:left="240"/>
              <w:spacing w:after="0" w:line="170" w:lineRule="exact"/>
              <w:rPr>
                <w:sz w:val="20"/>
                <w:szCs w:val="20"/>
                <w:color w:val="auto"/>
              </w:rPr>
            </w:pPr>
            <w:r>
              <w:rPr>
                <w:rFonts w:ascii="Arial" w:cs="Arial" w:eastAsia="Arial" w:hAnsi="Arial"/>
                <w:sz w:val="18"/>
                <w:szCs w:val="18"/>
                <w:color w:val="auto"/>
                <w:w w:val="94"/>
              </w:rPr>
              <w:t>4,414,837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8"/>
                <w:szCs w:val="18"/>
                <w:color w:val="auto"/>
              </w:rPr>
              <w:t>2,109,796</w:t>
            </w:r>
          </w:p>
        </w:tc>
        <w:tc>
          <w:tcPr>
            <w:tcW w:w="0" w:type="dxa"/>
            <w:vAlign w:val="bottom"/>
          </w:tcPr>
          <w:p>
            <w:pPr>
              <w:spacing w:after="0"/>
              <w:rPr>
                <w:sz w:val="1"/>
                <w:szCs w:val="1"/>
                <w:color w:val="auto"/>
              </w:rPr>
            </w:pPr>
          </w:p>
        </w:tc>
      </w:tr>
      <w:tr>
        <w:trPr>
          <w:trHeight w:val="622"/>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4440" w:type="dxa"/>
            <w:vAlign w:val="bottom"/>
          </w:tcPr>
          <w:p>
            <w:pPr>
              <w:ind w:left="560"/>
              <w:spacing w:after="0"/>
              <w:rPr>
                <w:sz w:val="20"/>
                <w:szCs w:val="20"/>
                <w:color w:val="auto"/>
              </w:rPr>
            </w:pPr>
            <w:r>
              <w:rPr>
                <w:rFonts w:ascii="Arial" w:cs="Arial" w:eastAsia="Arial" w:hAnsi="Arial"/>
                <w:sz w:val="18"/>
                <w:szCs w:val="18"/>
                <w:b w:val="1"/>
                <w:bCs w:val="1"/>
                <w:color w:val="auto"/>
                <w:w w:val="94"/>
              </w:rPr>
              <w:t>Accrued Expenses and Other Current Liabilities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920" w:type="dxa"/>
            <w:vAlign w:val="bottom"/>
            <w:gridSpan w:val="7"/>
          </w:tcPr>
          <w:p>
            <w:pPr>
              <w:ind w:left="20"/>
              <w:spacing w:after="0"/>
              <w:rPr>
                <w:sz w:val="20"/>
                <w:szCs w:val="20"/>
                <w:color w:val="auto"/>
              </w:rPr>
            </w:pPr>
            <w:r>
              <w:rPr>
                <w:rFonts w:ascii="Arial" w:cs="Arial" w:eastAsia="Arial" w:hAnsi="Arial"/>
                <w:sz w:val="18"/>
                <w:szCs w:val="18"/>
                <w:color w:val="auto"/>
                <w:w w:val="93"/>
              </w:rPr>
              <w:t>At December 31, 2018 and 2017, accrued expenses consisted of the following: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1"/>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2,266,285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5"/>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1,642,154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tcPr>
          <w:p>
            <w:pPr>
              <w:spacing w:after="0" w:line="176" w:lineRule="exact"/>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1,051,401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704,556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4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525,613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332,824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3,843,299</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40"/>
              <w:spacing w:after="0" w:line="170" w:lineRule="exact"/>
              <w:rPr>
                <w:sz w:val="20"/>
                <w:szCs w:val="20"/>
                <w:color w:val="auto"/>
              </w:rPr>
            </w:pPr>
            <w:r>
              <w:rPr>
                <w:rFonts w:ascii="Arial" w:cs="Arial" w:eastAsia="Arial" w:hAnsi="Arial"/>
                <w:sz w:val="18"/>
                <w:szCs w:val="18"/>
                <w:color w:val="auto"/>
              </w:rPr>
              <w:t>2,679,534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Loan and Security Agreement</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(“Original Term Loan”) with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163" w:lineRule="exact"/>
        <w:rPr>
          <w:sz w:val="20"/>
          <w:szCs w:val="20"/>
          <w:color w:val="auto"/>
        </w:rPr>
      </w:pPr>
    </w:p>
    <w:p>
      <w:pPr>
        <w:ind w:right="60" w:firstLine="648"/>
        <w:spacing w:after="0" w:line="232" w:lineRule="auto"/>
        <w:rPr>
          <w:sz w:val="20"/>
          <w:szCs w:val="20"/>
          <w:color w:val="auto"/>
        </w:rPr>
      </w:pPr>
      <w:r>
        <w:rPr>
          <w:rFonts w:ascii="Arial" w:cs="Arial" w:eastAsia="Arial" w:hAnsi="Arial"/>
          <w:sz w:val="16"/>
          <w:szCs w:val="16"/>
          <w:color w:val="auto"/>
        </w:rPr>
        <w:t>The Original Term Loan bore interest at an annual rate equal to 4.50% plus the prime rate, which is the greater of 3.50% or the Wall Street Journal prime rate, and was payable monthly. It was set to mature in November 2020 and had an interest-only payment period until December 1, 2017, which could be extended to May 2018 upon the drawing of the second tranche. Following the interest only payment period, the Company began making monthly payments of principal and interest which were to continue until the maturity date. Principal payments coming due within twelve months have been classified as current liabilities in the accompanying balance sheet. In addition, the Company was required to pay a final payment fee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8.5% of the principal amount extended on the date of repayment of the Term Loan, which was being accreted and amortized into interest expense using the effective interest rate method over the term of the loan. Because the Company did not achieve the conditional criteria to access the second and third term advances before the specified dates, the $10.0 million in additional term loan advances expired and the Company began to repay principal in December 2017.</w:t>
      </w:r>
    </w:p>
    <w:p>
      <w:pPr>
        <w:spacing w:after="0" w:line="163"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Company was permitted to prepay all, but not less than all, of the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the Company’s assets except intellectual property. The Company’s intellectual property was subject to a negative pledge.</w:t>
      </w:r>
    </w:p>
    <w:p>
      <w:pPr>
        <w:spacing w:after="0" w:line="40"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In November 2018, the Company amended the existing term loan facility to provide an additional $4.0 million growth capital loan, related to Axsome’s narcolepsy clinical program with AXS-12 (“First Amendment to the Loan and Security Agreement”). This additional capital was available to be drawn, at Axsome’s option, subject to the achievement of positive results from the Company’s upcoming Phase 2 trial of AXS-12 in narcolepsy sufficient to proceed to a Phase 3 trial. The financial terms for this additional growth capital were more favorable than those of the original term loan. All other terms and conditions from the original term loan agreement remain in place. The additional $4.0 million growth capital loan had to be drawn by May 31, 2019 and would bear interest at an annual rate equal to the greater of the prime rate plus 2.00%, or 7.25%, if drawn.</w:t>
      </w:r>
    </w:p>
    <w:p>
      <w:pPr>
        <w:spacing w:after="0" w:line="30"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 xml:space="preserve">The Company evaluated whether the First Amendment to the Loan and Security Agreement entered into in November 2018 represented a debt modification or extinguishment in accordance with ASC 470-50, </w:t>
      </w:r>
      <w:r>
        <w:rPr>
          <w:rFonts w:ascii="Arial" w:cs="Arial" w:eastAsia="Arial" w:hAnsi="Arial"/>
          <w:sz w:val="17"/>
          <w:szCs w:val="17"/>
          <w:i w:val="1"/>
          <w:iCs w:val="1"/>
          <w:color w:val="auto"/>
        </w:rPr>
        <w:t>Debt - Modifications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Extinguishments</w:t>
      </w:r>
      <w:r>
        <w:rPr>
          <w:rFonts w:ascii="Arial" w:cs="Arial" w:eastAsia="Arial" w:hAnsi="Arial"/>
          <w:sz w:val="17"/>
          <w:szCs w:val="17"/>
          <w:color w:val="auto"/>
        </w:rPr>
        <w:t>. Upon determining that the change in cash flows between the previous and current loans was not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the Company accounted for the transaction as a debt modification. Since the borrowing capacity of the First Amendment to the Loan and Security Agreement is greater than the borrowing capacity from the Original Term Loan agreement, the unamortized deferred costs, any fees paid to the lender, and any third-party costs incurred are deferred and amortized over the term of the First Amendment. As of November 2018, the unamortized balance of debt discount costs incurred in connection with the Original Term Loan and additional debt discount costs incurred in connection with entry into the First Amendment of the Loan and Security Agreement, were being amortized through maturity in November 2020 utilizing the effective interest rate method and straight-line method, respectively.</w:t>
      </w:r>
    </w:p>
    <w:p>
      <w:pPr>
        <w:spacing w:after="0" w:line="42"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book value of debt approximates its fair value given its short term maturity and variable interest rate. Interest expense was $751,670 and $869,678 and amortization of the final payment was $266,668 and $346,978 for the years ended December 31, 2018 and 2017,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Outstanding principal amount</w:t>
            </w:r>
          </w:p>
        </w:tc>
        <w:tc>
          <w:tcPr>
            <w:tcW w:w="1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6,388,889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9,722,222</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Debt discount, net of current portion</w:t>
            </w:r>
          </w:p>
        </w:tc>
        <w:tc>
          <w:tcPr>
            <w:tcW w:w="1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563,864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274,116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6,952,753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9,996,338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principal</w:t>
            </w:r>
          </w:p>
        </w:tc>
        <w:tc>
          <w:tcPr>
            <w:tcW w:w="1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6,663,005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Current portion of outstanding principal amount</w:t>
            </w: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3,291,394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3,269,346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Original Term Loan, SVB and Life Science Loans, LLC received warrants to purchase an aggregate 65,228 shares of the Company’s common stock at an exercise price of $7.41 per share, which are exercisable for seven years from the date of issuance.</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were being amortized using the effective interest rate method over the term of the loan. Amortization of the debt discount was $106,308 and $123,543 for the years ended December 31, 2018 and 2017, respectively.</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In connection with the First Amendment to the Loan and Security Agreement, SVB and WestRiver Innovation Lending Fund VIII, L.P. received warrants to purchase an aggregate 15,750 shares of the Company’s common stock at an exercise price of $3.06 per share, which are exercisable for seven years from the date of issuance. Altogether, the Company issued 63,000 shares of common stock concurrent with the signing of this amendment, of which 15,750 were earned immediately. The warrants to purchase the remaining 47,250 shares of common stock would be earned upon the funding. Amortization of the debt discount was $2,659 for the year ended December 31,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w w:val="92"/>
              </w:rPr>
              <w:t>Scheduled Principal Payments on Outstanding Debt, as of December 31, 2018, are as follows: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2019</w:t>
            </w:r>
          </w:p>
        </w:tc>
        <w:tc>
          <w:tcPr>
            <w:tcW w:w="480" w:type="dxa"/>
            <w:vAlign w:val="bottom"/>
            <w:gridSpan w:val="2"/>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3,055,556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principal payments outstanding</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6,388,889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In March 2019, the Company established a new term loan facility with SVB and WestRiver in the aggregate principal amount of up to $24.0 million. The Company’s obligations under November 2016 loan and security agreement, as amended, along with the ability of the Company to draw down on the additional $4.0 million tranche, were subsequently extinguished in connection with the establishment of the new term loan facility during March 2019 (see Note 14 – Subsequent Events).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As of December 31, 2014, the Company was authorized to issue 14,689,000 shares of common stock at $0.0001 par value per share. In April 2015, the Company’s board of directors and stockholders approved an increase of the Company’s authorized shares of common stock to 22,033,500 shares. In connection with the close of the Company’s IPO on November 24, 2015, the Company’s stockholders approved an amended and restated certificate of incorporation increasing the number of authorized shares of common stock to 150,000,000 and the number of authorized shares of preferred stock to 10,000,000, par value $0.0001 per share.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59" w:firstLine="648"/>
        <w:spacing w:after="0" w:line="259" w:lineRule="auto"/>
        <w:rPr>
          <w:sz w:val="20"/>
          <w:szCs w:val="20"/>
          <w:color w:val="auto"/>
        </w:rPr>
      </w:pPr>
      <w:r>
        <w:rPr>
          <w:rFonts w:ascii="Arial" w:cs="Arial" w:eastAsia="Arial" w:hAnsi="Arial"/>
          <w:sz w:val="16"/>
          <w:szCs w:val="16"/>
          <w:color w:val="auto"/>
        </w:rPr>
        <w:t>In November 2015, the Company completed its IPO, whereby it sold 5,666,667 shares of common stock at a public offering price of $9.00 per share. The Company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right="199"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19" w:firstLine="648"/>
        <w:spacing w:after="0" w:line="211" w:lineRule="auto"/>
        <w:rPr>
          <w:sz w:val="20"/>
          <w:szCs w:val="20"/>
          <w:color w:val="auto"/>
        </w:rPr>
      </w:pPr>
      <w:r>
        <w:rPr>
          <w:rFonts w:ascii="Arial" w:cs="Arial" w:eastAsia="Arial" w:hAnsi="Arial"/>
          <w:sz w:val="18"/>
          <w:szCs w:val="18"/>
          <w:color w:val="auto"/>
        </w:rPr>
        <w:t>In October 2017, the Company entered into the Sales Agreement with Leerink , pursuant to which the Company may sell up to $30 million in shares of its common stock from time to time through Leerink, acting as its sales agent, in one or more at-the-market offerings. The Company received approximately $4.2 million in gross proceeds, of which net proceeds were approximately $4.1 million from the sales of its common stock to Leerink under the Sales Agreement during the year ended December 31, 2018. In January 2019, the Company raised approximately $25.8 million in gross proceeds through the sale of 3,164,015 shares under the Sales Agreement. Upon completion of the final sale, the Sales Agreement was automatically terminated, Leerink received a commission of 3.0% of the gross proceeds for all shares sold under the Sales Agreement.</w:t>
      </w:r>
    </w:p>
    <w:p>
      <w:pPr>
        <w:spacing w:after="0" w:line="124"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In December 2017, the Company completed the Registered Direct Offering, whereby it sold an aggregate of $9.5 million worth of units (“Units”) at a purchase price of $5.325 per Unit with each Unit consisting of (i) one share of the Company’s common stock, and (ii) a Common Warrant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 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 The Common Warrants priced at $5.25 and Placement Agent Warrants priced at $6.6562 utilized the 2016 Shelf Registration Statement for a total of $9.4 million and $712,313.</w:t>
      </w:r>
    </w:p>
    <w:p>
      <w:pPr>
        <w:spacing w:after="0" w:line="58"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 pursuant to a prospectus supplement to the 2016 Shelf Registration Statement.</w:t>
      </w:r>
    </w:p>
    <w:p>
      <w:pPr>
        <w:spacing w:after="0" w:line="235" w:lineRule="exact"/>
        <w:rPr>
          <w:sz w:val="20"/>
          <w:szCs w:val="20"/>
          <w:color w:val="auto"/>
        </w:rPr>
      </w:pPr>
    </w:p>
    <w:p>
      <w:pPr>
        <w:ind w:right="59"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54" w:lineRule="exact"/>
        <w:rPr>
          <w:sz w:val="20"/>
          <w:szCs w:val="20"/>
          <w:color w:val="auto"/>
        </w:rPr>
      </w:pPr>
    </w:p>
    <w:p>
      <w:pPr>
        <w:ind w:right="159" w:firstLine="648"/>
        <w:spacing w:after="0" w:line="232" w:lineRule="auto"/>
        <w:rPr>
          <w:sz w:val="20"/>
          <w:szCs w:val="20"/>
          <w:color w:val="auto"/>
        </w:rPr>
      </w:pPr>
      <w:r>
        <w:rPr>
          <w:rFonts w:ascii="Arial" w:cs="Arial" w:eastAsia="Arial" w:hAnsi="Arial"/>
          <w:sz w:val="17"/>
          <w:szCs w:val="17"/>
          <w:color w:val="auto"/>
        </w:rPr>
        <w:t>On December 1, 2016, the Company filed a shelf registration statement with the Securities and Exchange Commission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7"/>
          <w:szCs w:val="17"/>
          <w:color w:val="auto"/>
        </w:rPr>
        <w:t>The 2016 Shelf Registration Statement is currently our only active shelf registration. After deducting shares already sold, there is approximately $77.5 million of common stock that remains available for sale under the 2016 Shelf Registration as of the date of this filing. 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2018, there were 3,609,552 shares available for future grant under the 2015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as of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shares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exercise price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term</w:t>
            </w:r>
          </w:p>
        </w:tc>
        <w:tc>
          <w:tcPr>
            <w:tcW w:w="1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2,315,638</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816,723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(278,925)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(325,835)</w:t>
            </w: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5.79</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(236,438)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2,291,163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220"/>
              <w:spacing w:after="0" w:line="170" w:lineRule="exact"/>
              <w:rPr>
                <w:sz w:val="20"/>
                <w:szCs w:val="20"/>
                <w:color w:val="auto"/>
              </w:rPr>
            </w:pPr>
            <w:r>
              <w:rPr>
                <w:rFonts w:ascii="Arial" w:cs="Arial" w:eastAsia="Arial" w:hAnsi="Arial"/>
                <w:sz w:val="18"/>
                <w:szCs w:val="18"/>
                <w:color w:val="auto"/>
                <w:w w:val="98"/>
              </w:rPr>
              <w:t>216,649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December 31, 2018</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2,265,994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5.09</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195,112</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line="163" w:lineRule="exact"/>
              <w:rPr>
                <w:sz w:val="20"/>
                <w:szCs w:val="20"/>
                <w:color w:val="auto"/>
              </w:rPr>
            </w:pPr>
            <w:r>
              <w:rPr>
                <w:rFonts w:ascii="Arial" w:cs="Arial" w:eastAsia="Arial" w:hAnsi="Arial"/>
                <w:sz w:val="18"/>
                <w:szCs w:val="18"/>
                <w:color w:val="auto"/>
              </w:rPr>
              <w:t>Exercisable at December 31, 2018</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1,317,299</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5.37</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220"/>
              <w:spacing w:after="0" w:line="163" w:lineRule="exact"/>
              <w:rPr>
                <w:sz w:val="20"/>
                <w:szCs w:val="20"/>
                <w:color w:val="auto"/>
              </w:rPr>
            </w:pPr>
            <w:r>
              <w:rPr>
                <w:rFonts w:ascii="Arial" w:cs="Arial" w:eastAsia="Arial" w:hAnsi="Arial"/>
                <w:sz w:val="18"/>
                <w:szCs w:val="18"/>
                <w:color w:val="auto"/>
                <w:w w:val="98"/>
              </w:rPr>
              <w:t>191,115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 The relevant data used to determine the value of the stock option grants for the years ended December 31, 2018, 2017, and 2016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4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2017</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9"/>
        </w:trPr>
        <w:tc>
          <w:tcPr>
            <w:tcW w:w="4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4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rates</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34"/>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rPr>
              <w:t>3.1 %</w:t>
            </w: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34"/>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2.2 %</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jc w:val="right"/>
              <w:ind w:right="54"/>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2.0 %</w:t>
            </w:r>
          </w:p>
        </w:tc>
      </w:tr>
      <w:tr>
        <w:trPr>
          <w:trHeight w:val="176"/>
        </w:trPr>
        <w:tc>
          <w:tcPr>
            <w:tcW w:w="4260" w:type="dxa"/>
            <w:vAlign w:val="bottom"/>
            <w:gridSpan w:val="2"/>
          </w:tcPr>
          <w:p>
            <w:pPr>
              <w:spacing w:after="0" w:line="176" w:lineRule="exact"/>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15"/>
                <w:szCs w:val="15"/>
                <w:color w:val="auto"/>
              </w:rPr>
            </w:pPr>
          </w:p>
        </w:tc>
        <w:tc>
          <w:tcPr>
            <w:tcW w:w="3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75 %</w:t>
            </w: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Weighted average expected term</w:t>
            </w:r>
          </w:p>
        </w:tc>
        <w:tc>
          <w:tcPr>
            <w:tcW w:w="420" w:type="dxa"/>
            <w:vAlign w:val="bottom"/>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6.13 years</w:t>
            </w: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6.12 years</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3.25</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6.25 years</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6"/>
          <w:szCs w:val="16"/>
          <w:color w:val="auto"/>
        </w:rPr>
        <w:t>The weighted average grant date fair value of options granted was $1.99, $3.06, and $5.13 per option for the years ended December 31, 2018, 2017 and 2016, respectively. As of December 31, 2018, there was $2.7 million of total unrecognized compensation cost related to non</w:t>
      </w:r>
      <w:r>
        <w:rPr>
          <w:rFonts w:ascii="MS PGothic" w:cs="MS PGothic" w:eastAsia="MS PGothic" w:hAnsi="MS PGothic"/>
          <w:sz w:val="16"/>
          <w:szCs w:val="16"/>
          <w:color w:val="auto"/>
        </w:rPr>
        <w:t>‑</w:t>
      </w:r>
      <w:r>
        <w:rPr>
          <w:rFonts w:ascii="Arial" w:cs="Arial" w:eastAsia="Arial" w:hAnsi="Arial"/>
          <w:sz w:val="16"/>
          <w:szCs w:val="16"/>
          <w:color w:val="auto"/>
        </w:rPr>
        <w:t>vested stock options which is expected to be recognized over a weighted average period of 2.3 years. These amounts do not include 38,024 options outstanding as of December 31, 2018, which are performance</w:t>
      </w:r>
      <w:r>
        <w:rPr>
          <w:rFonts w:ascii="MS PGothic" w:cs="MS PGothic" w:eastAsia="MS PGothic" w:hAnsi="MS PGothic"/>
          <w:sz w:val="16"/>
          <w:szCs w:val="16"/>
          <w:color w:val="auto"/>
        </w:rPr>
        <w:t>‑</w:t>
      </w:r>
      <w:r>
        <w:rPr>
          <w:rFonts w:ascii="Arial" w:cs="Arial" w:eastAsia="Arial" w:hAnsi="Arial"/>
          <w:sz w:val="16"/>
          <w:szCs w:val="16"/>
          <w:color w:val="auto"/>
        </w:rPr>
        <w:t>based and vest upon the achievement of certain corporate milestones. The total intrinsic value of options exercised (the difference in the market price of the Company’s common stock on the exercise date and the price paid by the optionee to exercise the option) was approximately $0.5 million for the years ended December 31, 2018. Stock</w:t>
      </w:r>
      <w:r>
        <w:rPr>
          <w:rFonts w:ascii="MS PGothic" w:cs="MS PGothic" w:eastAsia="MS PGothic" w:hAnsi="MS PGothic"/>
          <w:sz w:val="16"/>
          <w:szCs w:val="16"/>
          <w:color w:val="auto"/>
        </w:rPr>
        <w:t>‑</w:t>
      </w:r>
      <w:r>
        <w:rPr>
          <w:rFonts w:ascii="Arial" w:cs="Arial" w:eastAsia="Arial" w:hAnsi="Arial"/>
          <w:sz w:val="16"/>
          <w:szCs w:val="16"/>
          <w:color w:val="auto"/>
        </w:rPr>
        <w:t>based compensation will be measured and recorded if and when it is probable that the milestone will occur.</w:t>
      </w:r>
    </w:p>
    <w:p>
      <w:pPr>
        <w:spacing w:after="0" w:line="16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for the years ended December 31, 2018, 2017, and 2016 was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69"/>
        </w:trPr>
        <w:tc>
          <w:tcPr>
            <w:tcW w:w="5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391,946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613,629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1,115,626</w:t>
            </w:r>
          </w:p>
        </w:tc>
        <w:tc>
          <w:tcPr>
            <w:tcW w:w="40" w:type="dxa"/>
            <w:vAlign w:val="bottom"/>
            <w:shd w:val="clear" w:color="auto" w:fill="CCEEFF"/>
          </w:tcPr>
          <w:p>
            <w:pPr>
              <w:spacing w:after="0"/>
              <w:rPr>
                <w:sz w:val="14"/>
                <w:szCs w:val="14"/>
                <w:color w:val="auto"/>
              </w:rPr>
            </w:pPr>
          </w:p>
        </w:tc>
      </w:tr>
      <w:tr>
        <w:trPr>
          <w:trHeight w:val="176"/>
        </w:trPr>
        <w:tc>
          <w:tcPr>
            <w:tcW w:w="5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1,363,028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4"/>
              </w:rPr>
              <w:t>1,458,581</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915,792</w:t>
            </w:r>
          </w:p>
        </w:tc>
        <w:tc>
          <w:tcPr>
            <w:tcW w:w="40" w:type="dxa"/>
            <w:vAlign w:val="bottom"/>
            <w:tcBorders>
              <w:bottom w:val="single" w:sz="8" w:color="CCEEFF"/>
            </w:tcBorders>
          </w:tcPr>
          <w:p>
            <w:pPr>
              <w:spacing w:after="0"/>
              <w:rPr>
                <w:sz w:val="15"/>
                <w:szCs w:val="15"/>
                <w:color w:val="auto"/>
              </w:rPr>
            </w:pPr>
          </w:p>
        </w:tc>
      </w:tr>
      <w:tr>
        <w:trPr>
          <w:trHeight w:val="176"/>
        </w:trPr>
        <w:tc>
          <w:tcPr>
            <w:tcW w:w="5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1,754,974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2,072,210</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2,031,418</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During the year ended December 31, 2018, the Company issued 19,000 performance-based awards at an exercise price of $2.18, to employees that vest upon completion of certain clinical events. During the year ended December 31, 2017, the Company issued 20,650 performance-based awards, with a weighted average exercise price of $5.70, to employees that vest upon completion of certain clinical events.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will recognize the lowest aggregate amount within the range of potential values as expense until the measurement date is established. For the years ended December 31, 2018, 2017, and 2016, the Company recognized $1,587, $59,424, and $604,866, respectively, as expense related to performance</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Company had outstanding warrants to purchase 123,037 shares of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warrant activity as of December 31, 2018, 2017, and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344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2015</w:t>
            </w:r>
          </w:p>
        </w:tc>
        <w:tc>
          <w:tcPr>
            <w:tcW w:w="32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272,518</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69"/>
        </w:trPr>
        <w:tc>
          <w:tcPr>
            <w:tcW w:w="344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Issued</w:t>
            </w:r>
          </w:p>
        </w:tc>
        <w:tc>
          <w:tcPr>
            <w:tcW w:w="3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65,228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32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337,746</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69"/>
        </w:trPr>
        <w:tc>
          <w:tcPr>
            <w:tcW w:w="3440" w:type="dxa"/>
            <w:vAlign w:val="bottom"/>
          </w:tcPr>
          <w:p>
            <w:pPr>
              <w:ind w:left="220"/>
              <w:spacing w:after="0" w:line="170" w:lineRule="exact"/>
              <w:rPr>
                <w:sz w:val="20"/>
                <w:szCs w:val="20"/>
                <w:color w:val="auto"/>
              </w:rPr>
            </w:pPr>
            <w:r>
              <w:rPr>
                <w:rFonts w:ascii="Arial" w:cs="Arial" w:eastAsia="Arial" w:hAnsi="Arial"/>
                <w:sz w:val="18"/>
                <w:szCs w:val="18"/>
                <w:color w:val="auto"/>
              </w:rPr>
              <w:t>Issued</w:t>
            </w:r>
          </w:p>
        </w:tc>
        <w:tc>
          <w:tcPr>
            <w:tcW w:w="320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1,890,602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4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(129,149)</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34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32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2,099,199</w:t>
            </w:r>
          </w:p>
        </w:tc>
        <w:tc>
          <w:tcPr>
            <w:tcW w:w="2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Issued</w:t>
            </w:r>
          </w:p>
        </w:tc>
        <w:tc>
          <w:tcPr>
            <w:tcW w:w="3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15,750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6"/>
        </w:trPr>
        <w:tc>
          <w:tcPr>
            <w:tcW w:w="3440" w:type="dxa"/>
            <w:vAlign w:val="bottom"/>
          </w:tcPr>
          <w:p>
            <w:pPr>
              <w:ind w:left="220"/>
              <w:spacing w:after="0" w:line="176" w:lineRule="exact"/>
              <w:rPr>
                <w:sz w:val="20"/>
                <w:szCs w:val="20"/>
                <w:color w:val="auto"/>
              </w:rPr>
            </w:pPr>
            <w:r>
              <w:rPr>
                <w:rFonts w:ascii="Arial" w:cs="Arial" w:eastAsia="Arial" w:hAnsi="Arial"/>
                <w:sz w:val="18"/>
                <w:szCs w:val="18"/>
                <w:color w:val="auto"/>
              </w:rPr>
              <w:t>Exercised</w:t>
            </w:r>
          </w:p>
        </w:tc>
        <w:tc>
          <w:tcPr>
            <w:tcW w:w="4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(101,310)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4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(1,890,602)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76"/>
        </w:trPr>
        <w:tc>
          <w:tcPr>
            <w:tcW w:w="3440" w:type="dxa"/>
            <w:vAlign w:val="bottom"/>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32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123,037</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810"/>
        </w:trPr>
        <w:tc>
          <w:tcPr>
            <w:tcW w:w="3440" w:type="dxa"/>
            <w:vAlign w:val="bottom"/>
          </w:tcPr>
          <w:p>
            <w:pPr>
              <w:spacing w:after="0"/>
              <w:rPr>
                <w:sz w:val="24"/>
                <w:szCs w:val="24"/>
                <w:color w:val="auto"/>
              </w:rPr>
            </w:pPr>
          </w:p>
        </w:tc>
        <w:tc>
          <w:tcPr>
            <w:tcW w:w="4160" w:type="dxa"/>
            <w:vAlign w:val="bottom"/>
            <w:gridSpan w:val="2"/>
          </w:tcPr>
          <w:p>
            <w:pPr>
              <w:jc w:val="right"/>
              <w:ind w:right="2812"/>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340" w:firstLine="648"/>
        <w:spacing w:after="0" w:line="216" w:lineRule="auto"/>
        <w:rPr>
          <w:sz w:val="20"/>
          <w:szCs w:val="20"/>
          <w:color w:val="auto"/>
        </w:rPr>
      </w:pPr>
      <w:r>
        <w:rPr>
          <w:rFonts w:ascii="Arial" w:cs="Arial" w:eastAsia="Arial" w:hAnsi="Arial"/>
          <w:sz w:val="18"/>
          <w:szCs w:val="18"/>
          <w:color w:val="auto"/>
        </w:rPr>
        <w:t>On November 26, 2018, in connection with the First Amendment to the Loan and Security Agreement, SVB and WestRiver Innovation Lending Fund VIII, L.P. received warrants to purchase 15,750 shares of the Company’s stock at an exercise price of $3.06 per share, which are exercisable for seven years from the date of issuance (“2018 warrants”). The warrants were classified as a component of stockholders' equity. The 2018 warrants have a seven year term and expire on November 25, 2025.</w:t>
      </w:r>
    </w:p>
    <w:p>
      <w:pPr>
        <w:spacing w:after="0" w:line="162"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In connection with the Registered Direct Offering, which was completed on December 11, 2017, the Company issued Common Warrants and Placement Agent Warrants to purchase 1,783,587 shares and 107,015 shares of common stock, respectively, with an exercise price of $5.25 per share and $6.6562 per share, respectively, which are exercisable from the date of issuance until December 11, 2018 (“2017 warrants”). The Common Warrants and Placement Agent Warrants were classified as warrant liability. See Note 3, “Fair Value Measurements”, for the fair value calculations of the warrant liability. The 2017 warrants had a 1 year term and expired on December 11, 2018.</w:t>
      </w:r>
    </w:p>
    <w:p>
      <w:pPr>
        <w:spacing w:after="0" w:line="16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connection with the Company’s debt financing which was completed on November 9, 2016, the Company issued warrants to purchase 65,228 shares of common stock with an exercise price of $7.41 per share, which are exercisable upon issuance (“2016 warrants”). The warrants were classified as a component of stockholders' equity. The 2016 warrants have a seven year term and expire on November 8, 2023.</w:t>
      </w:r>
    </w:p>
    <w:p>
      <w:pPr>
        <w:spacing w:after="0" w:line="163" w:lineRule="exact"/>
        <w:rPr>
          <w:sz w:val="20"/>
          <w:szCs w:val="20"/>
          <w:color w:val="auto"/>
        </w:rPr>
      </w:pPr>
    </w:p>
    <w:p>
      <w:pPr>
        <w:ind w:right="140" w:firstLine="648"/>
        <w:spacing w:after="0" w:line="221" w:lineRule="auto"/>
        <w:rPr>
          <w:sz w:val="20"/>
          <w:szCs w:val="20"/>
          <w:color w:val="auto"/>
        </w:rPr>
      </w:pPr>
      <w:r>
        <w:rPr>
          <w:rFonts w:ascii="Arial" w:cs="Arial" w:eastAsia="Arial" w:hAnsi="Arial"/>
          <w:sz w:val="17"/>
          <w:szCs w:val="17"/>
          <w:color w:val="auto"/>
        </w:rPr>
        <w:t>On November 3, 2014, the Company issued warrants to purchase 42,059 shares of common stock with an exercise price of $5.94 per share to the placement agent in connection with the issuance of certain convertible notes from September 2014 through November 2014 (the “September 2014 Notes”), which were exercisable upon issuance (“2014 warrants”). The warrants were initially classified as a liability in the consolidated financial statements, as upon a qualified financing, the warrant price would automatically adjust to a 10% premium to the conversion price of the September 2014 Notes in such mandatory conversion. The initial fair value of the warrant liability was $79,129 which was recorded as a discount to the notes and amortized over the term of the original September 2014 Notes. Upon the note amendment that occurred in September 2015, the discount was included in the carrying amount in the calculation of a loss on extinguishment. In connection with the automatic conversion of the September 2014 Notes upon the close of the Company’s IPO in November 2015, the warrant liability was reclassified to equity. The 2014 warrants have a five year term and expire on November 2, 2019.</w:t>
      </w:r>
    </w:p>
    <w:p>
      <w:pPr>
        <w:spacing w:after="0" w:line="167" w:lineRule="exact"/>
        <w:rPr>
          <w:sz w:val="20"/>
          <w:szCs w:val="20"/>
          <w:color w:val="auto"/>
        </w:rPr>
      </w:pPr>
    </w:p>
    <w:p>
      <w:pPr>
        <w:ind w:right="220" w:firstLine="648"/>
        <w:spacing w:after="0" w:line="249" w:lineRule="auto"/>
        <w:rPr>
          <w:sz w:val="20"/>
          <w:szCs w:val="20"/>
          <w:color w:val="auto"/>
        </w:rPr>
      </w:pPr>
      <w:r>
        <w:rPr>
          <w:rFonts w:ascii="Arial" w:cs="Arial" w:eastAsia="Arial" w:hAnsi="Arial"/>
          <w:sz w:val="16"/>
          <w:szCs w:val="16"/>
          <w:color w:val="auto"/>
        </w:rPr>
        <w:t>On October 29, 2013, the Company issued warrants to purchase 230,459 shares of common stock with an exercise price of $1.30 per share to the placement agent in connection with the June 2013 Notes, which were exercisable upon issuance (“2013 warrants”). The warrants were classified as a component of stockholders’ equity. The 2013 warrants had a five year term. 129,149 warrants and 101,310 warrants were exercised in 2017 and 2018, respectively.</w:t>
      </w:r>
    </w:p>
    <w:p>
      <w:pPr>
        <w:spacing w:after="0" w:line="155" w:lineRule="exact"/>
        <w:rPr>
          <w:sz w:val="20"/>
          <w:szCs w:val="20"/>
          <w:color w:val="auto"/>
        </w:rPr>
      </w:pPr>
    </w:p>
    <w:p>
      <w:pPr>
        <w:ind w:right="760" w:firstLine="648"/>
        <w:spacing w:after="0" w:line="203" w:lineRule="exact"/>
        <w:rPr>
          <w:sz w:val="20"/>
          <w:szCs w:val="20"/>
          <w:color w:val="auto"/>
        </w:rPr>
      </w:pPr>
      <w:r>
        <w:rPr>
          <w:rFonts w:ascii="Arial" w:cs="Arial" w:eastAsia="Arial" w:hAnsi="Arial"/>
          <w:sz w:val="18"/>
          <w:szCs w:val="18"/>
          <w:color w:val="auto"/>
        </w:rPr>
        <w:t>The initial fair value of the warrants were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4"/>
              </w:rPr>
              <w:t>2018 warrants</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2017 warrants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4"/>
              </w:rPr>
              <w:t>2016 warrants</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2014 warrants</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2013 warrants</w:t>
            </w:r>
          </w:p>
        </w:tc>
        <w:tc>
          <w:tcPr>
            <w:tcW w:w="220" w:type="dxa"/>
            <w:vAlign w:val="bottom"/>
          </w:tcPr>
          <w:p>
            <w:pPr>
              <w:spacing w:after="0"/>
              <w:rPr>
                <w:sz w:val="14"/>
                <w:szCs w:val="14"/>
                <w:color w:val="auto"/>
              </w:rPr>
            </w:pPr>
          </w:p>
        </w:tc>
      </w:tr>
      <w:tr>
        <w:trPr>
          <w:trHeight w:val="169"/>
        </w:trPr>
        <w:tc>
          <w:tcPr>
            <w:tcW w:w="34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3560" w:type="dxa"/>
            <w:vAlign w:val="bottom"/>
            <w:gridSpan w:val="2"/>
          </w:tcPr>
          <w:p>
            <w:pPr>
              <w:spacing w:after="0" w:line="176" w:lineRule="exact"/>
              <w:rPr>
                <w:sz w:val="20"/>
                <w:szCs w:val="20"/>
                <w:color w:val="auto"/>
              </w:rPr>
            </w:pPr>
            <w:r>
              <w:rPr>
                <w:rFonts w:ascii="Arial" w:cs="Arial" w:eastAsia="Arial" w:hAnsi="Arial"/>
                <w:sz w:val="18"/>
                <w:szCs w:val="18"/>
                <w:color w:val="auto"/>
              </w:rPr>
              <w:t>Dividend yield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r>
      <w:tr>
        <w:trPr>
          <w:trHeight w:val="176"/>
        </w:trPr>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Volatility</w:t>
            </w:r>
          </w:p>
        </w:tc>
        <w:tc>
          <w:tcPr>
            <w:tcW w:w="1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85 %</w:t>
            </w: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61 %</w:t>
            </w:r>
          </w:p>
        </w:tc>
        <w:tc>
          <w:tcPr>
            <w:tcW w:w="1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73 %</w:t>
            </w: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70 %</w:t>
            </w: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64 %</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Weighted average contractual term</w:t>
            </w:r>
          </w:p>
        </w:tc>
        <w:tc>
          <w:tcPr>
            <w:tcW w:w="900" w:type="dxa"/>
            <w:vAlign w:val="bottom"/>
          </w:tcPr>
          <w:p>
            <w:pPr>
              <w:jc w:val="right"/>
              <w:spacing w:after="0"/>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 year</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20"/>
                <w:szCs w:val="20"/>
                <w:color w:val="auto"/>
              </w:rPr>
            </w:pPr>
          </w:p>
        </w:tc>
      </w:tr>
    </w:tbl>
    <w:p>
      <w:pPr>
        <w:spacing w:after="0" w:line="200" w:lineRule="exact"/>
        <w:rPr>
          <w:sz w:val="20"/>
          <w:szCs w:val="20"/>
          <w:color w:val="auto"/>
        </w:rPr>
      </w:pPr>
    </w:p>
    <w:p>
      <w:pPr>
        <w:spacing w:after="0" w:line="32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In connection with the Company’s new term loan facility with SVB and WestRiver which was completed in March 2019, the Company issued warrants to purchase 70,000 shares of the Company’s common stock at a price per share equal to $8.10. The warrants will be earned based upon the usage of the facility and are exercisable until March 4, 2026. The warrants were classified as a component of stockholders' equity.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License Agreements</w:t>
      </w:r>
    </w:p>
    <w:p>
      <w:pPr>
        <w:spacing w:after="0" w:line="189"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 xml:space="preserve">04, a product candidate that is currently in early stage development, anywhere in the world for veterinary and human therapeutic and diagnostic use. Pursuant to the agreements, the Company is required to use commercially reasonable efforts to develop, obtain regulatory approval for and commercialize AXS </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the Company is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offices are located in New York, New York. The Company is not currently under a lease agreement.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Rent expense incurred during the years ended December 31, 2018, 2017 and 2016 was $315,301, $307,557, and $254,170.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As of December 31, 2018, the Company had U.S. federal net operating loss (“NOL”) carryforwards of approximately $87 million. NOLs amounting to $60 million generated before the 2018 tax year will start expiring beginning 2033, and the NOL of approximately $27 million generated in 2018 has an indefinite carryforward period.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2017</w:t>
            </w:r>
          </w:p>
        </w:tc>
        <w:tc>
          <w:tcPr>
            <w:tcW w:w="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2016</w:t>
            </w:r>
          </w:p>
        </w:tc>
      </w:tr>
      <w:tr>
        <w:trPr>
          <w:trHeight w:val="169"/>
        </w:trPr>
        <w:tc>
          <w:tcPr>
            <w:tcW w:w="5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Net federal operating loss carryforward</w:t>
            </w:r>
          </w:p>
        </w:tc>
        <w:tc>
          <w:tcPr>
            <w:tcW w:w="120" w:type="dxa"/>
            <w:vAlign w:val="bottom"/>
          </w:tcPr>
          <w:p>
            <w:pPr>
              <w:spacing w:after="0" w:line="17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18,911,435</w:t>
            </w:r>
          </w:p>
        </w:tc>
        <w:tc>
          <w:tcPr>
            <w:tcW w:w="16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12,844,032</w:t>
            </w:r>
          </w:p>
        </w:tc>
        <w:tc>
          <w:tcPr>
            <w:tcW w:w="6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12,747,837</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foreign operating loss carryforward</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40,927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49,846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23,293</w:t>
            </w: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Net state operating loss carryforward</w:t>
            </w: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11,842,460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7,981,812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4,068,086</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1,625,560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1,719,315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1,450,620</w:t>
            </w: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7,651,781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5,713,709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3,491,251</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finance costs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38,578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44,042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400,946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Charitable Contribution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5,408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8,595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2,597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732,958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472,004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308,007</w:t>
            </w:r>
          </w:p>
        </w:tc>
      </w:tr>
      <w:tr>
        <w:trPr>
          <w:trHeight w:val="169"/>
        </w:trPr>
        <w:tc>
          <w:tcPr>
            <w:tcW w:w="5160" w:type="dxa"/>
            <w:vAlign w:val="bottom"/>
          </w:tcPr>
          <w:p>
            <w:pPr>
              <w:spacing w:after="0" w:line="170" w:lineRule="exact"/>
              <w:rPr>
                <w:sz w:val="20"/>
                <w:szCs w:val="20"/>
                <w:color w:val="auto"/>
              </w:rPr>
            </w:pPr>
            <w:r>
              <w:rPr>
                <w:rFonts w:ascii="Arial" w:cs="Arial" w:eastAsia="Arial" w:hAnsi="Arial"/>
                <w:sz w:val="18"/>
                <w:szCs w:val="18"/>
                <w:color w:val="auto"/>
              </w:rPr>
              <w:t>Deferred tax asset, excluding valuation allowance</w:t>
            </w:r>
          </w:p>
        </w:tc>
        <w:tc>
          <w:tcPr>
            <w:tcW w:w="12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41,258,648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8"/>
                <w:szCs w:val="18"/>
                <w:color w:val="auto"/>
              </w:rPr>
              <w:t>28,827,357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22,089,094</w:t>
            </w: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(19,985)</w:t>
            </w: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15"/>
                <w:szCs w:val="15"/>
                <w:color w:val="auto"/>
              </w:rPr>
            </w:pPr>
          </w:p>
        </w:tc>
        <w:tc>
          <w:tcPr>
            <w:tcW w:w="12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(41,258,648)</w:t>
            </w: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(28,827,357)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(22,069,109)</w:t>
            </w:r>
          </w:p>
        </w:tc>
      </w:tr>
      <w:tr>
        <w:trPr>
          <w:trHeight w:val="176"/>
        </w:trPr>
        <w:tc>
          <w:tcPr>
            <w:tcW w:w="51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records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a full valuation allowance against its deferred tax assets at December 31, 2018, 2017, and 2016 because the Company’s management has determined that it is more likely than not that these assets will not be realized. Valuation allowance increased $12.5 million, $6.7 million, and $14.3 million, in 2018, 2017, and 2016, respectively, as a result of the increase of the deferred tax assets.</w:t>
      </w:r>
    </w:p>
    <w:p>
      <w:pPr>
        <w:spacing w:after="0" w:line="161"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There was no income tax expense (benefit) recorded by the Company due to its net loss tax position and full valuation allowance during the years ended December 31, 2018, 2017, and 2016. A reconciliation of income tax expense (benefit) at the statutory federal income tax rate and income taxes as reflected in the consolidated financial statements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1"/>
              </w:rPr>
              <w:t>December 31, 2018</w:t>
            </w: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1"/>
              </w:rPr>
              <w:t>December 31, 2017</w:t>
            </w: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1"/>
              </w:rPr>
              <w:t>December 31, 2016</w:t>
            </w:r>
          </w:p>
        </w:tc>
      </w:tr>
      <w:tr>
        <w:trPr>
          <w:trHeight w:val="169"/>
        </w:trPr>
        <w:tc>
          <w:tcPr>
            <w:tcW w:w="49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U.S. federal statutory income tax rate</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13.1</w:t>
            </w:r>
          </w:p>
        </w:tc>
        <w:tc>
          <w:tcPr>
            <w:tcW w:w="2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Permanent differences</w:t>
            </w:r>
          </w:p>
        </w:tc>
        <w:tc>
          <w:tcPr>
            <w:tcW w:w="1440" w:type="dxa"/>
            <w:vAlign w:val="bottom"/>
            <w:gridSpan w:val="2"/>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(3.7)</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Tax credit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16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5"/>
                <w:szCs w:val="15"/>
                <w:color w:val="auto"/>
              </w:rPr>
            </w:pPr>
          </w:p>
        </w:tc>
      </w:tr>
      <w:tr>
        <w:trPr>
          <w:trHeight w:val="176"/>
        </w:trPr>
        <w:tc>
          <w:tcPr>
            <w:tcW w:w="4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US Federal tax rate change - tax reform</w:t>
            </w:r>
          </w:p>
        </w:tc>
        <w:tc>
          <w:tcPr>
            <w:tcW w:w="144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(25.4)</w:t>
            </w:r>
          </w:p>
        </w:tc>
        <w:tc>
          <w:tcPr>
            <w:tcW w:w="136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(40.2)</w:t>
            </w:r>
          </w:p>
        </w:tc>
        <w:tc>
          <w:tcPr>
            <w:tcW w:w="136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(23.4)</w:t>
            </w:r>
          </w:p>
        </w:tc>
        <w:tc>
          <w:tcPr>
            <w:tcW w:w="136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(52.5)</w:t>
            </w:r>
          </w:p>
        </w:tc>
      </w:tr>
      <w:tr>
        <w:trPr>
          <w:trHeight w:val="176"/>
        </w:trPr>
        <w:tc>
          <w:tcPr>
            <w:tcW w:w="49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Effective tax rate</w:t>
            </w: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 Company is not currently under examination at the federal or state levels and as of the date of the consolidated financial statements there were no known assessments.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U.S. Tax Reform</w:t>
      </w:r>
    </w:p>
    <w:p>
      <w:pPr>
        <w:spacing w:after="0" w:line="216"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On December 22, 2017, the U.S. President signed the Tax Cuts and Jobs Act (the “Act”) into law. Effective January 1, 2018, among other changes, the Act (1) reduces the Company’s U.S. federal corporate tax rate from 34 percent to 21 percent, (2) changes the rules relating to net operating loss ("NOL") carryforwards and carrybacks, (3) eliminates the corporate alternative minimum tax ("AMT") and changes how existing AMT credits can be realized;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firstLine="3"/>
        <w:spacing w:after="0" w:line="235"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requires companies to pay a one-time transition tax on certain unrepatriated earnings of foreign subsidiaries. In addition, the Act makes the AMT credit refundable in tax years beginning after 2017.</w:t>
      </w:r>
    </w:p>
    <w:p>
      <w:pPr>
        <w:spacing w:after="0" w:line="162"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Accounting Standards Codification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66"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As of December 31, 2018, the Company completed its accounting for the tax effects of enactment of the Tax Act. The Tax Act did not have a material impact on the financial statements since the Company’s deferred temporary differences in the United States are fully offset by a valuation allowance and the Company does not have any significant off shore earnings from which to record the mandatory transition tax.</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89"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Capital LLC, an entity controlled by Dr. Tabuteau, an aggregate of 7,344,500 shares of the Company’s common stock for nominal consideration.</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Company is a party to three exclusive license agreements with Antecip Bioventures II LLC, an entity owned by Dr. Tabuteau. See Note 9 for further information regarding the license agreements.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2" w:name="page163"/>
    <w:bookmarkEnd w:id="1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Consolidated Financial Data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7,163,210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7,989,593</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8,243,459</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9,450,315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(4,805,559)</w:t>
            </w:r>
          </w:p>
        </w:tc>
        <w:tc>
          <w:tcPr>
            <w:tcW w:w="3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(8,280,916)</w:t>
            </w:r>
          </w:p>
        </w:tc>
        <w:tc>
          <w:tcPr>
            <w:tcW w:w="80" w:type="dxa"/>
            <w:vAlign w:val="bottom"/>
          </w:tcPr>
          <w:p>
            <w:pPr>
              <w:spacing w:after="0"/>
              <w:rPr>
                <w:sz w:val="15"/>
                <w:szCs w:val="15"/>
                <w:color w:val="auto"/>
              </w:rPr>
            </w:pPr>
          </w:p>
        </w:tc>
        <w:tc>
          <w:tcPr>
            <w:tcW w:w="2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(8,281,974)</w:t>
            </w:r>
          </w:p>
        </w:tc>
        <w:tc>
          <w:tcPr>
            <w:tcW w:w="100" w:type="dxa"/>
            <w:vAlign w:val="bottom"/>
          </w:tcPr>
          <w:p>
            <w:pPr>
              <w:spacing w:after="0"/>
              <w:rPr>
                <w:sz w:val="15"/>
                <w:szCs w:val="15"/>
                <w:color w:val="auto"/>
              </w:rPr>
            </w:pPr>
          </w:p>
        </w:tc>
        <w:tc>
          <w:tcPr>
            <w:tcW w:w="2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(9,597,015)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Net loss per common share, basic and diluted (1)</w:t>
            </w: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(0.32)</w:t>
            </w:r>
          </w:p>
        </w:tc>
        <w:tc>
          <w:tcPr>
            <w:tcW w:w="2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(0.31)</w:t>
            </w: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7,672,033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6,750,738</w:t>
            </w: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6,297,416</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6,444,120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(7,995,039)</w:t>
            </w:r>
          </w:p>
        </w:tc>
        <w:tc>
          <w:tcPr>
            <w:tcW w:w="3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(7,084,316)</w:t>
            </w:r>
          </w:p>
        </w:tc>
        <w:tc>
          <w:tcPr>
            <w:tcW w:w="80" w:type="dxa"/>
            <w:vAlign w:val="bottom"/>
          </w:tcPr>
          <w:p>
            <w:pPr>
              <w:spacing w:after="0"/>
              <w:rPr>
                <w:sz w:val="15"/>
                <w:szCs w:val="15"/>
                <w:color w:val="auto"/>
              </w:rPr>
            </w:pPr>
          </w:p>
        </w:tc>
        <w:tc>
          <w:tcPr>
            <w:tcW w:w="2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(6,433,536)</w:t>
            </w:r>
          </w:p>
        </w:tc>
        <w:tc>
          <w:tcPr>
            <w:tcW w:w="100" w:type="dxa"/>
            <w:vAlign w:val="bottom"/>
          </w:tcPr>
          <w:p>
            <w:pPr>
              <w:spacing w:after="0"/>
              <w:rPr>
                <w:sz w:val="15"/>
                <w:szCs w:val="15"/>
                <w:color w:val="auto"/>
              </w:rPr>
            </w:pPr>
          </w:p>
        </w:tc>
        <w:tc>
          <w:tcPr>
            <w:tcW w:w="2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(7,430,501)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Net loss per common share, basic and diluted (1)</w:t>
            </w: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(0.27)</w:t>
            </w: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333"/>
        <w:spacing w:after="0" w:line="22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Basic and diluted net loss per common share is computed independently for each of the quarters presented. Therefore, the sum of all quarterly basic and fully diluted net loss per common share may not equal the annual basic and diluted net loss per common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89"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In January 2019, the Company received approximately $25.8 million in gross proceeds, of which net proceeds were $25.0 million through the sale of 3,164,015 shares under the existing at-the-market facility with Leerink Partners LLC. Sales of the shares of common stock in the at-the-market offerings were made pursuant to a prospectus supplement to the 2016 Registration Statement.</w:t>
      </w:r>
    </w:p>
    <w:p>
      <w:pPr>
        <w:spacing w:after="0" w:line="163"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March 2019, the Company entered into a $24.0 million growth capital term loan facility with SVB and WestRiver. The two-tranche loan agreement consists of an initial $20.0 million tranche, which was funded shortly upon closing, with the remaining $4.0 million available to be drawn, at the Company’s option, subject to the achievement of positive data, on or prior to August 15, 2019, with respect to the Company’s ongoing Phase 2 clinical trial for AXS-12 in narcolepsy, sufficient to submit a Phase 3 protocol to FDA, provided that the Company has not received any objections from the FDA within thirty days after submission of such Phase 3 protocol. A portion of the first tranche was used to satisfy the Company’s existing obligations under its previously disclosed term loan facility with SVB, as amended, and such obligations are considered fully repaid and extinguished (refer to Note 6, Loan and Security Agreement). The loan bears interest at an annual rate equal to the greater of (i) seven and one-half of one percent (7.50%) and (ii) two percent (2%) above the Prime Rate. The loan advances mature in February 2023 and have an interest-only payment period of 12 months, which may be extended to 18 months upon the drawing of the second tranche. In connection with the loan agreement, the Company issued warrants to purchase 70,000 shares of the Company’s common stock at a price per share equal to $8.10. The warrants will be earned based upon the usage of the facility and are exercisable until 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3" w:name="page164"/>
    <w:bookmarkEnd w:id="1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33"/>
          </w:tcPr>
          <w:p>
            <w:pPr>
              <w:ind w:left="900"/>
              <w:spacing w:after="0"/>
              <w:rPr>
                <w:sz w:val="20"/>
                <w:szCs w:val="20"/>
                <w:color w:val="auto"/>
              </w:rPr>
            </w:pPr>
            <w:r>
              <w:rPr>
                <w:rFonts w:ascii="Arial" w:cs="Arial" w:eastAsia="Arial" w:hAnsi="Arial"/>
                <w:sz w:val="18"/>
                <w:szCs w:val="18"/>
                <w:b w:val="1"/>
                <w:bCs w:val="1"/>
                <w:color w:val="auto"/>
              </w:rPr>
              <w:t>INDEX EXHIBITS</w:t>
            </w:r>
          </w:p>
        </w:tc>
        <w:tc>
          <w:tcPr>
            <w:tcW w:w="0" w:type="dxa"/>
            <w:vAlign w:val="bottom"/>
          </w:tcPr>
          <w:p>
            <w:pPr>
              <w:spacing w:after="0"/>
              <w:rPr>
                <w:sz w:val="1"/>
                <w:szCs w:val="1"/>
                <w:color w:val="auto"/>
              </w:rPr>
            </w:pPr>
          </w:p>
        </w:tc>
      </w:tr>
      <w:tr>
        <w:trPr>
          <w:trHeight w:val="342"/>
        </w:trPr>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33"/>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0" w:type="dxa"/>
            <w:vAlign w:val="bottom"/>
            <w:gridSpan w:val="2"/>
          </w:tcPr>
          <w:p>
            <w:pPr>
              <w:jc w:val="right"/>
              <w:ind w:right="80"/>
              <w:spacing w:after="0" w:line="170"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7700" w:type="dxa"/>
            <w:vAlign w:val="bottom"/>
            <w:gridSpan w:val="37"/>
          </w:tcPr>
          <w:p>
            <w:pPr>
              <w:spacing w:after="0" w:line="170"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Amended and Restated Certificate of Incorporation of the Company (Incorporated by reference, Exhibit</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00" w:type="dxa"/>
            <w:vAlign w:val="bottom"/>
            <w:tcBorders>
              <w:top w:val="single" w:sz="8" w:color="0000EE"/>
            </w:tcBorders>
            <w:gridSpan w:val="27"/>
          </w:tcPr>
          <w:p>
            <w:pPr>
              <w:spacing w:after="0" w:line="170" w:lineRule="exact"/>
              <w:rPr>
                <w:rFonts w:ascii="Arial" w:cs="Arial" w:eastAsia="Arial" w:hAnsi="Arial"/>
                <w:sz w:val="18"/>
                <w:szCs w:val="18"/>
                <w:color w:val="0000EE"/>
              </w:rPr>
            </w:pPr>
            <w:hyperlink r:id="rId188">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Form 8-K (No. 001-37635) filed November 24,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3.2</w:t>
            </w:r>
          </w:p>
        </w:tc>
        <w:tc>
          <w:tcPr>
            <w:tcW w:w="5520" w:type="dxa"/>
            <w:vAlign w:val="bottom"/>
            <w:tcBorders>
              <w:top w:val="single" w:sz="8" w:color="0000EE"/>
            </w:tcBorders>
            <w:gridSpan w:val="9"/>
          </w:tcPr>
          <w:p>
            <w:pPr>
              <w:spacing w:after="0" w:line="15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Amended and Restated Bylaws of the Company (Incorporated by reference,</w:t>
              </w:r>
            </w:hyperlink>
          </w:p>
        </w:tc>
        <w:tc>
          <w:tcPr>
            <w:tcW w:w="2200" w:type="dxa"/>
            <w:vAlign w:val="bottom"/>
            <w:gridSpan w:val="29"/>
          </w:tcPr>
          <w:p>
            <w:pPr>
              <w:spacing w:after="0" w:line="150" w:lineRule="exact"/>
              <w:rPr>
                <w:rFonts w:ascii="Arial" w:cs="Arial" w:eastAsia="Arial" w:hAnsi="Arial"/>
                <w:sz w:val="17"/>
                <w:szCs w:val="17"/>
                <w:color w:val="0000EE"/>
              </w:rPr>
            </w:pPr>
            <w:hyperlink r:id="rId189">
              <w:r>
                <w:rPr>
                  <w:rFonts w:ascii="Arial" w:cs="Arial" w:eastAsia="Arial" w:hAnsi="Arial"/>
                  <w:sz w:val="17"/>
                  <w:szCs w:val="17"/>
                  <w:color w:val="0000EE"/>
                </w:rPr>
                <w:t>Exhibit 3.2 to the Company’s</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Borders>
              <w:top w:val="single" w:sz="8" w:color="0000EE"/>
            </w:tcBorders>
            <w:gridSpan w:val="36"/>
          </w:tcPr>
          <w:p>
            <w:pPr>
              <w:spacing w:after="0" w:line="170" w:lineRule="exact"/>
              <w:rPr>
                <w:rFonts w:ascii="Arial" w:cs="Arial" w:eastAsia="Arial" w:hAnsi="Arial"/>
                <w:sz w:val="18"/>
                <w:szCs w:val="18"/>
                <w:color w:val="0000EE"/>
              </w:rPr>
            </w:pPr>
            <w:hyperlink r:id="rId189">
              <w:r>
                <w:rPr>
                  <w:rFonts w:ascii="Arial" w:cs="Arial" w:eastAsia="Arial" w:hAnsi="Arial"/>
                  <w:sz w:val="18"/>
                  <w:szCs w:val="18"/>
                  <w:color w:val="0000EE"/>
                </w:rPr>
                <w:t>Form 8-K (No. 001-37635) filed November 24,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4.1</w:t>
            </w:r>
          </w:p>
        </w:tc>
        <w:tc>
          <w:tcPr>
            <w:tcW w:w="3940" w:type="dxa"/>
            <w:vAlign w:val="bottom"/>
            <w:tcBorders>
              <w:top w:val="single" w:sz="8" w:color="0000EE"/>
            </w:tcBorders>
            <w:gridSpan w:val="6"/>
          </w:tcPr>
          <w:p>
            <w:pPr>
              <w:spacing w:after="0" w:line="15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Specimen Certificate evidencing shares of Company’s</w:t>
              </w:r>
            </w:hyperlink>
          </w:p>
        </w:tc>
        <w:tc>
          <w:tcPr>
            <w:tcW w:w="3780" w:type="dxa"/>
            <w:vAlign w:val="bottom"/>
            <w:gridSpan w:val="32"/>
          </w:tcPr>
          <w:p>
            <w:pPr>
              <w:jc w:val="right"/>
              <w:ind w:right="120"/>
              <w:spacing w:after="0" w:line="150" w:lineRule="exact"/>
              <w:rPr>
                <w:rFonts w:ascii="Arial" w:cs="Arial" w:eastAsia="Arial" w:hAnsi="Arial"/>
                <w:sz w:val="17"/>
                <w:szCs w:val="17"/>
                <w:color w:val="0000EE"/>
                <w:w w:val="97"/>
              </w:rPr>
            </w:pPr>
            <w:hyperlink r:id="rId190">
              <w:r>
                <w:rPr>
                  <w:rFonts w:ascii="Arial" w:cs="Arial" w:eastAsia="Arial" w:hAnsi="Arial"/>
                  <w:sz w:val="17"/>
                  <w:szCs w:val="17"/>
                  <w:color w:val="0000EE"/>
                  <w:w w:val="97"/>
                </w:rPr>
                <w:t>common stock (Incorporated by reference, Exhibit</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40" w:type="dxa"/>
            <w:vAlign w:val="bottom"/>
            <w:tcBorders>
              <w:top w:val="single" w:sz="8" w:color="0000EE"/>
            </w:tcBorders>
            <w:gridSpan w:val="34"/>
          </w:tcPr>
          <w:p>
            <w:pPr>
              <w:spacing w:after="0" w:line="170"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r>
                <w:rPr>
                  <w:rFonts w:ascii="Arial" w:cs="Arial" w:eastAsia="Arial" w:hAnsi="Arial"/>
                  <w:sz w:val="18"/>
                  <w:szCs w:val="18"/>
                  <w:color w:val="0000EE"/>
                  <w:w w:val="93"/>
                </w:rPr>
                <w:t xml:space="preserve"> to Amendment No. 1 to the Company’s Registration Statement on Form S-1 (No. 333-207393) filed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80" w:type="dxa"/>
            <w:vAlign w:val="bottom"/>
            <w:tcBorders>
              <w:top w:val="single" w:sz="8" w:color="0000EE"/>
            </w:tcBorders>
            <w:gridSpan w:val="26"/>
          </w:tcPr>
          <w:p>
            <w:pPr>
              <w:spacing w:after="0" w:line="170" w:lineRule="exact"/>
              <w:rPr>
                <w:rFonts w:ascii="Arial" w:cs="Arial" w:eastAsia="Arial" w:hAnsi="Arial"/>
                <w:sz w:val="18"/>
                <w:szCs w:val="18"/>
                <w:color w:val="0000EE"/>
              </w:rPr>
            </w:pPr>
            <w:hyperlink r:id="rId190">
              <w:r>
                <w:rPr>
                  <w:rFonts w:ascii="Arial" w:cs="Arial" w:eastAsia="Arial" w:hAnsi="Arial"/>
                  <w:sz w:val="18"/>
                  <w:szCs w:val="18"/>
                  <w:color w:val="0000EE"/>
                </w:rPr>
                <w:t>October 30, 2015.)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4.2</w:t>
            </w:r>
          </w:p>
        </w:tc>
        <w:tc>
          <w:tcPr>
            <w:tcW w:w="1360" w:type="dxa"/>
            <w:vAlign w:val="bottom"/>
            <w:tcBorders>
              <w:top w:val="single" w:sz="8" w:color="0000EE"/>
            </w:tcBorders>
            <w:gridSpan w:val="2"/>
          </w:tcPr>
          <w:p>
            <w:pPr>
              <w:spacing w:after="0" w:line="15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Form of warrant to</w:t>
              </w:r>
            </w:hyperlink>
          </w:p>
        </w:tc>
        <w:tc>
          <w:tcPr>
            <w:tcW w:w="6360" w:type="dxa"/>
            <w:vAlign w:val="bottom"/>
            <w:gridSpan w:val="36"/>
          </w:tcPr>
          <w:p>
            <w:pPr>
              <w:ind w:left="60"/>
              <w:spacing w:after="0" w:line="150" w:lineRule="exact"/>
              <w:rPr>
                <w:rFonts w:ascii="Arial" w:cs="Arial" w:eastAsia="Arial" w:hAnsi="Arial"/>
                <w:sz w:val="17"/>
                <w:szCs w:val="17"/>
                <w:color w:val="0000EE"/>
              </w:rPr>
            </w:pPr>
            <w:hyperlink r:id="rId191">
              <w:r>
                <w:rPr>
                  <w:rFonts w:ascii="Arial" w:cs="Arial" w:eastAsia="Arial" w:hAnsi="Arial"/>
                  <w:sz w:val="17"/>
                  <w:szCs w:val="17"/>
                  <w:color w:val="0000EE"/>
                </w:rPr>
                <w:t>purchase shares of Company’s common stock issued in 2013 (Incorporated by</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reference, Exhibit 4.2 to the Company’s Registration Statement on Form S-1 (No. 333-207393) filed</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tcBorders>
              <w:top w:val="single" w:sz="8" w:color="0000EE"/>
            </w:tcBorders>
            <w:gridSpan w:val="18"/>
          </w:tcPr>
          <w:p>
            <w:pPr>
              <w:spacing w:after="0" w:line="170" w:lineRule="exact"/>
              <w:rPr>
                <w:rFonts w:ascii="Arial" w:cs="Arial" w:eastAsia="Arial" w:hAnsi="Arial"/>
                <w:sz w:val="18"/>
                <w:szCs w:val="18"/>
                <w:color w:val="0000EE"/>
              </w:rPr>
            </w:pPr>
            <w:hyperlink r:id="rId191">
              <w:r>
                <w:rPr>
                  <w:rFonts w:ascii="Arial" w:cs="Arial" w:eastAsia="Arial" w:hAnsi="Arial"/>
                  <w:sz w:val="18"/>
                  <w:szCs w:val="18"/>
                  <w:color w:val="0000EE"/>
                </w:rPr>
                <w:t>October 13,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4.3</w:t>
            </w:r>
          </w:p>
        </w:tc>
        <w:tc>
          <w:tcPr>
            <w:tcW w:w="1360" w:type="dxa"/>
            <w:vAlign w:val="bottom"/>
            <w:tcBorders>
              <w:top w:val="single" w:sz="8" w:color="0000EE"/>
            </w:tcBorders>
            <w:gridSpan w:val="2"/>
          </w:tcPr>
          <w:p>
            <w:pPr>
              <w:spacing w:after="0" w:line="15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Form of warrant to</w:t>
              </w:r>
            </w:hyperlink>
          </w:p>
        </w:tc>
        <w:tc>
          <w:tcPr>
            <w:tcW w:w="6360" w:type="dxa"/>
            <w:vAlign w:val="bottom"/>
            <w:gridSpan w:val="36"/>
          </w:tcPr>
          <w:p>
            <w:pPr>
              <w:ind w:left="60"/>
              <w:spacing w:after="0" w:line="150" w:lineRule="exact"/>
              <w:rPr>
                <w:rFonts w:ascii="Arial" w:cs="Arial" w:eastAsia="Arial" w:hAnsi="Arial"/>
                <w:sz w:val="17"/>
                <w:szCs w:val="17"/>
                <w:color w:val="0000EE"/>
              </w:rPr>
            </w:pPr>
            <w:hyperlink r:id="rId192">
              <w:r>
                <w:rPr>
                  <w:rFonts w:ascii="Arial" w:cs="Arial" w:eastAsia="Arial" w:hAnsi="Arial"/>
                  <w:sz w:val="17"/>
                  <w:szCs w:val="17"/>
                  <w:color w:val="0000EE"/>
                </w:rPr>
                <w:t>purchase shares of Company’s common stock issued in 2014 (Incorporated by</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reference, Exhibit 4.3 to the Company’s Registration Statement on Form S-1 (No. 333-207393) filed</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tcBorders>
              <w:top w:val="single" w:sz="8" w:color="0000EE"/>
            </w:tcBorders>
            <w:gridSpan w:val="18"/>
          </w:tcPr>
          <w:p>
            <w:pPr>
              <w:spacing w:after="0" w:line="170" w:lineRule="exact"/>
              <w:rPr>
                <w:rFonts w:ascii="Arial" w:cs="Arial" w:eastAsia="Arial" w:hAnsi="Arial"/>
                <w:sz w:val="18"/>
                <w:szCs w:val="18"/>
                <w:color w:val="0000EE"/>
              </w:rPr>
            </w:pPr>
            <w:hyperlink r:id="rId192">
              <w:r>
                <w:rPr>
                  <w:rFonts w:ascii="Arial" w:cs="Arial" w:eastAsia="Arial" w:hAnsi="Arial"/>
                  <w:sz w:val="18"/>
                  <w:szCs w:val="18"/>
                  <w:color w:val="0000EE"/>
                </w:rPr>
                <w:t>October 13,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4.4</w:t>
            </w:r>
          </w:p>
        </w:tc>
        <w:tc>
          <w:tcPr>
            <w:tcW w:w="1360" w:type="dxa"/>
            <w:vAlign w:val="bottom"/>
            <w:tcBorders>
              <w:top w:val="single" w:sz="8" w:color="0000EE"/>
            </w:tcBorders>
            <w:gridSpan w:val="2"/>
          </w:tcPr>
          <w:p>
            <w:pPr>
              <w:spacing w:after="0" w:line="156" w:lineRule="exact"/>
              <w:rPr>
                <w:rFonts w:ascii="Arial" w:cs="Arial" w:eastAsia="Arial" w:hAnsi="Arial"/>
                <w:sz w:val="18"/>
                <w:szCs w:val="18"/>
                <w:color w:val="0000EE"/>
                <w:w w:val="85"/>
              </w:rPr>
            </w:pPr>
            <w:hyperlink r:id="rId193">
              <w:r>
                <w:rPr>
                  <w:rFonts w:ascii="Arial" w:cs="Arial" w:eastAsia="Arial" w:hAnsi="Arial"/>
                  <w:sz w:val="18"/>
                  <w:szCs w:val="18"/>
                  <w:color w:val="0000EE"/>
                  <w:w w:val="85"/>
                </w:rPr>
                <w:t>Warrant Agreement</w:t>
              </w:r>
            </w:hyperlink>
          </w:p>
        </w:tc>
        <w:tc>
          <w:tcPr>
            <w:tcW w:w="6360" w:type="dxa"/>
            <w:vAlign w:val="bottom"/>
            <w:gridSpan w:val="36"/>
          </w:tcPr>
          <w:p>
            <w:pPr>
              <w:ind w:left="120"/>
              <w:spacing w:after="0" w:line="150" w:lineRule="exact"/>
              <w:rPr>
                <w:rFonts w:ascii="Arial" w:cs="Arial" w:eastAsia="Arial" w:hAnsi="Arial"/>
                <w:sz w:val="17"/>
                <w:szCs w:val="17"/>
                <w:color w:val="0000EE"/>
              </w:rPr>
            </w:pPr>
            <w:hyperlink r:id="rId193">
              <w:r>
                <w:rPr>
                  <w:rFonts w:ascii="Arial" w:cs="Arial" w:eastAsia="Arial" w:hAnsi="Arial"/>
                  <w:sz w:val="17"/>
                  <w:szCs w:val="17"/>
                  <w:color w:val="0000EE"/>
                </w:rPr>
                <w:t>between Axsome Therapeutics, Inc. and Silicon Valley Bank, dated November 9,</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00" w:type="dxa"/>
            <w:vAlign w:val="bottom"/>
            <w:tcBorders>
              <w:top w:val="single" w:sz="8" w:color="0000EE"/>
            </w:tcBorders>
            <w:gridSpan w:val="20"/>
          </w:tcPr>
          <w:p>
            <w:pPr>
              <w:spacing w:after="0" w:line="170" w:lineRule="exact"/>
              <w:rPr>
                <w:rFonts w:ascii="Arial" w:cs="Arial" w:eastAsia="Arial" w:hAnsi="Arial"/>
                <w:sz w:val="18"/>
                <w:szCs w:val="18"/>
                <w:color w:val="0000EE"/>
                <w:w w:val="95"/>
              </w:rPr>
            </w:pPr>
            <w:hyperlink r:id="rId193">
              <w:r>
                <w:rPr>
                  <w:rFonts w:ascii="Arial" w:cs="Arial" w:eastAsia="Arial" w:hAnsi="Arial"/>
                  <w:sz w:val="18"/>
                  <w:szCs w:val="18"/>
                  <w:color w:val="0000EE"/>
                  <w:w w:val="95"/>
                </w:rPr>
                <w:t>2016 (Incorporated by reference, Exhibit 4.1 to the Company’s Current Report on Form 8-K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40" w:type="dxa"/>
            <w:vAlign w:val="bottom"/>
            <w:tcBorders>
              <w:top w:val="single" w:sz="8" w:color="0000EE"/>
            </w:tcBorders>
            <w:gridSpan w:val="13"/>
          </w:tcPr>
          <w:p>
            <w:pPr>
              <w:spacing w:after="0" w:line="170" w:lineRule="exact"/>
              <w:rPr>
                <w:rFonts w:ascii="Arial" w:cs="Arial" w:eastAsia="Arial" w:hAnsi="Arial"/>
                <w:sz w:val="18"/>
                <w:szCs w:val="18"/>
                <w:color w:val="0000EE"/>
              </w:rPr>
            </w:pPr>
            <w:hyperlink r:id="rId193">
              <w:r>
                <w:rPr>
                  <w:rFonts w:ascii="Arial" w:cs="Arial" w:eastAsia="Arial" w:hAnsi="Arial"/>
                  <w:sz w:val="18"/>
                  <w:szCs w:val="18"/>
                  <w:color w:val="0000EE"/>
                </w:rPr>
                <w:t>November 10, 2016.)</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80"/>
              <w:spacing w:after="0" w:line="150" w:lineRule="exact"/>
              <w:rPr>
                <w:sz w:val="20"/>
                <w:szCs w:val="20"/>
                <w:color w:val="auto"/>
              </w:rPr>
            </w:pPr>
            <w:r>
              <w:rPr>
                <w:rFonts w:ascii="Arial" w:cs="Arial" w:eastAsia="Arial" w:hAnsi="Arial"/>
                <w:sz w:val="17"/>
                <w:szCs w:val="17"/>
                <w:color w:val="auto"/>
              </w:rPr>
              <w:t>4.5</w:t>
            </w:r>
          </w:p>
        </w:tc>
        <w:tc>
          <w:tcPr>
            <w:tcW w:w="1540" w:type="dxa"/>
            <w:vAlign w:val="bottom"/>
            <w:tcBorders>
              <w:top w:val="single" w:sz="8" w:color="0000EE"/>
            </w:tcBorders>
            <w:gridSpan w:val="3"/>
          </w:tcPr>
          <w:p>
            <w:pPr>
              <w:spacing w:after="0" w:line="156"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Warrant Agreement</w:t>
              </w:r>
            </w:hyperlink>
          </w:p>
        </w:tc>
        <w:tc>
          <w:tcPr>
            <w:tcW w:w="6180" w:type="dxa"/>
            <w:vAlign w:val="bottom"/>
            <w:gridSpan w:val="35"/>
          </w:tcPr>
          <w:p>
            <w:pPr>
              <w:jc w:val="right"/>
              <w:ind w:right="140"/>
              <w:spacing w:after="0" w:line="150" w:lineRule="exact"/>
              <w:rPr>
                <w:rFonts w:ascii="Arial" w:cs="Arial" w:eastAsia="Arial" w:hAnsi="Arial"/>
                <w:sz w:val="17"/>
                <w:szCs w:val="17"/>
                <w:color w:val="0000EE"/>
                <w:w w:val="94"/>
              </w:rPr>
            </w:pPr>
            <w:hyperlink r:id="rId194">
              <w:r>
                <w:rPr>
                  <w:rFonts w:ascii="Arial" w:cs="Arial" w:eastAsia="Arial" w:hAnsi="Arial"/>
                  <w:sz w:val="17"/>
                  <w:szCs w:val="17"/>
                  <w:color w:val="0000EE"/>
                  <w:w w:val="94"/>
                </w:rPr>
                <w:t>between Axsome Therapeutics, Inc. and Life Sciences Loans, LLC, dated November</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0" w:type="dxa"/>
            <w:vAlign w:val="bottom"/>
            <w:tcBorders>
              <w:top w:val="single" w:sz="8" w:color="0000EE"/>
            </w:tcBorders>
            <w:gridSpan w:val="32"/>
          </w:tcPr>
          <w:p>
            <w:pPr>
              <w:spacing w:after="0" w:line="170"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9, 2016 (Incorporated by reference, Exhibit 4.2 to the Company’s Current Report on Form 8-K filed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4.6</w:t>
            </w:r>
          </w:p>
        </w:tc>
        <w:tc>
          <w:tcPr>
            <w:tcW w:w="7200" w:type="dxa"/>
            <w:vAlign w:val="bottom"/>
            <w:tcBorders>
              <w:top w:val="single" w:sz="8" w:color="0000EE"/>
            </w:tcBorders>
            <w:gridSpan w:val="15"/>
          </w:tcPr>
          <w:p>
            <w:pPr>
              <w:spacing w:after="0" w:line="170" w:lineRule="exact"/>
              <w:rPr>
                <w:rFonts w:ascii="Arial" w:cs="Arial" w:eastAsia="Arial" w:hAnsi="Arial"/>
                <w:sz w:val="18"/>
                <w:szCs w:val="18"/>
                <w:color w:val="0000EE"/>
              </w:rPr>
            </w:pPr>
            <w:hyperlink r:id="rId194">
              <w:r>
                <w:rPr>
                  <w:rFonts w:ascii="Arial" w:cs="Arial" w:eastAsia="Arial" w:hAnsi="Arial"/>
                  <w:sz w:val="18"/>
                  <w:szCs w:val="18"/>
                  <w:color w:val="0000EE"/>
                </w:rPr>
                <w:t>November 10,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vMerge w:val="continu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5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Form of Warrant (Incorporated by reference, Exhibit 4.1 to the Company’s Current Report on Form 8-K</w:t>
              </w:r>
            </w:hyperlink>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4.7**</w:t>
            </w:r>
          </w:p>
        </w:tc>
        <w:tc>
          <w:tcPr>
            <w:tcW w:w="182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filed December 4, 2017.)</w:t>
              </w:r>
            </w:hyperlink>
          </w:p>
        </w:tc>
        <w:tc>
          <w:tcPr>
            <w:tcW w:w="572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6"/>
              </w:rPr>
            </w:pPr>
            <w:hyperlink w:anchor="page167">
              <w:r>
                <w:rPr>
                  <w:rFonts w:ascii="Arial" w:cs="Arial" w:eastAsia="Arial" w:hAnsi="Arial"/>
                  <w:sz w:val="18"/>
                  <w:szCs w:val="18"/>
                  <w:color w:val="0000EE"/>
                  <w:w w:val="96"/>
                </w:rPr>
                <w:t>Form of Warrant, with respect to November 2018 First Amendment to Loan and Security Agreement.</w:t>
              </w:r>
            </w:hyperlink>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4.8**</w:t>
            </w:r>
          </w:p>
        </w:tc>
        <w:tc>
          <w:tcPr>
            <w:tcW w:w="7320" w:type="dxa"/>
            <w:vAlign w:val="bottom"/>
            <w:tcBorders>
              <w:top w:val="single" w:sz="8" w:color="0000EE"/>
            </w:tcBorders>
            <w:gridSpan w:val="21"/>
          </w:tcPr>
          <w:p>
            <w:pPr>
              <w:spacing w:after="0" w:line="170" w:lineRule="exact"/>
              <w:rPr>
                <w:rFonts w:ascii="Arial" w:cs="Arial" w:eastAsia="Arial" w:hAnsi="Arial"/>
                <w:sz w:val="18"/>
                <w:szCs w:val="18"/>
                <w:color w:val="0000EE"/>
              </w:rPr>
            </w:pPr>
            <w:hyperlink w:anchor="page178">
              <w:r>
                <w:rPr>
                  <w:rFonts w:ascii="Arial" w:cs="Arial" w:eastAsia="Arial" w:hAnsi="Arial"/>
                  <w:sz w:val="18"/>
                  <w:szCs w:val="18"/>
                  <w:color w:val="0000EE"/>
                </w:rPr>
                <w:t>Form of Warrant, with respect to March 2019 Loan and Security Agreement.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10.1+</w:t>
            </w:r>
          </w:p>
        </w:tc>
        <w:tc>
          <w:tcPr>
            <w:tcW w:w="5540" w:type="dxa"/>
            <w:vAlign w:val="bottom"/>
            <w:tcBorders>
              <w:top w:val="single" w:sz="8" w:color="0000EE"/>
              <w:bottom w:val="single" w:sz="8" w:color="0000EE"/>
            </w:tcBorders>
            <w:gridSpan w:val="10"/>
          </w:tcPr>
          <w:p>
            <w:pPr>
              <w:spacing w:after="0" w:line="170" w:lineRule="exact"/>
              <w:rPr>
                <w:rFonts w:ascii="Arial" w:cs="Arial" w:eastAsia="Arial" w:hAnsi="Arial"/>
                <w:sz w:val="18"/>
                <w:szCs w:val="18"/>
                <w:color w:val="0000EE"/>
                <w:w w:val="95"/>
              </w:rPr>
            </w:pPr>
            <w:hyperlink r:id="rId196">
              <w:r>
                <w:rPr>
                  <w:rFonts w:ascii="Arial" w:cs="Arial" w:eastAsia="Arial" w:hAnsi="Arial"/>
                  <w:sz w:val="18"/>
                  <w:szCs w:val="18"/>
                  <w:color w:val="0000EE"/>
                  <w:w w:val="95"/>
                </w:rPr>
                <w:t>Axsome Therapeutics, Inc. 2013 Equity Compensation Plan and Form of</w:t>
              </w:r>
            </w:hyperlink>
          </w:p>
        </w:tc>
        <w:tc>
          <w:tcPr>
            <w:tcW w:w="1740" w:type="dxa"/>
            <w:vAlign w:val="bottom"/>
            <w:tcBorders>
              <w:bottom w:val="single" w:sz="8" w:color="0000EE"/>
            </w:tcBorders>
            <w:gridSpan w:val="9"/>
          </w:tcPr>
          <w:p>
            <w:pPr>
              <w:spacing w:after="0" w:line="170" w:lineRule="exact"/>
              <w:rPr>
                <w:rFonts w:ascii="Arial" w:cs="Arial" w:eastAsia="Arial" w:hAnsi="Arial"/>
                <w:sz w:val="18"/>
                <w:szCs w:val="18"/>
                <w:color w:val="0000EE"/>
                <w:w w:val="82"/>
              </w:rPr>
            </w:pPr>
            <w:hyperlink r:id="rId196">
              <w:r>
                <w:rPr>
                  <w:rFonts w:ascii="Arial" w:cs="Arial" w:eastAsia="Arial" w:hAnsi="Arial"/>
                  <w:sz w:val="18"/>
                  <w:szCs w:val="18"/>
                  <w:color w:val="0000EE"/>
                  <w:w w:val="82"/>
                </w:rPr>
                <w:t>Nonqualified Stock Option</w:t>
              </w:r>
            </w:hyperlink>
          </w:p>
        </w:tc>
        <w:tc>
          <w:tcPr>
            <w:tcW w:w="4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Agreement thereunder (Incorporated by reference, Exhibit 10.1 to the Company’s Registration Statement</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80" w:type="dxa"/>
            <w:vAlign w:val="bottom"/>
            <w:tcBorders>
              <w:top w:val="single" w:sz="8" w:color="0000EE"/>
            </w:tcBorders>
            <w:gridSpan w:val="31"/>
          </w:tcPr>
          <w:p>
            <w:pPr>
              <w:spacing w:after="0" w:line="170" w:lineRule="exact"/>
              <w:rPr>
                <w:rFonts w:ascii="Arial" w:cs="Arial" w:eastAsia="Arial" w:hAnsi="Arial"/>
                <w:sz w:val="18"/>
                <w:szCs w:val="18"/>
                <w:color w:val="0000EE"/>
              </w:rPr>
            </w:pPr>
            <w:hyperlink r:id="rId196">
              <w:r>
                <w:rPr>
                  <w:rFonts w:ascii="Arial" w:cs="Arial" w:eastAsia="Arial" w:hAnsi="Arial"/>
                  <w:sz w:val="18"/>
                  <w:szCs w:val="18"/>
                  <w:color w:val="0000EE"/>
                </w:rPr>
                <w:t>on Form S-1 (No. 333-207393) filed October 13, 2015.)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10.2+</w:t>
            </w:r>
          </w:p>
        </w:tc>
        <w:tc>
          <w:tcPr>
            <w:tcW w:w="4040" w:type="dxa"/>
            <w:vAlign w:val="bottom"/>
            <w:tcBorders>
              <w:top w:val="single" w:sz="8" w:color="0000EE"/>
            </w:tcBorders>
            <w:gridSpan w:val="8"/>
          </w:tcPr>
          <w:p>
            <w:pPr>
              <w:spacing w:after="0" w:line="170" w:lineRule="exact"/>
              <w:rPr>
                <w:rFonts w:ascii="Arial" w:cs="Arial" w:eastAsia="Arial" w:hAnsi="Arial"/>
                <w:sz w:val="18"/>
                <w:szCs w:val="18"/>
                <w:color w:val="0000EE"/>
                <w:w w:val="97"/>
              </w:rPr>
            </w:pPr>
            <w:hyperlink r:id="rId197">
              <w:r>
                <w:rPr>
                  <w:rFonts w:ascii="Arial" w:cs="Arial" w:eastAsia="Arial" w:hAnsi="Arial"/>
                  <w:sz w:val="18"/>
                  <w:szCs w:val="18"/>
                  <w:color w:val="0000EE"/>
                  <w:w w:val="97"/>
                </w:rPr>
                <w:t>Axsome Therapeutics, Inc. 2015 Omnibus Incentive</w:t>
              </w:r>
            </w:hyperlink>
          </w:p>
        </w:tc>
        <w:tc>
          <w:tcPr>
            <w:tcW w:w="3680" w:type="dxa"/>
            <w:vAlign w:val="bottom"/>
            <w:gridSpan w:val="30"/>
          </w:tcPr>
          <w:p>
            <w:pPr>
              <w:spacing w:after="0" w:line="170" w:lineRule="exact"/>
              <w:rPr>
                <w:rFonts w:ascii="Arial" w:cs="Arial" w:eastAsia="Arial" w:hAnsi="Arial"/>
                <w:sz w:val="18"/>
                <w:szCs w:val="18"/>
                <w:color w:val="0000EE"/>
                <w:w w:val="96"/>
              </w:rPr>
            </w:pPr>
            <w:hyperlink r:id="rId197">
              <w:r>
                <w:rPr>
                  <w:rFonts w:ascii="Arial" w:cs="Arial" w:eastAsia="Arial" w:hAnsi="Arial"/>
                  <w:sz w:val="18"/>
                  <w:szCs w:val="18"/>
                  <w:color w:val="0000EE"/>
                  <w:w w:val="96"/>
                </w:rPr>
                <w:t>Compensation Plan (Incorporated by reference,</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16"/>
          </w:tcPr>
          <w:p>
            <w:pPr>
              <w:spacing w:after="0" w:line="170"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Exhibit 10.6 to Amendment to the Company’s Registration Statement on Form S-1 (No. 333-207393)</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10.3+</w:t>
            </w:r>
          </w:p>
        </w:tc>
        <w:tc>
          <w:tcPr>
            <w:tcW w:w="7340" w:type="dxa"/>
            <w:vAlign w:val="bottom"/>
            <w:gridSpan w:val="22"/>
          </w:tcPr>
          <w:p>
            <w:pPr>
              <w:spacing w:after="0" w:line="170" w:lineRule="exact"/>
              <w:rPr>
                <w:rFonts w:ascii="Arial" w:cs="Arial" w:eastAsia="Arial" w:hAnsi="Arial"/>
                <w:sz w:val="18"/>
                <w:szCs w:val="18"/>
                <w:color w:val="0000EE"/>
              </w:rPr>
            </w:pPr>
            <w:hyperlink r:id="rId197">
              <w:r>
                <w:rPr>
                  <w:rFonts w:ascii="Arial" w:cs="Arial" w:eastAsia="Arial" w:hAnsi="Arial"/>
                  <w:sz w:val="18"/>
                  <w:szCs w:val="18"/>
                  <w:color w:val="0000EE"/>
                </w:rPr>
                <w:t>filed October 30,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vMerge w:val="continu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5"/>
              </w:rPr>
            </w:pPr>
            <w:hyperlink r:id="rId198">
              <w:r>
                <w:rPr>
                  <w:rFonts w:ascii="Arial" w:cs="Arial" w:eastAsia="Arial" w:hAnsi="Arial"/>
                  <w:sz w:val="18"/>
                  <w:szCs w:val="18"/>
                  <w:color w:val="0000EE"/>
                  <w:w w:val="95"/>
                </w:rPr>
                <w:t>Axsome Therapeutics, Inc. Form of Stock Option Agreement pursuant to the 2015 Omnibus Incentive</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80" w:type="dxa"/>
            <w:vAlign w:val="bottom"/>
            <w:tcBorders>
              <w:top w:val="single" w:sz="8" w:color="0000EE"/>
            </w:tcBorders>
            <w:gridSpan w:val="24"/>
          </w:tcPr>
          <w:p>
            <w:pPr>
              <w:spacing w:after="0" w:line="170"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Compensation Plan (Incorporated by reference, Exhibit 99.2 to the Company’s Registration Statement</w:t>
              </w:r>
            </w:hyperlink>
          </w:p>
        </w:tc>
        <w:tc>
          <w:tcPr>
            <w:tcW w:w="20" w:type="dxa"/>
            <w:vAlign w:val="bottom"/>
          </w:tcPr>
          <w:p>
            <w:pPr>
              <w:spacing w:after="0"/>
              <w:rPr>
                <w:sz w:val="14"/>
                <w:szCs w:val="14"/>
                <w:color w:val="auto"/>
              </w:rPr>
            </w:pPr>
          </w:p>
        </w:tc>
        <w:tc>
          <w:tcPr>
            <w:tcW w:w="320" w:type="dxa"/>
            <w:vAlign w:val="bottom"/>
            <w:gridSpan w:val="13"/>
          </w:tcPr>
          <w:p>
            <w:pPr>
              <w:jc w:val="right"/>
              <w:ind w:right="140"/>
              <w:spacing w:after="0" w:line="170" w:lineRule="exact"/>
              <w:rPr>
                <w:rFonts w:ascii="Arial" w:cs="Arial" w:eastAsia="Arial" w:hAnsi="Arial"/>
                <w:sz w:val="18"/>
                <w:szCs w:val="18"/>
                <w:color w:val="0000EE"/>
                <w:w w:val="79"/>
              </w:rPr>
            </w:pPr>
            <w:hyperlink r:id="rId198">
              <w:r>
                <w:rPr>
                  <w:rFonts w:ascii="Arial" w:cs="Arial" w:eastAsia="Arial" w:hAnsi="Arial"/>
                  <w:sz w:val="18"/>
                  <w:szCs w:val="18"/>
                  <w:color w:val="0000EE"/>
                  <w:w w:val="79"/>
                </w:rPr>
                <w:t>on</w:t>
              </w:r>
            </w:hyperlink>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10.4*</w:t>
            </w:r>
          </w:p>
        </w:tc>
        <w:tc>
          <w:tcPr>
            <w:tcW w:w="398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Form S-8 (No. 333-208579) filed December 16, 2015.)</w:t>
              </w:r>
            </w:hyperlink>
          </w:p>
        </w:tc>
        <w:tc>
          <w:tcPr>
            <w:tcW w:w="3640" w:type="dxa"/>
            <w:vAlign w:val="bottom"/>
            <w:tcBorders>
              <w:top w:val="single" w:sz="8" w:color="0000EE"/>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License Agreement, dated January 12, 2012, by and between the Company and Antecip Bioventures</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40" w:type="dxa"/>
            <w:vAlign w:val="bottom"/>
            <w:tcBorders>
              <w:top w:val="single" w:sz="8" w:color="0000EE"/>
            </w:tcBorders>
            <w:gridSpan w:val="17"/>
          </w:tcPr>
          <w:p>
            <w:pPr>
              <w:spacing w:after="0" w:line="170"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II LLC, as modified by the First Amendment to License Agreement, dated August 21, 2015, by and</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80" w:type="dxa"/>
            <w:vAlign w:val="bottom"/>
            <w:tcBorders>
              <w:top w:val="single" w:sz="8" w:color="0000EE"/>
            </w:tcBorders>
            <w:gridSpan w:val="14"/>
          </w:tcPr>
          <w:p>
            <w:pPr>
              <w:spacing w:after="0" w:line="170"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between the Company and Antecip Bioventures II LLC (Incorporated by reference, Exhibit 10.2 to</w:t>
              </w:r>
            </w:hyperlink>
          </w:p>
        </w:tc>
        <w:tc>
          <w:tcPr>
            <w:tcW w:w="540" w:type="dxa"/>
            <w:vAlign w:val="bottom"/>
            <w:gridSpan w:val="24"/>
          </w:tcPr>
          <w:p>
            <w:pPr>
              <w:spacing w:after="0" w:line="170" w:lineRule="exact"/>
              <w:rPr>
                <w:rFonts w:ascii="Arial" w:cs="Arial" w:eastAsia="Arial" w:hAnsi="Arial"/>
                <w:sz w:val="18"/>
                <w:szCs w:val="18"/>
                <w:color w:val="0000EE"/>
              </w:rPr>
            </w:pPr>
            <w:hyperlink r:id="rId199">
              <w:r>
                <w:rPr>
                  <w:rFonts w:ascii="Arial" w:cs="Arial" w:eastAsia="Arial" w:hAnsi="Arial"/>
                  <w:sz w:val="18"/>
                  <w:szCs w:val="18"/>
                  <w:color w:val="0000EE"/>
                </w:rPr>
                <w:t>the</w:t>
              </w:r>
            </w:hyperlink>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10.5*</w:t>
            </w:r>
          </w:p>
        </w:tc>
        <w:tc>
          <w:tcPr>
            <w:tcW w:w="6600" w:type="dxa"/>
            <w:vAlign w:val="bottom"/>
            <w:tcBorders>
              <w:top w:val="single" w:sz="8" w:color="0000EE"/>
              <w:bottom w:val="single" w:sz="8" w:color="0000EE"/>
            </w:tcBorders>
            <w:gridSpan w:val="12"/>
          </w:tcPr>
          <w:p>
            <w:pPr>
              <w:spacing w:after="0" w:line="170"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Company’s Registration Statement on Form S-1 (No. 333-207393) filed October 13, 2015.)</w:t>
              </w:r>
            </w:hyperlink>
          </w:p>
        </w:tc>
        <w:tc>
          <w:tcPr>
            <w:tcW w:w="800" w:type="dxa"/>
            <w:vAlign w:val="bottom"/>
            <w:tcBorders>
              <w:top w:val="single" w:sz="8" w:color="0000EE"/>
            </w:tcBorders>
            <w:gridSpan w:val="13"/>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License Agreement, dated April 17, 2012, by and between the Company and Antecip Bioventures II LLC,</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00" w:type="dxa"/>
            <w:vAlign w:val="bottom"/>
            <w:tcBorders>
              <w:top w:val="single" w:sz="8" w:color="0000EE"/>
            </w:tcBorders>
            <w:gridSpan w:val="37"/>
          </w:tcPr>
          <w:p>
            <w:pPr>
              <w:spacing w:after="0" w:line="170"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as modified by the First Amendment to License Agreement, dated August 21, 2015, by and between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20" w:type="dxa"/>
            <w:vAlign w:val="bottom"/>
            <w:tcBorders>
              <w:top w:val="single" w:sz="8" w:color="0000EE"/>
            </w:tcBorders>
            <w:gridSpan w:val="28"/>
          </w:tcPr>
          <w:p>
            <w:pPr>
              <w:spacing w:after="0" w:line="170" w:lineRule="exact"/>
              <w:rPr>
                <w:rFonts w:ascii="Arial" w:cs="Arial" w:eastAsia="Arial" w:hAnsi="Arial"/>
                <w:sz w:val="18"/>
                <w:szCs w:val="18"/>
                <w:color w:val="0000EE"/>
                <w:w w:val="94"/>
              </w:rPr>
            </w:pPr>
            <w:hyperlink r:id="rId200">
              <w:r>
                <w:rPr>
                  <w:rFonts w:ascii="Arial" w:cs="Arial" w:eastAsia="Arial" w:hAnsi="Arial"/>
                  <w:sz w:val="18"/>
                  <w:szCs w:val="18"/>
                  <w:color w:val="0000EE"/>
                  <w:w w:val="94"/>
                </w:rPr>
                <w:t>Company and Antecip Bioventures II LLC (Incorporated by reference, Exhibit 10.3 to the Company’s</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10.6*</w:t>
            </w:r>
          </w:p>
        </w:tc>
        <w:tc>
          <w:tcPr>
            <w:tcW w:w="5740" w:type="dxa"/>
            <w:vAlign w:val="bottom"/>
            <w:tcBorders>
              <w:top w:val="single" w:sz="8" w:color="0000EE"/>
              <w:bottom w:val="single" w:sz="8" w:color="0000EE"/>
            </w:tcBorders>
            <w:gridSpan w:val="11"/>
          </w:tcPr>
          <w:p>
            <w:pPr>
              <w:spacing w:after="0" w:line="170"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Registration Statement on Form S-1 (No. 333-207393) filed October 13, 2015.)</w:t>
              </w:r>
            </w:hyperlink>
          </w:p>
        </w:tc>
        <w:tc>
          <w:tcPr>
            <w:tcW w:w="1620" w:type="dxa"/>
            <w:vAlign w:val="bottom"/>
            <w:tcBorders>
              <w:top w:val="single" w:sz="8" w:color="0000EE"/>
            </w:tcBorders>
            <w:gridSpan w:val="12"/>
          </w:tcPr>
          <w:p>
            <w:pPr>
              <w:spacing w:after="0"/>
              <w:rPr>
                <w:sz w:val="14"/>
                <w:szCs w:val="14"/>
                <w:color w:val="auto"/>
              </w:rPr>
            </w:pPr>
          </w:p>
        </w:tc>
        <w:tc>
          <w:tcPr>
            <w:tcW w:w="20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7720" w:type="dxa"/>
            <w:vAlign w:val="bottom"/>
            <w:gridSpan w:val="38"/>
          </w:tcPr>
          <w:p>
            <w:pPr>
              <w:spacing w:after="0" w:line="170"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License Agreement, dated June 6, 2012, by and between the Company and Antecip Bioventures II LLC,</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60" w:type="dxa"/>
            <w:vAlign w:val="bottom"/>
            <w:tcBorders>
              <w:top w:val="single" w:sz="8" w:color="0000EE"/>
            </w:tcBorders>
            <w:gridSpan w:val="30"/>
          </w:tcPr>
          <w:p>
            <w:pPr>
              <w:spacing w:after="0" w:line="170"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as modified by the First Amendment to License Agreement, dated August 21, 2015, by and between the</w:t>
              </w:r>
            </w:hyperlink>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20" w:type="dxa"/>
            <w:vAlign w:val="bottom"/>
            <w:tcBorders>
              <w:top w:val="single" w:sz="8" w:color="0000EE"/>
            </w:tcBorders>
            <w:gridSpan w:val="28"/>
          </w:tcPr>
          <w:p>
            <w:pPr>
              <w:spacing w:after="0" w:line="170" w:lineRule="exact"/>
              <w:rPr>
                <w:rFonts w:ascii="Arial" w:cs="Arial" w:eastAsia="Arial" w:hAnsi="Arial"/>
                <w:sz w:val="18"/>
                <w:szCs w:val="18"/>
                <w:color w:val="0000EE"/>
                <w:w w:val="94"/>
              </w:rPr>
            </w:pPr>
            <w:hyperlink r:id="rId201">
              <w:r>
                <w:rPr>
                  <w:rFonts w:ascii="Arial" w:cs="Arial" w:eastAsia="Arial" w:hAnsi="Arial"/>
                  <w:sz w:val="18"/>
                  <w:szCs w:val="18"/>
                  <w:color w:val="0000EE"/>
                  <w:w w:val="94"/>
                </w:rPr>
                <w:t>Company and Antecip Bioventures II LLC (Incorporated by reference, Exhibit 10.4 to the Company’s</w:t>
              </w:r>
            </w:hyperlink>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Borders>
              <w:top w:val="single" w:sz="8" w:color="0000EE"/>
            </w:tcBorders>
            <w:gridSpan w:val="23"/>
          </w:tcPr>
          <w:p>
            <w:pPr>
              <w:spacing w:after="0" w:line="170" w:lineRule="exact"/>
              <w:rPr>
                <w:rFonts w:ascii="Arial" w:cs="Arial" w:eastAsia="Arial" w:hAnsi="Arial"/>
                <w:sz w:val="18"/>
                <w:szCs w:val="18"/>
                <w:color w:val="0000EE"/>
              </w:rPr>
            </w:pPr>
            <w:hyperlink r:id="rId201">
              <w:r>
                <w:rPr>
                  <w:rFonts w:ascii="Arial" w:cs="Arial" w:eastAsia="Arial" w:hAnsi="Arial"/>
                  <w:sz w:val="18"/>
                  <w:szCs w:val="18"/>
                  <w:color w:val="0000EE"/>
                </w:rPr>
                <w:t>Registration Statement on Form S-1 (No. 333-207393) filed October 13, 2015.)</w:t>
              </w:r>
            </w:hyperlink>
          </w:p>
        </w:tc>
        <w:tc>
          <w:tcPr>
            <w:tcW w:w="30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10.7+</w:t>
            </w:r>
          </w:p>
        </w:tc>
        <w:tc>
          <w:tcPr>
            <w:tcW w:w="5740" w:type="dxa"/>
            <w:vAlign w:val="bottom"/>
            <w:tcBorders>
              <w:top w:val="single" w:sz="8" w:color="0000EE"/>
            </w:tcBorders>
            <w:gridSpan w:val="11"/>
          </w:tcPr>
          <w:p>
            <w:pPr>
              <w:spacing w:after="0" w:line="170"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Consulting Agreement, dated April 13, 2012, by and between the Company and</w:t>
              </w:r>
            </w:hyperlink>
          </w:p>
        </w:tc>
        <w:tc>
          <w:tcPr>
            <w:tcW w:w="1980" w:type="dxa"/>
            <w:vAlign w:val="bottom"/>
            <w:gridSpan w:val="27"/>
          </w:tcPr>
          <w:p>
            <w:pPr>
              <w:jc w:val="right"/>
              <w:ind w:right="120"/>
              <w:spacing w:after="0" w:line="170" w:lineRule="exact"/>
              <w:rPr>
                <w:rFonts w:ascii="Arial" w:cs="Arial" w:eastAsia="Arial" w:hAnsi="Arial"/>
                <w:sz w:val="18"/>
                <w:szCs w:val="18"/>
                <w:color w:val="0000EE"/>
                <w:w w:val="94"/>
              </w:rPr>
            </w:pPr>
            <w:hyperlink r:id="rId202">
              <w:r>
                <w:rPr>
                  <w:rFonts w:ascii="Arial" w:cs="Arial" w:eastAsia="Arial" w:hAnsi="Arial"/>
                  <w:sz w:val="18"/>
                  <w:szCs w:val="18"/>
                  <w:color w:val="0000EE"/>
                  <w:w w:val="94"/>
                </w:rPr>
                <w:t>Mark Coleman, M.D., as</w:t>
              </w:r>
            </w:hyperlink>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80" w:type="dxa"/>
            <w:vAlign w:val="bottom"/>
            <w:tcBorders>
              <w:top w:val="single" w:sz="8" w:color="0000EE"/>
              <w:bottom w:val="single" w:sz="8" w:color="0000EE"/>
            </w:tcBorders>
            <w:gridSpan w:val="19"/>
          </w:tcPr>
          <w:p>
            <w:pPr>
              <w:spacing w:after="0" w:line="170"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modified by the First Amendment to Consulting Agreement, dated June 2, 2014, by and between the</w:t>
              </w:r>
            </w:hyperlink>
          </w:p>
        </w:tc>
        <w:tc>
          <w:tcPr>
            <w:tcW w:w="380" w:type="dxa"/>
            <w:vAlign w:val="bottom"/>
            <w:tcBorders>
              <w:top w:val="single" w:sz="8" w:color="0000EE"/>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bl>
    <w:p>
      <w:pPr>
        <w:ind w:left="1060" w:right="1159"/>
        <w:spacing w:after="0" w:line="288" w:lineRule="auto"/>
        <w:rPr>
          <w:rFonts w:ascii="Arial" w:cs="Arial" w:eastAsia="Arial" w:hAnsi="Arial"/>
          <w:sz w:val="16"/>
          <w:szCs w:val="16"/>
          <w:u w:val="single" w:color="auto"/>
          <w:color w:val="0000EE"/>
        </w:rPr>
      </w:pPr>
      <w:hyperlink r:id="rId202">
        <w:r>
          <w:rPr>
            <w:rFonts w:ascii="Arial" w:cs="Arial" w:eastAsia="Arial" w:hAnsi="Arial"/>
            <w:sz w:val="16"/>
            <w:szCs w:val="16"/>
            <w:u w:val="single" w:color="auto"/>
            <w:color w:val="0000EE"/>
          </w:rPr>
          <w:t>Company and Mark Coleman, M.D (Incorporated by reference, Exhibit 10.5 to the Company’s</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Registration Statement on Form S-1 (No. 333-207393) filed October 13,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4" w:name="page165"/>
    <w:bookmarkEnd w:id="1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1100" w:right="439" w:hanging="391"/>
        <w:spacing w:after="0" w:line="22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204">
        <w:r>
          <w:rPr>
            <w:rFonts w:ascii="Arial" w:cs="Arial" w:eastAsia="Arial" w:hAnsi="Arial"/>
            <w:sz w:val="18"/>
            <w:szCs w:val="18"/>
            <w:u w:val="single" w:color="auto"/>
            <w:color w:val="0000EE"/>
          </w:rPr>
          <w:t>Loan and Security Agreement, dated as of November 9, 2016, by and between Axsome Therapeutics,</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EE"/>
          </w:rPr>
          <w:t>Inc., and Silicon Valley Bank (Incorporated by reference, Exhibit 10.1 to the Company’s Current Report</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on Form 8-K filed November 10, 2016.)</w:t>
        </w:r>
      </w:hyperlink>
    </w:p>
    <w:p>
      <w:pPr>
        <w:spacing w:after="0" w:line="1" w:lineRule="exact"/>
        <w:rPr>
          <w:rFonts w:ascii="Arial" w:cs="Arial" w:eastAsia="Arial" w:hAnsi="Arial"/>
          <w:sz w:val="18"/>
          <w:szCs w:val="18"/>
          <w:color w:val="auto"/>
        </w:rPr>
      </w:pPr>
    </w:p>
    <w:p>
      <w:pPr>
        <w:ind w:left="1100" w:right="1059" w:hanging="570"/>
        <w:spacing w:after="0" w:line="219"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05">
        <w:r>
          <w:rPr>
            <w:rFonts w:ascii="Arial" w:cs="Arial" w:eastAsia="Arial" w:hAnsi="Arial"/>
            <w:sz w:val="18"/>
            <w:szCs w:val="18"/>
            <w:u w:val="single" w:color="auto"/>
            <w:color w:val="0000EE"/>
          </w:rPr>
          <w:t>John Golubieski Offer Letter, dated July 5, 2017 (Incorporated by reference, Exhibit 10.1 to the</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Company’s Quarterly Report on Form 10-Q filed August 9, 2017.)</w:t>
        </w:r>
      </w:hyperlink>
    </w:p>
    <w:p>
      <w:pPr>
        <w:ind w:left="1100" w:right="379" w:hanging="48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206">
        <w:r>
          <w:rPr>
            <w:rFonts w:ascii="Arial" w:cs="Arial" w:eastAsia="Arial" w:hAnsi="Arial"/>
            <w:sz w:val="18"/>
            <w:szCs w:val="18"/>
            <w:u w:val="single" w:color="auto"/>
            <w:color w:val="0000EE"/>
          </w:rPr>
          <w:t>Form of Purchase Agreement, dated as of November 30, 2017 among Axsome Therapeutics, Inc. and the</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EE"/>
          </w:rPr>
          <w:t>purchasers thereunder (Incorporated by reference, Exhibit 10.1 to the Company’s Current Report on</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Form 8-K filed December 4, 2017.)</w:t>
        </w:r>
      </w:hyperlink>
    </w:p>
    <w:p>
      <w:pPr>
        <w:spacing w:after="0" w:line="1" w:lineRule="exact"/>
        <w:rPr>
          <w:rFonts w:ascii="Arial" w:cs="Arial" w:eastAsia="Arial" w:hAnsi="Arial"/>
          <w:sz w:val="18"/>
          <w:szCs w:val="18"/>
          <w:color w:val="auto"/>
        </w:rPr>
      </w:pPr>
    </w:p>
    <w:p>
      <w:pPr>
        <w:ind w:left="1100" w:right="379" w:hanging="653"/>
        <w:spacing w:after="0" w:line="219"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07">
        <w:r>
          <w:rPr>
            <w:rFonts w:ascii="Arial" w:cs="Arial" w:eastAsia="Arial" w:hAnsi="Arial"/>
            <w:sz w:val="18"/>
            <w:szCs w:val="18"/>
            <w:u w:val="single" w:color="auto"/>
            <w:color w:val="0000EE"/>
          </w:rPr>
          <w:t>Nick Pizzie Offer Letter, dated April 16, 2018 (Incorporated by reference, Exhibit 10.1 to the Company’s</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Quarterly Report on Form 10-Q filed May 8, 2018.)</w:t>
        </w:r>
      </w:hyperlink>
    </w:p>
    <w:p>
      <w:pPr>
        <w:jc w:val="both"/>
        <w:ind w:left="1100" w:right="719" w:hanging="48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208">
        <w:r>
          <w:rPr>
            <w:rFonts w:ascii="Arial" w:cs="Arial" w:eastAsia="Arial" w:hAnsi="Arial"/>
            <w:sz w:val="18"/>
            <w:szCs w:val="18"/>
            <w:u w:val="single" w:color="auto"/>
            <w:color w:val="0000EE"/>
          </w:rPr>
          <w:t>Form of Purchase Agreement, dated as of September 27, 2018, by and among the Company and the</w:t>
        </w:r>
      </w:hyperlink>
      <w:r>
        <w:rPr>
          <w:rFonts w:ascii="Arial" w:cs="Arial" w:eastAsia="Arial" w:hAnsi="Arial"/>
          <w:sz w:val="18"/>
          <w:szCs w:val="18"/>
          <w:color w:val="auto"/>
        </w:rPr>
        <w:t xml:space="preserve"> </w:t>
      </w:r>
      <w:hyperlink r:id="rId208">
        <w:r>
          <w:rPr>
            <w:rFonts w:ascii="Arial" w:cs="Arial" w:eastAsia="Arial" w:hAnsi="Arial"/>
            <w:sz w:val="18"/>
            <w:szCs w:val="18"/>
            <w:u w:val="single" w:color="auto"/>
            <w:color w:val="0000EE"/>
          </w:rPr>
          <w:t>investors party thereto (Incorporated by reference, Exhibit 10.1 to the Company’s Current Report on</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Form 8-K, filed September 28, 2018.)</w:t>
        </w:r>
      </w:hyperlink>
    </w:p>
    <w:p>
      <w:pPr>
        <w:spacing w:after="0" w:line="1" w:lineRule="exact"/>
        <w:rPr>
          <w:rFonts w:ascii="Arial" w:cs="Arial" w:eastAsia="Arial" w:hAnsi="Arial"/>
          <w:sz w:val="18"/>
          <w:szCs w:val="18"/>
          <w:color w:val="auto"/>
        </w:rPr>
      </w:pPr>
    </w:p>
    <w:p>
      <w:pPr>
        <w:ind w:left="1100" w:right="459" w:hanging="738"/>
        <w:spacing w:after="0" w:line="219"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w:anchor="page188">
        <w:r>
          <w:rPr>
            <w:rFonts w:ascii="Arial" w:cs="Arial" w:eastAsia="Arial" w:hAnsi="Arial"/>
            <w:sz w:val="18"/>
            <w:szCs w:val="18"/>
            <w:u w:val="single" w:color="auto"/>
            <w:color w:val="0000EE"/>
          </w:rPr>
          <w:t>First Amendment to Loan and Security Agreement, dated as of November 26, 2018, by and between the</w:t>
        </w:r>
      </w:hyperlink>
      <w:r>
        <w:rPr>
          <w:rFonts w:ascii="Arial" w:cs="Arial" w:eastAsia="Arial" w:hAnsi="Arial"/>
          <w:sz w:val="18"/>
          <w:szCs w:val="18"/>
          <w:u w:val="single" w:color="auto"/>
          <w:color w:val="0000EE"/>
        </w:rPr>
        <w:t xml:space="preserve"> </w:t>
      </w:r>
      <w:hyperlink w:anchor="page188">
        <w:r>
          <w:rPr>
            <w:rFonts w:ascii="Arial" w:cs="Arial" w:eastAsia="Arial" w:hAnsi="Arial"/>
            <w:sz w:val="18"/>
            <w:szCs w:val="18"/>
            <w:u w:val="single" w:color="auto"/>
            <w:color w:val="0000EE"/>
          </w:rPr>
          <w:t>Company and Silicon Valley Bank.</w:t>
        </w:r>
      </w:hyperlink>
    </w:p>
    <w:p>
      <w:pPr>
        <w:ind w:left="1100" w:right="599" w:hanging="738"/>
        <w:spacing w:after="0" w:line="219"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w:anchor="page198">
        <w:r>
          <w:rPr>
            <w:rFonts w:ascii="Arial" w:cs="Arial" w:eastAsia="Arial" w:hAnsi="Arial"/>
            <w:sz w:val="18"/>
            <w:szCs w:val="18"/>
            <w:u w:val="single" w:color="auto"/>
            <w:color w:val="0000EE"/>
          </w:rPr>
          <w:t>Loan and Security Agreement, dated as of March 5, 2019, by and among the Company, Silicon Valley</w:t>
        </w:r>
      </w:hyperlink>
      <w:r>
        <w:rPr>
          <w:rFonts w:ascii="Arial" w:cs="Arial" w:eastAsia="Arial" w:hAnsi="Arial"/>
          <w:sz w:val="18"/>
          <w:szCs w:val="18"/>
          <w:u w:val="single" w:color="auto"/>
          <w:color w:val="0000EE"/>
        </w:rPr>
        <w:t xml:space="preserve"> </w:t>
      </w:r>
      <w:hyperlink w:anchor="page198">
        <w:r>
          <w:rPr>
            <w:rFonts w:ascii="Arial" w:cs="Arial" w:eastAsia="Arial" w:hAnsi="Arial"/>
            <w:sz w:val="18"/>
            <w:szCs w:val="18"/>
            <w:u w:val="single" w:color="auto"/>
            <w:color w:val="0000EE"/>
          </w:rPr>
          <w:t>Bank and WestRiver Innovation Lending Fund VIII, L.P.</w:t>
        </w:r>
      </w:hyperlink>
    </w:p>
    <w:p>
      <w:pPr>
        <w:ind w:left="1100" w:right="67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21.1 </w:t>
      </w:r>
      <w:hyperlink r:id="rId209">
        <w:r>
          <w:rPr>
            <w:rFonts w:ascii="Arial" w:cs="Arial" w:eastAsia="Arial" w:hAnsi="Arial"/>
            <w:sz w:val="18"/>
            <w:szCs w:val="18"/>
            <w:u w:val="single" w:color="auto"/>
            <w:color w:val="0000EE"/>
          </w:rPr>
          <w:t>Subsidiaries of the Company (Incorporated by reference, Exhibit 21.1 to the Company’s Registration</w:t>
        </w:r>
      </w:hyperlink>
      <w:r>
        <w:rPr>
          <w:rFonts w:ascii="Arial" w:cs="Arial" w:eastAsia="Arial" w:hAnsi="Arial"/>
          <w:sz w:val="18"/>
          <w:szCs w:val="18"/>
          <w:color w:val="auto"/>
        </w:rPr>
        <w:t xml:space="preserve"> </w:t>
      </w:r>
      <w:hyperlink r:id="rId209">
        <w:r>
          <w:rPr>
            <w:rFonts w:ascii="Arial" w:cs="Arial" w:eastAsia="Arial" w:hAnsi="Arial"/>
            <w:sz w:val="18"/>
            <w:szCs w:val="18"/>
            <w:u w:val="single" w:color="auto"/>
            <w:color w:val="0000EE"/>
          </w:rPr>
          <w:t>Statement on Form S-1 (No. 333-207393) filed October 13, 2015.)</w:t>
        </w:r>
      </w:hyperlink>
    </w:p>
    <w:p>
      <w:pPr>
        <w:ind w:left="70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243">
        <w:r>
          <w:rPr>
            <w:rFonts w:ascii="Arial" w:cs="Arial" w:eastAsia="Arial" w:hAnsi="Arial"/>
            <w:sz w:val="18"/>
            <w:szCs w:val="18"/>
            <w:u w:val="single" w:color="auto"/>
            <w:color w:val="0000EE"/>
          </w:rPr>
          <w:t>Consent of Ernst &amp; Young LLP.</w:t>
        </w:r>
      </w:hyperlink>
    </w:p>
    <w:p>
      <w:pPr>
        <w:spacing w:after="0" w:line="9" w:lineRule="exact"/>
        <w:rPr>
          <w:sz w:val="20"/>
          <w:szCs w:val="20"/>
          <w:color w:val="auto"/>
        </w:rPr>
      </w:pPr>
    </w:p>
    <w:p>
      <w:pPr>
        <w:ind w:left="1100" w:right="37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31.1 </w:t>
      </w:r>
      <w:hyperlink w:anchor="page244">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color w:val="auto"/>
        </w:rPr>
        <w:t xml:space="preserve"> </w:t>
      </w:r>
      <w:hyperlink w:anchor="page244">
        <w:r>
          <w:rPr>
            <w:rFonts w:ascii="Arial" w:cs="Arial" w:eastAsia="Arial" w:hAnsi="Arial"/>
            <w:sz w:val="18"/>
            <w:szCs w:val="18"/>
            <w:u w:val="single" w:color="auto"/>
            <w:color w:val="0000EE"/>
          </w:rPr>
          <w:t>Section 302 of the Sarbanes-Oxley Act of 2002.</w:t>
        </w:r>
      </w:hyperlink>
    </w:p>
    <w:p>
      <w:pPr>
        <w:ind w:left="1100" w:right="41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31.2 </w:t>
      </w:r>
      <w:hyperlink w:anchor="page245">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color w:val="auto"/>
        </w:rPr>
        <w:t xml:space="preserve"> </w:t>
      </w:r>
      <w:hyperlink w:anchor="page245">
        <w:r>
          <w:rPr>
            <w:rFonts w:ascii="Arial" w:cs="Arial" w:eastAsia="Arial" w:hAnsi="Arial"/>
            <w:sz w:val="18"/>
            <w:szCs w:val="18"/>
            <w:u w:val="single" w:color="auto"/>
            <w:color w:val="0000EE"/>
          </w:rPr>
          <w:t>Section 302 of the Sarbanes-Oxley Act of 2002.</w:t>
        </w:r>
      </w:hyperlink>
    </w:p>
    <w:p>
      <w:pPr>
        <w:ind w:left="1100" w:right="101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246">
        <w:r>
          <w:rPr>
            <w:rFonts w:ascii="Arial" w:cs="Arial" w:eastAsia="Arial" w:hAnsi="Arial"/>
            <w:sz w:val="18"/>
            <w:szCs w:val="18"/>
            <w:u w:val="single" w:color="auto"/>
            <w:color w:val="0000EE"/>
          </w:rPr>
          <w:t>Certification of Principal Executive Officer pursuant to 18 U.S.C. §1350, as adopted pursuant to</w:t>
        </w:r>
      </w:hyperlink>
      <w:r>
        <w:rPr>
          <w:rFonts w:ascii="Arial" w:cs="Arial" w:eastAsia="Arial" w:hAnsi="Arial"/>
          <w:sz w:val="18"/>
          <w:szCs w:val="18"/>
          <w:color w:val="auto"/>
        </w:rPr>
        <w:t xml:space="preserve"> </w:t>
      </w:r>
      <w:hyperlink w:anchor="page246">
        <w:r>
          <w:rPr>
            <w:rFonts w:ascii="Arial" w:cs="Arial" w:eastAsia="Arial" w:hAnsi="Arial"/>
            <w:sz w:val="18"/>
            <w:szCs w:val="18"/>
            <w:u w:val="single" w:color="auto"/>
            <w:color w:val="0000EE"/>
          </w:rPr>
          <w:t>Section 906 of the Sarbanes-Oxley Act of 2002 (furnished herewith).</w:t>
        </w:r>
      </w:hyperlink>
    </w:p>
    <w:p>
      <w:pPr>
        <w:ind w:left="1100" w:right="105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32.2 </w:t>
      </w:r>
      <w:hyperlink w:anchor="page247">
        <w:r>
          <w:rPr>
            <w:rFonts w:ascii="Arial" w:cs="Arial" w:eastAsia="Arial" w:hAnsi="Arial"/>
            <w:sz w:val="18"/>
            <w:szCs w:val="18"/>
            <w:u w:val="single" w:color="auto"/>
            <w:color w:val="0000EE"/>
          </w:rPr>
          <w:t>Certification of Principal Financial Officer pursuant to 18 U.S.C. §1350, as adopted pursuant to</w:t>
        </w:r>
      </w:hyperlink>
      <w:r>
        <w:rPr>
          <w:rFonts w:ascii="Arial" w:cs="Arial" w:eastAsia="Arial" w:hAnsi="Arial"/>
          <w:sz w:val="18"/>
          <w:szCs w:val="18"/>
          <w:color w:val="auto"/>
        </w:rPr>
        <w:t xml:space="preserve"> </w:t>
      </w:r>
      <w:hyperlink w:anchor="page247">
        <w:r>
          <w:rPr>
            <w:rFonts w:ascii="Arial" w:cs="Arial" w:eastAsia="Arial" w:hAnsi="Arial"/>
            <w:sz w:val="18"/>
            <w:szCs w:val="18"/>
            <w:u w:val="single" w:color="auto"/>
            <w:color w:val="0000EE"/>
          </w:rPr>
          <w:t>Section 906 of the Sarbanes-Oxley Act of 2002 (furnished herewith).</w:t>
        </w:r>
      </w:hyperlink>
    </w:p>
    <w:p>
      <w:pPr>
        <w:ind w:left="1100" w:hanging="354"/>
        <w:spacing w:after="0" w:line="219" w:lineRule="auto"/>
        <w:tabs>
          <w:tab w:leader="none" w:pos="11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w:t>
      </w:r>
    </w:p>
    <w:p>
      <w:pPr>
        <w:ind w:left="1100" w:right="679"/>
        <w:spacing w:after="0" w:line="233" w:lineRule="auto"/>
        <w:rPr>
          <w:rFonts w:ascii="Arial" w:cs="Arial" w:eastAsia="Arial" w:hAnsi="Arial"/>
          <w:sz w:val="18"/>
          <w:szCs w:val="18"/>
          <w:color w:val="auto"/>
        </w:rPr>
      </w:pPr>
      <w:r>
        <w:rPr>
          <w:rFonts w:ascii="Arial" w:cs="Arial" w:eastAsia="Arial" w:hAnsi="Arial"/>
          <w:sz w:val="18"/>
          <w:szCs w:val="18"/>
          <w:color w:val="auto"/>
        </w:rPr>
        <w:t>(ii) Consolidated Statements of Operations, (iii) Consolidated Statements of Cash Flows, and (iv) the Notes to Consolidated Financial Statements.</w:t>
      </w:r>
    </w:p>
    <w:p>
      <w:pPr>
        <w:spacing w:after="0" w:line="378" w:lineRule="exact"/>
        <w:rPr>
          <w:rFonts w:ascii="Arial" w:cs="Arial" w:eastAsia="Arial" w:hAnsi="Arial"/>
          <w:sz w:val="18"/>
          <w:szCs w:val="18"/>
          <w:color w:val="auto"/>
        </w:rPr>
      </w:pPr>
    </w:p>
    <w:p>
      <w:pPr>
        <w:ind w:left="640" w:hanging="637"/>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5" w:lineRule="exact"/>
        <w:rPr>
          <w:sz w:val="20"/>
          <w:szCs w:val="20"/>
          <w:color w:val="auto"/>
        </w:rPr>
      </w:pPr>
    </w:p>
    <w:p>
      <w:pPr>
        <w:ind w:left="660" w:right="119" w:hanging="657"/>
        <w:spacing w:after="0" w:line="235" w:lineRule="auto"/>
        <w:tabs>
          <w:tab w:leader="none" w:pos="6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61" w:lineRule="exact"/>
        <w:rPr>
          <w:rFonts w:ascii="Arial" w:cs="Arial" w:eastAsia="Arial" w:hAnsi="Arial"/>
          <w:sz w:val="18"/>
          <w:szCs w:val="18"/>
          <w:color w:val="auto"/>
        </w:rPr>
      </w:pPr>
    </w:p>
    <w:p>
      <w:pPr>
        <w:ind w:left="640" w:hanging="637"/>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5" w:name="page166"/>
    <w:bookmarkEnd w:id="1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this 14</w:t>
      </w:r>
      <w:r>
        <w:rPr>
          <w:rFonts w:ascii="Arial" w:cs="Arial" w:eastAsia="Arial" w:hAnsi="Arial"/>
          <w:sz w:val="8"/>
          <w:szCs w:val="8"/>
          <w:color w:val="auto"/>
        </w:rPr>
        <w:t>th</w:t>
      </w:r>
      <w:r>
        <w:rPr>
          <w:rFonts w:ascii="Arial" w:cs="Arial" w:eastAsia="Arial" w:hAnsi="Arial"/>
          <w:sz w:val="18"/>
          <w:szCs w:val="18"/>
          <w:color w:val="auto"/>
        </w:rPr>
        <w:t xml:space="preserve"> day of March 2019.</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4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Herriot Tabuteau, M.D.</w:t>
      </w: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35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1"/>
              </w:rPr>
              <w:t>/s/ Herriot Tabuteau, M.D.</w:t>
            </w:r>
          </w:p>
        </w:tc>
        <w:tc>
          <w:tcPr>
            <w:tcW w:w="40" w:type="dxa"/>
            <w:vAlign w:val="bottom"/>
          </w:tcPr>
          <w:p>
            <w:pPr>
              <w:spacing w:after="0"/>
              <w:rPr>
                <w:sz w:val="24"/>
                <w:szCs w:val="24"/>
                <w:color w:val="auto"/>
              </w:rPr>
            </w:pP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1560" w:type="dxa"/>
            <w:vAlign w:val="bottom"/>
            <w:gridSpan w:val="3"/>
            <w:vMerge w:val="restart"/>
          </w:tcPr>
          <w:p>
            <w:pPr>
              <w:ind w:left="40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2"/>
              </w:rPr>
              <w:t>Herriot Tabuteau, M.D.</w:t>
            </w:r>
          </w:p>
        </w:tc>
        <w:tc>
          <w:tcPr>
            <w:tcW w:w="40" w:type="dxa"/>
            <w:vAlign w:val="bottom"/>
          </w:tcPr>
          <w:p>
            <w:pPr>
              <w:spacing w:after="0"/>
              <w:rPr>
                <w:sz w:val="8"/>
                <w:szCs w:val="8"/>
                <w:color w:val="auto"/>
              </w:rPr>
            </w:pPr>
          </w:p>
        </w:tc>
        <w:tc>
          <w:tcPr>
            <w:tcW w:w="3780" w:type="dxa"/>
            <w:vAlign w:val="bottom"/>
            <w:gridSpan w:val="3"/>
            <w:vMerge w:val="restart"/>
          </w:tcPr>
          <w:p>
            <w:pPr>
              <w:ind w:left="120"/>
              <w:spacing w:after="0"/>
              <w:rPr>
                <w:sz w:val="20"/>
                <w:szCs w:val="20"/>
                <w:color w:val="auto"/>
              </w:rPr>
            </w:pPr>
            <w:r>
              <w:rPr>
                <w:rFonts w:ascii="Arial" w:cs="Arial" w:eastAsia="Arial" w:hAnsi="Arial"/>
                <w:sz w:val="18"/>
                <w:szCs w:val="18"/>
                <w:color w:val="auto"/>
              </w:rPr>
              <w:t>Board (Principal Executive Officer)</w:t>
            </w: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78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6"/>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4"/>
              </w:rPr>
              <w:t>/s/ Nick Pizzie</w:t>
            </w:r>
          </w:p>
        </w:tc>
        <w:tc>
          <w:tcPr>
            <w:tcW w:w="40" w:type="dxa"/>
            <w:vAlign w:val="bottom"/>
          </w:tcPr>
          <w:p>
            <w:pPr>
              <w:spacing w:after="0"/>
              <w:rPr>
                <w:sz w:val="24"/>
                <w:szCs w:val="24"/>
                <w:color w:val="auto"/>
              </w:rPr>
            </w:pPr>
          </w:p>
        </w:tc>
        <w:tc>
          <w:tcPr>
            <w:tcW w:w="37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560" w:type="dxa"/>
            <w:vAlign w:val="bottom"/>
            <w:gridSpan w:val="3"/>
            <w:vMerge w:val="restart"/>
          </w:tcPr>
          <w:p>
            <w:pPr>
              <w:ind w:left="40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34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5"/>
              </w:rPr>
              <w:t>Nick Pizzie</w:t>
            </w:r>
          </w:p>
        </w:tc>
        <w:tc>
          <w:tcPr>
            <w:tcW w:w="40" w:type="dxa"/>
            <w:vAlign w:val="bottom"/>
          </w:tcPr>
          <w:p>
            <w:pPr>
              <w:spacing w:after="0"/>
              <w:rPr>
                <w:sz w:val="10"/>
                <w:szCs w:val="10"/>
                <w:color w:val="auto"/>
              </w:rPr>
            </w:pPr>
          </w:p>
        </w:tc>
        <w:tc>
          <w:tcPr>
            <w:tcW w:w="378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34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7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3"/>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 Roger Jeffs, Ph.D.</w:t>
            </w:r>
          </w:p>
        </w:tc>
        <w:tc>
          <w:tcPr>
            <w:tcW w:w="40" w:type="dxa"/>
            <w:vAlign w:val="bottom"/>
          </w:tcPr>
          <w:p>
            <w:pPr>
              <w:spacing w:after="0"/>
              <w:rPr>
                <w:sz w:val="24"/>
                <w:szCs w:val="24"/>
                <w:color w:val="auto"/>
              </w:rPr>
            </w:pPr>
          </w:p>
        </w:tc>
        <w:tc>
          <w:tcPr>
            <w:tcW w:w="37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3"/>
            <w:vMerge w:val="restart"/>
          </w:tcPr>
          <w:p>
            <w:pPr>
              <w:ind w:left="40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Roger Jeffs, Ph.D.</w:t>
            </w:r>
          </w:p>
        </w:tc>
        <w:tc>
          <w:tcPr>
            <w:tcW w:w="40" w:type="dxa"/>
            <w:vAlign w:val="bottom"/>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4"/>
              </w:rPr>
              <w:t>/s/ Mark Coleman, M.D.</w:t>
            </w:r>
          </w:p>
        </w:tc>
        <w:tc>
          <w:tcPr>
            <w:tcW w:w="40" w:type="dxa"/>
            <w:vAlign w:val="bottom"/>
          </w:tcPr>
          <w:p>
            <w:pPr>
              <w:spacing w:after="0"/>
              <w:rPr>
                <w:sz w:val="24"/>
                <w:szCs w:val="24"/>
                <w:color w:val="auto"/>
              </w:rPr>
            </w:pPr>
          </w:p>
        </w:tc>
        <w:tc>
          <w:tcPr>
            <w:tcW w:w="37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3"/>
            <w:vMerge w:val="restart"/>
          </w:tcPr>
          <w:p>
            <w:pPr>
              <w:ind w:left="40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4"/>
              </w:rPr>
              <w:t>Mark Coleman, M.D.</w:t>
            </w:r>
          </w:p>
        </w:tc>
        <w:tc>
          <w:tcPr>
            <w:tcW w:w="40" w:type="dxa"/>
            <w:vAlign w:val="bottom"/>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/s/ Mark Saad</w:t>
            </w:r>
          </w:p>
        </w:tc>
        <w:tc>
          <w:tcPr>
            <w:tcW w:w="40" w:type="dxa"/>
            <w:vAlign w:val="bottom"/>
          </w:tcPr>
          <w:p>
            <w:pPr>
              <w:spacing w:after="0"/>
              <w:rPr>
                <w:sz w:val="24"/>
                <w:szCs w:val="24"/>
                <w:color w:val="auto"/>
              </w:rPr>
            </w:pPr>
          </w:p>
        </w:tc>
        <w:tc>
          <w:tcPr>
            <w:tcW w:w="37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3"/>
            <w:vMerge w:val="restart"/>
          </w:tcPr>
          <w:p>
            <w:pPr>
              <w:ind w:left="400"/>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89"/>
              </w:rPr>
              <w:t>Mark Saad</w:t>
            </w:r>
          </w:p>
        </w:tc>
        <w:tc>
          <w:tcPr>
            <w:tcW w:w="40" w:type="dxa"/>
            <w:vAlign w:val="bottom"/>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2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/s/ Myrtle Potter</w:t>
            </w:r>
          </w:p>
        </w:tc>
        <w:tc>
          <w:tcPr>
            <w:tcW w:w="40" w:type="dxa"/>
            <w:vAlign w:val="bottom"/>
            <w:tcBorders>
              <w:bottom w:val="single" w:sz="8" w:color="auto"/>
            </w:tcBorders>
          </w:tcPr>
          <w:p>
            <w:pPr>
              <w:spacing w:after="0"/>
              <w:rPr>
                <w:sz w:val="24"/>
                <w:szCs w:val="24"/>
                <w:color w:val="auto"/>
              </w:rPr>
            </w:pPr>
          </w:p>
        </w:tc>
        <w:tc>
          <w:tcPr>
            <w:tcW w:w="378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420" w:type="dxa"/>
            <w:vAlign w:val="bottom"/>
            <w:gridSpan w:val="3"/>
            <w:vMerge w:val="restart"/>
          </w:tcPr>
          <w:p>
            <w:pPr>
              <w:jc w:val="center"/>
              <w:ind w:right="140"/>
              <w:spacing w:after="0"/>
              <w:rPr>
                <w:sz w:val="20"/>
                <w:szCs w:val="20"/>
                <w:color w:val="auto"/>
              </w:rPr>
            </w:pPr>
            <w:r>
              <w:rPr>
                <w:rFonts w:ascii="Arial" w:cs="Arial" w:eastAsia="Arial" w:hAnsi="Arial"/>
                <w:sz w:val="18"/>
                <w:szCs w:val="18"/>
                <w:color w:val="auto"/>
                <w:w w:val="94"/>
              </w:rPr>
              <w:t>Myrtle Potter</w:t>
            </w:r>
          </w:p>
        </w:tc>
        <w:tc>
          <w:tcPr>
            <w:tcW w:w="40" w:type="dxa"/>
            <w:vAlign w:val="bottom"/>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1"/>
        </w:trPr>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4" w:right="1419" w:bottom="1440" w:gutter="0" w:footer="0" w:header="0"/>
        </w:sectPr>
      </w:pPr>
    </w:p>
    <w:bookmarkStart w:id="166" w:name="page167"/>
    <w:bookmarkEnd w:id="166"/>
    <w:p>
      <w:pPr>
        <w:jc w:val="both"/>
        <w:spacing w:after="0" w:line="247" w:lineRule="auto"/>
        <w:rPr>
          <w:sz w:val="20"/>
          <w:szCs w:val="20"/>
          <w:color w:val="auto"/>
        </w:rPr>
      </w:pPr>
      <w:r>
        <w:rPr>
          <w:rFonts w:ascii="Arial" w:cs="Arial" w:eastAsia="Arial" w:hAnsi="Arial"/>
          <w:sz w:val="21"/>
          <w:szCs w:val="21"/>
          <w:color w:val="auto"/>
        </w:rPr>
        <w:t>THIS WARRANT AND THE SHARES ISSUABLE HEREUNDER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9"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WARRANT TO PURCHASE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Axsome Therapeutics, Inc., a Delaware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As set forth in Paragraph A below</w:t>
      </w:r>
    </w:p>
    <w:p>
      <w:pPr>
        <w:spacing w:after="0" w:line="230" w:lineRule="auto"/>
        <w:rPr>
          <w:sz w:val="20"/>
          <w:szCs w:val="20"/>
          <w:color w:val="auto"/>
        </w:rPr>
      </w:pPr>
      <w:r>
        <w:rPr>
          <w:rFonts w:ascii="Arial" w:cs="Arial" w:eastAsia="Arial" w:hAnsi="Arial"/>
          <w:sz w:val="22"/>
          <w:szCs w:val="22"/>
          <w:b w:val="1"/>
          <w:bCs w:val="1"/>
          <w:color w:val="auto"/>
        </w:rPr>
        <w:t xml:space="preserve">Type/Series of Stock: </w:t>
      </w:r>
      <w:r>
        <w:rPr>
          <w:rFonts w:ascii="Arial" w:cs="Arial" w:eastAsia="Arial" w:hAnsi="Arial"/>
          <w:sz w:val="22"/>
          <w:szCs w:val="22"/>
          <w:color w:val="auto"/>
        </w:rPr>
        <w:t>Common Stock, $0.0001 par value per share</w:t>
      </w:r>
    </w:p>
    <w:p>
      <w:pPr>
        <w:spacing w:after="0" w:line="231" w:lineRule="auto"/>
        <w:rPr>
          <w:sz w:val="20"/>
          <w:szCs w:val="20"/>
          <w:color w:val="auto"/>
        </w:rPr>
      </w:pPr>
      <w:r>
        <w:rPr>
          <w:rFonts w:ascii="Arial" w:cs="Arial" w:eastAsia="Arial" w:hAnsi="Arial"/>
          <w:sz w:val="22"/>
          <w:szCs w:val="22"/>
          <w:b w:val="1"/>
          <w:bCs w:val="1"/>
          <w:color w:val="auto"/>
        </w:rPr>
        <w:t xml:space="preserve">Warrant Price: </w:t>
      </w:r>
      <w:r>
        <w:rPr>
          <w:rFonts w:ascii="Arial" w:cs="Arial" w:eastAsia="Arial" w:hAnsi="Arial"/>
          <w:sz w:val="22"/>
          <w:szCs w:val="22"/>
          <w:color w:val="auto"/>
        </w:rPr>
        <w:t>$2.06 per Share, subject to adjustment</w:t>
      </w:r>
    </w:p>
    <w:p>
      <w:pPr>
        <w:spacing w:after="0" w:line="230" w:lineRule="auto"/>
        <w:rPr>
          <w:sz w:val="20"/>
          <w:szCs w:val="20"/>
          <w:color w:val="auto"/>
        </w:rPr>
      </w:pPr>
      <w:r>
        <w:rPr>
          <w:rFonts w:ascii="Arial" w:cs="Arial" w:eastAsia="Arial" w:hAnsi="Arial"/>
          <w:sz w:val="22"/>
          <w:szCs w:val="22"/>
          <w:b w:val="1"/>
          <w:bCs w:val="1"/>
          <w:color w:val="auto"/>
        </w:rPr>
        <w:t xml:space="preserve">Issue Date: </w:t>
      </w:r>
      <w:r>
        <w:rPr>
          <w:rFonts w:ascii="Arial" w:cs="Arial" w:eastAsia="Arial" w:hAnsi="Arial"/>
          <w:sz w:val="22"/>
          <w:szCs w:val="22"/>
          <w:color w:val="auto"/>
        </w:rPr>
        <w:t>November 26, 2018</w:t>
      </w:r>
    </w:p>
    <w:p>
      <w:pPr>
        <w:spacing w:after="0"/>
        <w:tabs>
          <w:tab w:leader="none" w:pos="4020" w:val="left"/>
        </w:tabs>
        <w:rPr>
          <w:sz w:val="20"/>
          <w:szCs w:val="20"/>
          <w:color w:val="auto"/>
        </w:rPr>
      </w:pPr>
      <w:r>
        <w:rPr>
          <w:rFonts w:ascii="Arial" w:cs="Arial" w:eastAsia="Arial" w:hAnsi="Arial"/>
          <w:sz w:val="22"/>
          <w:szCs w:val="22"/>
          <w:b w:val="1"/>
          <w:bCs w:val="1"/>
          <w:color w:val="auto"/>
        </w:rPr>
        <w:t xml:space="preserve">Expiration Date: </w:t>
      </w:r>
      <w:r>
        <w:rPr>
          <w:rFonts w:ascii="Arial" w:cs="Arial" w:eastAsia="Arial" w:hAnsi="Arial"/>
          <w:sz w:val="22"/>
          <w:szCs w:val="22"/>
          <w:color w:val="auto"/>
        </w:rPr>
        <w:t>November 25, 2025</w:t>
      </w:r>
      <w:r>
        <w:rPr>
          <w:sz w:val="20"/>
          <w:szCs w:val="20"/>
          <w:color w:val="auto"/>
        </w:rPr>
        <w:tab/>
      </w:r>
      <w:r>
        <w:rPr>
          <w:rFonts w:ascii="Arial" w:cs="Arial" w:eastAsia="Arial" w:hAnsi="Arial"/>
          <w:sz w:val="18"/>
          <w:szCs w:val="18"/>
          <w:b w:val="1"/>
          <w:bCs w:val="1"/>
          <w:color w:val="auto"/>
        </w:rPr>
        <w:t>See also Section 5.1(b).</w:t>
      </w:r>
    </w:p>
    <w:p>
      <w:pPr>
        <w:spacing w:after="0" w:line="1" w:lineRule="exact"/>
        <w:rPr>
          <w:sz w:val="20"/>
          <w:szCs w:val="20"/>
          <w:color w:val="auto"/>
        </w:rPr>
      </w:pPr>
    </w:p>
    <w:p>
      <w:pPr>
        <w:ind w:left="1300" w:right="40" w:hanging="1296"/>
        <w:spacing w:after="0" w:line="244" w:lineRule="auto"/>
        <w:rPr>
          <w:sz w:val="20"/>
          <w:szCs w:val="20"/>
          <w:color w:val="auto"/>
        </w:rPr>
      </w:pPr>
      <w:r>
        <w:rPr>
          <w:rFonts w:ascii="Arial" w:cs="Arial" w:eastAsia="Arial" w:hAnsi="Arial"/>
          <w:sz w:val="22"/>
          <w:szCs w:val="22"/>
          <w:b w:val="1"/>
          <w:bCs w:val="1"/>
          <w:color w:val="auto"/>
        </w:rPr>
        <w:t>Credit Facility:</w:t>
      </w:r>
      <w:r>
        <w:rPr>
          <w:sz w:val="20"/>
          <w:szCs w:val="20"/>
          <w:color w:val="auto"/>
        </w:rPr>
        <w:t xml:space="preserve"> </w:t>
      </w:r>
      <w:r>
        <w:rPr>
          <w:rFonts w:ascii="Arial" w:cs="Arial" w:eastAsia="Arial" w:hAnsi="Arial"/>
          <w:sz w:val="21"/>
          <w:szCs w:val="21"/>
          <w:color w:val="auto"/>
        </w:rPr>
        <w:t>This Warrant to Purchase Stock (“</w:t>
      </w:r>
      <w:r>
        <w:rPr>
          <w:rFonts w:ascii="Arial" w:cs="Arial" w:eastAsia="Arial" w:hAnsi="Arial"/>
          <w:sz w:val="21"/>
          <w:szCs w:val="21"/>
          <w:b w:val="1"/>
          <w:bCs w:val="1"/>
          <w:u w:val="single" w:color="auto"/>
          <w:color w:val="auto"/>
        </w:rPr>
        <w:t>Warrant</w:t>
      </w:r>
      <w:r>
        <w:rPr>
          <w:rFonts w:ascii="Arial" w:cs="Arial" w:eastAsia="Arial" w:hAnsi="Arial"/>
          <w:sz w:val="21"/>
          <w:szCs w:val="21"/>
          <w:color w:val="auto"/>
        </w:rPr>
        <w:t>”) is issued in connection with that certain First Amendment, of even date herewith, to that certain Loan and Security Agreement dated November 9, 2016, between Silicon Valley Bank and the Company (collectively, and as may be further amended and/or modified and in effect from time to time, the “</w:t>
      </w:r>
      <w:r>
        <w:rPr>
          <w:rFonts w:ascii="Arial" w:cs="Arial" w:eastAsia="Arial" w:hAnsi="Arial"/>
          <w:sz w:val="21"/>
          <w:szCs w:val="21"/>
          <w:b w:val="1"/>
          <w:bCs w:val="1"/>
          <w:u w:val="single" w:color="auto"/>
          <w:color w:val="auto"/>
        </w:rPr>
        <w:t>Loan Agreement</w:t>
      </w:r>
      <w:r>
        <w:rPr>
          <w:rFonts w:ascii="Arial" w:cs="Arial" w:eastAsia="Arial" w:hAnsi="Arial"/>
          <w:sz w:val="21"/>
          <w:szCs w:val="21"/>
          <w:color w:val="auto"/>
        </w:rPr>
        <w:t>”) and the participation therein of WestRiver Innovation Lending Fund VIII, L.P. pursuant to an arrangement among Silicon Valley Bank, Loan Manager II, LLC and WestRiver Innovation Lending Fund VIII, L.P.</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9"/>
          <w:szCs w:val="19"/>
          <w:color w:val="auto"/>
        </w:rPr>
        <w:t>THIS WARRANT CERTIFIES THAT, for good and valuable consideration, [______________________]</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(together with any successor or permitted assignee or transferee of this Warrant or of any shares issued upon exercise hereof,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is entitled to purchase up to such number of fully paid and non-assessable shares of the above-stated Type/Series of Stock (the “</w:t>
      </w:r>
      <w:r>
        <w:rPr>
          <w:rFonts w:ascii="Arial" w:cs="Arial" w:eastAsia="Arial" w:hAnsi="Arial"/>
          <w:sz w:val="22"/>
          <w:szCs w:val="22"/>
          <w:b w:val="1"/>
          <w:bCs w:val="1"/>
          <w:u w:val="single" w:color="auto"/>
          <w:color w:val="auto"/>
        </w:rPr>
        <w:t>Class</w:t>
      </w:r>
      <w:r>
        <w:rPr>
          <w:rFonts w:ascii="Arial" w:cs="Arial" w:eastAsia="Arial" w:hAnsi="Arial"/>
          <w:sz w:val="22"/>
          <w:szCs w:val="22"/>
          <w:color w:val="auto"/>
        </w:rPr>
        <w:t>”) of the above-named company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as determined pursuant to Paragraph A below, at the above-stated Warrant Price, all as set forth above and as adjusted pursuant to Section 2 of this Warrant, subject to the provisions and upon the terms and conditions set forth in this Warrant.</w:t>
      </w:r>
    </w:p>
    <w:p>
      <w:pPr>
        <w:spacing w:after="0" w:line="216" w:lineRule="exact"/>
        <w:rPr>
          <w:sz w:val="20"/>
          <w:szCs w:val="20"/>
          <w:color w:val="auto"/>
        </w:rPr>
      </w:pPr>
    </w:p>
    <w:p>
      <w:pPr>
        <w:jc w:val="both"/>
        <w:ind w:right="20" w:firstLine="608"/>
        <w:spacing w:after="0" w:line="276"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Number of Shares</w:t>
      </w:r>
      <w:r>
        <w:rPr>
          <w:rFonts w:ascii="Arial" w:cs="Arial" w:eastAsia="Arial" w:hAnsi="Arial"/>
          <w:sz w:val="19"/>
          <w:szCs w:val="19"/>
          <w:color w:val="auto"/>
        </w:rPr>
        <w:t>. This Warrant shall be exercisable for the Initial Shares, plus the Additional Shares, if any (collectively, and as may be adjusted from time to time in accordance with the</w:t>
      </w:r>
    </w:p>
    <w:tbl>
      <w:tblPr>
        <w:tblLayout w:type="fixed"/>
        <w:tblInd w:w="0" w:type="dxa"/>
        <w:tblCellMar>
          <w:top w:w="0" w:type="dxa"/>
          <w:left w:w="0" w:type="dxa"/>
          <w:bottom w:w="0" w:type="dxa"/>
          <w:right w:w="0" w:type="dxa"/>
        </w:tblCellMar>
      </w:tblPr>
      <w:tr>
        <w:trPr>
          <w:trHeight w:val="208"/>
        </w:trPr>
        <w:tc>
          <w:tcPr>
            <w:tcW w:w="2980" w:type="dxa"/>
            <w:vAlign w:val="bottom"/>
            <w:gridSpan w:val="3"/>
          </w:tcPr>
          <w:p>
            <w:pPr>
              <w:spacing w:after="0" w:line="208" w:lineRule="exact"/>
              <w:rPr>
                <w:sz w:val="20"/>
                <w:szCs w:val="20"/>
                <w:color w:val="auto"/>
              </w:rPr>
            </w:pPr>
            <w:r>
              <w:rPr>
                <w:rFonts w:ascii="Arial" w:cs="Arial" w:eastAsia="Arial" w:hAnsi="Arial"/>
                <w:sz w:val="22"/>
                <w:szCs w:val="22"/>
                <w:color w:val="auto"/>
                <w:w w:val="97"/>
              </w:rPr>
              <w:t>provisions of this Warrant, the “</w:t>
            </w:r>
          </w:p>
        </w:tc>
        <w:tc>
          <w:tcPr>
            <w:tcW w:w="380" w:type="dxa"/>
            <w:vAlign w:val="bottom"/>
          </w:tcPr>
          <w:p>
            <w:pPr>
              <w:spacing w:after="0"/>
              <w:rPr>
                <w:sz w:val="18"/>
                <w:szCs w:val="18"/>
                <w:color w:val="auto"/>
              </w:rPr>
            </w:pPr>
          </w:p>
        </w:tc>
        <w:tc>
          <w:tcPr>
            <w:tcW w:w="2080" w:type="dxa"/>
            <w:vAlign w:val="bottom"/>
            <w:gridSpan w:val="2"/>
          </w:tcPr>
          <w:p>
            <w:pPr>
              <w:spacing w:after="0" w:line="208" w:lineRule="exact"/>
              <w:rPr>
                <w:sz w:val="20"/>
                <w:szCs w:val="20"/>
                <w:color w:val="auto"/>
              </w:rPr>
            </w:pPr>
            <w:r>
              <w:rPr>
                <w:rFonts w:ascii="Arial" w:cs="Arial" w:eastAsia="Arial" w:hAnsi="Arial"/>
                <w:sz w:val="22"/>
                <w:szCs w:val="22"/>
                <w:b w:val="1"/>
                <w:bCs w:val="1"/>
                <w:color w:val="auto"/>
              </w:rPr>
              <w:t>Shares</w:t>
            </w:r>
            <w:r>
              <w:rPr>
                <w:rFonts w:ascii="Arial" w:cs="Arial" w:eastAsia="Arial" w:hAnsi="Arial"/>
                <w:sz w:val="22"/>
                <w:szCs w:val="22"/>
                <w:color w:val="auto"/>
              </w:rPr>
              <w:t>”).</w:t>
            </w:r>
          </w:p>
        </w:tc>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40" w:type="dxa"/>
            <w:vAlign w:val="bottom"/>
            <w:gridSpan w:val="2"/>
            <w:vMerge w:val="restart"/>
          </w:tcPr>
          <w:p>
            <w:pPr>
              <w:spacing w:after="0"/>
              <w:rPr>
                <w:sz w:val="20"/>
                <w:szCs w:val="20"/>
                <w:color w:val="auto"/>
              </w:rPr>
            </w:pPr>
            <w:r>
              <w:rPr>
                <w:rFonts w:ascii="Arial" w:cs="Arial" w:eastAsia="Arial" w:hAnsi="Arial"/>
                <w:sz w:val="22"/>
                <w:szCs w:val="22"/>
                <w:b w:val="1"/>
                <w:bCs w:val="1"/>
                <w:color w:val="auto"/>
                <w:w w:val="95"/>
              </w:rPr>
              <w:t>Initial Shares</w:t>
            </w:r>
            <w:r>
              <w:rPr>
                <w:rFonts w:ascii="Arial" w:cs="Arial" w:eastAsia="Arial" w:hAnsi="Arial"/>
                <w:sz w:val="22"/>
                <w:szCs w:val="22"/>
                <w:color w:val="auto"/>
                <w:w w:val="95"/>
              </w:rPr>
              <w:t>” means 7,875 shares of the</w:t>
            </w:r>
          </w:p>
        </w:tc>
        <w:tc>
          <w:tcPr>
            <w:tcW w:w="0" w:type="dxa"/>
            <w:vAlign w:val="bottom"/>
          </w:tcPr>
          <w:p>
            <w:pPr>
              <w:spacing w:after="0" w:line="20" w:lineRule="exact"/>
              <w:rPr>
                <w:sz w:val="1"/>
                <w:szCs w:val="1"/>
                <w:color w:val="auto"/>
              </w:rPr>
            </w:pPr>
          </w:p>
        </w:tc>
      </w:tr>
      <w:tr>
        <w:trPr>
          <w:trHeight w:val="466"/>
        </w:trPr>
        <w:tc>
          <w:tcPr>
            <w:tcW w:w="1320" w:type="dxa"/>
            <w:vAlign w:val="bottom"/>
          </w:tcPr>
          <w:p>
            <w:pPr>
              <w:jc w:val="right"/>
              <w:ind w:right="352"/>
              <w:spacing w:after="0"/>
              <w:rPr>
                <w:sz w:val="20"/>
                <w:szCs w:val="20"/>
                <w:color w:val="auto"/>
              </w:rPr>
            </w:pPr>
            <w:r>
              <w:rPr>
                <w:rFonts w:ascii="Arial" w:cs="Arial" w:eastAsia="Arial" w:hAnsi="Arial"/>
                <w:sz w:val="22"/>
                <w:szCs w:val="22"/>
                <w:color w:val="auto"/>
              </w:rPr>
              <w:t>(1)</w:t>
            </w:r>
          </w:p>
        </w:tc>
        <w:tc>
          <w:tcPr>
            <w:tcW w:w="1660" w:type="dxa"/>
            <w:vAlign w:val="bottom"/>
            <w:gridSpan w:val="2"/>
          </w:tcPr>
          <w:p>
            <w:pPr>
              <w:spacing w:after="0"/>
              <w:rPr>
                <w:sz w:val="20"/>
                <w:szCs w:val="20"/>
                <w:color w:val="auto"/>
              </w:rPr>
            </w:pPr>
            <w:r>
              <w:rPr>
                <w:rFonts w:ascii="Arial" w:cs="Arial" w:eastAsia="Arial" w:hAnsi="Arial"/>
                <w:sz w:val="22"/>
                <w:szCs w:val="22"/>
                <w:color w:val="auto"/>
              </w:rPr>
              <w:t>Initial Shares.</w:t>
            </w:r>
          </w:p>
        </w:tc>
        <w:tc>
          <w:tcPr>
            <w:tcW w:w="2460" w:type="dxa"/>
            <w:vAlign w:val="bottom"/>
            <w:gridSpan w:val="3"/>
          </w:tcPr>
          <w:p>
            <w:pPr>
              <w:ind w:left="220"/>
              <w:spacing w:after="0"/>
              <w:rPr>
                <w:sz w:val="20"/>
                <w:szCs w:val="20"/>
                <w:color w:val="auto"/>
              </w:rPr>
            </w:pPr>
            <w:r>
              <w:rPr>
                <w:rFonts w:ascii="Arial" w:cs="Arial" w:eastAsia="Arial" w:hAnsi="Arial"/>
                <w:sz w:val="22"/>
                <w:szCs w:val="22"/>
                <w:color w:val="auto"/>
              </w:rPr>
              <w:t>As used herein, “</w:t>
            </w:r>
          </w:p>
        </w:tc>
        <w:tc>
          <w:tcPr>
            <w:tcW w:w="3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Class, subject to adjustment from time to time in accordance with the provisions of this Warrant.</w:t>
      </w:r>
    </w:p>
    <w:p>
      <w:pPr>
        <w:spacing w:after="0" w:line="233" w:lineRule="exact"/>
        <w:rPr>
          <w:sz w:val="20"/>
          <w:szCs w:val="20"/>
          <w:color w:val="auto"/>
        </w:rPr>
      </w:pPr>
    </w:p>
    <w:p>
      <w:pPr>
        <w:jc w:val="both"/>
        <w:ind w:firstLine="603"/>
        <w:spacing w:after="0" w:line="269" w:lineRule="auto"/>
        <w:tabs>
          <w:tab w:leader="none" w:pos="1319"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Additional Shares</w:t>
      </w:r>
      <w:r>
        <w:rPr>
          <w:rFonts w:ascii="Arial" w:cs="Arial" w:eastAsia="Arial" w:hAnsi="Arial"/>
          <w:sz w:val="19"/>
          <w:szCs w:val="19"/>
          <w:color w:val="auto"/>
        </w:rPr>
        <w:t>. Upon the making of each 2018 Term Loan Advance (as defined in the Loan Agreement) to the Company, this Warrant automatically shall become exercisable for such number of additional shares of the Class as shall equal (a) the Additional Shares Pool, multiplied by (b) a fraction, the numerator of which shall equal the amount of such 2018 Term Loan Advance and the denominator of which shall equal $4,000,000, subject to adjustment thereafter from time to time in accordance with the provisions of this Warrant. All shares, if any, for which this Warrant becomes exercisable pursuant to this Paragraph A(2) are referred to herein cumulatively and collectively, and as may be adjusted from time to</w:t>
      </w:r>
    </w:p>
    <w:p>
      <w:pPr>
        <w:spacing w:after="0" w:line="5" w:lineRule="exact"/>
        <w:rPr>
          <w:sz w:val="20"/>
          <w:szCs w:val="20"/>
          <w:color w:val="auto"/>
        </w:rPr>
      </w:pPr>
    </w:p>
    <w:p>
      <w:pPr>
        <w:spacing w:after="0"/>
        <w:tabs>
          <w:tab w:leader="none" w:pos="6020" w:val="left"/>
        </w:tabs>
        <w:rPr>
          <w:sz w:val="20"/>
          <w:szCs w:val="20"/>
          <w:color w:val="auto"/>
        </w:rPr>
      </w:pPr>
      <w:r>
        <w:rPr>
          <w:rFonts w:ascii="Arial" w:cs="Arial" w:eastAsia="Arial" w:hAnsi="Arial"/>
          <w:sz w:val="22"/>
          <w:szCs w:val="22"/>
          <w:color w:val="auto"/>
        </w:rPr>
        <w:t>time in accordance with the provisions of this Warrant, as the “</w:t>
      </w:r>
      <w:r>
        <w:rPr>
          <w:sz w:val="20"/>
          <w:szCs w:val="20"/>
          <w:color w:val="auto"/>
        </w:rPr>
        <w:tab/>
      </w:r>
      <w:r>
        <w:rPr>
          <w:rFonts w:ascii="Arial" w:cs="Arial" w:eastAsia="Arial" w:hAnsi="Arial"/>
          <w:sz w:val="19"/>
          <w:szCs w:val="19"/>
          <w:b w:val="1"/>
          <w:bCs w:val="1"/>
          <w:u w:val="single" w:color="auto"/>
          <w:color w:val="auto"/>
        </w:rPr>
        <w:t>Additional Shares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5960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67" w:name="page168"/>
    <w:bookmarkEnd w:id="167"/>
    <w:p>
      <w:pPr>
        <w:jc w:val="both"/>
        <w:ind w:firstLine="608"/>
        <w:spacing w:after="0" w:line="239"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Additional Shares Pool</w:t>
      </w:r>
      <w:r>
        <w:rPr>
          <w:rFonts w:ascii="Arial" w:cs="Arial" w:eastAsia="Arial" w:hAnsi="Arial"/>
          <w:sz w:val="22"/>
          <w:szCs w:val="22"/>
          <w:color w:val="auto"/>
        </w:rPr>
        <w:t xml:space="preserve">. As used herein, “ </w:t>
      </w:r>
      <w:r>
        <w:rPr>
          <w:rFonts w:ascii="Arial" w:cs="Arial" w:eastAsia="Arial" w:hAnsi="Arial"/>
          <w:sz w:val="22"/>
          <w:szCs w:val="22"/>
          <w:b w:val="1"/>
          <w:bCs w:val="1"/>
          <w:u w:val="single" w:color="auto"/>
          <w:color w:val="auto"/>
        </w:rPr>
        <w:t>Additional Shares Pool</w:t>
      </w:r>
      <w:r>
        <w:rPr>
          <w:rFonts w:ascii="Arial" w:cs="Arial" w:eastAsia="Arial" w:hAnsi="Arial"/>
          <w:sz w:val="22"/>
          <w:szCs w:val="22"/>
          <w:color w:val="auto"/>
        </w:rPr>
        <w:t>” means 23,625 shares of the Class, as such number may be adjusted from time to time in accordance with the provisions of this Warrant (as if the Additional Shares Pool constituted “Shares” hereunder for such purpose at all times from the Issue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X = Y(A-B)/A</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where:</w:t>
      </w:r>
    </w:p>
    <w:p>
      <w:pPr>
        <w:spacing w:after="0" w:line="8" w:lineRule="exact"/>
        <w:rPr>
          <w:sz w:val="20"/>
          <w:szCs w:val="20"/>
          <w:color w:val="auto"/>
        </w:rPr>
      </w:pPr>
    </w:p>
    <w:p>
      <w:pPr>
        <w:ind w:left="1940"/>
        <w:spacing w:after="0"/>
        <w:tabs>
          <w:tab w:leader="none" w:pos="290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15" w:lineRule="exact"/>
        <w:rPr>
          <w:sz w:val="20"/>
          <w:szCs w:val="20"/>
          <w:color w:val="auto"/>
        </w:rPr>
      </w:pPr>
    </w:p>
    <w:p>
      <w:pPr>
        <w:jc w:val="both"/>
        <w:ind w:left="2580" w:hanging="647"/>
        <w:spacing w:after="0"/>
        <w:tabs>
          <w:tab w:leader="none" w:pos="2560" w:val="left"/>
        </w:tabs>
        <w:rPr>
          <w:sz w:val="20"/>
          <w:szCs w:val="20"/>
          <w:color w:val="auto"/>
        </w:rPr>
      </w:pPr>
      <w:r>
        <w:rPr>
          <w:rFonts w:ascii="Arial" w:cs="Arial" w:eastAsia="Arial" w:hAnsi="Arial"/>
          <w:sz w:val="22"/>
          <w:szCs w:val="22"/>
          <w:color w:val="auto"/>
        </w:rPr>
        <w:t>Y =</w:t>
        <w:tab/>
        <w:t>the number of Shares with respect to which this Warrant is being exercised (inclusive of the Shares surrendered to the Company in payment of the aggregate Warrant Price);</w:t>
      </w:r>
    </w:p>
    <w:p>
      <w:pPr>
        <w:spacing w:after="0" w:line="213" w:lineRule="exact"/>
        <w:rPr>
          <w:sz w:val="20"/>
          <w:szCs w:val="20"/>
          <w:color w:val="auto"/>
        </w:rPr>
      </w:pPr>
    </w:p>
    <w:p>
      <w:pPr>
        <w:jc w:val="both"/>
        <w:ind w:left="2580" w:right="20" w:hanging="647"/>
        <w:spacing w:after="0" w:line="251" w:lineRule="auto"/>
        <w:tabs>
          <w:tab w:leader="none" w:pos="2560" w:val="left"/>
        </w:tabs>
        <w:rPr>
          <w:sz w:val="20"/>
          <w:szCs w:val="20"/>
          <w:color w:val="auto"/>
        </w:rPr>
      </w:pPr>
      <w:r>
        <w:rPr>
          <w:rFonts w:ascii="Arial" w:cs="Arial" w:eastAsia="Arial" w:hAnsi="Arial"/>
          <w:sz w:val="22"/>
          <w:szCs w:val="22"/>
          <w:color w:val="auto"/>
        </w:rPr>
        <w:t>A =</w:t>
        <w:tab/>
        <w:t>the Fair Market Value (as determined pursuant to Section 1.3 below) of one Share; and</w:t>
      </w:r>
    </w:p>
    <w:p>
      <w:pPr>
        <w:spacing w:after="0" w:line="200" w:lineRule="exact"/>
        <w:rPr>
          <w:sz w:val="20"/>
          <w:szCs w:val="20"/>
          <w:color w:val="auto"/>
        </w:rPr>
      </w:pPr>
    </w:p>
    <w:p>
      <w:pPr>
        <w:ind w:left="1940"/>
        <w:spacing w:after="0"/>
        <w:tabs>
          <w:tab w:leader="none" w:pos="288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shares of the Class are then traded or quoted on a nationally recognized securities exchange, inter-dealer quotation system or over-the-counter market (a “</w:t>
      </w:r>
      <w:r>
        <w:rPr>
          <w:rFonts w:ascii="Arial" w:cs="Arial" w:eastAsia="Arial" w:hAnsi="Arial"/>
          <w:sz w:val="22"/>
          <w:szCs w:val="22"/>
          <w:b w:val="1"/>
          <w:bCs w:val="1"/>
          <w:u w:val="single" w:color="auto"/>
          <w:color w:val="auto"/>
        </w:rPr>
        <w:t>Trading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Market</w:t>
      </w:r>
      <w:r>
        <w:rPr>
          <w:rFonts w:ascii="Arial" w:cs="Arial" w:eastAsia="Arial" w:hAnsi="Arial"/>
          <w:sz w:val="22"/>
          <w:szCs w:val="22"/>
          <w:color w:val="auto"/>
        </w:rPr>
        <w:t>”), the fair market value of a Share shall be the closing price or last sale price of a share of the Class</w:t>
      </w:r>
      <w:r>
        <w:rPr>
          <w:rFonts w:ascii="Arial" w:cs="Arial" w:eastAsia="Arial" w:hAnsi="Arial"/>
          <w:sz w:val="22"/>
          <w:szCs w:val="22"/>
          <w:b w:val="1"/>
          <w:bCs w:val="1"/>
          <w:color w:val="auto"/>
        </w:rPr>
        <w:t xml:space="preserve"> </w:t>
      </w:r>
      <w:r>
        <w:rPr>
          <w:rFonts w:ascii="Arial" w:cs="Arial" w:eastAsia="Arial" w:hAnsi="Arial"/>
          <w:sz w:val="22"/>
          <w:szCs w:val="22"/>
          <w:color w:val="auto"/>
        </w:rPr>
        <w:t>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9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Delivery of Certificate and New Warrant</w:t>
      </w:r>
      <w:r>
        <w:rPr>
          <w:rFonts w:ascii="Arial" w:cs="Arial" w:eastAsia="Arial" w:hAnsi="Arial"/>
          <w:sz w:val="21"/>
          <w:szCs w:val="21"/>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56" w:right="1239" w:bottom="1440" w:gutter="0" w:footer="0" w:header="0"/>
        </w:sectPr>
      </w:pPr>
    </w:p>
    <w:bookmarkStart w:id="168" w:name="page169"/>
    <w:bookmarkEnd w:id="168"/>
    <w:p>
      <w:pPr>
        <w:jc w:val="both"/>
        <w:ind w:firstLine="1297"/>
        <w:spacing w:after="0" w:line="23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1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27" w:lineRule="exact"/>
        <w:rPr>
          <w:sz w:val="20"/>
          <w:szCs w:val="20"/>
          <w:color w:val="auto"/>
        </w:rPr>
      </w:pPr>
    </w:p>
    <w:p>
      <w:pPr>
        <w:jc w:val="both"/>
        <w:ind w:right="20" w:firstLine="1291"/>
        <w:spacing w:after="0" w:line="272" w:lineRule="auto"/>
        <w:tabs>
          <w:tab w:leader="none" w:pos="199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means any transaction or series of related transactions involving: (i) the sale, lease, exclusive license (other than a license 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291"/>
        <w:spacing w:after="0" w:line="271" w:lineRule="auto"/>
        <w:tabs>
          <w:tab w:leader="none" w:pos="264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88" w:lineRule="exact"/>
        <w:rPr>
          <w:rFonts w:ascii="Arial" w:cs="Arial" w:eastAsia="Arial" w:hAnsi="Arial"/>
          <w:sz w:val="19"/>
          <w:szCs w:val="19"/>
          <w:color w:val="auto"/>
        </w:rPr>
      </w:pPr>
    </w:p>
    <w:p>
      <w:pPr>
        <w:jc w:val="both"/>
        <w:ind w:right="20" w:firstLine="1291"/>
        <w:spacing w:after="0" w:line="248" w:lineRule="auto"/>
        <w:tabs>
          <w:tab w:leader="none" w:pos="2617" w:val="left"/>
        </w:tabs>
        <w:numPr>
          <w:ilvl w:val="0"/>
          <w:numId w:val="64"/>
        </w:numPr>
        <w:rPr>
          <w:rFonts w:ascii="Arial" w:cs="Arial" w:eastAsia="Arial" w:hAnsi="Arial"/>
          <w:sz w:val="21"/>
          <w:szCs w:val="21"/>
          <w:color w:val="auto"/>
        </w:rPr>
      </w:pPr>
      <w:r>
        <w:rPr>
          <w:rFonts w:ascii="Arial" w:cs="Arial" w:eastAsia="Arial" w:hAnsi="Arial"/>
          <w:sz w:val="21"/>
          <w:szCs w:val="21"/>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98" w:lineRule="exact"/>
        <w:rPr>
          <w:sz w:val="20"/>
          <w:szCs w:val="20"/>
          <w:color w:val="auto"/>
        </w:rPr>
      </w:pPr>
    </w:p>
    <w:p>
      <w:pPr>
        <w:ind w:right="20" w:firstLine="1251"/>
        <w:spacing w:after="0" w:line="335" w:lineRule="auto"/>
        <w:tabs>
          <w:tab w:leader="none" w:pos="2224"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As used in this Warrant, “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69" w:name="page170"/>
    <w:bookmarkEnd w:id="169"/>
    <w:p>
      <w:pPr>
        <w:jc w:val="both"/>
        <w:spacing w:after="0" w:line="275" w:lineRule="auto"/>
        <w:rPr>
          <w:sz w:val="20"/>
          <w:szCs w:val="20"/>
          <w:color w:val="auto"/>
        </w:rPr>
      </w:pPr>
      <w:r>
        <w:rPr>
          <w:rFonts w:ascii="Arial" w:cs="Arial" w:eastAsia="Arial" w:hAnsi="Arial"/>
          <w:sz w:val="19"/>
          <w:szCs w:val="19"/>
          <w:color w:val="auto"/>
        </w:rPr>
        <w:t>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-17780</wp:posOffset>
            </wp:positionV>
            <wp:extent cx="34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Stock Dividends, Splits, Etc</w:t>
      </w:r>
      <w:r>
        <w:rPr>
          <w:rFonts w:ascii="Arial" w:cs="Arial" w:eastAsia="Arial" w:hAnsi="Arial"/>
          <w:sz w:val="21"/>
          <w:szCs w:val="21"/>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1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No Fractional Share</w:t>
      </w:r>
      <w:r>
        <w:rPr>
          <w:rFonts w:ascii="Arial" w:cs="Arial" w:eastAsia="Arial" w:hAnsi="Arial"/>
          <w:sz w:val="22"/>
          <w:szCs w:val="2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15" w:lineRule="exact"/>
        <w:rPr>
          <w:sz w:val="20"/>
          <w:szCs w:val="20"/>
          <w:color w:val="auto"/>
        </w:rPr>
      </w:pPr>
    </w:p>
    <w:p>
      <w:pPr>
        <w:jc w:val="both"/>
        <w:ind w:right="20" w:firstLine="1297"/>
        <w:spacing w:after="0" w:line="24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Notice/Certificate as to Adjustments</w:t>
      </w:r>
      <w:r>
        <w:rPr>
          <w:rFonts w:ascii="Arial" w:cs="Arial" w:eastAsia="Arial" w:hAnsi="Arial"/>
          <w:sz w:val="21"/>
          <w:szCs w:val="21"/>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34"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represents and warrants to, and agrees with, the Holder as follows:</w:t>
      </w:r>
    </w:p>
    <w:p>
      <w:pPr>
        <w:spacing w:after="0" w:line="200" w:lineRule="exact"/>
        <w:rPr>
          <w:sz w:val="20"/>
          <w:szCs w:val="20"/>
          <w:color w:val="auto"/>
        </w:rPr>
      </w:pPr>
    </w:p>
    <w:p>
      <w:pPr>
        <w:ind w:left="2820" w:hanging="880"/>
        <w:spacing w:after="0"/>
        <w:tabs>
          <w:tab w:leader="none" w:pos="28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40"/>
        <w:spacing w:after="0" w:line="279" w:lineRule="auto"/>
        <w:tabs>
          <w:tab w:leader="none" w:pos="28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78"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06" w:lineRule="exact"/>
        <w:rPr>
          <w:sz w:val="20"/>
          <w:szCs w:val="20"/>
          <w:color w:val="auto"/>
        </w:rPr>
      </w:pPr>
    </w:p>
    <w:p>
      <w:pPr>
        <w:ind w:left="40" w:firstLine="1981"/>
        <w:spacing w:after="0" w:line="328" w:lineRule="auto"/>
        <w:tabs>
          <w:tab w:leader="none" w:pos="2339" w:val="left"/>
        </w:tabs>
        <w:numPr>
          <w:ilvl w:val="0"/>
          <w:numId w:val="67"/>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Class, whether in cash, property, stock, or other securities and whether or not a regular cash dividend;</w:t>
      </w:r>
    </w:p>
    <w:p>
      <w:pPr>
        <w:spacing w:after="0" w:line="105" w:lineRule="exact"/>
        <w:rPr>
          <w:rFonts w:ascii="Arial" w:cs="Arial" w:eastAsia="Arial" w:hAnsi="Arial"/>
          <w:sz w:val="19"/>
          <w:szCs w:val="19"/>
          <w:color w:val="auto"/>
        </w:rPr>
      </w:pPr>
    </w:p>
    <w:p>
      <w:pPr>
        <w:jc w:val="both"/>
        <w:ind w:firstLine="2021"/>
        <w:spacing w:after="0"/>
        <w:tabs>
          <w:tab w:leader="none" w:pos="2346" w:val="left"/>
        </w:tabs>
        <w:numPr>
          <w:ilvl w:val="0"/>
          <w:numId w:val="67"/>
        </w:numPr>
        <w:rPr>
          <w:rFonts w:ascii="Arial" w:cs="Arial" w:eastAsia="Arial" w:hAnsi="Arial"/>
          <w:sz w:val="22"/>
          <w:szCs w:val="22"/>
          <w:color w:val="auto"/>
        </w:rPr>
      </w:pPr>
      <w:r>
        <w:rPr>
          <w:rFonts w:ascii="Arial" w:cs="Arial" w:eastAsia="Arial" w:hAnsi="Arial"/>
          <w:sz w:val="22"/>
          <w:szCs w:val="22"/>
          <w:color w:val="auto"/>
        </w:rPr>
        <w:t>offer for subscription or sale pro rata to the holders of the outstanding shares of the Class any additional shares of any class or series of the Company’s stock (other than pursuant to contractual pre-emptive rights);</w:t>
      </w:r>
    </w:p>
    <w:p>
      <w:pPr>
        <w:spacing w:after="0" w:line="186" w:lineRule="exact"/>
        <w:rPr>
          <w:rFonts w:ascii="Arial" w:cs="Arial" w:eastAsia="Arial" w:hAnsi="Arial"/>
          <w:sz w:val="22"/>
          <w:szCs w:val="22"/>
          <w:color w:val="auto"/>
        </w:rPr>
      </w:pPr>
    </w:p>
    <w:p>
      <w:pPr>
        <w:ind w:right="20" w:firstLine="2021"/>
        <w:spacing w:after="0" w:line="251" w:lineRule="auto"/>
        <w:tabs>
          <w:tab w:leader="none" w:pos="23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 or</w:t>
      </w:r>
    </w:p>
    <w:p>
      <w:pPr>
        <w:spacing w:after="0" w:line="173" w:lineRule="exact"/>
        <w:rPr>
          <w:rFonts w:ascii="Arial" w:cs="Arial" w:eastAsia="Arial" w:hAnsi="Arial"/>
          <w:sz w:val="22"/>
          <w:szCs w:val="22"/>
          <w:color w:val="auto"/>
        </w:rPr>
      </w:pPr>
    </w:p>
    <w:p>
      <w:pPr>
        <w:ind w:left="2320" w:hanging="299"/>
        <w:spacing w:after="0"/>
        <w:tabs>
          <w:tab w:leader="none" w:pos="23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then, in connection with each such event, the Company shall give Holder notice thereof at the same time and in the same manner as Holder notifies the holders of the outstanding shares of the Class of such event.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33"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0" w:lineRule="exact"/>
        <w:rPr>
          <w:sz w:val="20"/>
          <w:szCs w:val="20"/>
          <w:color w:val="auto"/>
        </w:rPr>
      </w:pPr>
    </w:p>
    <w:p>
      <w:pPr>
        <w:jc w:val="both"/>
        <w:ind w:right="20" w:firstLine="608"/>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71" w:name="page172"/>
    <w:bookmarkEnd w:id="171"/>
    <w:p>
      <w:pPr>
        <w:jc w:val="both"/>
        <w:ind w:firstLine="608"/>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5" w:lineRule="exact"/>
        <w:rPr>
          <w:sz w:val="20"/>
          <w:szCs w:val="20"/>
          <w:color w:val="auto"/>
        </w:rPr>
      </w:pPr>
    </w:p>
    <w:p>
      <w:pPr>
        <w:jc w:val="both"/>
        <w:ind w:right="20" w:firstLine="608"/>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200" w:lineRule="exact"/>
        <w:rPr>
          <w:sz w:val="20"/>
          <w:szCs w:val="20"/>
          <w:color w:val="auto"/>
        </w:rPr>
      </w:pPr>
    </w:p>
    <w:p>
      <w:pPr>
        <w:jc w:val="both"/>
        <w:ind w:firstLine="608"/>
        <w:spacing w:after="0" w:line="247"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The Act</w:t>
      </w:r>
      <w:r>
        <w:rPr>
          <w:rFonts w:ascii="Arial" w:cs="Arial" w:eastAsia="Arial" w:hAnsi="Arial"/>
          <w:sz w:val="21"/>
          <w:szCs w:val="21"/>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5" w:lineRule="exact"/>
        <w:rPr>
          <w:sz w:val="20"/>
          <w:szCs w:val="20"/>
          <w:color w:val="auto"/>
        </w:rPr>
      </w:pPr>
    </w:p>
    <w:p>
      <w:pPr>
        <w:jc w:val="both"/>
        <w:ind w:right="20" w:firstLine="1190"/>
        <w:spacing w:after="0" w:line="252"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No Stockholder Rights</w:t>
      </w:r>
      <w:r>
        <w:rPr>
          <w:rFonts w:ascii="Arial" w:cs="Arial" w:eastAsia="Arial" w:hAnsi="Arial"/>
          <w:sz w:val="21"/>
          <w:szCs w:val="21"/>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Automatic Cashless Exercise Upon Expiration</w:t>
      </w:r>
      <w:r>
        <w:rPr>
          <w:rFonts w:ascii="Arial" w:cs="Arial" w:eastAsia="Arial" w:hAnsi="Arial"/>
          <w:sz w:val="19"/>
          <w:szCs w:val="19"/>
          <w:color w:val="auto"/>
        </w:rPr>
        <w:t>.</w:t>
      </w:r>
    </w:p>
    <w:p>
      <w:pPr>
        <w:spacing w:after="0" w:line="233" w:lineRule="exact"/>
        <w:rPr>
          <w:sz w:val="20"/>
          <w:szCs w:val="20"/>
          <w:color w:val="auto"/>
        </w:rPr>
      </w:pPr>
    </w:p>
    <w:p>
      <w:pPr>
        <w:jc w:val="both"/>
        <w:ind w:left="80" w:firstLine="1211"/>
        <w:spacing w:after="0"/>
        <w:tabs>
          <w:tab w:leader="none" w:pos="260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213" w:lineRule="exact"/>
        <w:rPr>
          <w:rFonts w:ascii="Arial" w:cs="Arial" w:eastAsia="Arial" w:hAnsi="Arial"/>
          <w:sz w:val="22"/>
          <w:szCs w:val="22"/>
          <w:color w:val="auto"/>
        </w:rPr>
      </w:pPr>
    </w:p>
    <w:p>
      <w:pPr>
        <w:jc w:val="both"/>
        <w:ind w:left="80" w:firstLine="1279"/>
        <w:spacing w:after="0" w:line="248" w:lineRule="auto"/>
        <w:tabs>
          <w:tab w:leader="none" w:pos="1723"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Automatic Cashless Exercise upon Expiration</w:t>
      </w:r>
      <w:r>
        <w:rPr>
          <w:rFonts w:ascii="Arial" w:cs="Arial" w:eastAsia="Arial" w:hAnsi="Arial"/>
          <w:sz w:val="21"/>
          <w:szCs w:val="21"/>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204"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Legends</w:t>
      </w:r>
      <w:r>
        <w:rPr>
          <w:rFonts w:ascii="Arial" w:cs="Arial" w:eastAsia="Arial" w:hAnsi="Arial"/>
          <w:sz w:val="22"/>
          <w:szCs w:val="22"/>
          <w:color w:val="auto"/>
        </w:rPr>
        <w:t>. Each certificate evidencing Shares shall be imprinted with a legend in substantially the following form:</w:t>
      </w:r>
    </w:p>
    <w:p>
      <w:pPr>
        <w:spacing w:after="0" w:line="200" w:lineRule="exact"/>
        <w:rPr>
          <w:sz w:val="20"/>
          <w:szCs w:val="20"/>
          <w:color w:val="auto"/>
        </w:rPr>
      </w:pPr>
    </w:p>
    <w:p>
      <w:pPr>
        <w:jc w:val="both"/>
        <w:ind w:left="1300" w:right="660"/>
        <w:spacing w:after="0" w:line="249" w:lineRule="auto"/>
        <w:rPr>
          <w:sz w:val="20"/>
          <w:szCs w:val="20"/>
          <w:color w:val="auto"/>
        </w:rPr>
      </w:pPr>
      <w:r>
        <w:rPr>
          <w:rFonts w:ascii="Arial" w:cs="Arial" w:eastAsia="Arial" w:hAnsi="Arial"/>
          <w:sz w:val="21"/>
          <w:szCs w:val="21"/>
          <w:color w:val="auto"/>
        </w:rPr>
        <w:t>THE SHARES EVIDENCED BY THIS CERTIFICATE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THAT CERTAIN WARRANT TO PURCHASE STOCK ISSUED BY THE ISSUER TO [__________________] DATED NOVEMBER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72" w:name="page173"/>
    <w:bookmarkEnd w:id="172"/>
    <w:p>
      <w:pPr>
        <w:jc w:val="both"/>
        <w:ind w:left="1300" w:right="660"/>
        <w:spacing w:after="0" w:line="249" w:lineRule="auto"/>
        <w:rPr>
          <w:sz w:val="20"/>
          <w:szCs w:val="20"/>
          <w:color w:val="auto"/>
        </w:rPr>
      </w:pPr>
      <w:r>
        <w:rPr>
          <w:rFonts w:ascii="Arial" w:cs="Arial" w:eastAsia="Arial" w:hAnsi="Arial"/>
          <w:sz w:val="21"/>
          <w:szCs w:val="21"/>
          <w:color w:val="auto"/>
        </w:rPr>
        <w:t>26, 2018,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20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such affiliate is an “accredited investor” as defined in Regulation D promulgated under the Act.</w:t>
      </w:r>
    </w:p>
    <w:p>
      <w:pPr>
        <w:spacing w:after="0" w:line="18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Subject to the provisions of Section 5.3 and upon providing the Company with written notice, Holder may transfer all or part of this Warrant or the Shares issued upon exercise of this Warrant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transferee shall agree in writing with the Company to be bound by all of the terms and conditions of this Warrant.</w:t>
      </w:r>
    </w:p>
    <w:p>
      <w:pPr>
        <w:spacing w:after="0" w:line="18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w:t>
      </w:r>
      <w:r>
        <w:rPr>
          <w:rFonts w:ascii="Arial" w:cs="Arial" w:eastAsia="Arial" w:hAnsi="Arial"/>
          <w:sz w:val="9"/>
          <w:szCs w:val="9"/>
          <w:color w:val="auto"/>
        </w:rPr>
        <w:t>rd</w:t>
      </w:r>
      <w:r>
        <w:rPr>
          <w:rFonts w:ascii="Arial" w:cs="Arial" w:eastAsia="Arial" w:hAnsi="Arial"/>
          <w:sz w:val="19"/>
          <w:szCs w:val="19"/>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0" w:lineRule="exact"/>
        <w:rPr>
          <w:sz w:val="20"/>
          <w:szCs w:val="20"/>
          <w:color w:val="auto"/>
        </w:rPr>
      </w:pP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w:t>
      </w:r>
    </w:p>
    <w:p>
      <w:pPr>
        <w:ind w:left="1940"/>
        <w:spacing w:after="0" w:line="238" w:lineRule="auto"/>
        <w:rPr>
          <w:sz w:val="20"/>
          <w:szCs w:val="20"/>
          <w:color w:val="auto"/>
        </w:rPr>
      </w:pPr>
      <w:r>
        <w:rPr>
          <w:rFonts w:ascii="Arial" w:cs="Arial" w:eastAsia="Arial" w:hAnsi="Arial"/>
          <w:sz w:val="22"/>
          <w:szCs w:val="22"/>
          <w:color w:val="auto"/>
        </w:rPr>
        <w:t>[____________________]</w:t>
      </w:r>
    </w:p>
    <w:p>
      <w:pPr>
        <w:ind w:left="1940"/>
        <w:spacing w:after="0" w:line="230" w:lineRule="auto"/>
        <w:rPr>
          <w:sz w:val="20"/>
          <w:szCs w:val="20"/>
          <w:color w:val="auto"/>
        </w:rPr>
      </w:pPr>
      <w:r>
        <w:rPr>
          <w:rFonts w:ascii="Arial" w:cs="Arial" w:eastAsia="Arial" w:hAnsi="Arial"/>
          <w:sz w:val="22"/>
          <w:szCs w:val="22"/>
          <w:color w:val="auto"/>
        </w:rPr>
        <w:t>Attention: [___________ ]</w:t>
      </w:r>
    </w:p>
    <w:p>
      <w:pPr>
        <w:ind w:left="1940"/>
        <w:spacing w:after="0" w:line="231" w:lineRule="auto"/>
        <w:rPr>
          <w:sz w:val="20"/>
          <w:szCs w:val="20"/>
          <w:color w:val="auto"/>
        </w:rPr>
      </w:pPr>
      <w:r>
        <w:rPr>
          <w:rFonts w:ascii="Arial" w:cs="Arial" w:eastAsia="Arial" w:hAnsi="Arial"/>
          <w:sz w:val="22"/>
          <w:szCs w:val="22"/>
          <w:color w:val="auto"/>
        </w:rPr>
        <w:t>Telephone: [__________]</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[______________]</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w:t>
      </w:r>
    </w:p>
    <w:p>
      <w:pPr>
        <w:ind w:left="1940"/>
        <w:spacing w:after="0" w:line="238" w:lineRule="auto"/>
        <w:rPr>
          <w:sz w:val="20"/>
          <w:szCs w:val="20"/>
          <w:color w:val="auto"/>
        </w:rPr>
      </w:pPr>
      <w:r>
        <w:rPr>
          <w:rFonts w:ascii="Arial" w:cs="Arial" w:eastAsia="Arial" w:hAnsi="Arial"/>
          <w:sz w:val="22"/>
          <w:szCs w:val="22"/>
          <w:color w:val="auto"/>
        </w:rPr>
        <w:t>[____________________]</w:t>
      </w:r>
    </w:p>
    <w:p>
      <w:pPr>
        <w:ind w:left="1940"/>
        <w:spacing w:after="0" w:line="230" w:lineRule="auto"/>
        <w:rPr>
          <w:sz w:val="20"/>
          <w:szCs w:val="20"/>
          <w:color w:val="auto"/>
        </w:rPr>
      </w:pPr>
      <w:r>
        <w:rPr>
          <w:rFonts w:ascii="Arial" w:cs="Arial" w:eastAsia="Arial" w:hAnsi="Arial"/>
          <w:sz w:val="22"/>
          <w:szCs w:val="22"/>
          <w:color w:val="auto"/>
        </w:rPr>
        <w:t>Attention: [___________ ]</w:t>
      </w:r>
    </w:p>
    <w:p>
      <w:pPr>
        <w:ind w:left="1940"/>
        <w:spacing w:after="0" w:line="231" w:lineRule="auto"/>
        <w:rPr>
          <w:sz w:val="20"/>
          <w:szCs w:val="20"/>
          <w:color w:val="auto"/>
        </w:rPr>
      </w:pPr>
      <w:r>
        <w:rPr>
          <w:rFonts w:ascii="Arial" w:cs="Arial" w:eastAsia="Arial" w:hAnsi="Arial"/>
          <w:sz w:val="22"/>
          <w:szCs w:val="22"/>
          <w:color w:val="auto"/>
        </w:rPr>
        <w:t>Telephone: [__________]</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[______________]</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73" w:name="page174"/>
    <w:bookmarkEnd w:id="173"/>
    <w:p>
      <w:pPr>
        <w:ind w:right="20" w:firstLine="648"/>
        <w:spacing w:after="0" w:line="251" w:lineRule="auto"/>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17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Axsome Therapeutics, Inc.</w:t>
      </w:r>
    </w:p>
    <w:p>
      <w:pPr>
        <w:ind w:left="1940"/>
        <w:spacing w:after="0" w:line="238" w:lineRule="auto"/>
        <w:rPr>
          <w:sz w:val="20"/>
          <w:szCs w:val="20"/>
          <w:color w:val="auto"/>
        </w:rPr>
      </w:pPr>
      <w:r>
        <w:rPr>
          <w:rFonts w:ascii="Arial" w:cs="Arial" w:eastAsia="Arial" w:hAnsi="Arial"/>
          <w:sz w:val="22"/>
          <w:szCs w:val="22"/>
          <w:color w:val="auto"/>
        </w:rPr>
        <w:t>Attn: Chief Executive Officer</w:t>
      </w:r>
    </w:p>
    <w:p>
      <w:pPr>
        <w:ind w:left="2000"/>
        <w:spacing w:after="0" w:line="230" w:lineRule="auto"/>
        <w:rPr>
          <w:sz w:val="20"/>
          <w:szCs w:val="20"/>
          <w:color w:val="auto"/>
        </w:rPr>
      </w:pPr>
      <w:r>
        <w:rPr>
          <w:rFonts w:ascii="Arial" w:cs="Arial" w:eastAsia="Arial" w:hAnsi="Arial"/>
          <w:sz w:val="22"/>
          <w:szCs w:val="22"/>
          <w:color w:val="auto"/>
        </w:rPr>
        <w:t>25 Broadway, 9</w:t>
      </w:r>
      <w:r>
        <w:rPr>
          <w:rFonts w:ascii="Arial" w:cs="Arial" w:eastAsia="Arial" w:hAnsi="Arial"/>
          <w:sz w:val="10"/>
          <w:szCs w:val="10"/>
          <w:color w:val="auto"/>
        </w:rPr>
        <w:t>th</w:t>
      </w:r>
      <w:r>
        <w:rPr>
          <w:rFonts w:ascii="Arial" w:cs="Arial" w:eastAsia="Arial" w:hAnsi="Arial"/>
          <w:sz w:val="22"/>
          <w:szCs w:val="22"/>
          <w:color w:val="auto"/>
        </w:rPr>
        <w:t xml:space="preserve"> Floor</w:t>
      </w:r>
    </w:p>
    <w:p>
      <w:pPr>
        <w:ind w:left="1940"/>
        <w:spacing w:after="0" w:line="231" w:lineRule="auto"/>
        <w:rPr>
          <w:sz w:val="20"/>
          <w:szCs w:val="20"/>
          <w:color w:val="auto"/>
        </w:rPr>
      </w:pPr>
      <w:r>
        <w:rPr>
          <w:rFonts w:ascii="Arial" w:cs="Arial" w:eastAsia="Arial" w:hAnsi="Arial"/>
          <w:sz w:val="22"/>
          <w:szCs w:val="22"/>
          <w:color w:val="auto"/>
        </w:rPr>
        <w:t>New York, NY 10004</w:t>
      </w:r>
    </w:p>
    <w:p>
      <w:pPr>
        <w:ind w:left="1940"/>
        <w:spacing w:after="0" w:line="231" w:lineRule="auto"/>
        <w:rPr>
          <w:sz w:val="20"/>
          <w:szCs w:val="20"/>
          <w:color w:val="auto"/>
        </w:rPr>
      </w:pPr>
      <w:r>
        <w:rPr>
          <w:rFonts w:ascii="Arial" w:cs="Arial" w:eastAsia="Arial" w:hAnsi="Arial"/>
          <w:sz w:val="22"/>
          <w:szCs w:val="22"/>
          <w:color w:val="auto"/>
        </w:rPr>
        <w:t>Telephone: (212) 332-3241</w:t>
      </w:r>
    </w:p>
    <w:p>
      <w:pPr>
        <w:ind w:left="1940"/>
        <w:spacing w:after="0" w:line="230" w:lineRule="auto"/>
        <w:rPr>
          <w:sz w:val="20"/>
          <w:szCs w:val="20"/>
          <w:color w:val="auto"/>
        </w:rPr>
      </w:pPr>
      <w:r>
        <w:rPr>
          <w:rFonts w:ascii="Arial" w:cs="Arial" w:eastAsia="Arial" w:hAnsi="Arial"/>
          <w:sz w:val="22"/>
          <w:szCs w:val="22"/>
          <w:color w:val="auto"/>
        </w:rPr>
        <w:t>Facsimile: (212) 320-0245</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htabuteau@axsome.com</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DLA Piper LLP (US)</w:t>
      </w:r>
    </w:p>
    <w:p>
      <w:pPr>
        <w:ind w:left="1940"/>
        <w:spacing w:after="0" w:line="238" w:lineRule="auto"/>
        <w:rPr>
          <w:sz w:val="20"/>
          <w:szCs w:val="20"/>
          <w:color w:val="auto"/>
        </w:rPr>
      </w:pPr>
      <w:r>
        <w:rPr>
          <w:rFonts w:ascii="Arial" w:cs="Arial" w:eastAsia="Arial" w:hAnsi="Arial"/>
          <w:sz w:val="22"/>
          <w:szCs w:val="22"/>
          <w:color w:val="auto"/>
        </w:rPr>
        <w:t>Attn: Jeff Baglio, Esq.</w:t>
      </w:r>
    </w:p>
    <w:p>
      <w:pPr>
        <w:ind w:left="1940"/>
        <w:spacing w:after="0" w:line="230" w:lineRule="auto"/>
        <w:rPr>
          <w:sz w:val="20"/>
          <w:szCs w:val="20"/>
          <w:color w:val="auto"/>
        </w:rPr>
      </w:pPr>
      <w:r>
        <w:rPr>
          <w:rFonts w:ascii="Arial" w:cs="Arial" w:eastAsia="Arial" w:hAnsi="Arial"/>
          <w:sz w:val="22"/>
          <w:szCs w:val="22"/>
          <w:color w:val="auto"/>
        </w:rPr>
        <w:t>4365 Executive Drive Suite 1100</w:t>
      </w:r>
    </w:p>
    <w:p>
      <w:pPr>
        <w:ind w:left="1940"/>
        <w:spacing w:after="0" w:line="231" w:lineRule="auto"/>
        <w:rPr>
          <w:sz w:val="20"/>
          <w:szCs w:val="20"/>
          <w:color w:val="auto"/>
        </w:rPr>
      </w:pPr>
      <w:r>
        <w:rPr>
          <w:rFonts w:ascii="Arial" w:cs="Arial" w:eastAsia="Arial" w:hAnsi="Arial"/>
          <w:sz w:val="22"/>
          <w:szCs w:val="22"/>
          <w:color w:val="auto"/>
        </w:rPr>
        <w:t>San Diego, California 92121-2133</w:t>
      </w:r>
    </w:p>
    <w:p>
      <w:pPr>
        <w:ind w:left="1940"/>
        <w:spacing w:after="0" w:line="231" w:lineRule="auto"/>
        <w:rPr>
          <w:sz w:val="20"/>
          <w:szCs w:val="20"/>
          <w:color w:val="auto"/>
        </w:rPr>
      </w:pPr>
      <w:r>
        <w:rPr>
          <w:rFonts w:ascii="Arial" w:cs="Arial" w:eastAsia="Arial" w:hAnsi="Arial"/>
          <w:sz w:val="22"/>
          <w:szCs w:val="22"/>
          <w:color w:val="auto"/>
        </w:rPr>
        <w:t>Facsimile: (858) 638 5058</w:t>
      </w:r>
    </w:p>
    <w:p>
      <w:pPr>
        <w:ind w:left="1940"/>
        <w:spacing w:after="0"/>
        <w:rPr>
          <w:sz w:val="20"/>
          <w:szCs w:val="20"/>
          <w:color w:val="auto"/>
        </w:rPr>
      </w:pPr>
      <w:r>
        <w:rPr>
          <w:rFonts w:ascii="Arial" w:cs="Arial" w:eastAsia="Arial" w:hAnsi="Arial"/>
          <w:sz w:val="22"/>
          <w:szCs w:val="22"/>
          <w:color w:val="auto"/>
        </w:rPr>
        <w:t>Email: jeff.baglio@dlapiper.com</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12" w:lineRule="exact"/>
        <w:rPr>
          <w:sz w:val="20"/>
          <w:szCs w:val="20"/>
          <w:color w:val="auto"/>
        </w:rPr>
      </w:pPr>
    </w:p>
    <w:p>
      <w:pPr>
        <w:jc w:val="both"/>
        <w:ind w:right="20" w:firstLine="1297"/>
        <w:spacing w:after="0" w:line="25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Attorneys’ Fees</w:t>
      </w:r>
      <w:r>
        <w:rPr>
          <w:rFonts w:ascii="Arial" w:cs="Arial" w:eastAsia="Arial" w:hAnsi="Arial"/>
          <w:sz w:val="21"/>
          <w:szCs w:val="21"/>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94" w:lineRule="exact"/>
        <w:rPr>
          <w:sz w:val="20"/>
          <w:szCs w:val="20"/>
          <w:color w:val="auto"/>
        </w:rPr>
      </w:pPr>
    </w:p>
    <w:p>
      <w:pPr>
        <w:ind w:left="1300"/>
        <w:spacing w:after="0"/>
        <w:tabs>
          <w:tab w:leader="none" w:pos="2640" w:val="left"/>
          <w:tab w:leader="none" w:pos="72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This  Warrant  may  be</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Warrant shall be governed by and construed in accordance with the laws of the State of California, without giving effect to its principles regarding conflicts of law.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300"/>
              <w:spacing w:after="0"/>
              <w:rPr>
                <w:sz w:val="20"/>
                <w:szCs w:val="20"/>
                <w:color w:val="auto"/>
              </w:rPr>
            </w:pPr>
            <w:r>
              <w:rPr>
                <w:rFonts w:ascii="Arial" w:cs="Arial" w:eastAsia="Arial" w:hAnsi="Arial"/>
                <w:sz w:val="22"/>
                <w:szCs w:val="22"/>
                <w:color w:val="auto"/>
              </w:rPr>
              <w:t>5.10</w:t>
            </w:r>
          </w:p>
        </w:tc>
        <w:tc>
          <w:tcPr>
            <w:tcW w:w="6700" w:type="dxa"/>
            <w:vAlign w:val="bottom"/>
            <w:gridSpan w:val="5"/>
          </w:tcPr>
          <w:p>
            <w:pPr>
              <w:jc w:val="right"/>
              <w:spacing w:after="0"/>
              <w:rPr>
                <w:sz w:val="20"/>
                <w:szCs w:val="20"/>
                <w:color w:val="auto"/>
              </w:rPr>
            </w:pPr>
            <w:r>
              <w:rPr>
                <w:rFonts w:ascii="Arial" w:cs="Arial" w:eastAsia="Arial" w:hAnsi="Arial"/>
                <w:sz w:val="22"/>
                <w:szCs w:val="22"/>
                <w:color w:val="auto"/>
                <w:w w:val="91"/>
              </w:rPr>
              <w:t>Headings.  The headings in this Warrant are for purposes of reference only</w:t>
            </w:r>
          </w:p>
        </w:tc>
      </w:tr>
      <w:tr>
        <w:trPr>
          <w:trHeight w:val="20"/>
        </w:trPr>
        <w:tc>
          <w:tcPr>
            <w:tcW w:w="2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74"/>
        </w:trPr>
        <w:tc>
          <w:tcPr>
            <w:tcW w:w="9400" w:type="dxa"/>
            <w:vAlign w:val="bottom"/>
            <w:gridSpan w:val="6"/>
          </w:tcPr>
          <w:p>
            <w:pPr>
              <w:spacing w:after="0"/>
              <w:rPr>
                <w:sz w:val="20"/>
                <w:szCs w:val="20"/>
                <w:color w:val="auto"/>
              </w:rPr>
            </w:pPr>
            <w:r>
              <w:rPr>
                <w:rFonts w:ascii="Arial" w:cs="Arial" w:eastAsia="Arial" w:hAnsi="Arial"/>
                <w:sz w:val="22"/>
                <w:szCs w:val="22"/>
                <w:color w:val="auto"/>
              </w:rPr>
              <w:t>and shall not limit or otherwise affect the meaning of any provision of this Warrant.</w:t>
            </w:r>
          </w:p>
        </w:tc>
      </w:tr>
      <w:tr>
        <w:trPr>
          <w:trHeight w:val="409"/>
        </w:trPr>
        <w:tc>
          <w:tcPr>
            <w:tcW w:w="2700" w:type="dxa"/>
            <w:vAlign w:val="bottom"/>
          </w:tcPr>
          <w:p>
            <w:pPr>
              <w:ind w:left="1300"/>
              <w:spacing w:after="0"/>
              <w:rPr>
                <w:sz w:val="20"/>
                <w:szCs w:val="20"/>
                <w:color w:val="auto"/>
              </w:rPr>
            </w:pPr>
            <w:r>
              <w:rPr>
                <w:rFonts w:ascii="Arial" w:cs="Arial" w:eastAsia="Arial" w:hAnsi="Arial"/>
                <w:sz w:val="22"/>
                <w:szCs w:val="22"/>
                <w:color w:val="auto"/>
              </w:rPr>
              <w:t>5.11</w:t>
            </w:r>
          </w:p>
        </w:tc>
        <w:tc>
          <w:tcPr>
            <w:tcW w:w="6700" w:type="dxa"/>
            <w:vAlign w:val="bottom"/>
            <w:gridSpan w:val="5"/>
          </w:tcPr>
          <w:p>
            <w:pPr>
              <w:jc w:val="right"/>
              <w:spacing w:after="0"/>
              <w:rPr>
                <w:sz w:val="20"/>
                <w:szCs w:val="20"/>
                <w:color w:val="auto"/>
              </w:rPr>
            </w:pPr>
            <w:r>
              <w:rPr>
                <w:rFonts w:ascii="Arial" w:cs="Arial" w:eastAsia="Arial" w:hAnsi="Arial"/>
                <w:sz w:val="22"/>
                <w:szCs w:val="22"/>
                <w:color w:val="auto"/>
                <w:w w:val="89"/>
              </w:rPr>
              <w:t>Business Days. “</w:t>
            </w:r>
            <w:r>
              <w:rPr>
                <w:rFonts w:ascii="Arial" w:cs="Arial" w:eastAsia="Arial" w:hAnsi="Arial"/>
                <w:sz w:val="22"/>
                <w:szCs w:val="22"/>
                <w:b w:val="1"/>
                <w:bCs w:val="1"/>
                <w:color w:val="auto"/>
                <w:w w:val="89"/>
              </w:rPr>
              <w:t>Business Day</w:t>
            </w:r>
            <w:r>
              <w:rPr>
                <w:rFonts w:ascii="Arial" w:cs="Arial" w:eastAsia="Arial" w:hAnsi="Arial"/>
                <w:sz w:val="22"/>
                <w:szCs w:val="22"/>
                <w:color w:val="auto"/>
                <w:w w:val="89"/>
              </w:rPr>
              <w:t>” is any day that is not a Saturday, Sunday or</w:t>
            </w:r>
          </w:p>
        </w:tc>
      </w:tr>
      <w:tr>
        <w:trPr>
          <w:trHeight w:val="20"/>
        </w:trPr>
        <w:tc>
          <w:tcPr>
            <w:tcW w:w="2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a day on which banks in Washington are closed.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227965</wp:posOffset>
            </wp:positionV>
            <wp:extent cx="5960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5" w:name="page176"/>
    <w:bookmarkEnd w:id="175"/>
    <w:p>
      <w:pPr>
        <w:ind w:firstLine="68"/>
        <w:spacing w:after="0" w:line="251" w:lineRule="auto"/>
        <w:rPr>
          <w:sz w:val="20"/>
          <w:szCs w:val="20"/>
          <w:color w:val="auto"/>
        </w:rPr>
      </w:pPr>
      <w:r>
        <w:rPr>
          <w:rFonts w:ascii="Arial" w:cs="Arial" w:eastAsia="Arial" w:hAnsi="Arial"/>
          <w:sz w:val="22"/>
          <w:szCs w:val="22"/>
          <w:color w:val="auto"/>
        </w:rPr>
        <w:t>IN WITNESS WHEREOF,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AXSOME THERAPEUTICS, INC.</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 _________________________________</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Name:______________________________</w:t>
      </w:r>
    </w:p>
    <w:p>
      <w:pPr>
        <w:ind w:left="760"/>
        <w:spacing w:after="0" w:line="238" w:lineRule="auto"/>
        <w:rPr>
          <w:sz w:val="20"/>
          <w:szCs w:val="20"/>
          <w:color w:val="auto"/>
        </w:rPr>
      </w:pPr>
      <w:r>
        <w:rPr>
          <w:rFonts w:ascii="Arial" w:cs="Arial" w:eastAsia="Arial" w:hAnsi="Arial"/>
          <w:sz w:val="22"/>
          <w:szCs w:val="22"/>
          <w:color w:val="auto"/>
        </w:rPr>
        <w:t>(Print)</w:t>
      </w:r>
    </w:p>
    <w:p>
      <w:pPr>
        <w:ind w:left="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00"/>
          </w:cols>
          <w:pgMar w:left="1260" w:top="118" w:right="14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color w:val="auto"/>
        </w:rPr>
        <w:t>APPENDIX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 OF EXERCISE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1.The undersigned Holder hereby exercises its right to purchase ___________ shares of the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Common/Series ______ Preferred [circle one] Stock of __________________ (the “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in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accordance with the attached Warrant To Purchase Stock, and tenders payment of the aggregate Warrant Price for such shares as follows: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88"/>
              </w:rPr>
              <w:t>check in the amount of $________ payable to order of the Company enclosed</w:t>
            </w:r>
          </w:p>
        </w:tc>
      </w:tr>
      <w:tr>
        <w:trPr>
          <w:trHeight w:val="275"/>
        </w:trPr>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160" w:type="dxa"/>
            <w:vAlign w:val="bottom"/>
          </w:tcPr>
          <w:p>
            <w:pPr>
              <w:ind w:left="480"/>
              <w:spacing w:after="0"/>
              <w:rPr>
                <w:sz w:val="20"/>
                <w:szCs w:val="20"/>
                <w:color w:val="auto"/>
              </w:rPr>
            </w:pPr>
            <w:r>
              <w:rPr>
                <w:rFonts w:ascii="Arial" w:cs="Arial" w:eastAsia="Arial" w:hAnsi="Arial"/>
                <w:sz w:val="22"/>
                <w:szCs w:val="22"/>
                <w:color w:val="auto"/>
              </w:rPr>
              <w:t>herewith</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97"/>
              </w:rPr>
              <w:t>Wire transfer of immediately available funds to the Company’s account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98"/>
              </w:rPr>
              <w:t>Other [Describe] __________________________________________</w:t>
            </w:r>
          </w:p>
        </w:tc>
      </w:tr>
    </w:tbl>
    <w:p>
      <w:pPr>
        <w:spacing w:after="0" w:line="185" w:lineRule="exact"/>
        <w:rPr>
          <w:sz w:val="20"/>
          <w:szCs w:val="20"/>
          <w:color w:val="auto"/>
        </w:rPr>
      </w:pPr>
    </w:p>
    <w:p>
      <w:pPr>
        <w:ind w:left="1460" w:hanging="817"/>
        <w:spacing w:after="0"/>
        <w:tabs>
          <w:tab w:leader="none" w:pos="14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ind w:left="1940"/>
        <w:spacing w:after="0" w:line="230" w:lineRule="auto"/>
        <w:rPr>
          <w:sz w:val="20"/>
          <w:szCs w:val="20"/>
          <w:color w:val="auto"/>
        </w:rPr>
      </w:pPr>
      <w:r>
        <w:rPr>
          <w:rFonts w:ascii="Arial" w:cs="Arial" w:eastAsia="Arial" w:hAnsi="Arial"/>
          <w:sz w:val="22"/>
          <w:szCs w:val="22"/>
          <w:color w:val="auto"/>
        </w:rPr>
        <w:t>___________________________________________</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Holder’s Name</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233"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right="20" w:firstLine="643"/>
        <w:spacing w:after="0" w:line="328" w:lineRule="auto"/>
        <w:tabs>
          <w:tab w:leader="none" w:pos="1019" w:val="left"/>
        </w:tabs>
        <w:numPr>
          <w:ilvl w:val="0"/>
          <w:numId w:val="70"/>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Stock as of the date hereof.</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Title:_________________________</w:t>
      </w:r>
    </w:p>
    <w:p>
      <w:pPr>
        <w:spacing w:after="0" w:line="233"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(Date):_______________________</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77" w:name="page178"/>
    <w:bookmarkEnd w:id="177"/>
    <w:p>
      <w:pPr>
        <w:jc w:val="both"/>
        <w:spacing w:after="0" w:line="247" w:lineRule="auto"/>
        <w:rPr>
          <w:sz w:val="20"/>
          <w:szCs w:val="20"/>
          <w:color w:val="auto"/>
        </w:rPr>
      </w:pPr>
      <w:r>
        <w:rPr>
          <w:rFonts w:ascii="Arial" w:cs="Arial" w:eastAsia="Arial" w:hAnsi="Arial"/>
          <w:sz w:val="21"/>
          <w:szCs w:val="21"/>
          <w:color w:val="auto"/>
        </w:rPr>
        <w:t>THIS WARRANT AND THE SHARES ISSUABLE HEREUNDER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9"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WARRANT TO PURCHASE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Axsome Therapeutics, Inc., a Delaware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As set forth in Paragraph A below</w:t>
      </w:r>
    </w:p>
    <w:p>
      <w:pPr>
        <w:spacing w:after="0" w:line="230" w:lineRule="auto"/>
        <w:rPr>
          <w:sz w:val="20"/>
          <w:szCs w:val="20"/>
          <w:color w:val="auto"/>
        </w:rPr>
      </w:pPr>
      <w:r>
        <w:rPr>
          <w:rFonts w:ascii="Arial" w:cs="Arial" w:eastAsia="Arial" w:hAnsi="Arial"/>
          <w:sz w:val="22"/>
          <w:szCs w:val="22"/>
          <w:b w:val="1"/>
          <w:bCs w:val="1"/>
          <w:color w:val="auto"/>
        </w:rPr>
        <w:t xml:space="preserve">Type/Series of Stock: </w:t>
      </w:r>
      <w:r>
        <w:rPr>
          <w:rFonts w:ascii="Arial" w:cs="Arial" w:eastAsia="Arial" w:hAnsi="Arial"/>
          <w:sz w:val="22"/>
          <w:szCs w:val="22"/>
          <w:color w:val="auto"/>
        </w:rPr>
        <w:t>Common Stock, $0.0001 par value per share</w:t>
      </w:r>
    </w:p>
    <w:p>
      <w:pPr>
        <w:spacing w:after="0" w:line="231" w:lineRule="auto"/>
        <w:rPr>
          <w:sz w:val="20"/>
          <w:szCs w:val="20"/>
          <w:color w:val="auto"/>
        </w:rPr>
      </w:pPr>
      <w:r>
        <w:rPr>
          <w:rFonts w:ascii="Arial" w:cs="Arial" w:eastAsia="Arial" w:hAnsi="Arial"/>
          <w:sz w:val="22"/>
          <w:szCs w:val="22"/>
          <w:b w:val="1"/>
          <w:bCs w:val="1"/>
          <w:color w:val="auto"/>
        </w:rPr>
        <w:t xml:space="preserve">Warrant Price: </w:t>
      </w:r>
      <w:r>
        <w:rPr>
          <w:rFonts w:ascii="Arial" w:cs="Arial" w:eastAsia="Arial" w:hAnsi="Arial"/>
          <w:sz w:val="22"/>
          <w:szCs w:val="22"/>
          <w:color w:val="auto"/>
        </w:rPr>
        <w:t>$8.10 per Share, subject to adjustment</w:t>
      </w:r>
    </w:p>
    <w:p>
      <w:pPr>
        <w:spacing w:after="0" w:line="230" w:lineRule="auto"/>
        <w:rPr>
          <w:sz w:val="20"/>
          <w:szCs w:val="20"/>
          <w:color w:val="auto"/>
        </w:rPr>
      </w:pPr>
      <w:r>
        <w:rPr>
          <w:rFonts w:ascii="Arial" w:cs="Arial" w:eastAsia="Arial" w:hAnsi="Arial"/>
          <w:sz w:val="22"/>
          <w:szCs w:val="22"/>
          <w:b w:val="1"/>
          <w:bCs w:val="1"/>
          <w:color w:val="auto"/>
        </w:rPr>
        <w:t xml:space="preserve">Issue Date: </w:t>
      </w:r>
      <w:r>
        <w:rPr>
          <w:rFonts w:ascii="Arial" w:cs="Arial" w:eastAsia="Arial" w:hAnsi="Arial"/>
          <w:sz w:val="22"/>
          <w:szCs w:val="22"/>
          <w:color w:val="auto"/>
        </w:rPr>
        <w:t>March 5, 2019</w:t>
      </w:r>
    </w:p>
    <w:p>
      <w:pPr>
        <w:spacing w:after="0"/>
        <w:tabs>
          <w:tab w:leader="none" w:pos="3560" w:val="left"/>
        </w:tabs>
        <w:rPr>
          <w:sz w:val="20"/>
          <w:szCs w:val="20"/>
          <w:color w:val="auto"/>
        </w:rPr>
      </w:pPr>
      <w:r>
        <w:rPr>
          <w:rFonts w:ascii="Arial" w:cs="Arial" w:eastAsia="Arial" w:hAnsi="Arial"/>
          <w:sz w:val="22"/>
          <w:szCs w:val="22"/>
          <w:b w:val="1"/>
          <w:bCs w:val="1"/>
          <w:color w:val="auto"/>
        </w:rPr>
        <w:t xml:space="preserve">Expiration Date: </w:t>
      </w:r>
      <w:r>
        <w:rPr>
          <w:rFonts w:ascii="Arial" w:cs="Arial" w:eastAsia="Arial" w:hAnsi="Arial"/>
          <w:sz w:val="22"/>
          <w:szCs w:val="22"/>
          <w:color w:val="auto"/>
        </w:rPr>
        <w:t>March 4, 2026</w:t>
      </w:r>
      <w:r>
        <w:rPr>
          <w:sz w:val="20"/>
          <w:szCs w:val="20"/>
          <w:color w:val="auto"/>
        </w:rPr>
        <w:tab/>
      </w:r>
      <w:r>
        <w:rPr>
          <w:rFonts w:ascii="Arial" w:cs="Arial" w:eastAsia="Arial" w:hAnsi="Arial"/>
          <w:sz w:val="18"/>
          <w:szCs w:val="18"/>
          <w:b w:val="1"/>
          <w:bCs w:val="1"/>
          <w:color w:val="auto"/>
        </w:rPr>
        <w:t>See also Section 5.1(b).</w:t>
      </w:r>
    </w:p>
    <w:p>
      <w:pPr>
        <w:spacing w:after="0" w:line="1" w:lineRule="exact"/>
        <w:rPr>
          <w:sz w:val="20"/>
          <w:szCs w:val="20"/>
          <w:color w:val="auto"/>
        </w:rPr>
      </w:pPr>
    </w:p>
    <w:p>
      <w:pPr>
        <w:ind w:left="1300" w:right="160" w:hanging="1296"/>
        <w:spacing w:after="0" w:line="246" w:lineRule="auto"/>
        <w:rPr>
          <w:sz w:val="20"/>
          <w:szCs w:val="20"/>
          <w:color w:val="auto"/>
        </w:rPr>
      </w:pPr>
      <w:r>
        <w:rPr>
          <w:rFonts w:ascii="Arial" w:cs="Arial" w:eastAsia="Arial" w:hAnsi="Arial"/>
          <w:sz w:val="22"/>
          <w:szCs w:val="22"/>
          <w:b w:val="1"/>
          <w:bCs w:val="1"/>
          <w:color w:val="auto"/>
        </w:rPr>
        <w:t>Credit Facility:</w:t>
      </w:r>
      <w:r>
        <w:rPr>
          <w:sz w:val="20"/>
          <w:szCs w:val="20"/>
          <w:color w:val="auto"/>
        </w:rPr>
        <w:t xml:space="preserve"> </w:t>
      </w:r>
      <w:r>
        <w:rPr>
          <w:rFonts w:ascii="Arial" w:cs="Arial" w:eastAsia="Arial" w:hAnsi="Arial"/>
          <w:sz w:val="21"/>
          <w:szCs w:val="21"/>
          <w:color w:val="auto"/>
        </w:rPr>
        <w:t>This Warrant to Purchase Stock (“</w:t>
      </w:r>
      <w:r>
        <w:rPr>
          <w:rFonts w:ascii="Arial" w:cs="Arial" w:eastAsia="Arial" w:hAnsi="Arial"/>
          <w:sz w:val="21"/>
          <w:szCs w:val="21"/>
          <w:b w:val="1"/>
          <w:bCs w:val="1"/>
          <w:u w:val="single" w:color="auto"/>
          <w:color w:val="auto"/>
        </w:rPr>
        <w:t>Warrant</w:t>
      </w:r>
      <w:r>
        <w:rPr>
          <w:rFonts w:ascii="Arial" w:cs="Arial" w:eastAsia="Arial" w:hAnsi="Arial"/>
          <w:sz w:val="21"/>
          <w:szCs w:val="21"/>
          <w:color w:val="auto"/>
        </w:rPr>
        <w:t>”) is issued in connection with that certain Loan and Security Agreement of even date herewith among Silicon Valley Bank, WestRiver Innovation Lending Fund VIII, L.P. and the Company (as amended and/or modified and in effect from time to time, the “</w:t>
      </w:r>
      <w:r>
        <w:rPr>
          <w:rFonts w:ascii="Arial" w:cs="Arial" w:eastAsia="Arial" w:hAnsi="Arial"/>
          <w:sz w:val="21"/>
          <w:szCs w:val="21"/>
          <w:b w:val="1"/>
          <w:bCs w:val="1"/>
          <w:u w:val="single" w:color="auto"/>
          <w:color w:val="auto"/>
        </w:rPr>
        <w:t>Loan Agreement</w:t>
      </w:r>
      <w:r>
        <w:rPr>
          <w:rFonts w:ascii="Arial" w:cs="Arial" w:eastAsia="Arial" w:hAnsi="Arial"/>
          <w:sz w:val="21"/>
          <w:szCs w:val="21"/>
          <w:color w:val="auto"/>
        </w:rPr>
        <w: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1"/>
          <w:szCs w:val="21"/>
          <w:color w:val="auto"/>
        </w:rPr>
        <w:t>THIS WARRANT CERTIFIES THAT, for good and valuable consideration, [__________________]</w:t>
      </w:r>
    </w:p>
    <w:p>
      <w:pPr>
        <w:spacing w:after="0" w:line="20" w:lineRule="exact"/>
        <w:rPr>
          <w:sz w:val="20"/>
          <w:szCs w:val="20"/>
          <w:color w:val="auto"/>
        </w:rPr>
      </w:pPr>
    </w:p>
    <w:p>
      <w:pPr>
        <w:jc w:val="both"/>
        <w:ind w:firstLine="81"/>
        <w:spacing w:after="0" w:line="232" w:lineRule="auto"/>
        <w:rPr>
          <w:sz w:val="20"/>
          <w:szCs w:val="20"/>
          <w:color w:val="auto"/>
        </w:rPr>
      </w:pPr>
      <w:r>
        <w:rPr>
          <w:rFonts w:ascii="Arial" w:cs="Arial" w:eastAsia="Arial" w:hAnsi="Arial"/>
          <w:sz w:val="22"/>
          <w:szCs w:val="22"/>
          <w:color w:val="auto"/>
        </w:rPr>
        <w:t>(together with any successor or permitted assignee or transferee of this Warrant or of any shares issued upon exercise hereof,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is entitled to purchase up to the number of fully paid and non-assessable shares of the above-stated Type/Series of Stock (the “</w:t>
      </w:r>
      <w:r>
        <w:rPr>
          <w:rFonts w:ascii="Arial" w:cs="Arial" w:eastAsia="Arial" w:hAnsi="Arial"/>
          <w:sz w:val="22"/>
          <w:szCs w:val="22"/>
          <w:b w:val="1"/>
          <w:bCs w:val="1"/>
          <w:u w:val="single" w:color="auto"/>
          <w:color w:val="auto"/>
        </w:rPr>
        <w:t>Class</w:t>
      </w:r>
      <w:r>
        <w:rPr>
          <w:rFonts w:ascii="Arial" w:cs="Arial" w:eastAsia="Arial" w:hAnsi="Arial"/>
          <w:sz w:val="22"/>
          <w:szCs w:val="22"/>
          <w:color w:val="auto"/>
        </w:rPr>
        <w:t>”) of the above-named company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determined pursuant to Paragraph A below, at the above-stated Warrant Price, all as set forth above and as adjusted pursuant to Section 2 of this Warrant, subject to the provisions and upon the terms and conditions set forth in this Warrant.</w:t>
      </w:r>
    </w:p>
    <w:p>
      <w:pPr>
        <w:spacing w:after="0" w:line="216" w:lineRule="exact"/>
        <w:rPr>
          <w:sz w:val="20"/>
          <w:szCs w:val="20"/>
          <w:color w:val="auto"/>
        </w:rPr>
      </w:pPr>
    </w:p>
    <w:p>
      <w:pPr>
        <w:jc w:val="both"/>
        <w:ind w:firstLine="446"/>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Number of Shares</w:t>
      </w:r>
      <w:r>
        <w:rPr>
          <w:rFonts w:ascii="Arial" w:cs="Arial" w:eastAsia="Arial" w:hAnsi="Arial"/>
          <w:sz w:val="21"/>
          <w:szCs w:val="21"/>
          <w:color w:val="auto"/>
        </w:rPr>
        <w:t xml:space="preserve">. Upon the making (if any) of each Term Loan Advance (as defined in the Loan Agreement) to the Company, this Warrant automatically shall become exercisable for such number of shares of the Class as shall equal (i) the Shares Pool, multiplied by (ii) a fraction, the numerator of which shall equal the amount of such Term Loan Advance and the denominator of which shall equal $24,000,000, subject to adjustment thereafter from time to time in accordance with the provisions of this Warrant. All shares, if any, for which this Warrant becomes exercisable pursuant to this Paragraph A are referred to herein cumulatively and collectively, and as may be adjusted from time to time in accordance with the provisions of this Warrant, as the “ </w:t>
      </w:r>
      <w:r>
        <w:rPr>
          <w:rFonts w:ascii="Arial" w:cs="Arial" w:eastAsia="Arial" w:hAnsi="Arial"/>
          <w:sz w:val="21"/>
          <w:szCs w:val="21"/>
          <w:b w:val="1"/>
          <w:bCs w:val="1"/>
          <w:u w:val="single" w:color="auto"/>
          <w:color w:val="auto"/>
        </w:rPr>
        <w:t>Shares</w:t>
      </w:r>
      <w:r>
        <w:rPr>
          <w:rFonts w:ascii="Arial" w:cs="Arial" w:eastAsia="Arial" w:hAnsi="Arial"/>
          <w:sz w:val="21"/>
          <w:szCs w:val="21"/>
          <w:color w:val="auto"/>
        </w:rPr>
        <w:t>. As used herein, “</w:t>
      </w:r>
      <w:r>
        <w:rPr>
          <w:rFonts w:ascii="Arial" w:cs="Arial" w:eastAsia="Arial" w:hAnsi="Arial"/>
          <w:sz w:val="21"/>
          <w:szCs w:val="21"/>
          <w:b w:val="1"/>
          <w:bCs w:val="1"/>
          <w:u w:val="single" w:color="auto"/>
          <w:color w:val="auto"/>
        </w:rPr>
        <w:t>Shares Pool</w:t>
      </w:r>
      <w:r>
        <w:rPr>
          <w:rFonts w:ascii="Arial" w:cs="Arial" w:eastAsia="Arial" w:hAnsi="Arial"/>
          <w:sz w:val="21"/>
          <w:szCs w:val="21"/>
          <w:color w:val="auto"/>
        </w:rPr>
        <w:t>” means 35,000 shares of the Class, as such number may be adjusted from time to time in accordance with the provisions of this Warrant (as if the Shares Pool constituted “Shares” hereunder at all times from and after the Issue Date hereof for such purpose).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EAST\165346806.2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5960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78" w:name="page179"/>
    <w:bookmarkEnd w:id="178"/>
    <w:p>
      <w:pPr>
        <w:jc w:val="both"/>
        <w:ind w:right="20"/>
        <w:spacing w:after="0" w:line="275" w:lineRule="auto"/>
        <w:rPr>
          <w:sz w:val="20"/>
          <w:szCs w:val="20"/>
          <w:color w:val="auto"/>
        </w:rPr>
      </w:pPr>
      <w:r>
        <w:rPr>
          <w:rFonts w:ascii="Arial" w:cs="Arial" w:eastAsia="Arial" w:hAnsi="Arial"/>
          <w:sz w:val="21"/>
          <w:szCs w:val="21"/>
          <w:color w:val="auto"/>
        </w:rPr>
        <w:t>transfer of same-day funds (to an account designated by the Company), or other form of payment acceptable to the Company for the aggregate Warrant Price for the Shares being purchased.</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X = Y(A-B)/A</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where:</w:t>
      </w:r>
    </w:p>
    <w:p>
      <w:pPr>
        <w:spacing w:after="0" w:line="8" w:lineRule="exact"/>
        <w:rPr>
          <w:sz w:val="20"/>
          <w:szCs w:val="20"/>
          <w:color w:val="auto"/>
        </w:rPr>
      </w:pPr>
    </w:p>
    <w:p>
      <w:pPr>
        <w:ind w:left="1940"/>
        <w:spacing w:after="0"/>
        <w:tabs>
          <w:tab w:leader="none" w:pos="290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15" w:lineRule="exact"/>
        <w:rPr>
          <w:sz w:val="20"/>
          <w:szCs w:val="20"/>
          <w:color w:val="auto"/>
        </w:rPr>
      </w:pPr>
    </w:p>
    <w:p>
      <w:pPr>
        <w:jc w:val="both"/>
        <w:ind w:left="2580" w:hanging="647"/>
        <w:spacing w:after="0"/>
        <w:tabs>
          <w:tab w:leader="none" w:pos="2560" w:val="left"/>
        </w:tabs>
        <w:rPr>
          <w:sz w:val="20"/>
          <w:szCs w:val="20"/>
          <w:color w:val="auto"/>
        </w:rPr>
      </w:pPr>
      <w:r>
        <w:rPr>
          <w:rFonts w:ascii="Arial" w:cs="Arial" w:eastAsia="Arial" w:hAnsi="Arial"/>
          <w:sz w:val="22"/>
          <w:szCs w:val="22"/>
          <w:color w:val="auto"/>
        </w:rPr>
        <w:t>Y =</w:t>
        <w:tab/>
        <w:t>the number of Shares with respect to which this Warrant is being exercised (inclusive of the Shares surrendered to the Company in payment of the aggregate Warrant Price);</w:t>
      </w:r>
    </w:p>
    <w:p>
      <w:pPr>
        <w:spacing w:after="0" w:line="213" w:lineRule="exact"/>
        <w:rPr>
          <w:sz w:val="20"/>
          <w:szCs w:val="20"/>
          <w:color w:val="auto"/>
        </w:rPr>
      </w:pPr>
    </w:p>
    <w:p>
      <w:pPr>
        <w:jc w:val="both"/>
        <w:ind w:left="2580" w:right="20" w:hanging="647"/>
        <w:spacing w:after="0" w:line="251" w:lineRule="auto"/>
        <w:tabs>
          <w:tab w:leader="none" w:pos="2560" w:val="left"/>
        </w:tabs>
        <w:rPr>
          <w:sz w:val="20"/>
          <w:szCs w:val="20"/>
          <w:color w:val="auto"/>
        </w:rPr>
      </w:pPr>
      <w:r>
        <w:rPr>
          <w:rFonts w:ascii="Arial" w:cs="Arial" w:eastAsia="Arial" w:hAnsi="Arial"/>
          <w:sz w:val="22"/>
          <w:szCs w:val="22"/>
          <w:color w:val="auto"/>
        </w:rPr>
        <w:t>A =</w:t>
        <w:tab/>
        <w:t>the Fair Market Value (as determined pursuant to Section 1.3 below) of one Share; and</w:t>
      </w:r>
    </w:p>
    <w:p>
      <w:pPr>
        <w:spacing w:after="0" w:line="200" w:lineRule="exact"/>
        <w:rPr>
          <w:sz w:val="20"/>
          <w:szCs w:val="20"/>
          <w:color w:val="auto"/>
        </w:rPr>
      </w:pPr>
    </w:p>
    <w:p>
      <w:pPr>
        <w:ind w:left="1940"/>
        <w:spacing w:after="0"/>
        <w:tabs>
          <w:tab w:leader="none" w:pos="288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shares of the Class are then traded or quoted on a nationally recognized securities exchange, inter-dealer quotation system or over-the-counter market (a “</w:t>
      </w:r>
      <w:r>
        <w:rPr>
          <w:rFonts w:ascii="Arial" w:cs="Arial" w:eastAsia="Arial" w:hAnsi="Arial"/>
          <w:sz w:val="22"/>
          <w:szCs w:val="22"/>
          <w:b w:val="1"/>
          <w:bCs w:val="1"/>
          <w:u w:val="single" w:color="auto"/>
          <w:color w:val="auto"/>
        </w:rPr>
        <w:t>Trading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Market</w:t>
      </w:r>
      <w:r>
        <w:rPr>
          <w:rFonts w:ascii="Arial" w:cs="Arial" w:eastAsia="Arial" w:hAnsi="Arial"/>
          <w:sz w:val="22"/>
          <w:szCs w:val="22"/>
          <w:color w:val="auto"/>
        </w:rPr>
        <w:t>”), the fair market value of a Share shall be the closing price or last sale price of a share of the Class</w:t>
      </w:r>
      <w:r>
        <w:rPr>
          <w:rFonts w:ascii="Arial" w:cs="Arial" w:eastAsia="Arial" w:hAnsi="Arial"/>
          <w:sz w:val="22"/>
          <w:szCs w:val="22"/>
          <w:b w:val="1"/>
          <w:bCs w:val="1"/>
          <w:color w:val="auto"/>
        </w:rPr>
        <w:t xml:space="preserve"> </w:t>
      </w:r>
      <w:r>
        <w:rPr>
          <w:rFonts w:ascii="Arial" w:cs="Arial" w:eastAsia="Arial" w:hAnsi="Arial"/>
          <w:sz w:val="22"/>
          <w:szCs w:val="22"/>
          <w:color w:val="auto"/>
        </w:rPr>
        <w:t>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9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Delivery of Certificate and New Warrant</w:t>
      </w:r>
      <w:r>
        <w:rPr>
          <w:rFonts w:ascii="Arial" w:cs="Arial" w:eastAsia="Arial" w:hAnsi="Arial"/>
          <w:sz w:val="21"/>
          <w:szCs w:val="21"/>
          <w:color w:val="auto"/>
        </w:rPr>
        <w:t>. Within a reasonable time after Holder exercises this Warrant in the manner set forth in Section 1.1 or 1.2 above, the Company shall deliver, or cause to be delivered, to Holder a certificate, or evidence of a book-entry interest, representing the Shares issued to Holder upon such exercise and, if this Warrant has not been fully exercised and has not expired, a new warrant of like tenor representing the Shares not so acquired.</w:t>
      </w:r>
    </w:p>
    <w:p>
      <w:pPr>
        <w:spacing w:after="0" w:line="20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1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27" w:lineRule="exact"/>
        <w:rPr>
          <w:sz w:val="20"/>
          <w:szCs w:val="20"/>
          <w:color w:val="auto"/>
        </w:rPr>
      </w:pPr>
    </w:p>
    <w:p>
      <w:pPr>
        <w:ind w:right="20" w:firstLine="1291"/>
        <w:spacing w:after="0" w:line="335" w:lineRule="auto"/>
        <w:tabs>
          <w:tab w:leader="none" w:pos="199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means any transaction or series of related transactions involving: (i) the sale, lease, exclusive license (other than a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596011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79" w:name="page180"/>
    <w:bookmarkEnd w:id="179"/>
    <w:p>
      <w:pPr>
        <w:jc w:val="both"/>
        <w:ind w:right="20"/>
        <w:spacing w:after="0" w:line="244" w:lineRule="auto"/>
        <w:rPr>
          <w:sz w:val="20"/>
          <w:szCs w:val="20"/>
          <w:color w:val="auto"/>
        </w:rPr>
      </w:pPr>
      <w:r>
        <w:rPr>
          <w:rFonts w:ascii="Arial" w:cs="Arial" w:eastAsia="Arial" w:hAnsi="Arial"/>
          <w:sz w:val="21"/>
          <w:szCs w:val="21"/>
          <w:color w:val="auto"/>
        </w:rPr>
        <w:t>permitted under Section 7.1 of the Loan Agreement),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217" w:lineRule="exact"/>
        <w:rPr>
          <w:sz w:val="20"/>
          <w:szCs w:val="20"/>
          <w:color w:val="auto"/>
        </w:rPr>
      </w:pPr>
    </w:p>
    <w:p>
      <w:pPr>
        <w:jc w:val="both"/>
        <w:ind w:firstLine="1291"/>
        <w:spacing w:after="0" w:line="271" w:lineRule="auto"/>
        <w:tabs>
          <w:tab w:leader="none" w:pos="2642"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or Section 1.2 above as to all Shares, then this Warrant shall automatically be deemed to be Cashless Exercised pursuant to Section 1.2 above as to all Shares not previously exercised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88" w:lineRule="exact"/>
        <w:rPr>
          <w:rFonts w:ascii="Arial" w:cs="Arial" w:eastAsia="Arial" w:hAnsi="Arial"/>
          <w:sz w:val="19"/>
          <w:szCs w:val="19"/>
          <w:color w:val="auto"/>
        </w:rPr>
      </w:pPr>
    </w:p>
    <w:p>
      <w:pPr>
        <w:jc w:val="both"/>
        <w:ind w:right="20" w:firstLine="1291"/>
        <w:spacing w:after="0" w:line="248" w:lineRule="auto"/>
        <w:tabs>
          <w:tab w:leader="none" w:pos="2617" w:val="left"/>
        </w:tabs>
        <w:numPr>
          <w:ilvl w:val="1"/>
          <w:numId w:val="72"/>
        </w:numPr>
        <w:rPr>
          <w:rFonts w:ascii="Arial" w:cs="Arial" w:eastAsia="Arial" w:hAnsi="Arial"/>
          <w:sz w:val="21"/>
          <w:szCs w:val="21"/>
          <w:color w:val="auto"/>
        </w:rPr>
      </w:pPr>
      <w:r>
        <w:rPr>
          <w:rFonts w:ascii="Arial" w:cs="Arial" w:eastAsia="Arial" w:hAnsi="Arial"/>
          <w:sz w:val="21"/>
          <w:szCs w:val="21"/>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98" w:lineRule="exact"/>
        <w:rPr>
          <w:rFonts w:ascii="Arial" w:cs="Arial" w:eastAsia="Arial" w:hAnsi="Arial"/>
          <w:sz w:val="21"/>
          <w:szCs w:val="21"/>
          <w:color w:val="auto"/>
        </w:rPr>
      </w:pPr>
    </w:p>
    <w:p>
      <w:pPr>
        <w:jc w:val="both"/>
        <w:ind w:firstLine="1251"/>
        <w:spacing w:after="0" w:line="273" w:lineRule="auto"/>
        <w:tabs>
          <w:tab w:leader="none" w:pos="222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As used in this Warrant, “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5960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5960110" cy="260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-17780</wp:posOffset>
            </wp:positionV>
            <wp:extent cx="342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80" w:name="page181"/>
    <w:bookmarkEnd w:id="180"/>
    <w:p>
      <w:pPr>
        <w:jc w:val="both"/>
        <w:ind w:firstLine="1297"/>
        <w:spacing w:after="0" w:line="244"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Stock Dividends, Splits, Etc</w:t>
      </w:r>
      <w:r>
        <w:rPr>
          <w:rFonts w:ascii="Arial" w:cs="Arial" w:eastAsia="Arial" w:hAnsi="Arial"/>
          <w:sz w:val="21"/>
          <w:szCs w:val="21"/>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1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No Fractional Share</w:t>
      </w:r>
      <w:r>
        <w:rPr>
          <w:rFonts w:ascii="Arial" w:cs="Arial" w:eastAsia="Arial" w:hAnsi="Arial"/>
          <w:sz w:val="22"/>
          <w:szCs w:val="2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15" w:lineRule="exact"/>
        <w:rPr>
          <w:sz w:val="20"/>
          <w:szCs w:val="20"/>
          <w:color w:val="auto"/>
        </w:rPr>
      </w:pPr>
    </w:p>
    <w:p>
      <w:pPr>
        <w:jc w:val="both"/>
        <w:ind w:right="20" w:firstLine="1297"/>
        <w:spacing w:after="0" w:line="24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Notice/Certificate as to Adjustments</w:t>
      </w:r>
      <w:r>
        <w:rPr>
          <w:rFonts w:ascii="Arial" w:cs="Arial" w:eastAsia="Arial" w:hAnsi="Arial"/>
          <w:sz w:val="21"/>
          <w:szCs w:val="21"/>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Company officer having similar duties, including computations of such adjustment and the Warrant Price, Class and number of Shares in effect upon the date of such adjustment.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3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represents and warrants to, and agrees with, the Holder as follows:</w:t>
      </w:r>
    </w:p>
    <w:p>
      <w:pPr>
        <w:spacing w:after="0" w:line="200" w:lineRule="exact"/>
        <w:rPr>
          <w:sz w:val="20"/>
          <w:szCs w:val="20"/>
          <w:color w:val="auto"/>
        </w:rPr>
      </w:pPr>
    </w:p>
    <w:p>
      <w:pPr>
        <w:ind w:left="2820" w:hanging="880"/>
        <w:spacing w:after="0"/>
        <w:tabs>
          <w:tab w:leader="none" w:pos="28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940"/>
        <w:spacing w:after="0" w:line="287" w:lineRule="auto"/>
        <w:tabs>
          <w:tab w:leader="none" w:pos="28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596011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81" w:name="page182"/>
    <w:bookmarkEnd w:id="181"/>
    <w:p>
      <w:pPr>
        <w:spacing w:after="0" w:line="251" w:lineRule="auto"/>
        <w:rPr>
          <w:sz w:val="20"/>
          <w:szCs w:val="20"/>
          <w:color w:val="auto"/>
        </w:rPr>
      </w:pPr>
      <w:r>
        <w:rPr>
          <w:rFonts w:ascii="Arial" w:cs="Arial" w:eastAsia="Arial" w:hAnsi="Arial"/>
          <w:sz w:val="22"/>
          <w:szCs w:val="22"/>
          <w:color w:val="auto"/>
        </w:rPr>
        <w:t>out of its authorized and unissued capital stock such number of shares of the Class and other securities as will be sufficient to permit the exercise in full of this Warrant.</w:t>
      </w:r>
    </w:p>
    <w:p>
      <w:pPr>
        <w:spacing w:after="0" w:line="201"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06" w:lineRule="exact"/>
        <w:rPr>
          <w:sz w:val="20"/>
          <w:szCs w:val="20"/>
          <w:color w:val="auto"/>
        </w:rPr>
      </w:pPr>
    </w:p>
    <w:p>
      <w:pPr>
        <w:ind w:left="40" w:firstLine="1981"/>
        <w:spacing w:after="0" w:line="328" w:lineRule="auto"/>
        <w:tabs>
          <w:tab w:leader="none" w:pos="2339" w:val="left"/>
        </w:tabs>
        <w:numPr>
          <w:ilvl w:val="0"/>
          <w:numId w:val="75"/>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Class, whether in cash, property, stock, or other securities and whether or not a regular cash dividend;</w:t>
      </w:r>
    </w:p>
    <w:p>
      <w:pPr>
        <w:spacing w:after="0" w:line="105" w:lineRule="exact"/>
        <w:rPr>
          <w:rFonts w:ascii="Arial" w:cs="Arial" w:eastAsia="Arial" w:hAnsi="Arial"/>
          <w:sz w:val="19"/>
          <w:szCs w:val="19"/>
          <w:color w:val="auto"/>
        </w:rPr>
      </w:pPr>
    </w:p>
    <w:p>
      <w:pPr>
        <w:jc w:val="both"/>
        <w:ind w:firstLine="2021"/>
        <w:spacing w:after="0"/>
        <w:tabs>
          <w:tab w:leader="none" w:pos="2346" w:val="left"/>
        </w:tabs>
        <w:numPr>
          <w:ilvl w:val="0"/>
          <w:numId w:val="75"/>
        </w:numPr>
        <w:rPr>
          <w:rFonts w:ascii="Arial" w:cs="Arial" w:eastAsia="Arial" w:hAnsi="Arial"/>
          <w:sz w:val="22"/>
          <w:szCs w:val="22"/>
          <w:color w:val="auto"/>
        </w:rPr>
      </w:pPr>
      <w:r>
        <w:rPr>
          <w:rFonts w:ascii="Arial" w:cs="Arial" w:eastAsia="Arial" w:hAnsi="Arial"/>
          <w:sz w:val="22"/>
          <w:szCs w:val="22"/>
          <w:color w:val="auto"/>
        </w:rPr>
        <w:t>offer for subscription or sale pro rata to the holders of the outstanding shares of the Class any additional shares of any class or series of the Company’s stock (other than pursuant to contractual pre-emptive rights);</w:t>
      </w:r>
    </w:p>
    <w:p>
      <w:pPr>
        <w:spacing w:after="0" w:line="186" w:lineRule="exact"/>
        <w:rPr>
          <w:rFonts w:ascii="Arial" w:cs="Arial" w:eastAsia="Arial" w:hAnsi="Arial"/>
          <w:sz w:val="22"/>
          <w:szCs w:val="22"/>
          <w:color w:val="auto"/>
        </w:rPr>
      </w:pPr>
    </w:p>
    <w:p>
      <w:pPr>
        <w:ind w:right="20" w:firstLine="2021"/>
        <w:spacing w:after="0" w:line="251" w:lineRule="auto"/>
        <w:tabs>
          <w:tab w:leader="none" w:pos="232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 or</w:t>
      </w:r>
    </w:p>
    <w:p>
      <w:pPr>
        <w:spacing w:after="0" w:line="173" w:lineRule="exact"/>
        <w:rPr>
          <w:rFonts w:ascii="Arial" w:cs="Arial" w:eastAsia="Arial" w:hAnsi="Arial"/>
          <w:sz w:val="22"/>
          <w:szCs w:val="22"/>
          <w:color w:val="auto"/>
        </w:rPr>
      </w:pPr>
    </w:p>
    <w:p>
      <w:pPr>
        <w:ind w:left="2320" w:hanging="299"/>
        <w:spacing w:after="0"/>
        <w:tabs>
          <w:tab w:leader="none" w:pos="23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then, in connection with each such event, the Company shall give Holder notice thereof at the same time and in the same manner as Holder notifies the holders of the outstanding shares of the Class of such event.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33"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0" w:lineRule="exact"/>
        <w:rPr>
          <w:sz w:val="20"/>
          <w:szCs w:val="20"/>
          <w:color w:val="auto"/>
        </w:rPr>
      </w:pPr>
    </w:p>
    <w:p>
      <w:pPr>
        <w:jc w:val="both"/>
        <w:ind w:right="20" w:firstLine="608"/>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5" w:lineRule="exact"/>
        <w:rPr>
          <w:sz w:val="20"/>
          <w:szCs w:val="20"/>
          <w:color w:val="auto"/>
        </w:rPr>
      </w:pPr>
    </w:p>
    <w:p>
      <w:pPr>
        <w:jc w:val="both"/>
        <w:ind w:right="20" w:firstLine="608"/>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5960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82" w:name="page183"/>
    <w:bookmarkEnd w:id="182"/>
    <w:p>
      <w:pPr>
        <w:jc w:val="both"/>
        <w:ind w:firstLine="608"/>
        <w:spacing w:after="0" w:line="247"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The Act</w:t>
      </w:r>
      <w:r>
        <w:rPr>
          <w:rFonts w:ascii="Arial" w:cs="Arial" w:eastAsia="Arial" w:hAnsi="Arial"/>
          <w:sz w:val="21"/>
          <w:szCs w:val="21"/>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5" w:lineRule="exact"/>
        <w:rPr>
          <w:sz w:val="20"/>
          <w:szCs w:val="20"/>
          <w:color w:val="auto"/>
        </w:rPr>
      </w:pPr>
    </w:p>
    <w:p>
      <w:pPr>
        <w:jc w:val="both"/>
        <w:ind w:right="20" w:firstLine="1190"/>
        <w:spacing w:after="0" w:line="252"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No Stockholder Rights</w:t>
      </w:r>
      <w:r>
        <w:rPr>
          <w:rFonts w:ascii="Arial" w:cs="Arial" w:eastAsia="Arial" w:hAnsi="Arial"/>
          <w:sz w:val="21"/>
          <w:szCs w:val="21"/>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Automatic Cashless Exercise Upon Expiration</w:t>
      </w:r>
      <w:r>
        <w:rPr>
          <w:rFonts w:ascii="Arial" w:cs="Arial" w:eastAsia="Arial" w:hAnsi="Arial"/>
          <w:sz w:val="19"/>
          <w:szCs w:val="19"/>
          <w:color w:val="auto"/>
        </w:rPr>
        <w:t>.</w:t>
      </w:r>
    </w:p>
    <w:p>
      <w:pPr>
        <w:spacing w:after="0" w:line="233" w:lineRule="exact"/>
        <w:rPr>
          <w:sz w:val="20"/>
          <w:szCs w:val="20"/>
          <w:color w:val="auto"/>
        </w:rPr>
      </w:pPr>
    </w:p>
    <w:p>
      <w:pPr>
        <w:jc w:val="both"/>
        <w:ind w:left="80" w:firstLine="1211"/>
        <w:spacing w:after="0"/>
        <w:tabs>
          <w:tab w:leader="none" w:pos="260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213" w:lineRule="exact"/>
        <w:rPr>
          <w:rFonts w:ascii="Arial" w:cs="Arial" w:eastAsia="Arial" w:hAnsi="Arial"/>
          <w:sz w:val="22"/>
          <w:szCs w:val="22"/>
          <w:color w:val="auto"/>
        </w:rPr>
      </w:pPr>
    </w:p>
    <w:p>
      <w:pPr>
        <w:jc w:val="both"/>
        <w:ind w:left="80" w:firstLine="1279"/>
        <w:spacing w:after="0" w:line="248" w:lineRule="auto"/>
        <w:tabs>
          <w:tab w:leader="none" w:pos="1723"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Automatic Cashless Exercise upon Expiration</w:t>
      </w:r>
      <w:r>
        <w:rPr>
          <w:rFonts w:ascii="Arial" w:cs="Arial" w:eastAsia="Arial" w:hAnsi="Arial"/>
          <w:sz w:val="21"/>
          <w:szCs w:val="21"/>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204"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Legends</w:t>
      </w:r>
      <w:r>
        <w:rPr>
          <w:rFonts w:ascii="Arial" w:cs="Arial" w:eastAsia="Arial" w:hAnsi="Arial"/>
          <w:sz w:val="22"/>
          <w:szCs w:val="22"/>
          <w:color w:val="auto"/>
        </w:rPr>
        <w:t>. Each certificate evidencing Shares shall be imprinted with a legend in substantially the following form:</w:t>
      </w:r>
    </w:p>
    <w:p>
      <w:pPr>
        <w:spacing w:after="0" w:line="200" w:lineRule="exact"/>
        <w:rPr>
          <w:sz w:val="20"/>
          <w:szCs w:val="20"/>
          <w:color w:val="auto"/>
        </w:rPr>
      </w:pPr>
    </w:p>
    <w:p>
      <w:pPr>
        <w:jc w:val="both"/>
        <w:ind w:left="1300" w:right="660"/>
        <w:spacing w:after="0" w:line="245" w:lineRule="auto"/>
        <w:rPr>
          <w:sz w:val="20"/>
          <w:szCs w:val="20"/>
          <w:color w:val="auto"/>
        </w:rPr>
      </w:pPr>
      <w:r>
        <w:rPr>
          <w:rFonts w:ascii="Arial" w:cs="Arial" w:eastAsia="Arial" w:hAnsi="Arial"/>
          <w:sz w:val="21"/>
          <w:szCs w:val="21"/>
          <w:color w:val="auto"/>
        </w:rPr>
        <w:t>THE SHARES EVIDENCED BY THIS CERTIFICATE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THAT CERTAIN WARRANT TO PURCHASE STOCK ISSUED BY THE ISSUER TO [___________________] DATED MARCH 5, 2019 MAY NOT</w:t>
      </w:r>
    </w:p>
    <w:p>
      <w:pPr>
        <w:spacing w:after="0" w:line="1" w:lineRule="exact"/>
        <w:rPr>
          <w:sz w:val="20"/>
          <w:szCs w:val="20"/>
          <w:color w:val="auto"/>
        </w:rPr>
      </w:pPr>
    </w:p>
    <w:p>
      <w:pPr>
        <w:jc w:val="both"/>
        <w:ind w:left="1300" w:right="660"/>
        <w:spacing w:after="0" w:line="233" w:lineRule="auto"/>
        <w:rPr>
          <w:sz w:val="20"/>
          <w:szCs w:val="20"/>
          <w:color w:val="auto"/>
        </w:rPr>
      </w:pPr>
      <w:r>
        <w:rPr>
          <w:rFonts w:ascii="Arial" w:cs="Arial" w:eastAsia="Arial" w:hAnsi="Arial"/>
          <w:sz w:val="22"/>
          <w:szCs w:val="22"/>
          <w:color w:val="auto"/>
        </w:rPr>
        <w:t>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21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107315</wp:posOffset>
            </wp:positionV>
            <wp:extent cx="5960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83" w:name="page184"/>
    <w:bookmarkEnd w:id="183"/>
    <w:p>
      <w:pPr>
        <w:jc w:val="both"/>
        <w:ind w:right="20"/>
        <w:spacing w:after="0" w:line="251" w:lineRule="auto"/>
        <w:rPr>
          <w:sz w:val="20"/>
          <w:szCs w:val="20"/>
          <w:color w:val="auto"/>
        </w:rPr>
      </w:pPr>
      <w:r>
        <w:rPr>
          <w:rFonts w:ascii="Arial" w:cs="Arial" w:eastAsia="Arial" w:hAnsi="Arial"/>
          <w:sz w:val="22"/>
          <w:szCs w:val="22"/>
          <w:color w:val="auto"/>
        </w:rPr>
        <w:t>provide an opinion of counsel if the transfer is to an affiliate of Holder, provided that such affiliate is an “accredited investor” as defined in Regulation D promulgated under the Act.</w:t>
      </w:r>
    </w:p>
    <w:p>
      <w:pPr>
        <w:spacing w:after="0" w:line="20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Subject to the provisions of Section 5.3 and upon providing the Company with written notice, Holder may transfer all or part of this Warrant or the Shares issued upon exercise of this Warrant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transferee shall agree in writing with the Company to be bound by all of the terms and conditions of this Warrant.</w:t>
      </w:r>
    </w:p>
    <w:p>
      <w:pPr>
        <w:spacing w:after="0" w:line="18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w:t>
      </w:r>
      <w:r>
        <w:rPr>
          <w:rFonts w:ascii="Arial" w:cs="Arial" w:eastAsia="Arial" w:hAnsi="Arial"/>
          <w:sz w:val="9"/>
          <w:szCs w:val="9"/>
          <w:color w:val="auto"/>
        </w:rPr>
        <w:t>rd</w:t>
      </w:r>
      <w:r>
        <w:rPr>
          <w:rFonts w:ascii="Arial" w:cs="Arial" w:eastAsia="Arial" w:hAnsi="Arial"/>
          <w:sz w:val="19"/>
          <w:szCs w:val="19"/>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w:t>
      </w:r>
    </w:p>
    <w:p>
      <w:pPr>
        <w:ind w:left="1940"/>
        <w:spacing w:after="0" w:line="238" w:lineRule="auto"/>
        <w:rPr>
          <w:sz w:val="20"/>
          <w:szCs w:val="20"/>
          <w:color w:val="auto"/>
        </w:rPr>
      </w:pPr>
      <w:r>
        <w:rPr>
          <w:rFonts w:ascii="Arial" w:cs="Arial" w:eastAsia="Arial" w:hAnsi="Arial"/>
          <w:sz w:val="22"/>
          <w:szCs w:val="22"/>
          <w:color w:val="auto"/>
        </w:rPr>
        <w:t>[____________________]</w:t>
      </w:r>
    </w:p>
    <w:p>
      <w:pPr>
        <w:ind w:left="1940"/>
        <w:spacing w:after="0" w:line="230" w:lineRule="auto"/>
        <w:rPr>
          <w:sz w:val="20"/>
          <w:szCs w:val="20"/>
          <w:color w:val="auto"/>
        </w:rPr>
      </w:pPr>
      <w:r>
        <w:rPr>
          <w:rFonts w:ascii="Arial" w:cs="Arial" w:eastAsia="Arial" w:hAnsi="Arial"/>
          <w:sz w:val="22"/>
          <w:szCs w:val="22"/>
          <w:color w:val="auto"/>
        </w:rPr>
        <w:t>Attention: [___________ ]</w:t>
      </w:r>
    </w:p>
    <w:p>
      <w:pPr>
        <w:ind w:left="1940"/>
        <w:spacing w:after="0" w:line="231" w:lineRule="auto"/>
        <w:rPr>
          <w:sz w:val="20"/>
          <w:szCs w:val="20"/>
          <w:color w:val="auto"/>
        </w:rPr>
      </w:pPr>
      <w:r>
        <w:rPr>
          <w:rFonts w:ascii="Arial" w:cs="Arial" w:eastAsia="Arial" w:hAnsi="Arial"/>
          <w:sz w:val="22"/>
          <w:szCs w:val="22"/>
          <w:color w:val="auto"/>
        </w:rPr>
        <w:t>Telephone: [__________]</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[______________]</w:t>
      </w:r>
    </w:p>
    <w:p>
      <w:pPr>
        <w:spacing w:after="0" w:line="21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w:t>
      </w:r>
    </w:p>
    <w:p>
      <w:pPr>
        <w:ind w:left="1940"/>
        <w:spacing w:after="0" w:line="238" w:lineRule="auto"/>
        <w:rPr>
          <w:sz w:val="20"/>
          <w:szCs w:val="20"/>
          <w:color w:val="auto"/>
        </w:rPr>
      </w:pPr>
      <w:r>
        <w:rPr>
          <w:rFonts w:ascii="Arial" w:cs="Arial" w:eastAsia="Arial" w:hAnsi="Arial"/>
          <w:sz w:val="22"/>
          <w:szCs w:val="22"/>
          <w:color w:val="auto"/>
        </w:rPr>
        <w:t>[____________________]</w:t>
      </w:r>
    </w:p>
    <w:p>
      <w:pPr>
        <w:ind w:left="1940"/>
        <w:spacing w:after="0" w:line="230" w:lineRule="auto"/>
        <w:rPr>
          <w:sz w:val="20"/>
          <w:szCs w:val="20"/>
          <w:color w:val="auto"/>
        </w:rPr>
      </w:pPr>
      <w:r>
        <w:rPr>
          <w:rFonts w:ascii="Arial" w:cs="Arial" w:eastAsia="Arial" w:hAnsi="Arial"/>
          <w:sz w:val="22"/>
          <w:szCs w:val="22"/>
          <w:color w:val="auto"/>
        </w:rPr>
        <w:t>Attention: [___________ ]</w:t>
      </w:r>
    </w:p>
    <w:p>
      <w:pPr>
        <w:ind w:left="1940"/>
        <w:spacing w:after="0" w:line="231" w:lineRule="auto"/>
        <w:rPr>
          <w:sz w:val="20"/>
          <w:szCs w:val="20"/>
          <w:color w:val="auto"/>
        </w:rPr>
      </w:pPr>
      <w:r>
        <w:rPr>
          <w:rFonts w:ascii="Arial" w:cs="Arial" w:eastAsia="Arial" w:hAnsi="Arial"/>
          <w:sz w:val="22"/>
          <w:szCs w:val="22"/>
          <w:color w:val="auto"/>
        </w:rPr>
        <w:t>Telephone: [__________]</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[______________]</w:t>
      </w:r>
    </w:p>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173"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Axsome Therapeutics, Inc.</w:t>
      </w:r>
    </w:p>
    <w:p>
      <w:pPr>
        <w:ind w:left="1940"/>
        <w:spacing w:after="0" w:line="238" w:lineRule="auto"/>
        <w:rPr>
          <w:sz w:val="20"/>
          <w:szCs w:val="20"/>
          <w:color w:val="auto"/>
        </w:rPr>
      </w:pPr>
      <w:r>
        <w:rPr>
          <w:rFonts w:ascii="Arial" w:cs="Arial" w:eastAsia="Arial" w:hAnsi="Arial"/>
          <w:sz w:val="22"/>
          <w:szCs w:val="22"/>
          <w:color w:val="auto"/>
        </w:rPr>
        <w:t>Attn: Chief Executive Officer</w:t>
      </w:r>
    </w:p>
    <w:p>
      <w:pPr>
        <w:ind w:left="2000"/>
        <w:spacing w:after="0" w:line="230" w:lineRule="auto"/>
        <w:rPr>
          <w:sz w:val="20"/>
          <w:szCs w:val="20"/>
          <w:color w:val="auto"/>
        </w:rPr>
      </w:pPr>
      <w:r>
        <w:rPr>
          <w:rFonts w:ascii="Arial" w:cs="Arial" w:eastAsia="Arial" w:hAnsi="Arial"/>
          <w:sz w:val="22"/>
          <w:szCs w:val="22"/>
          <w:color w:val="auto"/>
        </w:rPr>
        <w:t>25 Broadway, 9</w:t>
      </w:r>
      <w:r>
        <w:rPr>
          <w:rFonts w:ascii="Arial" w:cs="Arial" w:eastAsia="Arial" w:hAnsi="Arial"/>
          <w:sz w:val="10"/>
          <w:szCs w:val="10"/>
          <w:color w:val="auto"/>
        </w:rPr>
        <w:t>th</w:t>
      </w:r>
      <w:r>
        <w:rPr>
          <w:rFonts w:ascii="Arial" w:cs="Arial" w:eastAsia="Arial" w:hAnsi="Arial"/>
          <w:sz w:val="22"/>
          <w:szCs w:val="22"/>
          <w:color w:val="auto"/>
        </w:rPr>
        <w:t xml:space="preserve"> Floor</w:t>
      </w:r>
    </w:p>
    <w:p>
      <w:pPr>
        <w:ind w:left="1940"/>
        <w:spacing w:after="0" w:line="231" w:lineRule="auto"/>
        <w:rPr>
          <w:sz w:val="20"/>
          <w:szCs w:val="20"/>
          <w:color w:val="auto"/>
        </w:rPr>
      </w:pPr>
      <w:r>
        <w:rPr>
          <w:rFonts w:ascii="Arial" w:cs="Arial" w:eastAsia="Arial" w:hAnsi="Arial"/>
          <w:sz w:val="22"/>
          <w:szCs w:val="22"/>
          <w:color w:val="auto"/>
        </w:rPr>
        <w:t>New York, NY 10004</w:t>
      </w:r>
    </w:p>
    <w:p>
      <w:pPr>
        <w:ind w:left="1940"/>
        <w:spacing w:after="0" w:line="231" w:lineRule="auto"/>
        <w:rPr>
          <w:sz w:val="20"/>
          <w:szCs w:val="20"/>
          <w:color w:val="auto"/>
        </w:rPr>
      </w:pPr>
      <w:r>
        <w:rPr>
          <w:rFonts w:ascii="Arial" w:cs="Arial" w:eastAsia="Arial" w:hAnsi="Arial"/>
          <w:sz w:val="22"/>
          <w:szCs w:val="22"/>
          <w:color w:val="auto"/>
        </w:rPr>
        <w:t>Telephone: (212) 332-3241</w:t>
      </w:r>
    </w:p>
    <w:p>
      <w:pPr>
        <w:ind w:left="1940"/>
        <w:spacing w:after="0" w:line="230" w:lineRule="auto"/>
        <w:rPr>
          <w:sz w:val="20"/>
          <w:szCs w:val="20"/>
          <w:color w:val="auto"/>
        </w:rPr>
      </w:pPr>
      <w:r>
        <w:rPr>
          <w:rFonts w:ascii="Arial" w:cs="Arial" w:eastAsia="Arial" w:hAnsi="Arial"/>
          <w:sz w:val="22"/>
          <w:szCs w:val="22"/>
          <w:color w:val="auto"/>
        </w:rPr>
        <w:t>Facsimile: (212) 320-0245</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htabuteau@axsome.com</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5960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84" w:name="page185"/>
    <w:bookmarkEnd w:id="184"/>
    <w:p>
      <w:pPr>
        <w:ind w:left="1940"/>
        <w:spacing w:after="0"/>
        <w:rPr>
          <w:sz w:val="20"/>
          <w:szCs w:val="20"/>
          <w:color w:val="auto"/>
        </w:rPr>
      </w:pPr>
      <w:r>
        <w:rPr>
          <w:rFonts w:ascii="Arial" w:cs="Arial" w:eastAsia="Arial" w:hAnsi="Arial"/>
          <w:sz w:val="22"/>
          <w:szCs w:val="22"/>
          <w:color w:val="auto"/>
        </w:rPr>
        <w:t>DLA Piper LLP (US)</w:t>
      </w:r>
    </w:p>
    <w:p>
      <w:pPr>
        <w:ind w:left="1940"/>
        <w:spacing w:after="0" w:line="238" w:lineRule="auto"/>
        <w:rPr>
          <w:sz w:val="20"/>
          <w:szCs w:val="20"/>
          <w:color w:val="auto"/>
        </w:rPr>
      </w:pPr>
      <w:r>
        <w:rPr>
          <w:rFonts w:ascii="Arial" w:cs="Arial" w:eastAsia="Arial" w:hAnsi="Arial"/>
          <w:sz w:val="22"/>
          <w:szCs w:val="22"/>
          <w:color w:val="auto"/>
        </w:rPr>
        <w:t>Attn: Emilio Ragosa, Esq.</w:t>
      </w:r>
    </w:p>
    <w:p>
      <w:pPr>
        <w:ind w:left="1940"/>
        <w:spacing w:after="0" w:line="231" w:lineRule="auto"/>
        <w:rPr>
          <w:sz w:val="20"/>
          <w:szCs w:val="20"/>
          <w:color w:val="auto"/>
        </w:rPr>
      </w:pPr>
      <w:r>
        <w:rPr>
          <w:rFonts w:ascii="Arial" w:cs="Arial" w:eastAsia="Arial" w:hAnsi="Arial"/>
          <w:sz w:val="22"/>
          <w:szCs w:val="22"/>
          <w:color w:val="auto"/>
        </w:rPr>
        <w:t>51 John F. Kennedy Parkway, Suite 120</w:t>
      </w:r>
    </w:p>
    <w:p>
      <w:pPr>
        <w:ind w:left="1940"/>
        <w:spacing w:after="0" w:line="231" w:lineRule="auto"/>
        <w:rPr>
          <w:sz w:val="20"/>
          <w:szCs w:val="20"/>
          <w:color w:val="auto"/>
        </w:rPr>
      </w:pPr>
      <w:r>
        <w:rPr>
          <w:rFonts w:ascii="Arial" w:cs="Arial" w:eastAsia="Arial" w:hAnsi="Arial"/>
          <w:sz w:val="22"/>
          <w:szCs w:val="22"/>
          <w:color w:val="auto"/>
        </w:rPr>
        <w:t>Short Hills, New Jersey 07078-2704</w:t>
      </w:r>
    </w:p>
    <w:p>
      <w:pPr>
        <w:ind w:left="1940"/>
        <w:spacing w:after="0" w:line="230" w:lineRule="auto"/>
        <w:rPr>
          <w:sz w:val="20"/>
          <w:szCs w:val="20"/>
          <w:color w:val="auto"/>
        </w:rPr>
      </w:pPr>
      <w:r>
        <w:rPr>
          <w:rFonts w:ascii="Arial" w:cs="Arial" w:eastAsia="Arial" w:hAnsi="Arial"/>
          <w:sz w:val="22"/>
          <w:szCs w:val="22"/>
          <w:color w:val="auto"/>
        </w:rPr>
        <w:t>Facsimile: (973) 215-2804</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emilio.ragosa@dlapiper.com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12" w:lineRule="exact"/>
        <w:rPr>
          <w:sz w:val="20"/>
          <w:szCs w:val="20"/>
          <w:color w:val="auto"/>
        </w:rPr>
      </w:pPr>
    </w:p>
    <w:p>
      <w:pPr>
        <w:jc w:val="both"/>
        <w:ind w:right="20" w:firstLine="1297"/>
        <w:spacing w:after="0" w:line="25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Attorneys’ Fees</w:t>
      </w:r>
      <w:r>
        <w:rPr>
          <w:rFonts w:ascii="Arial" w:cs="Arial" w:eastAsia="Arial" w:hAnsi="Arial"/>
          <w:sz w:val="21"/>
          <w:szCs w:val="21"/>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94" w:lineRule="exact"/>
        <w:rPr>
          <w:sz w:val="20"/>
          <w:szCs w:val="20"/>
          <w:color w:val="auto"/>
        </w:rPr>
      </w:pPr>
    </w:p>
    <w:p>
      <w:pPr>
        <w:ind w:left="1300"/>
        <w:spacing w:after="0"/>
        <w:tabs>
          <w:tab w:leader="none" w:pos="2640" w:val="left"/>
          <w:tab w:leader="none" w:pos="72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This  Warrant  may  be</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Warrant shall be governed by and construed in accordance with the laws of the State of California, without giving effect to its principles regarding conflicts of law.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300"/>
              <w:spacing w:after="0"/>
              <w:rPr>
                <w:sz w:val="20"/>
                <w:szCs w:val="20"/>
                <w:color w:val="auto"/>
              </w:rPr>
            </w:pPr>
            <w:r>
              <w:rPr>
                <w:rFonts w:ascii="Arial" w:cs="Arial" w:eastAsia="Arial" w:hAnsi="Arial"/>
                <w:sz w:val="22"/>
                <w:szCs w:val="22"/>
                <w:color w:val="auto"/>
              </w:rPr>
              <w:t>5.10</w:t>
            </w:r>
          </w:p>
        </w:tc>
        <w:tc>
          <w:tcPr>
            <w:tcW w:w="6700" w:type="dxa"/>
            <w:vAlign w:val="bottom"/>
            <w:gridSpan w:val="5"/>
          </w:tcPr>
          <w:p>
            <w:pPr>
              <w:jc w:val="right"/>
              <w:spacing w:after="0"/>
              <w:rPr>
                <w:sz w:val="20"/>
                <w:szCs w:val="20"/>
                <w:color w:val="auto"/>
              </w:rPr>
            </w:pPr>
            <w:r>
              <w:rPr>
                <w:rFonts w:ascii="Arial" w:cs="Arial" w:eastAsia="Arial" w:hAnsi="Arial"/>
                <w:sz w:val="22"/>
                <w:szCs w:val="22"/>
                <w:color w:val="auto"/>
                <w:w w:val="91"/>
              </w:rPr>
              <w:t>Headings.  The headings in this Warrant are for purposes of reference only</w:t>
            </w:r>
          </w:p>
        </w:tc>
      </w:tr>
      <w:tr>
        <w:trPr>
          <w:trHeight w:val="20"/>
        </w:trPr>
        <w:tc>
          <w:tcPr>
            <w:tcW w:w="2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74"/>
        </w:trPr>
        <w:tc>
          <w:tcPr>
            <w:tcW w:w="9400" w:type="dxa"/>
            <w:vAlign w:val="bottom"/>
            <w:gridSpan w:val="6"/>
          </w:tcPr>
          <w:p>
            <w:pPr>
              <w:spacing w:after="0"/>
              <w:rPr>
                <w:sz w:val="20"/>
                <w:szCs w:val="20"/>
                <w:color w:val="auto"/>
              </w:rPr>
            </w:pPr>
            <w:r>
              <w:rPr>
                <w:rFonts w:ascii="Arial" w:cs="Arial" w:eastAsia="Arial" w:hAnsi="Arial"/>
                <w:sz w:val="22"/>
                <w:szCs w:val="22"/>
                <w:color w:val="auto"/>
              </w:rPr>
              <w:t>and shall not limit or otherwise affect the meaning of any provision of this Warrant.</w:t>
            </w:r>
          </w:p>
        </w:tc>
      </w:tr>
      <w:tr>
        <w:trPr>
          <w:trHeight w:val="409"/>
        </w:trPr>
        <w:tc>
          <w:tcPr>
            <w:tcW w:w="2700" w:type="dxa"/>
            <w:vAlign w:val="bottom"/>
          </w:tcPr>
          <w:p>
            <w:pPr>
              <w:ind w:left="1300"/>
              <w:spacing w:after="0"/>
              <w:rPr>
                <w:sz w:val="20"/>
                <w:szCs w:val="20"/>
                <w:color w:val="auto"/>
              </w:rPr>
            </w:pPr>
            <w:r>
              <w:rPr>
                <w:rFonts w:ascii="Arial" w:cs="Arial" w:eastAsia="Arial" w:hAnsi="Arial"/>
                <w:sz w:val="22"/>
                <w:szCs w:val="22"/>
                <w:color w:val="auto"/>
              </w:rPr>
              <w:t>5.11</w:t>
            </w:r>
          </w:p>
        </w:tc>
        <w:tc>
          <w:tcPr>
            <w:tcW w:w="6700" w:type="dxa"/>
            <w:vAlign w:val="bottom"/>
            <w:gridSpan w:val="5"/>
          </w:tcPr>
          <w:p>
            <w:pPr>
              <w:jc w:val="right"/>
              <w:spacing w:after="0"/>
              <w:rPr>
                <w:sz w:val="20"/>
                <w:szCs w:val="20"/>
                <w:color w:val="auto"/>
              </w:rPr>
            </w:pPr>
            <w:r>
              <w:rPr>
                <w:rFonts w:ascii="Arial" w:cs="Arial" w:eastAsia="Arial" w:hAnsi="Arial"/>
                <w:sz w:val="22"/>
                <w:szCs w:val="22"/>
                <w:color w:val="auto"/>
                <w:w w:val="89"/>
              </w:rPr>
              <w:t>Business Days. “</w:t>
            </w:r>
            <w:r>
              <w:rPr>
                <w:rFonts w:ascii="Arial" w:cs="Arial" w:eastAsia="Arial" w:hAnsi="Arial"/>
                <w:sz w:val="22"/>
                <w:szCs w:val="22"/>
                <w:b w:val="1"/>
                <w:bCs w:val="1"/>
                <w:color w:val="auto"/>
                <w:w w:val="89"/>
              </w:rPr>
              <w:t>Business Day</w:t>
            </w:r>
            <w:r>
              <w:rPr>
                <w:rFonts w:ascii="Arial" w:cs="Arial" w:eastAsia="Arial" w:hAnsi="Arial"/>
                <w:sz w:val="22"/>
                <w:szCs w:val="22"/>
                <w:color w:val="auto"/>
                <w:w w:val="89"/>
              </w:rPr>
              <w:t>” is any day that is not a Saturday, Sunday or</w:t>
            </w:r>
          </w:p>
        </w:tc>
      </w:tr>
      <w:tr>
        <w:trPr>
          <w:trHeight w:val="20"/>
        </w:trPr>
        <w:tc>
          <w:tcPr>
            <w:tcW w:w="27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a day on which banks in Washington are closed.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596011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85" w:name="page186"/>
    <w:bookmarkEnd w:id="185"/>
    <w:p>
      <w:pPr>
        <w:ind w:firstLine="68"/>
        <w:spacing w:after="0" w:line="251" w:lineRule="auto"/>
        <w:rPr>
          <w:sz w:val="20"/>
          <w:szCs w:val="20"/>
          <w:color w:val="auto"/>
        </w:rPr>
      </w:pPr>
      <w:r>
        <w:rPr>
          <w:rFonts w:ascii="Arial" w:cs="Arial" w:eastAsia="Arial" w:hAnsi="Arial"/>
          <w:sz w:val="22"/>
          <w:szCs w:val="22"/>
          <w:color w:val="auto"/>
        </w:rPr>
        <w:t>IN WITNESS WHEREOF,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AXSOME THERAPEUTICS, INC.</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 _________________________________</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Name:______________________________</w:t>
      </w:r>
    </w:p>
    <w:p>
      <w:pPr>
        <w:ind w:left="760"/>
        <w:spacing w:after="0" w:line="238" w:lineRule="auto"/>
        <w:rPr>
          <w:sz w:val="20"/>
          <w:szCs w:val="20"/>
          <w:color w:val="auto"/>
        </w:rPr>
      </w:pPr>
      <w:r>
        <w:rPr>
          <w:rFonts w:ascii="Arial" w:cs="Arial" w:eastAsia="Arial" w:hAnsi="Arial"/>
          <w:sz w:val="22"/>
          <w:szCs w:val="22"/>
          <w:color w:val="auto"/>
        </w:rPr>
        <w:t>(Print)</w:t>
      </w:r>
    </w:p>
    <w:p>
      <w:pPr>
        <w:ind w:left="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916305</wp:posOffset>
            </wp:positionV>
            <wp:extent cx="5960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00"/>
          </w:cols>
          <w:pgMar w:left="1260" w:top="118" w:right="14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color w:val="auto"/>
        </w:rPr>
        <w:t>APPENDIX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 OF EXERCISE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1.The undersigned Holder hereby exercises its right to purchase ___________ shares of the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Common/Series ______ Preferred [circle one] Stock of __________________ (the “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in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accordance with the attached Warrant To Purchase Stock, and tenders payment of the aggregate Warrant Price for such shares as follows: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88"/>
              </w:rPr>
              <w:t>check in the amount of $________ payable to order of the Company enclosed</w:t>
            </w:r>
          </w:p>
        </w:tc>
      </w:tr>
      <w:tr>
        <w:trPr>
          <w:trHeight w:val="275"/>
        </w:trPr>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160" w:type="dxa"/>
            <w:vAlign w:val="bottom"/>
          </w:tcPr>
          <w:p>
            <w:pPr>
              <w:ind w:left="480"/>
              <w:spacing w:after="0"/>
              <w:rPr>
                <w:sz w:val="20"/>
                <w:szCs w:val="20"/>
                <w:color w:val="auto"/>
              </w:rPr>
            </w:pPr>
            <w:r>
              <w:rPr>
                <w:rFonts w:ascii="Arial" w:cs="Arial" w:eastAsia="Arial" w:hAnsi="Arial"/>
                <w:sz w:val="22"/>
                <w:szCs w:val="22"/>
                <w:color w:val="auto"/>
              </w:rPr>
              <w:t>herewith</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97"/>
              </w:rPr>
              <w:t>Wire transfer of immediately available funds to the Company’s account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60" w:type="dxa"/>
            <w:vAlign w:val="bottom"/>
          </w:tcPr>
          <w:p>
            <w:pPr>
              <w:ind w:left="440"/>
              <w:spacing w:after="0"/>
              <w:rPr>
                <w:sz w:val="20"/>
                <w:szCs w:val="20"/>
                <w:color w:val="auto"/>
              </w:rPr>
            </w:pPr>
            <w:r>
              <w:rPr>
                <w:rFonts w:ascii="Arial" w:cs="Arial" w:eastAsia="Arial" w:hAnsi="Arial"/>
                <w:sz w:val="22"/>
                <w:szCs w:val="22"/>
                <w:color w:val="auto"/>
                <w:w w:val="98"/>
              </w:rPr>
              <w:t>Other [Describe] __________________________________________</w:t>
            </w:r>
          </w:p>
        </w:tc>
      </w:tr>
    </w:tbl>
    <w:p>
      <w:pPr>
        <w:spacing w:after="0" w:line="185" w:lineRule="exact"/>
        <w:rPr>
          <w:sz w:val="20"/>
          <w:szCs w:val="20"/>
          <w:color w:val="auto"/>
        </w:rPr>
      </w:pPr>
    </w:p>
    <w:p>
      <w:pPr>
        <w:ind w:left="1460" w:hanging="817"/>
        <w:spacing w:after="0"/>
        <w:tabs>
          <w:tab w:leader="none" w:pos="14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ind w:left="1940"/>
        <w:spacing w:after="0" w:line="230" w:lineRule="auto"/>
        <w:rPr>
          <w:sz w:val="20"/>
          <w:szCs w:val="20"/>
          <w:color w:val="auto"/>
        </w:rPr>
      </w:pPr>
      <w:r>
        <w:rPr>
          <w:rFonts w:ascii="Arial" w:cs="Arial" w:eastAsia="Arial" w:hAnsi="Arial"/>
          <w:sz w:val="22"/>
          <w:szCs w:val="22"/>
          <w:color w:val="auto"/>
        </w:rPr>
        <w:t>___________________________________________</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Holder’s Name</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233"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right="20" w:firstLine="643"/>
        <w:spacing w:after="0" w:line="328" w:lineRule="auto"/>
        <w:tabs>
          <w:tab w:leader="none" w:pos="1019" w:val="left"/>
        </w:tabs>
        <w:numPr>
          <w:ilvl w:val="0"/>
          <w:numId w:val="78"/>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Stock as of the date hereof.</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Title:_________________________</w:t>
      </w:r>
    </w:p>
    <w:p>
      <w:pPr>
        <w:spacing w:after="0" w:line="233"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(Date):_______________________</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5960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61" w:right="1239"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22"/>
          <w:szCs w:val="22"/>
          <w:b w:val="1"/>
          <w:bCs w:val="1"/>
          <w:color w:val="auto"/>
        </w:rPr>
        <w:t>FIRST AMENDMENT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jc w:val="center"/>
        <w:ind w:right="-20"/>
        <w:spacing w:after="0"/>
        <w:rPr>
          <w:sz w:val="20"/>
          <w:szCs w:val="20"/>
          <w:color w:val="auto"/>
        </w:rPr>
      </w:pPr>
      <w:r>
        <w:rPr>
          <w:rFonts w:ascii="Arial" w:cs="Arial" w:eastAsia="Arial" w:hAnsi="Arial"/>
          <w:sz w:val="22"/>
          <w:szCs w:val="22"/>
          <w:b w:val="1"/>
          <w:bCs w:val="1"/>
          <w:color w:val="auto"/>
        </w:rPr>
        <w:t>LOAN AND SECURITY AGREEMENT</w:t>
      </w:r>
    </w:p>
    <w:p>
      <w:pPr>
        <w:spacing w:after="0" w:line="209" w:lineRule="exact"/>
        <w:rPr>
          <w:sz w:val="20"/>
          <w:szCs w:val="20"/>
          <w:color w:val="auto"/>
        </w:rPr>
      </w:pPr>
    </w:p>
    <w:p>
      <w:pPr>
        <w:jc w:val="both"/>
        <w:ind w:left="160" w:right="139" w:firstLine="648"/>
        <w:spacing w:after="0" w:line="239" w:lineRule="auto"/>
        <w:rPr>
          <w:sz w:val="20"/>
          <w:szCs w:val="20"/>
          <w:color w:val="auto"/>
        </w:rPr>
      </w:pPr>
      <w:r>
        <w:rPr>
          <w:rFonts w:ascii="Arial" w:cs="Arial" w:eastAsia="Arial" w:hAnsi="Arial"/>
          <w:sz w:val="22"/>
          <w:szCs w:val="22"/>
          <w:color w:val="auto"/>
        </w:rPr>
        <w:t>This First Amendment to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is entered into this 26th day of November, 2018, by and between </w:t>
      </w:r>
      <w:r>
        <w:rPr>
          <w:rFonts w:ascii="Arial" w:cs="Arial" w:eastAsia="Arial" w:hAnsi="Arial"/>
          <w:sz w:val="22"/>
          <w:szCs w:val="22"/>
          <w:b w:val="1"/>
          <w:bCs w:val="1"/>
          <w:color w:val="auto"/>
        </w:rPr>
        <w:t>SILICON VALLEY BANK</w:t>
      </w:r>
      <w:r>
        <w:rPr>
          <w:rFonts w:ascii="Arial" w:cs="Arial" w:eastAsia="Arial" w:hAnsi="Arial"/>
          <w:sz w:val="22"/>
          <w:szCs w:val="22"/>
          <w:color w:val="auto"/>
        </w:rPr>
        <w:t xml:space="preserve"> (“</w:t>
      </w:r>
      <w:r>
        <w:rPr>
          <w:rFonts w:ascii="Arial" w:cs="Arial" w:eastAsia="Arial" w:hAnsi="Arial"/>
          <w:sz w:val="22"/>
          <w:szCs w:val="22"/>
          <w:b w:val="1"/>
          <w:bCs w:val="1"/>
          <w:color w:val="auto"/>
        </w:rPr>
        <w:t>Bank</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AXSOME THERAPEUTICS, INC. </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 whose address is 25</w:t>
      </w:r>
      <w:r>
        <w:rPr>
          <w:rFonts w:ascii="Arial" w:cs="Arial" w:eastAsia="Arial" w:hAnsi="Arial"/>
          <w:sz w:val="22"/>
          <w:szCs w:val="22"/>
          <w:b w:val="1"/>
          <w:bCs w:val="1"/>
          <w:color w:val="auto"/>
        </w:rPr>
        <w:t xml:space="preserve"> </w:t>
      </w:r>
      <w:r>
        <w:rPr>
          <w:rFonts w:ascii="Arial" w:cs="Arial" w:eastAsia="Arial" w:hAnsi="Arial"/>
          <w:sz w:val="22"/>
          <w:szCs w:val="22"/>
          <w:color w:val="auto"/>
        </w:rPr>
        <w:t>Broadway, 9th Floor, New York, New York 10004.</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160" w:right="139" w:firstLine="639"/>
        <w:spacing w:after="0"/>
        <w:tabs>
          <w:tab w:leader="none" w:pos="1531"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Bank and Borrower have entered into that certain Loan and Security Agreement dated as of November 9, 2016 (as the same may from time to time be amended, modified, supplemented or restated, the “</w:t>
      </w:r>
      <w:r>
        <w:rPr>
          <w:rFonts w:ascii="Arial" w:cs="Arial" w:eastAsia="Arial" w:hAnsi="Arial"/>
          <w:sz w:val="22"/>
          <w:szCs w:val="22"/>
          <w:b w:val="1"/>
          <w:bCs w:val="1"/>
          <w:color w:val="auto"/>
        </w:rPr>
        <w:t>Loan Agreement</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ind w:left="1520" w:hanging="721"/>
        <w:spacing w:after="0"/>
        <w:tabs>
          <w:tab w:leader="none" w:pos="1520" w:val="left"/>
        </w:tabs>
        <w:numPr>
          <w:ilvl w:val="0"/>
          <w:numId w:val="79"/>
        </w:numPr>
        <w:rPr>
          <w:rFonts w:ascii="Arial" w:cs="Arial" w:eastAsia="Arial" w:hAnsi="Arial"/>
          <w:sz w:val="21"/>
          <w:szCs w:val="21"/>
          <w:b w:val="1"/>
          <w:bCs w:val="1"/>
          <w:color w:val="auto"/>
        </w:rPr>
      </w:pPr>
      <w:r>
        <w:rPr>
          <w:rFonts w:ascii="Arial" w:cs="Arial" w:eastAsia="Arial" w:hAnsi="Arial"/>
          <w:sz w:val="21"/>
          <w:szCs w:val="21"/>
          <w:color w:val="auto"/>
        </w:rPr>
        <w:t>Bank has extended credit to Borrower for the purposes permitted in the Loan</w:t>
      </w:r>
    </w:p>
    <w:p>
      <w:pPr>
        <w:spacing w:after="0" w:line="19" w:lineRule="exact"/>
        <w:rPr>
          <w:rFonts w:ascii="Arial" w:cs="Arial" w:eastAsia="Arial" w:hAnsi="Arial"/>
          <w:sz w:val="21"/>
          <w:szCs w:val="21"/>
          <w:b w:val="1"/>
          <w:bCs w:val="1"/>
          <w:color w:val="auto"/>
        </w:rPr>
      </w:pPr>
    </w:p>
    <w:p>
      <w:pPr>
        <w:ind w:left="160"/>
        <w:spacing w:after="0"/>
        <w:rPr>
          <w:rFonts w:ascii="Arial" w:cs="Arial" w:eastAsia="Arial" w:hAnsi="Arial"/>
          <w:sz w:val="21"/>
          <w:szCs w:val="21"/>
          <w:b w:val="1"/>
          <w:bCs w:val="1"/>
          <w:color w:val="auto"/>
        </w:rPr>
      </w:pPr>
      <w:r>
        <w:rPr>
          <w:rFonts w:ascii="Arial" w:cs="Arial" w:eastAsia="Arial" w:hAnsi="Arial"/>
          <w:sz w:val="22"/>
          <w:szCs w:val="22"/>
          <w:color w:val="auto"/>
        </w:rPr>
        <w:t>Agreement.</w:t>
      </w:r>
    </w:p>
    <w:p>
      <w:pPr>
        <w:spacing w:after="0" w:line="188" w:lineRule="exact"/>
        <w:rPr>
          <w:rFonts w:ascii="Arial" w:cs="Arial" w:eastAsia="Arial" w:hAnsi="Arial"/>
          <w:sz w:val="21"/>
          <w:szCs w:val="21"/>
          <w:b w:val="1"/>
          <w:bCs w:val="1"/>
          <w:color w:val="auto"/>
        </w:rPr>
      </w:pPr>
    </w:p>
    <w:p>
      <w:pPr>
        <w:jc w:val="both"/>
        <w:ind w:left="160" w:right="139" w:firstLine="639"/>
        <w:spacing w:after="0" w:line="238" w:lineRule="auto"/>
        <w:tabs>
          <w:tab w:leader="none" w:pos="1531"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Borrower has requested that Bank amend the Loan Agreement to (i) extend a new term loan to Borrower, (ii) consent to the Subsidiary Formation (as defined herein), (iii) waive the Stated Default (as defined herein), and (iv) make certain other revisions to the Loan Agreement as more fully set forth herein.</w:t>
      </w:r>
    </w:p>
    <w:p>
      <w:pPr>
        <w:spacing w:after="0" w:line="185" w:lineRule="exact"/>
        <w:rPr>
          <w:rFonts w:ascii="Arial" w:cs="Arial" w:eastAsia="Arial" w:hAnsi="Arial"/>
          <w:sz w:val="22"/>
          <w:szCs w:val="22"/>
          <w:b w:val="1"/>
          <w:bCs w:val="1"/>
          <w:color w:val="auto"/>
        </w:rPr>
      </w:pPr>
    </w:p>
    <w:p>
      <w:pPr>
        <w:jc w:val="both"/>
        <w:ind w:left="160" w:right="139" w:firstLine="639"/>
        <w:spacing w:after="0"/>
        <w:tabs>
          <w:tab w:leader="none" w:pos="1531"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left="160" w:right="139"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recitals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adequacy of which is hereby acknowledged, and intending to be legally bound, the parties hereto agree as follows:</w:t>
      </w:r>
    </w:p>
    <w:p>
      <w:pPr>
        <w:spacing w:after="0" w:line="177" w:lineRule="exact"/>
        <w:rPr>
          <w:sz w:val="20"/>
          <w:szCs w:val="20"/>
          <w:color w:val="auto"/>
        </w:rPr>
      </w:pPr>
    </w:p>
    <w:p>
      <w:pPr>
        <w:ind w:left="160" w:right="159" w:firstLine="639"/>
        <w:spacing w:after="0" w:line="256" w:lineRule="auto"/>
        <w:tabs>
          <w:tab w:leader="none" w:pos="1497"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meanings given to them in the Loan Agreement.</w:t>
      </w:r>
    </w:p>
    <w:p>
      <w:pPr>
        <w:spacing w:after="0" w:line="162" w:lineRule="exact"/>
        <w:rPr>
          <w:rFonts w:ascii="Arial" w:cs="Arial" w:eastAsia="Arial" w:hAnsi="Arial"/>
          <w:sz w:val="22"/>
          <w:szCs w:val="22"/>
          <w:b w:val="1"/>
          <w:bCs w:val="1"/>
          <w:color w:val="auto"/>
        </w:rPr>
      </w:pPr>
    </w:p>
    <w:p>
      <w:pPr>
        <w:ind w:left="1480" w:hanging="681"/>
        <w:spacing w:after="0"/>
        <w:tabs>
          <w:tab w:leader="none" w:pos="14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98" w:lineRule="exact"/>
        <w:rPr>
          <w:sz w:val="20"/>
          <w:szCs w:val="20"/>
          <w:color w:val="auto"/>
        </w:rPr>
      </w:pPr>
    </w:p>
    <w:p>
      <w:pPr>
        <w:ind w:left="160" w:right="159" w:firstLine="1296"/>
        <w:spacing w:after="0" w:line="335" w:lineRule="auto"/>
        <w:rPr>
          <w:sz w:val="20"/>
          <w:szCs w:val="20"/>
          <w:color w:val="auto"/>
        </w:rPr>
      </w:pPr>
      <w:r>
        <w:rPr>
          <w:rFonts w:ascii="Arial" w:cs="Arial" w:eastAsia="Arial" w:hAnsi="Arial"/>
          <w:sz w:val="19"/>
          <w:szCs w:val="19"/>
          <w:b w:val="1"/>
          <w:bCs w:val="1"/>
          <w:color w:val="auto"/>
        </w:rPr>
        <w:t>2.1 Section 2.1.2 (2018 Term Loan Advance)</w:t>
      </w:r>
      <w:r>
        <w:rPr>
          <w:rFonts w:ascii="Arial" w:cs="Arial" w:eastAsia="Arial" w:hAnsi="Arial"/>
          <w:sz w:val="19"/>
          <w:szCs w:val="19"/>
          <w:color w:val="auto"/>
        </w:rPr>
        <w:t>. The Loan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by inserting the following new section to appear immediately following Section 2.1.1:</w:t>
      </w:r>
    </w:p>
    <w:p>
      <w:pPr>
        <w:spacing w:after="0" w:line="92" w:lineRule="exact"/>
        <w:rPr>
          <w:sz w:val="20"/>
          <w:szCs w:val="20"/>
          <w:color w:val="auto"/>
        </w:rPr>
      </w:pPr>
    </w:p>
    <w:p>
      <w:pPr>
        <w:ind w:left="2100"/>
        <w:spacing w:after="0"/>
        <w:tabs>
          <w:tab w:leader="none" w:pos="316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2018 Term Loan Advance</w:t>
      </w:r>
      <w:r>
        <w:rPr>
          <w:rFonts w:ascii="Arial" w:cs="Arial" w:eastAsia="Arial" w:hAnsi="Arial"/>
          <w:sz w:val="19"/>
          <w:szCs w:val="19"/>
          <w:color w:val="auto"/>
        </w:rPr>
        <w:t>.</w:t>
      </w:r>
    </w:p>
    <w:p>
      <w:pPr>
        <w:spacing w:after="0" w:line="239" w:lineRule="exact"/>
        <w:rPr>
          <w:sz w:val="20"/>
          <w:szCs w:val="20"/>
          <w:color w:val="auto"/>
        </w:rPr>
      </w:pPr>
    </w:p>
    <w:p>
      <w:pPr>
        <w:ind w:left="1440" w:right="139" w:firstLine="655"/>
        <w:spacing w:after="0" w:line="249" w:lineRule="auto"/>
        <w:tabs>
          <w:tab w:leader="none" w:pos="297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Availability</w:t>
      </w:r>
      <w:r>
        <w:rPr>
          <w:rFonts w:ascii="Arial" w:cs="Arial" w:eastAsia="Arial" w:hAnsi="Arial"/>
          <w:sz w:val="21"/>
          <w:szCs w:val="21"/>
          <w:color w:val="auto"/>
        </w:rPr>
        <w:t>. Subject to the terms and conditions of this Agreement, during the 2018 Draw Period, Bank shall make one (1) advance (the “</w:t>
      </w:r>
      <w:r>
        <w:rPr>
          <w:rFonts w:ascii="Arial" w:cs="Arial" w:eastAsia="Arial" w:hAnsi="Arial"/>
          <w:sz w:val="21"/>
          <w:szCs w:val="21"/>
          <w:b w:val="1"/>
          <w:bCs w:val="1"/>
          <w:color w:val="auto"/>
        </w:rPr>
        <w:t>2018 Term</w:t>
      </w:r>
      <w:r>
        <w:rPr>
          <w:rFonts w:ascii="Arial" w:cs="Arial" w:eastAsia="Arial" w:hAnsi="Arial"/>
          <w:sz w:val="21"/>
          <w:szCs w:val="21"/>
          <w:color w:val="auto"/>
        </w:rPr>
        <w:t xml:space="preserve"> </w:t>
      </w:r>
      <w:r>
        <w:rPr>
          <w:rFonts w:ascii="Arial" w:cs="Arial" w:eastAsia="Arial" w:hAnsi="Arial"/>
          <w:sz w:val="21"/>
          <w:szCs w:val="21"/>
          <w:b w:val="1"/>
          <w:bCs w:val="1"/>
          <w:color w:val="auto"/>
        </w:rPr>
        <w:t>Loan Advance</w:t>
      </w:r>
      <w:r>
        <w:rPr>
          <w:rFonts w:ascii="Arial" w:cs="Arial" w:eastAsia="Arial" w:hAnsi="Arial"/>
          <w:sz w:val="21"/>
          <w:szCs w:val="21"/>
          <w:color w:val="auto"/>
        </w:rPr>
        <w:t>”) available to Borrower in an original principal amount equal to Four</w:t>
      </w:r>
      <w:r>
        <w:rPr>
          <w:rFonts w:ascii="Arial" w:cs="Arial" w:eastAsia="Arial" w:hAnsi="Arial"/>
          <w:sz w:val="21"/>
          <w:szCs w:val="21"/>
          <w:b w:val="1"/>
          <w:bCs w:val="1"/>
          <w:color w:val="auto"/>
        </w:rPr>
        <w:t xml:space="preserve"> </w:t>
      </w:r>
      <w:r>
        <w:rPr>
          <w:rFonts w:ascii="Arial" w:cs="Arial" w:eastAsia="Arial" w:hAnsi="Arial"/>
          <w:sz w:val="21"/>
          <w:szCs w:val="21"/>
          <w:color w:val="auto"/>
        </w:rPr>
        <w:t>Million Dollars ($4,000,000.00). After repayment, the 2018 Term Loan Advance (or any portion thereof)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127000</wp:posOffset>
            </wp:positionV>
            <wp:extent cx="554863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8" w:name="page189"/>
    <w:bookmarkEnd w:id="188"/>
    <w:p>
      <w:pPr>
        <w:ind w:left="1440" w:right="159" w:firstLine="655"/>
        <w:spacing w:after="0" w:line="249" w:lineRule="auto"/>
        <w:tabs>
          <w:tab w:leader="none" w:pos="2989"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Interest Period</w:t>
      </w:r>
      <w:r>
        <w:rPr>
          <w:rFonts w:ascii="Arial" w:cs="Arial" w:eastAsia="Arial" w:hAnsi="Arial"/>
          <w:sz w:val="21"/>
          <w:szCs w:val="21"/>
          <w:color w:val="auto"/>
        </w:rPr>
        <w:t>. Commencing on the first (1st) Payment Date of the month following the month in which the Funding Date of the 2018 Term Loan Advance occurs, and continuing on each Payment Date thereafter, Borrower shall make monthly payments of interest on the principal amount of the 2018 Term Loan Advance at the rate set forth in Section 2.2(a).</w:t>
      </w:r>
    </w:p>
    <w:p>
      <w:pPr>
        <w:spacing w:after="0" w:line="206" w:lineRule="exact"/>
        <w:rPr>
          <w:rFonts w:ascii="Arial" w:cs="Arial" w:eastAsia="Arial" w:hAnsi="Arial"/>
          <w:sz w:val="21"/>
          <w:szCs w:val="21"/>
          <w:color w:val="auto"/>
        </w:rPr>
      </w:pPr>
    </w:p>
    <w:p>
      <w:pPr>
        <w:ind w:left="1440" w:right="159" w:firstLine="655"/>
        <w:spacing w:after="0" w:line="275" w:lineRule="auto"/>
        <w:tabs>
          <w:tab w:leader="none" w:pos="2976"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Commencing on the 2018 Term Loan Amortization Date, and continuing on each Payment Date thereafter, Borrower shall repay the 2018 Term Loan Advance in (i) equal consecutive monthly installments of principal based on the 2018 Repayment Schedule, plus (ii) monthly payments of accrued interest at the rate set forth in Section 2.2(a). All outstanding principal and accrued and unpaid interest with respect to the 2018 Term Loan Advance, and all other outstanding Obligations with respect to the 2018 Term Loan Advance, are due and payable in full on the Term Loan Maturity Date.</w:t>
      </w:r>
    </w:p>
    <w:p>
      <w:pPr>
        <w:spacing w:after="0" w:line="185" w:lineRule="exact"/>
        <w:rPr>
          <w:rFonts w:ascii="Arial" w:cs="Arial" w:eastAsia="Arial" w:hAnsi="Arial"/>
          <w:sz w:val="19"/>
          <w:szCs w:val="19"/>
          <w:color w:val="auto"/>
        </w:rPr>
      </w:pPr>
    </w:p>
    <w:p>
      <w:pPr>
        <w:ind w:left="1440" w:right="159" w:firstLine="655"/>
        <w:spacing w:after="0" w:line="270" w:lineRule="auto"/>
        <w:tabs>
          <w:tab w:leader="none" w:pos="2989"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Permitted Prepayment of the 2018 Term Loan Advance.</w:t>
      </w:r>
      <w:r>
        <w:rPr>
          <w:rFonts w:ascii="Arial" w:cs="Arial" w:eastAsia="Arial" w:hAnsi="Arial"/>
          <w:sz w:val="19"/>
          <w:szCs w:val="19"/>
          <w:color w:val="auto"/>
        </w:rPr>
        <w:t xml:space="preserve"> Borrower shall have the option to prepay all, but not less than all, of the 2018 Term Loan Advance advanced by Bank under this Agreement, provided Borrower (i) provides written notice to Bank of its election to prepay the 2018 Term Loan Advance at least ten (10) days prior to such prepayment, and (ii) pays, on the date of such prepayment</w:t>
      </w:r>
    </w:p>
    <w:p>
      <w:pPr>
        <w:spacing w:after="0" w:line="4" w:lineRule="exact"/>
        <w:rPr>
          <w:rFonts w:ascii="Arial" w:cs="Arial" w:eastAsia="Arial" w:hAnsi="Arial"/>
          <w:sz w:val="19"/>
          <w:szCs w:val="19"/>
          <w:color w:val="auto"/>
        </w:rPr>
      </w:pPr>
    </w:p>
    <w:p>
      <w:pPr>
        <w:jc w:val="both"/>
        <w:ind w:left="1440" w:right="579" w:firstLine="7"/>
        <w:spacing w:after="0" w:line="233" w:lineRule="auto"/>
        <w:tabs>
          <w:tab w:leader="none" w:pos="1794"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outstanding principal plus accrued and unpaid interest, (B) the 2018 Final Payment, (C) the 2018 Prepayment Premium, plus (D) all other sums, if any, that shall have become due and payable, including interest at the Default Rate with respect to any past due amounts.</w:t>
      </w:r>
    </w:p>
    <w:p>
      <w:pPr>
        <w:spacing w:after="0" w:line="215" w:lineRule="exact"/>
        <w:rPr>
          <w:rFonts w:ascii="Arial" w:cs="Arial" w:eastAsia="Arial" w:hAnsi="Arial"/>
          <w:sz w:val="22"/>
          <w:szCs w:val="22"/>
          <w:color w:val="auto"/>
        </w:rPr>
      </w:pPr>
    </w:p>
    <w:p>
      <w:pPr>
        <w:ind w:left="1440" w:right="359" w:firstLine="655"/>
        <w:spacing w:after="0" w:line="234" w:lineRule="auto"/>
        <w:tabs>
          <w:tab w:leader="none" w:pos="2976"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Mandatory Prepayment Upon an Acceleration.</w:t>
      </w:r>
      <w:r>
        <w:rPr>
          <w:rFonts w:ascii="Arial" w:cs="Arial" w:eastAsia="Arial" w:hAnsi="Arial"/>
          <w:sz w:val="22"/>
          <w:szCs w:val="22"/>
          <w:color w:val="auto"/>
        </w:rPr>
        <w:t xml:space="preserve"> If the 2018 Term Loan Advance is accelerated following the occurrence of an Event of Default, Borrower shall immediately pay to Bank an amount equal to the sum of: (i) all outstanding principal plus accrued and unpaid interest, (ii) the 2018 Final Payment, (iii) the 2018 Prepayment Premium, plus (iv) all other sums, if any, that shall have become due and payable, including interest at the Default Rate with respect to any past due amounts.”</w:t>
      </w:r>
    </w:p>
    <w:p>
      <w:pPr>
        <w:spacing w:after="0" w:line="212" w:lineRule="exact"/>
        <w:rPr>
          <w:sz w:val="20"/>
          <w:szCs w:val="20"/>
          <w:color w:val="auto"/>
        </w:rPr>
      </w:pPr>
    </w:p>
    <w:p>
      <w:pPr>
        <w:ind w:left="160" w:right="159" w:firstLine="1296"/>
        <w:spacing w:after="0" w:line="256" w:lineRule="auto"/>
        <w:rPr>
          <w:sz w:val="20"/>
          <w:szCs w:val="20"/>
          <w:color w:val="auto"/>
        </w:rPr>
      </w:pPr>
      <w:r>
        <w:rPr>
          <w:rFonts w:ascii="Arial" w:cs="Arial" w:eastAsia="Arial" w:hAnsi="Arial"/>
          <w:sz w:val="22"/>
          <w:szCs w:val="22"/>
          <w:b w:val="1"/>
          <w:bCs w:val="1"/>
          <w:color w:val="auto"/>
        </w:rPr>
        <w:t>2.2 Section 2.2(a) (Interest Rate)</w:t>
      </w:r>
      <w:r>
        <w:rPr>
          <w:rFonts w:ascii="Arial" w:cs="Arial" w:eastAsia="Arial" w:hAnsi="Arial"/>
          <w:sz w:val="22"/>
          <w:szCs w:val="22"/>
          <w:color w:val="auto"/>
        </w:rPr>
        <w:t>. Section 2.2(a) of the Loan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replaced with the following:</w:t>
      </w:r>
    </w:p>
    <w:p>
      <w:pPr>
        <w:spacing w:after="0" w:line="169" w:lineRule="exact"/>
        <w:rPr>
          <w:sz w:val="20"/>
          <w:szCs w:val="20"/>
          <w:color w:val="auto"/>
        </w:rPr>
      </w:pPr>
    </w:p>
    <w:p>
      <w:pPr>
        <w:ind w:left="1440" w:right="359" w:firstLine="655"/>
        <w:spacing w:after="0" w:line="277" w:lineRule="auto"/>
        <w:tabs>
          <w:tab w:leader="none" w:pos="297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Interest Rate</w:t>
      </w:r>
      <w:r>
        <w:rPr>
          <w:rFonts w:ascii="Arial" w:cs="Arial" w:eastAsia="Arial" w:hAnsi="Arial"/>
          <w:sz w:val="19"/>
          <w:szCs w:val="19"/>
          <w:color w:val="auto"/>
        </w:rPr>
        <w:t>. Subject to Section 2.2(b), the principal amount outstanding for (i) each Term Loan Advance shall accrue interest at a floating per annum rate equal to four and one-half of one percent (4.50%) above the Prime Rate and (ii) the 2018 Term Loan Advance shall accrue interest at a floating per annum rate equal to the greater of (A) two percent (2.00%) above the Prime Rate and (B) seven and one-quarter of one percent (7.25%), which interest, in each case, shall be payable monthly in accordance with Section 2.2(d) below.”</w:t>
      </w:r>
    </w:p>
    <w:p>
      <w:pPr>
        <w:spacing w:after="0" w:line="174" w:lineRule="exact"/>
        <w:rPr>
          <w:sz w:val="20"/>
          <w:szCs w:val="20"/>
          <w:color w:val="auto"/>
        </w:rPr>
      </w:pPr>
    </w:p>
    <w:p>
      <w:pPr>
        <w:ind w:left="160" w:right="159" w:firstLine="1296"/>
        <w:spacing w:after="0" w:line="280" w:lineRule="auto"/>
        <w:rPr>
          <w:sz w:val="20"/>
          <w:szCs w:val="20"/>
          <w:color w:val="auto"/>
        </w:rPr>
      </w:pPr>
      <w:r>
        <w:rPr>
          <w:rFonts w:ascii="Arial" w:cs="Arial" w:eastAsia="Arial" w:hAnsi="Arial"/>
          <w:sz w:val="21"/>
          <w:szCs w:val="21"/>
          <w:b w:val="1"/>
          <w:bCs w:val="1"/>
          <w:color w:val="auto"/>
        </w:rPr>
        <w:t>2.3 Section 2.3 (Fees)</w:t>
      </w:r>
      <w:r>
        <w:rPr>
          <w:rFonts w:ascii="Arial" w:cs="Arial" w:eastAsia="Arial" w:hAnsi="Arial"/>
          <w:sz w:val="21"/>
          <w:szCs w:val="21"/>
          <w:color w:val="auto"/>
        </w:rPr>
        <w:t>. Section 2.3 is amended by inserting the following new</w:t>
      </w:r>
      <w:r>
        <w:rPr>
          <w:rFonts w:ascii="Arial" w:cs="Arial" w:eastAsia="Arial" w:hAnsi="Arial"/>
          <w:sz w:val="21"/>
          <w:szCs w:val="21"/>
          <w:b w:val="1"/>
          <w:bCs w:val="1"/>
          <w:color w:val="auto"/>
        </w:rPr>
        <w:t xml:space="preserve"> </w:t>
      </w:r>
      <w:r>
        <w:rPr>
          <w:rFonts w:ascii="Arial" w:cs="Arial" w:eastAsia="Arial" w:hAnsi="Arial"/>
          <w:sz w:val="21"/>
          <w:szCs w:val="21"/>
          <w:color w:val="auto"/>
        </w:rPr>
        <w:t>subsections immediately following subsection (e) to appear as subsections (f) and (g)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242570</wp:posOffset>
            </wp:positionV>
            <wp:extent cx="554863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9" w:name="page190"/>
    <w:bookmarkEnd w:id="189"/>
    <w:p>
      <w:pPr>
        <w:ind w:left="2980" w:hanging="885"/>
        <w:spacing w:after="0"/>
        <w:tabs>
          <w:tab w:leader="none" w:pos="29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2018 Final Payment</w:t>
      </w:r>
      <w:r>
        <w:rPr>
          <w:rFonts w:ascii="Arial" w:cs="Arial" w:eastAsia="Arial" w:hAnsi="Arial"/>
          <w:sz w:val="22"/>
          <w:szCs w:val="22"/>
          <w:color w:val="auto"/>
        </w:rPr>
        <w:t>. The 2018 Final Payment, when due</w:t>
      </w:r>
    </w:p>
    <w:p>
      <w:pPr>
        <w:spacing w:after="0" w:line="8" w:lineRule="exact"/>
        <w:rPr>
          <w:rFonts w:ascii="Arial" w:cs="Arial" w:eastAsia="Arial" w:hAnsi="Arial"/>
          <w:sz w:val="22"/>
          <w:szCs w:val="22"/>
          <w:color w:val="auto"/>
        </w:rPr>
      </w:pPr>
    </w:p>
    <w:p>
      <w:pPr>
        <w:ind w:left="1440"/>
        <w:spacing w:after="0"/>
        <w:rPr>
          <w:rFonts w:ascii="Arial" w:cs="Arial" w:eastAsia="Arial" w:hAnsi="Arial"/>
          <w:sz w:val="22"/>
          <w:szCs w:val="22"/>
          <w:color w:val="auto"/>
        </w:rPr>
      </w:pPr>
      <w:r>
        <w:rPr>
          <w:rFonts w:ascii="Arial" w:cs="Arial" w:eastAsia="Arial" w:hAnsi="Arial"/>
          <w:sz w:val="22"/>
          <w:szCs w:val="22"/>
          <w:color w:val="auto"/>
        </w:rPr>
        <w:t>hereunder.</w:t>
      </w:r>
    </w:p>
    <w:p>
      <w:pPr>
        <w:spacing w:after="0" w:line="215" w:lineRule="exact"/>
        <w:rPr>
          <w:rFonts w:ascii="Arial" w:cs="Arial" w:eastAsia="Arial" w:hAnsi="Arial"/>
          <w:sz w:val="22"/>
          <w:szCs w:val="22"/>
          <w:color w:val="auto"/>
        </w:rPr>
      </w:pPr>
    </w:p>
    <w:p>
      <w:pPr>
        <w:ind w:left="2960" w:hanging="865"/>
        <w:spacing w:after="0"/>
        <w:tabs>
          <w:tab w:leader="none" w:pos="296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2018 Prepayment Premium</w:t>
      </w:r>
      <w:r>
        <w:rPr>
          <w:rFonts w:ascii="Arial" w:cs="Arial" w:eastAsia="Arial" w:hAnsi="Arial"/>
          <w:sz w:val="19"/>
          <w:szCs w:val="19"/>
          <w:color w:val="auto"/>
        </w:rPr>
        <w:t>. The 2018 Prepayment Premium, when</w:t>
      </w:r>
    </w:p>
    <w:p>
      <w:pPr>
        <w:spacing w:after="0" w:line="42" w:lineRule="exact"/>
        <w:rPr>
          <w:rFonts w:ascii="Arial" w:cs="Arial" w:eastAsia="Arial" w:hAnsi="Arial"/>
          <w:sz w:val="19"/>
          <w:szCs w:val="19"/>
          <w:color w:val="auto"/>
        </w:rPr>
      </w:pPr>
    </w:p>
    <w:p>
      <w:pPr>
        <w:ind w:left="1440"/>
        <w:spacing w:after="0"/>
        <w:rPr>
          <w:rFonts w:ascii="Arial" w:cs="Arial" w:eastAsia="Arial" w:hAnsi="Arial"/>
          <w:sz w:val="19"/>
          <w:szCs w:val="19"/>
          <w:color w:val="auto"/>
        </w:rPr>
      </w:pPr>
      <w:r>
        <w:rPr>
          <w:rFonts w:ascii="Arial" w:cs="Arial" w:eastAsia="Arial" w:hAnsi="Arial"/>
          <w:sz w:val="22"/>
          <w:szCs w:val="22"/>
          <w:color w:val="auto"/>
        </w:rPr>
        <w:t>due hereunder.”</w:t>
      </w:r>
    </w:p>
    <w:p>
      <w:pPr>
        <w:spacing w:after="0" w:line="209" w:lineRule="exact"/>
        <w:rPr>
          <w:sz w:val="20"/>
          <w:szCs w:val="20"/>
          <w:color w:val="auto"/>
        </w:rPr>
      </w:pPr>
    </w:p>
    <w:p>
      <w:pPr>
        <w:jc w:val="both"/>
        <w:ind w:left="160" w:right="139" w:firstLine="1296"/>
        <w:spacing w:after="0" w:line="239" w:lineRule="auto"/>
        <w:rPr>
          <w:sz w:val="20"/>
          <w:szCs w:val="20"/>
          <w:color w:val="auto"/>
        </w:rPr>
      </w:pPr>
      <w:r>
        <w:rPr>
          <w:rFonts w:ascii="Arial" w:cs="Arial" w:eastAsia="Arial" w:hAnsi="Arial"/>
          <w:sz w:val="22"/>
          <w:szCs w:val="22"/>
          <w:b w:val="1"/>
          <w:bCs w:val="1"/>
          <w:color w:val="auto"/>
        </w:rPr>
        <w:t xml:space="preserve">2.4 Section 6.2 </w:t>
      </w:r>
      <w:r>
        <w:rPr>
          <w:rFonts w:ascii="Arial" w:cs="Arial" w:eastAsia="Arial" w:hAnsi="Arial"/>
          <w:sz w:val="22"/>
          <w:szCs w:val="22"/>
          <w:color w:val="auto"/>
        </w:rPr>
        <w:t>(</w:t>
      </w:r>
      <w:r>
        <w:rPr>
          <w:rFonts w:ascii="Arial" w:cs="Arial" w:eastAsia="Arial" w:hAnsi="Arial"/>
          <w:sz w:val="22"/>
          <w:szCs w:val="22"/>
          <w:b w:val="1"/>
          <w:bCs w:val="1"/>
          <w:color w:val="auto"/>
        </w:rPr>
        <w:t>Financial Statements, Reports, Certificates</w:t>
      </w:r>
      <w:r>
        <w:rPr>
          <w:rFonts w:ascii="Arial" w:cs="Arial" w:eastAsia="Arial" w:hAnsi="Arial"/>
          <w:sz w:val="22"/>
          <w:szCs w:val="22"/>
          <w:color w:val="auto"/>
        </w:rPr>
        <w:t>). Section 6.2 is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(i) deleting the text “and” appearing at the end of subsection (h) thereof, (ii) re-lettering subsection (i) to appear as subsection (j) thereof, and (iii) inserting the following new subsection to appear as new subsection (i) thereof:</w:t>
      </w:r>
    </w:p>
    <w:p>
      <w:pPr>
        <w:spacing w:after="0" w:line="187" w:lineRule="exact"/>
        <w:rPr>
          <w:sz w:val="20"/>
          <w:szCs w:val="20"/>
          <w:color w:val="auto"/>
        </w:rPr>
      </w:pPr>
    </w:p>
    <w:p>
      <w:pPr>
        <w:jc w:val="both"/>
        <w:ind w:left="1440" w:right="139" w:firstLine="655"/>
        <w:spacing w:after="0" w:line="235" w:lineRule="auto"/>
        <w:tabs>
          <w:tab w:leader="none" w:pos="29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Beneficial Ownership Information</w:t>
      </w:r>
      <w:r>
        <w:rPr>
          <w:rFonts w:ascii="Arial" w:cs="Arial" w:eastAsia="Arial" w:hAnsi="Arial"/>
          <w:sz w:val="22"/>
          <w:szCs w:val="22"/>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182" w:lineRule="exact"/>
        <w:rPr>
          <w:sz w:val="20"/>
          <w:szCs w:val="20"/>
          <w:color w:val="auto"/>
        </w:rPr>
      </w:pPr>
    </w:p>
    <w:p>
      <w:pPr>
        <w:ind w:left="160" w:right="139" w:firstLine="1296"/>
        <w:spacing w:after="0" w:line="280" w:lineRule="auto"/>
        <w:rPr>
          <w:sz w:val="20"/>
          <w:szCs w:val="20"/>
          <w:color w:val="auto"/>
        </w:rPr>
      </w:pPr>
      <w:r>
        <w:rPr>
          <w:rFonts w:ascii="Arial" w:cs="Arial" w:eastAsia="Arial" w:hAnsi="Arial"/>
          <w:sz w:val="21"/>
          <w:szCs w:val="21"/>
          <w:b w:val="1"/>
          <w:bCs w:val="1"/>
          <w:color w:val="auto"/>
        </w:rPr>
        <w:t>2.5 Section 6.6(a) (Operating Accounts</w:t>
      </w:r>
      <w:r>
        <w:rPr>
          <w:rFonts w:ascii="Arial" w:cs="Arial" w:eastAsia="Arial" w:hAnsi="Arial"/>
          <w:sz w:val="21"/>
          <w:szCs w:val="21"/>
          <w:color w:val="auto"/>
        </w:rPr>
        <w:t>). Subsections (a) and (b) of Section 6.6</w:t>
      </w:r>
      <w:r>
        <w:rPr>
          <w:rFonts w:ascii="Arial" w:cs="Arial" w:eastAsia="Arial" w:hAnsi="Arial"/>
          <w:sz w:val="21"/>
          <w:szCs w:val="21"/>
          <w:b w:val="1"/>
          <w:bCs w:val="1"/>
          <w:color w:val="auto"/>
        </w:rPr>
        <w:t xml:space="preserve"> </w:t>
      </w:r>
      <w:r>
        <w:rPr>
          <w:rFonts w:ascii="Arial" w:cs="Arial" w:eastAsia="Arial" w:hAnsi="Arial"/>
          <w:sz w:val="21"/>
          <w:szCs w:val="21"/>
          <w:color w:val="auto"/>
        </w:rPr>
        <w:t>of the Loan Agreement are deleted in their entirety and replaced with the following:</w:t>
      </w:r>
    </w:p>
    <w:p>
      <w:pPr>
        <w:spacing w:after="0" w:line="145" w:lineRule="exact"/>
        <w:rPr>
          <w:sz w:val="20"/>
          <w:szCs w:val="20"/>
          <w:color w:val="auto"/>
        </w:rPr>
      </w:pPr>
    </w:p>
    <w:p>
      <w:pPr>
        <w:ind w:left="1440" w:right="219" w:firstLine="655"/>
        <w:spacing w:after="0" w:line="274" w:lineRule="auto"/>
        <w:tabs>
          <w:tab w:leader="none" w:pos="2976"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Maintain all of its and all of its Subsidiaries’ operating, depository and securities accounts with Bank and Bank’s Affiliates; provided that, Borrower may maintain one (1) account with CitiBank, so long as such account does not contain more than Ten Thousand Dollars ($10,000.00) in the aggregate any time (the “</w:t>
      </w:r>
      <w:r>
        <w:rPr>
          <w:rFonts w:ascii="Arial" w:cs="Arial" w:eastAsia="Arial" w:hAnsi="Arial"/>
          <w:sz w:val="19"/>
          <w:szCs w:val="19"/>
          <w:b w:val="1"/>
          <w:bCs w:val="1"/>
          <w:color w:val="auto"/>
        </w:rPr>
        <w:t>CitiBank Account</w:t>
      </w:r>
      <w:r>
        <w:rPr>
          <w:rFonts w:ascii="Arial" w:cs="Arial" w:eastAsia="Arial" w:hAnsi="Arial"/>
          <w:sz w:val="19"/>
          <w:szCs w:val="19"/>
          <w:color w:val="auto"/>
        </w:rPr>
        <w:t>”). Notwithstanding the foregoing, Australian Subsidiary and Irish Subsidiary may maintain accounts outside of the United States with financial institutions other than Bank and Bank’s Affiliates, provided that the maximum aggregate balance in all such accounts shall not exceed One Hundred Fifty Thousand Dollars ($150,000.00) at any time.</w:t>
      </w:r>
    </w:p>
    <w:p>
      <w:pPr>
        <w:spacing w:after="0" w:line="185" w:lineRule="exact"/>
        <w:rPr>
          <w:rFonts w:ascii="Arial" w:cs="Arial" w:eastAsia="Arial" w:hAnsi="Arial"/>
          <w:sz w:val="19"/>
          <w:szCs w:val="19"/>
          <w:color w:val="auto"/>
        </w:rPr>
      </w:pPr>
    </w:p>
    <w:p>
      <w:pPr>
        <w:ind w:left="1440" w:right="179" w:firstLine="655"/>
        <w:spacing w:after="0" w:line="272" w:lineRule="auto"/>
        <w:tabs>
          <w:tab w:leader="none" w:pos="2786" w:val="left"/>
        </w:tabs>
        <w:numPr>
          <w:ilvl w:val="0"/>
          <w:numId w:val="87"/>
        </w:numPr>
        <w:rPr>
          <w:rFonts w:ascii="Arial" w:cs="Arial" w:eastAsia="Arial" w:hAnsi="Arial"/>
          <w:sz w:val="19"/>
          <w:szCs w:val="19"/>
          <w:color w:val="auto"/>
        </w:rPr>
      </w:pPr>
      <w:r>
        <w:rPr>
          <w:rFonts w:ascii="Arial" w:cs="Arial" w:eastAsia="Arial" w:hAnsi="Arial"/>
          <w:sz w:val="19"/>
          <w:szCs w:val="19"/>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(i) to the CitiBank Account or (ii) to deposit accounts exclusively used for payroll, payroll taxes and other employee wage and benefit payments to or for the benefit of Borrower’s employees and identified to Bank by Borrower as such.”</w:t>
      </w:r>
    </w:p>
    <w:p>
      <w:pPr>
        <w:spacing w:after="0" w:line="183" w:lineRule="exact"/>
        <w:rPr>
          <w:sz w:val="20"/>
          <w:szCs w:val="20"/>
          <w:color w:val="auto"/>
        </w:rPr>
      </w:pPr>
    </w:p>
    <w:p>
      <w:pPr>
        <w:ind w:left="160" w:right="159" w:firstLine="1296"/>
        <w:spacing w:after="0" w:line="335" w:lineRule="auto"/>
        <w:rPr>
          <w:sz w:val="20"/>
          <w:szCs w:val="20"/>
          <w:color w:val="auto"/>
        </w:rPr>
      </w:pPr>
      <w:r>
        <w:rPr>
          <w:rFonts w:ascii="Arial" w:cs="Arial" w:eastAsia="Arial" w:hAnsi="Arial"/>
          <w:sz w:val="19"/>
          <w:szCs w:val="19"/>
          <w:b w:val="1"/>
          <w:bCs w:val="1"/>
          <w:color w:val="auto"/>
        </w:rPr>
        <w:t xml:space="preserve">2.6 Section 13.1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 The Loan Agreement is amended by deleting</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 (h) of the definition of “Permitted Investments” in its entirety and replacing it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213360</wp:posOffset>
            </wp:positionV>
            <wp:extent cx="55486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0" w:name="page191"/>
    <w:bookmarkEnd w:id="190"/>
    <w:p>
      <w:pPr>
        <w:ind w:left="160"/>
        <w:spacing w:after="0"/>
        <w:rPr>
          <w:sz w:val="20"/>
          <w:szCs w:val="20"/>
          <w:color w:val="auto"/>
        </w:rPr>
      </w:pPr>
      <w:r>
        <w:rPr>
          <w:rFonts w:ascii="Arial" w:cs="Arial" w:eastAsia="Arial" w:hAnsi="Arial"/>
          <w:sz w:val="22"/>
          <w:szCs w:val="22"/>
          <w:color w:val="auto"/>
        </w:rPr>
        <w:t>following:</w:t>
      </w:r>
    </w:p>
    <w:p>
      <w:pPr>
        <w:spacing w:after="0" w:line="207" w:lineRule="exact"/>
        <w:rPr>
          <w:sz w:val="20"/>
          <w:szCs w:val="20"/>
          <w:color w:val="auto"/>
        </w:rPr>
      </w:pPr>
    </w:p>
    <w:p>
      <w:pPr>
        <w:ind w:left="1440" w:right="159" w:firstLine="655"/>
        <w:spacing w:after="0" w:line="277" w:lineRule="auto"/>
        <w:tabs>
          <w:tab w:leader="none" w:pos="2989"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Investments (i) by Borrower in Australian Subsidiary for ordinary, necessary and current operating expenses not to exceed One Million Five Hundred Thousand Dollars ($1,500,000.00) in the aggregate in any fiscal year and (ii) by Borrower in Irish Subsidiary for ordinary, necessary and current operating expenses not to exceed Fifty Thousand Dollars ($50,000.00) in the aggregate in any fiscal year, provided, in each case, no Event of Default has occurred and is continuing at the time of such Investments or would result from such Investments; and”</w:t>
      </w:r>
    </w:p>
    <w:p>
      <w:pPr>
        <w:spacing w:after="0" w:line="174" w:lineRule="exact"/>
        <w:rPr>
          <w:sz w:val="20"/>
          <w:szCs w:val="20"/>
          <w:color w:val="auto"/>
        </w:rPr>
      </w:pPr>
    </w:p>
    <w:p>
      <w:pPr>
        <w:jc w:val="both"/>
        <w:ind w:left="160" w:right="159" w:firstLine="1296"/>
        <w:spacing w:after="0" w:line="243" w:lineRule="auto"/>
        <w:rPr>
          <w:sz w:val="20"/>
          <w:szCs w:val="20"/>
          <w:color w:val="auto"/>
        </w:rPr>
      </w:pPr>
      <w:r>
        <w:rPr>
          <w:rFonts w:ascii="Arial" w:cs="Arial" w:eastAsia="Arial" w:hAnsi="Arial"/>
          <w:sz w:val="22"/>
          <w:szCs w:val="22"/>
          <w:b w:val="1"/>
          <w:bCs w:val="1"/>
          <w:color w:val="auto"/>
        </w:rPr>
        <w:t xml:space="preserve">2.7 Section 13.1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Loan Agreement is amended by deleting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term and its respective definition set forth in Section 13.1 in its entirety and replacing it with the following:</w:t>
      </w:r>
    </w:p>
    <w:p>
      <w:pPr>
        <w:spacing w:after="0" w:line="177" w:lineRule="exact"/>
        <w:rPr>
          <w:sz w:val="20"/>
          <w:szCs w:val="20"/>
          <w:color w:val="auto"/>
        </w:rPr>
      </w:pPr>
    </w:p>
    <w:p>
      <w:pPr>
        <w:ind w:left="1440" w:right="919"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Extension</w:t>
      </w:r>
      <w:r>
        <w:rPr>
          <w:rFonts w:ascii="Arial" w:cs="Arial" w:eastAsia="Arial" w:hAnsi="Arial"/>
          <w:sz w:val="19"/>
          <w:szCs w:val="19"/>
          <w:color w:val="auto"/>
        </w:rPr>
        <w:t>” is any Term Loan Advance, the 2018 Term Loan Advance, or any other extension of credit by Bank for Borrower’s benefit.”</w:t>
      </w:r>
    </w:p>
    <w:p>
      <w:pPr>
        <w:spacing w:after="0" w:line="119" w:lineRule="exact"/>
        <w:rPr>
          <w:sz w:val="20"/>
          <w:szCs w:val="20"/>
          <w:color w:val="auto"/>
        </w:rPr>
      </w:pPr>
    </w:p>
    <w:p>
      <w:pPr>
        <w:ind w:left="1440" w:right="259"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are Borrower’s obligations to pay when due any debts, principal, interest, fees, the Final Payment, the Prepayment Premium, the 2018 Final Payment, the 2018 Prepayment Premium, Bank Expenses, and other amounts Borrower owes Bank now or later, whether under this Agreement, the other Loan Documents (other than the Warrant), or otherwise, including, without limitation, any interest accruing after Insolvency Proceedings begin and debts, liabilities, or obligations of Borrower assigned to Bank, and to perform Borrower’s duties under the Loan Documents (other than the Warrant).”</w:t>
      </w:r>
    </w:p>
    <w:p>
      <w:pPr>
        <w:spacing w:after="0" w:line="178" w:lineRule="exact"/>
        <w:rPr>
          <w:sz w:val="20"/>
          <w:szCs w:val="20"/>
          <w:color w:val="auto"/>
        </w:rPr>
      </w:pPr>
    </w:p>
    <w:p>
      <w:pPr>
        <w:ind w:left="1440" w:right="159"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w:t>
      </w:r>
      <w:r>
        <w:rPr>
          <w:rFonts w:ascii="Arial" w:cs="Arial" w:eastAsia="Arial" w:hAnsi="Arial"/>
          <w:sz w:val="19"/>
          <w:szCs w:val="19"/>
          <w:color w:val="auto"/>
        </w:rPr>
        <w:t>” is, collectively, (i) that certain Warrant to Purchase Stock dated as of November 9, 2016, between Borrower and Bank, (ii) that certain Warrant to Purchase Stock dated as of November 9, 2016, between Borrower and Life Science Loans, LLC, (iii) that certain Warrant to Purchase Stock dated as of the First Amendment Effective Date, between Borrower and Bank, and (iv) that certain Warrant to Purchase Stock dated as of the First Amendment Effective Date, between Borrower and WestRiver Innovation Lending Fund VIII, L.P., in each case, as may be amended, modified, supplemented, or restated from time to time.”</w:t>
      </w:r>
    </w:p>
    <w:p>
      <w:pPr>
        <w:spacing w:after="0" w:line="178" w:lineRule="exact"/>
        <w:rPr>
          <w:sz w:val="20"/>
          <w:szCs w:val="20"/>
          <w:color w:val="auto"/>
        </w:rPr>
      </w:pPr>
    </w:p>
    <w:p>
      <w:pPr>
        <w:jc w:val="both"/>
        <w:ind w:left="160" w:right="159" w:firstLine="1296"/>
        <w:spacing w:after="0" w:line="335" w:lineRule="auto"/>
        <w:rPr>
          <w:sz w:val="20"/>
          <w:szCs w:val="20"/>
          <w:color w:val="auto"/>
        </w:rPr>
      </w:pPr>
      <w:r>
        <w:rPr>
          <w:rFonts w:ascii="Arial" w:cs="Arial" w:eastAsia="Arial" w:hAnsi="Arial"/>
          <w:sz w:val="19"/>
          <w:szCs w:val="19"/>
          <w:b w:val="1"/>
          <w:bCs w:val="1"/>
          <w:color w:val="auto"/>
        </w:rPr>
        <w:t xml:space="preserve">2.8 Section 13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 The Loan Agreement is amended by inserting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new terms and their respective definitions to appear alphabetically in Section 13.1 thereof:</w:t>
      </w:r>
    </w:p>
    <w:p>
      <w:pPr>
        <w:spacing w:after="0" w:line="92" w:lineRule="exact"/>
        <w:rPr>
          <w:sz w:val="20"/>
          <w:szCs w:val="20"/>
          <w:color w:val="auto"/>
        </w:rPr>
      </w:pPr>
    </w:p>
    <w:p>
      <w:pPr>
        <w:ind w:left="1440" w:right="299"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Draw Period</w:t>
      </w:r>
      <w:r>
        <w:rPr>
          <w:rFonts w:ascii="Arial" w:cs="Arial" w:eastAsia="Arial" w:hAnsi="Arial"/>
          <w:sz w:val="19"/>
          <w:szCs w:val="19"/>
          <w:color w:val="auto"/>
        </w:rPr>
        <w:t>” is the period of time commencing upon the occurrence of the 2018 Milestone Event and continuing through May 31, 2019.”</w:t>
      </w:r>
    </w:p>
    <w:p>
      <w:pPr>
        <w:spacing w:after="0" w:line="119" w:lineRule="exact"/>
        <w:rPr>
          <w:sz w:val="20"/>
          <w:szCs w:val="20"/>
          <w:color w:val="auto"/>
        </w:rPr>
      </w:pPr>
    </w:p>
    <w:p>
      <w:pPr>
        <w:jc w:val="both"/>
        <w:ind w:left="1440" w:right="179"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Final Payment</w:t>
      </w:r>
      <w:r>
        <w:rPr>
          <w:rFonts w:ascii="Arial" w:cs="Arial" w:eastAsia="Arial" w:hAnsi="Arial"/>
          <w:sz w:val="19"/>
          <w:szCs w:val="19"/>
          <w:color w:val="auto"/>
        </w:rPr>
        <w:t>” is a payment (in addition to and not in substitution for the regular monthly payments of principal plus accrued interest) equal to the original principal amount of the 2018 Term Loan Advance extended by Bank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95885</wp:posOffset>
            </wp:positionV>
            <wp:extent cx="554863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1" w:name="page192"/>
    <w:bookmarkEnd w:id="191"/>
    <w:p>
      <w:pPr>
        <w:ind w:left="1440" w:right="179"/>
        <w:spacing w:after="0" w:line="238" w:lineRule="auto"/>
        <w:rPr>
          <w:sz w:val="20"/>
          <w:szCs w:val="20"/>
          <w:color w:val="auto"/>
        </w:rPr>
      </w:pPr>
      <w:r>
        <w:rPr>
          <w:rFonts w:ascii="Arial" w:cs="Arial" w:eastAsia="Arial" w:hAnsi="Arial"/>
          <w:sz w:val="22"/>
          <w:szCs w:val="22"/>
          <w:color w:val="auto"/>
        </w:rPr>
        <w:t>Borrower hereunder multiplied by seven percent (7.00%), due on the earliest to occur of (a) the Term Loan Maturity Date, (b) as required pursuant to Section 2.1.2(d) or 2.1.2(e), (c) the payment in full of the 2018 Term Loan Advance or (d) the termination of this Agreement.</w:t>
      </w:r>
    </w:p>
    <w:p>
      <w:pPr>
        <w:spacing w:after="0" w:line="207" w:lineRule="exact"/>
        <w:rPr>
          <w:sz w:val="20"/>
          <w:szCs w:val="20"/>
          <w:color w:val="auto"/>
        </w:rPr>
      </w:pPr>
    </w:p>
    <w:p>
      <w:pPr>
        <w:ind w:left="1440" w:right="15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Milestone Event</w:t>
      </w:r>
      <w:r>
        <w:rPr>
          <w:rFonts w:ascii="Arial" w:cs="Arial" w:eastAsia="Arial" w:hAnsi="Arial"/>
          <w:sz w:val="19"/>
          <w:szCs w:val="19"/>
          <w:color w:val="auto"/>
        </w:rPr>
        <w:t>” means Borrower has provided Bank with evidence, after the First Amendment Effective Date, but on or prior to May 31, 2019, satisfactory to Bank in its sole and absolute discretion that Borrower: (i) has received positive data with respect to Borrower’s phase 2 clinical trial of AXS-12, sufficient to submit a phase 3 protocol to the FDA, and (ii) has not received any objections from the FDA within thirty (30) days after submission of such phase 3 protocol.”</w:t>
      </w:r>
    </w:p>
    <w:p>
      <w:pPr>
        <w:spacing w:after="0" w:line="172" w:lineRule="exact"/>
        <w:rPr>
          <w:sz w:val="20"/>
          <w:szCs w:val="20"/>
          <w:color w:val="auto"/>
        </w:rPr>
      </w:pPr>
    </w:p>
    <w:p>
      <w:pPr>
        <w:ind w:left="1440" w:right="3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2018 Prepayment Premium</w:t>
      </w:r>
      <w:r>
        <w:rPr>
          <w:rFonts w:ascii="Arial" w:cs="Arial" w:eastAsia="Arial" w:hAnsi="Arial"/>
          <w:sz w:val="22"/>
          <w:szCs w:val="22"/>
          <w:color w:val="auto"/>
        </w:rPr>
        <w:t>” shall be an additional fee payable to Bank in amount equal to:</w:t>
      </w:r>
    </w:p>
    <w:p>
      <w:pPr>
        <w:spacing w:after="0" w:line="196" w:lineRule="exact"/>
        <w:rPr>
          <w:sz w:val="20"/>
          <w:szCs w:val="20"/>
          <w:color w:val="auto"/>
        </w:rPr>
      </w:pPr>
    </w:p>
    <w:p>
      <w:pPr>
        <w:jc w:val="both"/>
        <w:ind w:left="1440" w:right="179" w:firstLine="655"/>
        <w:spacing w:after="0" w:line="287" w:lineRule="auto"/>
        <w:tabs>
          <w:tab w:leader="none" w:pos="27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a prepayment of the 2018 Term Loan Advance made on or prior to the first (1</w:t>
      </w:r>
      <w:r>
        <w:rPr>
          <w:rFonts w:ascii="Arial" w:cs="Arial" w:eastAsia="Arial" w:hAnsi="Arial"/>
          <w:sz w:val="9"/>
          <w:szCs w:val="9"/>
          <w:color w:val="auto"/>
        </w:rPr>
        <w:t>st</w:t>
      </w:r>
      <w:r>
        <w:rPr>
          <w:rFonts w:ascii="Arial" w:cs="Arial" w:eastAsia="Arial" w:hAnsi="Arial"/>
          <w:sz w:val="19"/>
          <w:szCs w:val="19"/>
          <w:color w:val="auto"/>
        </w:rPr>
        <w:t>) anniversary of the First Amendment Effective Date, two and one-half of one percent (2.50%) of the then outstanding principal amount of the 2018 Term Loan Advance as of the date immediately and prior to such prepayment; and</w:t>
      </w:r>
    </w:p>
    <w:p>
      <w:pPr>
        <w:spacing w:after="0" w:line="170" w:lineRule="exact"/>
        <w:rPr>
          <w:rFonts w:ascii="Arial" w:cs="Arial" w:eastAsia="Arial" w:hAnsi="Arial"/>
          <w:sz w:val="19"/>
          <w:szCs w:val="19"/>
          <w:color w:val="auto"/>
        </w:rPr>
      </w:pPr>
    </w:p>
    <w:p>
      <w:pPr>
        <w:ind w:left="1440" w:right="199" w:firstLine="655"/>
        <w:spacing w:after="0" w:line="236" w:lineRule="auto"/>
        <w:tabs>
          <w:tab w:leader="none" w:pos="2786" w:val="left"/>
        </w:tabs>
        <w:numPr>
          <w:ilvl w:val="0"/>
          <w:numId w:val="89"/>
        </w:numPr>
        <w:rPr>
          <w:rFonts w:ascii="Arial" w:cs="Arial" w:eastAsia="Arial" w:hAnsi="Arial"/>
          <w:sz w:val="22"/>
          <w:szCs w:val="22"/>
          <w:color w:val="auto"/>
        </w:rPr>
      </w:pPr>
      <w:r>
        <w:rPr>
          <w:rFonts w:ascii="Arial" w:cs="Arial" w:eastAsia="Arial" w:hAnsi="Arial"/>
          <w:sz w:val="22"/>
          <w:szCs w:val="22"/>
          <w:color w:val="auto"/>
        </w:rPr>
        <w:t>for a prepayment of the 2018 Term Loan Advance made after the first (1</w:t>
      </w:r>
      <w:r>
        <w:rPr>
          <w:rFonts w:ascii="Arial" w:cs="Arial" w:eastAsia="Arial" w:hAnsi="Arial"/>
          <w:sz w:val="10"/>
          <w:szCs w:val="10"/>
          <w:color w:val="auto"/>
        </w:rPr>
        <w:t>st</w:t>
      </w:r>
      <w:r>
        <w:rPr>
          <w:rFonts w:ascii="Arial" w:cs="Arial" w:eastAsia="Arial" w:hAnsi="Arial"/>
          <w:sz w:val="22"/>
          <w:szCs w:val="22"/>
          <w:color w:val="auto"/>
        </w:rPr>
        <w:t>) anniversary of the First Amendment Effective Date, but prior to the Term Loan Maturity Date, one and one-half of one percent (1.50%) of the then outstanding principal amount of the 2018 Term Loan Advance as of the date immediately and prior to such prepayment.”</w:t>
      </w:r>
    </w:p>
    <w:p>
      <w:pPr>
        <w:spacing w:after="0" w:line="209" w:lineRule="exact"/>
        <w:rPr>
          <w:sz w:val="20"/>
          <w:szCs w:val="20"/>
          <w:color w:val="auto"/>
        </w:rPr>
      </w:pPr>
    </w:p>
    <w:p>
      <w:pPr>
        <w:ind w:left="1440" w:right="15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Repayment Schedule</w:t>
      </w:r>
      <w:r>
        <w:rPr>
          <w:rFonts w:ascii="Arial" w:cs="Arial" w:eastAsia="Arial" w:hAnsi="Arial"/>
          <w:sz w:val="19"/>
          <w:szCs w:val="19"/>
          <w:color w:val="auto"/>
        </w:rPr>
        <w:t>” means the period of time equal to eighteen (18) consecutive months; provided, however, that upon the occurrence of the Interest Only Extension Event, the 2018 Repayment Schedule shall mean the period of time equal to twelve (12) consecutive months.”</w:t>
      </w:r>
    </w:p>
    <w:p>
      <w:pPr>
        <w:spacing w:after="0" w:line="163"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2018 Term Loan Advance</w:t>
      </w:r>
      <w:r>
        <w:rPr>
          <w:rFonts w:ascii="Arial" w:cs="Arial" w:eastAsia="Arial" w:hAnsi="Arial"/>
          <w:sz w:val="22"/>
          <w:szCs w:val="22"/>
          <w:color w:val="auto"/>
        </w:rPr>
        <w:t>” is defined in Section 2.1.2(a).”</w:t>
      </w:r>
    </w:p>
    <w:p>
      <w:pPr>
        <w:spacing w:after="0" w:line="233" w:lineRule="exact"/>
        <w:rPr>
          <w:sz w:val="20"/>
          <w:szCs w:val="20"/>
          <w:color w:val="auto"/>
        </w:rPr>
      </w:pPr>
    </w:p>
    <w:p>
      <w:pPr>
        <w:ind w:left="1440" w:right="27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2018 Term Loan Amortization Date</w:t>
      </w:r>
      <w:r>
        <w:rPr>
          <w:rFonts w:ascii="Arial" w:cs="Arial" w:eastAsia="Arial" w:hAnsi="Arial"/>
          <w:sz w:val="22"/>
          <w:szCs w:val="22"/>
          <w:color w:val="auto"/>
        </w:rPr>
        <w:t>” is June 1, 2019; provided that, upon the occurrence of the Interest Only Extension Event, the 2018 Term Loan Amortization Date is December 1, 2019.”</w:t>
      </w:r>
    </w:p>
    <w:p>
      <w:pPr>
        <w:spacing w:after="0" w:line="204" w:lineRule="exact"/>
        <w:rPr>
          <w:sz w:val="20"/>
          <w:szCs w:val="20"/>
          <w:color w:val="auto"/>
        </w:rPr>
      </w:pPr>
    </w:p>
    <w:p>
      <w:pPr>
        <w:ind w:left="1440" w:right="27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AXS-12</w:t>
      </w:r>
      <w:r>
        <w:rPr>
          <w:rFonts w:ascii="Arial" w:cs="Arial" w:eastAsia="Arial" w:hAnsi="Arial"/>
          <w:sz w:val="22"/>
          <w:szCs w:val="22"/>
          <w:color w:val="auto"/>
        </w:rPr>
        <w:t>” means Borrower’s AXS-12 product candidate for the treatment of narcolepsy.”</w:t>
      </w:r>
    </w:p>
    <w:p>
      <w:pPr>
        <w:spacing w:after="0" w:line="190"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CitiBank Account</w:t>
      </w:r>
      <w:r>
        <w:rPr>
          <w:rFonts w:ascii="Arial" w:cs="Arial" w:eastAsia="Arial" w:hAnsi="Arial"/>
          <w:sz w:val="22"/>
          <w:szCs w:val="22"/>
          <w:color w:val="auto"/>
        </w:rPr>
        <w:t>” is defined in Section 6.6(a).”</w:t>
      </w:r>
    </w:p>
    <w:p>
      <w:pPr>
        <w:spacing w:after="0" w:line="233"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Amendment Effective Date</w:t>
      </w:r>
      <w:r>
        <w:rPr>
          <w:rFonts w:ascii="Arial" w:cs="Arial" w:eastAsia="Arial" w:hAnsi="Arial"/>
          <w:sz w:val="22"/>
          <w:szCs w:val="22"/>
          <w:color w:val="auto"/>
        </w:rPr>
        <w:t>” is November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302895</wp:posOffset>
            </wp:positionV>
            <wp:extent cx="554863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2" w:name="page193"/>
    <w:bookmarkEnd w:id="192"/>
    <w:p>
      <w:pPr>
        <w:ind w:left="2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Only Extension Event</w:t>
      </w:r>
      <w:r>
        <w:rPr>
          <w:rFonts w:ascii="Arial" w:cs="Arial" w:eastAsia="Arial" w:hAnsi="Arial"/>
          <w:sz w:val="19"/>
          <w:szCs w:val="19"/>
          <w:color w:val="auto"/>
        </w:rPr>
        <w:t>” means Borrower has provided Bank with</w:t>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evidence, on or prior to May 31, 2019, satisfactory to Bank in its reasonable</w:t>
      </w:r>
    </w:p>
    <w:p>
      <w:pPr>
        <w:ind w:left="1440"/>
        <w:spacing w:after="0"/>
        <w:rPr>
          <w:sz w:val="20"/>
          <w:szCs w:val="20"/>
          <w:color w:val="auto"/>
        </w:rPr>
      </w:pPr>
      <w:r>
        <w:rPr>
          <w:rFonts w:ascii="Arial" w:cs="Arial" w:eastAsia="Arial" w:hAnsi="Arial"/>
          <w:sz w:val="19"/>
          <w:szCs w:val="19"/>
          <w:color w:val="auto"/>
        </w:rPr>
        <w:t>discretion that, Borrower has received, after the First Amendment Effective Date, but</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on or prior to May 31, 2019, unrestricted and unencumbered (other than Liens in</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favor of Bank pursuant to the general security interest granted under this Agreement)</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net cash proceeds in an aggregate amount of at least Twenty Million Dollars</w:t>
      </w:r>
    </w:p>
    <w:p>
      <w:pPr>
        <w:ind w:left="1440"/>
        <w:spacing w:after="0"/>
        <w:rPr>
          <w:sz w:val="20"/>
          <w:szCs w:val="20"/>
          <w:color w:val="auto"/>
        </w:rPr>
      </w:pPr>
      <w:r>
        <w:rPr>
          <w:rFonts w:ascii="Arial" w:cs="Arial" w:eastAsia="Arial" w:hAnsi="Arial"/>
          <w:sz w:val="19"/>
          <w:szCs w:val="19"/>
          <w:color w:val="auto"/>
        </w:rPr>
        <w:t>($20,000,000.00) from (a) Subordinated Debt or other similar agreements in form and</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substance acceptable to Bank and/or (b) partnerships, collaborations, and/or licensing</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agreements, each of which shall be of the types permitted under the terms of this</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Agreement and in form and substance acceptable to Bank.”</w:t>
      </w:r>
    </w:p>
    <w:p>
      <w:pPr>
        <w:spacing w:after="0" w:line="209" w:lineRule="exact"/>
        <w:rPr>
          <w:sz w:val="20"/>
          <w:szCs w:val="20"/>
          <w:color w:val="auto"/>
        </w:rPr>
      </w:pPr>
    </w:p>
    <w:p>
      <w:pPr>
        <w:ind w:left="1440" w:right="35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Irish Subsidiary</w:t>
      </w:r>
      <w:r>
        <w:rPr>
          <w:rFonts w:ascii="Arial" w:cs="Arial" w:eastAsia="Arial" w:hAnsi="Arial"/>
          <w:sz w:val="22"/>
          <w:szCs w:val="22"/>
          <w:color w:val="auto"/>
        </w:rPr>
        <w:t>” is a wholly owned Subsidiary of Borrower to be formed in the future under the laws of Ireland.”</w:t>
      </w:r>
    </w:p>
    <w:p>
      <w:pPr>
        <w:spacing w:after="0" w:line="190" w:lineRule="exact"/>
        <w:rPr>
          <w:sz w:val="20"/>
          <w:szCs w:val="20"/>
          <w:color w:val="auto"/>
        </w:rPr>
      </w:pPr>
    </w:p>
    <w:p>
      <w:pPr>
        <w:jc w:val="both"/>
        <w:ind w:left="160" w:right="159" w:firstLine="1296"/>
        <w:spacing w:after="0" w:line="243" w:lineRule="auto"/>
        <w:rPr>
          <w:sz w:val="20"/>
          <w:szCs w:val="20"/>
          <w:color w:val="auto"/>
        </w:rPr>
      </w:pPr>
      <w:r>
        <w:rPr>
          <w:rFonts w:ascii="Arial" w:cs="Arial" w:eastAsia="Arial" w:hAnsi="Arial"/>
          <w:sz w:val="22"/>
          <w:szCs w:val="22"/>
          <w:b w:val="1"/>
          <w:bCs w:val="1"/>
          <w:color w:val="auto"/>
        </w:rPr>
        <w:t xml:space="preserve">2.9 Exhibit A </w:t>
      </w:r>
      <w:r>
        <w:rPr>
          <w:rFonts w:ascii="Arial" w:cs="Arial" w:eastAsia="Arial" w:hAnsi="Arial"/>
          <w:sz w:val="22"/>
          <w:szCs w:val="22"/>
          <w:color w:val="auto"/>
        </w:rPr>
        <w:t>(</w:t>
      </w:r>
      <w:r>
        <w:rPr>
          <w:rFonts w:ascii="Arial" w:cs="Arial" w:eastAsia="Arial" w:hAnsi="Arial"/>
          <w:sz w:val="22"/>
          <w:szCs w:val="22"/>
          <w:b w:val="1"/>
          <w:bCs w:val="1"/>
          <w:color w:val="auto"/>
        </w:rPr>
        <w:t>Collateral Description</w:t>
      </w:r>
      <w:r>
        <w:rPr>
          <w:rFonts w:ascii="Arial" w:cs="Arial" w:eastAsia="Arial" w:hAnsi="Arial"/>
          <w:sz w:val="22"/>
          <w:szCs w:val="22"/>
          <w:color w:val="auto"/>
        </w:rPr>
        <w:t>). The Collateral description appearing as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Loan Agreement is deleted in its entirety and replaced with the Collateral description attached as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w:t>
      </w:r>
    </w:p>
    <w:p>
      <w:pPr>
        <w:spacing w:after="0" w:line="177" w:lineRule="exact"/>
        <w:rPr>
          <w:sz w:val="20"/>
          <w:szCs w:val="20"/>
          <w:color w:val="auto"/>
        </w:rPr>
      </w:pPr>
    </w:p>
    <w:p>
      <w:pPr>
        <w:ind w:left="1480" w:hanging="681"/>
        <w:spacing w:after="0"/>
        <w:tabs>
          <w:tab w:leader="none" w:pos="14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left="160" w:right="139" w:firstLine="1296"/>
        <w:spacing w:after="0" w:line="275"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The amendments set forth in Section 2 above are effective for the purposes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herein and shall be limited precisely as written and shall not be deemed to (a) be a consent to any amendment, waiver or modification of any other term or condition of any Loan Document, or</w:t>
      </w:r>
    </w:p>
    <w:p>
      <w:pPr>
        <w:spacing w:after="0" w:line="2" w:lineRule="exact"/>
        <w:rPr>
          <w:sz w:val="20"/>
          <w:szCs w:val="20"/>
          <w:color w:val="auto"/>
        </w:rPr>
      </w:pPr>
    </w:p>
    <w:p>
      <w:pPr>
        <w:ind w:left="160" w:right="159" w:hanging="9"/>
        <w:spacing w:after="0" w:line="237" w:lineRule="auto"/>
        <w:tabs>
          <w:tab w:leader="none" w:pos="4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otherwise prejudice any right or remedy which Bank may now have or may have in the future under or in connection with any Loan Document.</w:t>
      </w:r>
    </w:p>
    <w:p>
      <w:pPr>
        <w:spacing w:after="0" w:line="179" w:lineRule="exact"/>
        <w:rPr>
          <w:sz w:val="20"/>
          <w:szCs w:val="20"/>
          <w:color w:val="auto"/>
        </w:rPr>
      </w:pPr>
    </w:p>
    <w:p>
      <w:pPr>
        <w:jc w:val="both"/>
        <w:ind w:left="160" w:right="139" w:firstLine="1296"/>
        <w:spacing w:after="0" w:line="23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Documents and all terms, conditions, representations, warranties, covenants and agreements set forth in the Loan Documents, except as herein amended, are hereby ratified and confirmed and shall remain in full force and effect.</w:t>
      </w:r>
    </w:p>
    <w:p>
      <w:pPr>
        <w:spacing w:after="0" w:line="181" w:lineRule="exact"/>
        <w:rPr>
          <w:sz w:val="20"/>
          <w:szCs w:val="20"/>
          <w:color w:val="auto"/>
        </w:rPr>
      </w:pPr>
    </w:p>
    <w:p>
      <w:pPr>
        <w:jc w:val="both"/>
        <w:ind w:left="160" w:right="139" w:firstLine="639"/>
        <w:spacing w:after="0" w:line="246" w:lineRule="auto"/>
        <w:tabs>
          <w:tab w:leader="none" w:pos="1524"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Consent</w:t>
      </w:r>
      <w:r>
        <w:rPr>
          <w:rFonts w:ascii="Arial" w:cs="Arial" w:eastAsia="Arial" w:hAnsi="Arial"/>
          <w:sz w:val="21"/>
          <w:szCs w:val="21"/>
          <w:color w:val="auto"/>
        </w:rPr>
        <w:t>. Borrower has notified Bank that Borrower has created or will create</w:t>
      </w:r>
      <w:r>
        <w:rPr>
          <w:rFonts w:ascii="Arial" w:cs="Arial" w:eastAsia="Arial" w:hAnsi="Arial"/>
          <w:sz w:val="21"/>
          <w:szCs w:val="21"/>
          <w:b w:val="1"/>
          <w:bCs w:val="1"/>
          <w:color w:val="auto"/>
        </w:rPr>
        <w:t xml:space="preserve"> </w:t>
      </w:r>
      <w:r>
        <w:rPr>
          <w:rFonts w:ascii="Arial" w:cs="Arial" w:eastAsia="Arial" w:hAnsi="Arial"/>
          <w:sz w:val="21"/>
          <w:szCs w:val="21"/>
          <w:color w:val="auto"/>
        </w:rPr>
        <w:t>an Irish Subsidiary (the “</w:t>
      </w:r>
      <w:r>
        <w:rPr>
          <w:rFonts w:ascii="Arial" w:cs="Arial" w:eastAsia="Arial" w:hAnsi="Arial"/>
          <w:sz w:val="21"/>
          <w:szCs w:val="21"/>
          <w:b w:val="1"/>
          <w:bCs w:val="1"/>
          <w:color w:val="auto"/>
        </w:rPr>
        <w:t>Subsidiary Formation</w:t>
      </w:r>
      <w:r>
        <w:rPr>
          <w:rFonts w:ascii="Arial" w:cs="Arial" w:eastAsia="Arial" w:hAnsi="Arial"/>
          <w:sz w:val="21"/>
          <w:szCs w:val="21"/>
          <w:color w:val="auto"/>
        </w:rPr>
        <w:t>”). Borrower has requested that Bank consent to the Subsidiary Formation. Bank hereby consents to the Subsidiary Formation and agrees that the Subsidiary Formation shall not, in and of itself, constitute an “Event of Default” under Section 7.3 (relative to mergers or acquisitions), Section 7.7 (relative to distributions and Investments), or Section 7.8 (relative to transactions with Affiliates) of the Loan Agreement. Borrower hereby acknowledges and agrees that nothing in this Section or anywhere in this Amendment shall be deemed or otherwise construed as a waiver by Bank of any of its rights and remedies pursuant to the Loan Documents, applicable law or otherwise.</w:t>
      </w:r>
    </w:p>
    <w:p>
      <w:pPr>
        <w:spacing w:after="0" w:line="176" w:lineRule="exact"/>
        <w:rPr>
          <w:rFonts w:ascii="Arial" w:cs="Arial" w:eastAsia="Arial" w:hAnsi="Arial"/>
          <w:sz w:val="21"/>
          <w:szCs w:val="21"/>
          <w:b w:val="1"/>
          <w:bCs w:val="1"/>
          <w:color w:val="auto"/>
        </w:rPr>
      </w:pPr>
    </w:p>
    <w:p>
      <w:pPr>
        <w:jc w:val="both"/>
        <w:ind w:left="160" w:right="139" w:firstLine="639"/>
        <w:spacing w:after="0" w:line="280" w:lineRule="auto"/>
        <w:tabs>
          <w:tab w:leader="none" w:pos="1483"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w:t>
      </w:r>
      <w:r>
        <w:rPr>
          <w:rFonts w:ascii="Arial" w:cs="Arial" w:eastAsia="Arial" w:hAnsi="Arial"/>
          <w:sz w:val="19"/>
          <w:szCs w:val="19"/>
          <w:color w:val="auto"/>
        </w:rPr>
        <w:t>Bank hereby waives Borrower’s existing default under Section 6.6(a)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Loan Agreement (as in effect prior to giving effect to this Amendment) by virtue of Borrower’s failure to maintain at all times, after the expiration of the Transition Period, all of its and its Subsidiaries’ operating, depository and securities accounts with Bank and Bank’s Affiliates (the “</w:t>
      </w:r>
      <w:r>
        <w:rPr>
          <w:rFonts w:ascii="Arial" w:cs="Arial" w:eastAsia="Arial" w:hAnsi="Arial"/>
          <w:sz w:val="19"/>
          <w:szCs w:val="19"/>
          <w:b w:val="1"/>
          <w:bCs w:val="1"/>
          <w:color w:val="auto"/>
        </w:rPr>
        <w:t>Stated Default</w:t>
      </w:r>
      <w:r>
        <w:rPr>
          <w:rFonts w:ascii="Arial" w:cs="Arial" w:eastAsia="Arial" w:hAnsi="Arial"/>
          <w:sz w:val="19"/>
          <w:szCs w:val="19"/>
          <w:color w:val="auto"/>
        </w:rPr>
        <w:t>”). Borrower hereby acknowledges and agrees that except as specifically provided herein, nothing in this Section or anywhere in this Waiver shall be deemed or otherwise construed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247015</wp:posOffset>
            </wp:positionV>
            <wp:extent cx="554863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3" w:name="page194"/>
    <w:bookmarkEnd w:id="193"/>
    <w:p>
      <w:pPr>
        <w:jc w:val="both"/>
        <w:ind w:left="160" w:right="159"/>
        <w:spacing w:after="0" w:line="298" w:lineRule="auto"/>
        <w:rPr>
          <w:sz w:val="20"/>
          <w:szCs w:val="20"/>
          <w:color w:val="auto"/>
        </w:rPr>
      </w:pPr>
      <w:r>
        <w:rPr>
          <w:rFonts w:ascii="Arial" w:cs="Arial" w:eastAsia="Arial" w:hAnsi="Arial"/>
          <w:sz w:val="19"/>
          <w:szCs w:val="19"/>
          <w:color w:val="auto"/>
        </w:rPr>
        <w:t>as a waiver by Bank of any of its rights and remedies pursuant to the Loan Documents, applicable law or otherwise. The foregoing waiver shall apply only to the Stated Default and shall not be construed as a waiver or agreement to waive any other defaults or Events of Default.</w:t>
      </w:r>
    </w:p>
    <w:p>
      <w:pPr>
        <w:spacing w:after="0" w:line="126" w:lineRule="exact"/>
        <w:rPr>
          <w:sz w:val="20"/>
          <w:szCs w:val="20"/>
          <w:color w:val="auto"/>
        </w:rPr>
      </w:pPr>
    </w:p>
    <w:p>
      <w:pPr>
        <w:ind w:left="160" w:right="159" w:firstLine="639"/>
        <w:spacing w:after="0" w:line="256" w:lineRule="auto"/>
        <w:tabs>
          <w:tab w:leader="none" w:pos="1497"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hereby represents and warrants to Bank as follows:</w:t>
      </w:r>
    </w:p>
    <w:p>
      <w:pPr>
        <w:spacing w:after="0" w:line="163" w:lineRule="exact"/>
        <w:rPr>
          <w:sz w:val="20"/>
          <w:szCs w:val="20"/>
          <w:color w:val="auto"/>
        </w:rPr>
      </w:pPr>
    </w:p>
    <w:p>
      <w:pPr>
        <w:jc w:val="both"/>
        <w:ind w:left="160" w:right="139" w:firstLine="1296"/>
        <w:spacing w:after="0" w:line="237"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Immediately after giving effect to this Amendment (a) the representations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3" w:lineRule="exact"/>
        <w:rPr>
          <w:sz w:val="20"/>
          <w:szCs w:val="20"/>
          <w:color w:val="auto"/>
        </w:rPr>
      </w:pPr>
    </w:p>
    <w:p>
      <w:pPr>
        <w:jc w:val="both"/>
        <w:ind w:left="160" w:right="159" w:firstLine="1296"/>
        <w:spacing w:after="0" w:line="335"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color w:val="auto"/>
        </w:rPr>
        <w:t>Borrower has the power and authority to execute and deliver this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to perform its obligations under the Loan Agreement, as amended by this Amendment;</w:t>
      </w:r>
    </w:p>
    <w:p>
      <w:pPr>
        <w:spacing w:after="0" w:line="92" w:lineRule="exact"/>
        <w:rPr>
          <w:sz w:val="20"/>
          <w:szCs w:val="20"/>
          <w:color w:val="auto"/>
        </w:rPr>
      </w:pPr>
    </w:p>
    <w:p>
      <w:pPr>
        <w:jc w:val="both"/>
        <w:ind w:left="160" w:right="139" w:firstLine="1296"/>
        <w:spacing w:after="0" w:line="243"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color w:val="auto"/>
        </w:rPr>
        <w:t>The organizational documents of Borrower delivered to Bank on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remain true, accurate and complete and have not been amended, supplemented or restated and are and continue to be in full force and effect;</w:t>
      </w:r>
    </w:p>
    <w:p>
      <w:pPr>
        <w:spacing w:after="0" w:line="177" w:lineRule="exact"/>
        <w:rPr>
          <w:sz w:val="20"/>
          <w:szCs w:val="20"/>
          <w:color w:val="auto"/>
        </w:rPr>
      </w:pPr>
    </w:p>
    <w:p>
      <w:pPr>
        <w:jc w:val="both"/>
        <w:ind w:left="160" w:right="139" w:firstLine="1296"/>
        <w:spacing w:after="0" w:line="243" w:lineRule="auto"/>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have been duly authorized;</w:t>
      </w:r>
    </w:p>
    <w:p>
      <w:pPr>
        <w:spacing w:after="0" w:line="177" w:lineRule="exact"/>
        <w:rPr>
          <w:sz w:val="20"/>
          <w:szCs w:val="20"/>
          <w:color w:val="auto"/>
        </w:rPr>
      </w:pPr>
    </w:p>
    <w:p>
      <w:pPr>
        <w:jc w:val="both"/>
        <w:ind w:left="160" w:right="139" w:firstLine="1296"/>
        <w:spacing w:after="0" w:line="249" w:lineRule="auto"/>
        <w:rPr>
          <w:sz w:val="20"/>
          <w:szCs w:val="20"/>
          <w:color w:val="auto"/>
        </w:rPr>
      </w:pPr>
      <w:r>
        <w:rPr>
          <w:rFonts w:ascii="Arial" w:cs="Arial" w:eastAsia="Arial" w:hAnsi="Arial"/>
          <w:sz w:val="21"/>
          <w:szCs w:val="21"/>
          <w:b w:val="1"/>
          <w:bCs w:val="1"/>
          <w:color w:val="auto"/>
        </w:rPr>
        <w:t xml:space="preserve">6.5 </w:t>
      </w:r>
      <w:r>
        <w:rPr>
          <w:rFonts w:ascii="Arial" w:cs="Arial" w:eastAsia="Arial" w:hAnsi="Arial"/>
          <w:sz w:val="21"/>
          <w:szCs w:val="21"/>
          <w:color w:val="auto"/>
        </w:rPr>
        <w:t>The execution and delivery by Borrower of this Amendment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1" w:lineRule="exact"/>
        <w:rPr>
          <w:sz w:val="20"/>
          <w:szCs w:val="20"/>
          <w:color w:val="auto"/>
        </w:rPr>
      </w:pPr>
    </w:p>
    <w:p>
      <w:pPr>
        <w:jc w:val="both"/>
        <w:ind w:left="160" w:right="139" w:firstLine="1296"/>
        <w:spacing w:after="0" w:line="284" w:lineRule="auto"/>
        <w:rPr>
          <w:sz w:val="20"/>
          <w:szCs w:val="20"/>
          <w:color w:val="auto"/>
        </w:rPr>
      </w:pPr>
      <w:r>
        <w:rPr>
          <w:rFonts w:ascii="Arial" w:cs="Arial" w:eastAsia="Arial" w:hAnsi="Arial"/>
          <w:sz w:val="19"/>
          <w:szCs w:val="19"/>
          <w:b w:val="1"/>
          <w:bCs w:val="1"/>
          <w:color w:val="auto"/>
        </w:rPr>
        <w:t xml:space="preserve">6.6 </w:t>
      </w:r>
      <w:r>
        <w:rPr>
          <w:rFonts w:ascii="Arial" w:cs="Arial" w:eastAsia="Arial" w:hAnsi="Arial"/>
          <w:sz w:val="19"/>
          <w:szCs w:val="19"/>
          <w:color w:val="auto"/>
        </w:rPr>
        <w:t>The execution and delivery by Borrower of this Amendment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9" w:lineRule="exact"/>
        <w:rPr>
          <w:sz w:val="20"/>
          <w:szCs w:val="20"/>
          <w:color w:val="auto"/>
        </w:rPr>
      </w:pPr>
    </w:p>
    <w:p>
      <w:pPr>
        <w:jc w:val="both"/>
        <w:ind w:left="160" w:right="139" w:firstLine="1296"/>
        <w:spacing w:after="0" w:line="237"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22"/>
          <w:szCs w:val="22"/>
          <w:color w:val="auto"/>
        </w:rPr>
        <w:t>This Amendment has been duly executed and delivered by Borrower and is</w:t>
      </w:r>
      <w:r>
        <w:rPr>
          <w:rFonts w:ascii="Arial" w:cs="Arial" w:eastAsia="Arial" w:hAnsi="Arial"/>
          <w:sz w:val="22"/>
          <w:szCs w:val="22"/>
          <w:b w:val="1"/>
          <w:bCs w:val="1"/>
          <w:color w:val="auto"/>
        </w:rPr>
        <w:t xml:space="preserve"> </w:t>
      </w:r>
      <w:r>
        <w:rPr>
          <w:rFonts w:ascii="Arial" w:cs="Arial" w:eastAsia="Arial" w:hAnsi="Arial"/>
          <w:sz w:val="22"/>
          <w:szCs w:val="22"/>
          <w:color w:val="auto"/>
        </w:rPr>
        <w:t>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3" w:lineRule="exact"/>
        <w:rPr>
          <w:sz w:val="20"/>
          <w:szCs w:val="20"/>
          <w:color w:val="auto"/>
        </w:rPr>
      </w:pPr>
    </w:p>
    <w:p>
      <w:pPr>
        <w:jc w:val="both"/>
        <w:ind w:left="160" w:right="139" w:firstLine="639"/>
        <w:spacing w:after="0" w:line="261" w:lineRule="auto"/>
        <w:tabs>
          <w:tab w:leader="none" w:pos="151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Perfection Certificate</w:t>
      </w:r>
      <w:r>
        <w:rPr>
          <w:rFonts w:ascii="Arial" w:cs="Arial" w:eastAsia="Arial" w:hAnsi="Arial"/>
          <w:sz w:val="21"/>
          <w:szCs w:val="21"/>
          <w:color w:val="auto"/>
        </w:rPr>
        <w:t>. Borrower hereby ratifies, confirms and reaffirms, all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singular, the terms and disclosures contained in a certain Perfection Certificate dated as of November 9, 2016, as amended by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Perfection Certificate</w:t>
      </w:r>
      <w:r>
        <w:rPr>
          <w:rFonts w:ascii="Arial" w:cs="Arial" w:eastAsia="Arial" w:hAnsi="Arial"/>
          <w:sz w:val="21"/>
          <w:szCs w:val="21"/>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254635</wp:posOffset>
            </wp:positionV>
            <wp:extent cx="554863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4" w:name="page195"/>
    <w:bookmarkEnd w:id="194"/>
    <w:p>
      <w:pPr>
        <w:jc w:val="both"/>
        <w:ind w:left="160" w:right="159"/>
        <w:spacing w:after="0" w:line="252" w:lineRule="auto"/>
        <w:rPr>
          <w:sz w:val="20"/>
          <w:szCs w:val="20"/>
          <w:color w:val="auto"/>
        </w:rPr>
      </w:pPr>
      <w:r>
        <w:rPr>
          <w:rFonts w:ascii="Arial" w:cs="Arial" w:eastAsia="Arial" w:hAnsi="Arial"/>
          <w:sz w:val="21"/>
          <w:szCs w:val="21"/>
          <w:color w:val="auto"/>
        </w:rPr>
        <w:t>acknowledges, confirms and agrees the disclosures and information Borrower provided to Bank in the Perfection Certificate have not changed, as of the date hereof. Borrower hereby agrees that all references in the Loan Agreement to the “Perfection Certificate” shall hereinafter be deemed to be references to the Perfection Certificate as defined herein.</w:t>
      </w:r>
    </w:p>
    <w:p>
      <w:pPr>
        <w:spacing w:after="0" w:line="169" w:lineRule="exact"/>
        <w:rPr>
          <w:sz w:val="20"/>
          <w:szCs w:val="20"/>
          <w:color w:val="auto"/>
        </w:rPr>
      </w:pPr>
    </w:p>
    <w:p>
      <w:pPr>
        <w:jc w:val="both"/>
        <w:ind w:left="160" w:right="139" w:firstLine="639"/>
        <w:spacing w:after="0" w:line="301" w:lineRule="auto"/>
        <w:tabs>
          <w:tab w:leader="none" w:pos="1510"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Post-Closing Condition</w:t>
      </w:r>
      <w:r>
        <w:rPr>
          <w:rFonts w:ascii="Arial" w:cs="Arial" w:eastAsia="Arial" w:hAnsi="Arial"/>
          <w:sz w:val="19"/>
          <w:szCs w:val="19"/>
          <w:color w:val="auto"/>
        </w:rPr>
        <w:t>. Within thirty (30) days of the date of this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deliver to Bank, in form and substance acceptable to Bank, a notice of cancellation insurance endorsement as required by Section 6.5 of the Loan Agreement.</w:t>
      </w:r>
    </w:p>
    <w:p>
      <w:pPr>
        <w:spacing w:after="0" w:line="123" w:lineRule="exact"/>
        <w:rPr>
          <w:rFonts w:ascii="Arial" w:cs="Arial" w:eastAsia="Arial" w:hAnsi="Arial"/>
          <w:sz w:val="19"/>
          <w:szCs w:val="19"/>
          <w:b w:val="1"/>
          <w:bCs w:val="1"/>
          <w:color w:val="auto"/>
        </w:rPr>
      </w:pPr>
    </w:p>
    <w:p>
      <w:pPr>
        <w:jc w:val="both"/>
        <w:ind w:left="160" w:right="139" w:firstLine="639"/>
        <w:spacing w:after="0" w:line="237" w:lineRule="auto"/>
        <w:tabs>
          <w:tab w:leader="none" w:pos="1551"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2" w:lineRule="exact"/>
        <w:rPr>
          <w:rFonts w:ascii="Arial" w:cs="Arial" w:eastAsia="Arial" w:hAnsi="Arial"/>
          <w:sz w:val="22"/>
          <w:szCs w:val="22"/>
          <w:b w:val="1"/>
          <w:bCs w:val="1"/>
          <w:color w:val="auto"/>
        </w:rPr>
      </w:pPr>
    </w:p>
    <w:p>
      <w:pPr>
        <w:jc w:val="both"/>
        <w:ind w:left="160" w:right="159" w:firstLine="639"/>
        <w:spacing w:after="0" w:line="243" w:lineRule="auto"/>
        <w:tabs>
          <w:tab w:leader="none" w:pos="148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Defenses of Borrower. </w:t>
      </w:r>
      <w:r>
        <w:rPr>
          <w:rFonts w:ascii="Arial" w:cs="Arial" w:eastAsia="Arial" w:hAnsi="Arial"/>
          <w:sz w:val="22"/>
          <w:szCs w:val="22"/>
          <w:color w:val="auto"/>
        </w:rPr>
        <w:t>To induce Bank to enter into this Amendment,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represents and warrants to Bank that Borrower has no known offsets, defenses, claims or counterclaims against Bank with respect to the Obligations.</w:t>
      </w:r>
    </w:p>
    <w:p>
      <w:pPr>
        <w:spacing w:after="0" w:line="176" w:lineRule="exact"/>
        <w:rPr>
          <w:rFonts w:ascii="Arial" w:cs="Arial" w:eastAsia="Arial" w:hAnsi="Arial"/>
          <w:sz w:val="22"/>
          <w:szCs w:val="22"/>
          <w:b w:val="1"/>
          <w:bCs w:val="1"/>
          <w:color w:val="auto"/>
        </w:rPr>
      </w:pPr>
    </w:p>
    <w:p>
      <w:pPr>
        <w:jc w:val="both"/>
        <w:ind w:left="160" w:right="159" w:firstLine="639"/>
        <w:spacing w:after="0" w:line="243" w:lineRule="auto"/>
        <w:tabs>
          <w:tab w:leader="none" w:pos="1498"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of such counterparts taken together shall be deemed to constitute one and the same instrument.</w:t>
      </w:r>
    </w:p>
    <w:p>
      <w:pPr>
        <w:spacing w:after="0" w:line="176" w:lineRule="exact"/>
        <w:rPr>
          <w:rFonts w:ascii="Arial" w:cs="Arial" w:eastAsia="Arial" w:hAnsi="Arial"/>
          <w:sz w:val="22"/>
          <w:szCs w:val="22"/>
          <w:b w:val="1"/>
          <w:bCs w:val="1"/>
          <w:color w:val="auto"/>
        </w:rPr>
      </w:pPr>
    </w:p>
    <w:p>
      <w:pPr>
        <w:jc w:val="both"/>
        <w:ind w:left="160" w:right="139" w:firstLine="639"/>
        <w:spacing w:after="0" w:line="239" w:lineRule="auto"/>
        <w:tabs>
          <w:tab w:leader="none" w:pos="1551"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and delivery to Bank of this Amendment by each party hereto, and (b) Borrower’s payment to Bank of Bank’s reasonable and documented legal fees and expenses incurred in connection with this Amendment.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299085</wp:posOffset>
            </wp:positionV>
            <wp:extent cx="554863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5" w:name="page196"/>
    <w:bookmarkEnd w:id="195"/>
    <w:p>
      <w:pPr>
        <w:ind w:left="160" w:right="139" w:firstLine="648"/>
        <w:spacing w:after="0" w:line="335"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a sealed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laws of the Commonwealth of Massachusetts as of the date first above written.</w:t>
      </w:r>
    </w:p>
    <w:p>
      <w:pPr>
        <w:spacing w:after="0" w:line="363" w:lineRule="exact"/>
        <w:rPr>
          <w:sz w:val="20"/>
          <w:szCs w:val="20"/>
          <w:color w:val="auto"/>
        </w:rPr>
      </w:pPr>
    </w:p>
    <w:tbl>
      <w:tblPr>
        <w:tblLayout w:type="fixed"/>
        <w:tblInd w:w="260" w:type="dxa"/>
        <w:tblCellMar>
          <w:top w:w="0" w:type="dxa"/>
          <w:left w:w="0" w:type="dxa"/>
          <w:bottom w:w="0" w:type="dxa"/>
          <w:right w:w="0" w:type="dxa"/>
        </w:tblCellMar>
      </w:tblPr>
      <w:tr>
        <w:trPr>
          <w:trHeight w:val="281"/>
        </w:trPr>
        <w:tc>
          <w:tcPr>
            <w:tcW w:w="3660" w:type="dxa"/>
            <w:vAlign w:val="bottom"/>
            <w:gridSpan w:val="5"/>
          </w:tcPr>
          <w:p>
            <w:pPr>
              <w:spacing w:after="0"/>
              <w:rPr>
                <w:sz w:val="20"/>
                <w:szCs w:val="20"/>
                <w:color w:val="auto"/>
              </w:rPr>
            </w:pPr>
            <w:r>
              <w:rPr>
                <w:rFonts w:ascii="Arial" w:cs="Arial" w:eastAsia="Arial" w:hAnsi="Arial"/>
                <w:sz w:val="22"/>
                <w:szCs w:val="22"/>
                <w:b w:val="1"/>
                <w:bCs w:val="1"/>
                <w:color w:val="auto"/>
              </w:rPr>
              <w:t>BANK</w:t>
            </w:r>
          </w:p>
        </w:tc>
        <w:tc>
          <w:tcPr>
            <w:tcW w:w="3800" w:type="dxa"/>
            <w:vAlign w:val="bottom"/>
            <w:gridSpan w:val="5"/>
          </w:tcPr>
          <w:p>
            <w:pPr>
              <w:ind w:left="580"/>
              <w:spacing w:after="0"/>
              <w:rPr>
                <w:sz w:val="20"/>
                <w:szCs w:val="20"/>
                <w:color w:val="auto"/>
              </w:rPr>
            </w:pPr>
            <w:r>
              <w:rPr>
                <w:rFonts w:ascii="Arial" w:cs="Arial" w:eastAsia="Arial" w:hAnsi="Arial"/>
                <w:sz w:val="22"/>
                <w:szCs w:val="22"/>
                <w:b w:val="1"/>
                <w:bCs w:val="1"/>
                <w:color w:val="auto"/>
              </w:rPr>
              <w:t>BORROWER</w:t>
            </w:r>
          </w:p>
        </w:tc>
      </w:tr>
      <w:tr>
        <w:trPr>
          <w:trHeight w:val="486"/>
        </w:trPr>
        <w:tc>
          <w:tcPr>
            <w:tcW w:w="3660" w:type="dxa"/>
            <w:vAlign w:val="bottom"/>
            <w:gridSpan w:val="5"/>
          </w:tcPr>
          <w:p>
            <w:pPr>
              <w:spacing w:after="0"/>
              <w:rPr>
                <w:sz w:val="20"/>
                <w:szCs w:val="20"/>
                <w:color w:val="auto"/>
              </w:rPr>
            </w:pPr>
            <w:r>
              <w:rPr>
                <w:rFonts w:ascii="Arial" w:cs="Arial" w:eastAsia="Arial" w:hAnsi="Arial"/>
                <w:sz w:val="22"/>
                <w:szCs w:val="22"/>
                <w:color w:val="auto"/>
              </w:rPr>
              <w:t>SILICON VALLEY BANK</w:t>
            </w:r>
          </w:p>
        </w:tc>
        <w:tc>
          <w:tcPr>
            <w:tcW w:w="3800" w:type="dxa"/>
            <w:vAlign w:val="bottom"/>
            <w:gridSpan w:val="5"/>
          </w:tcPr>
          <w:p>
            <w:pPr>
              <w:ind w:left="580"/>
              <w:spacing w:after="0"/>
              <w:rPr>
                <w:sz w:val="20"/>
                <w:szCs w:val="20"/>
                <w:color w:val="auto"/>
              </w:rPr>
            </w:pPr>
            <w:r>
              <w:rPr>
                <w:rFonts w:ascii="Arial" w:cs="Arial" w:eastAsia="Arial" w:hAnsi="Arial"/>
                <w:sz w:val="22"/>
                <w:szCs w:val="22"/>
                <w:color w:val="auto"/>
                <w:w w:val="98"/>
              </w:rPr>
              <w:t>AXSOME THERAPEUTICS, INC.</w:t>
            </w:r>
          </w:p>
        </w:tc>
      </w:tr>
      <w:tr>
        <w:trPr>
          <w:trHeight w:val="787"/>
        </w:trPr>
        <w:tc>
          <w:tcPr>
            <w:tcW w:w="3660" w:type="dxa"/>
            <w:vAlign w:val="bottom"/>
            <w:gridSpan w:val="5"/>
          </w:tcPr>
          <w:p>
            <w:pPr>
              <w:spacing w:after="0"/>
              <w:rPr>
                <w:sz w:val="20"/>
                <w:szCs w:val="20"/>
                <w:color w:val="auto"/>
              </w:rPr>
            </w:pPr>
            <w:r>
              <w:rPr>
                <w:rFonts w:ascii="Arial" w:cs="Arial" w:eastAsia="Arial" w:hAnsi="Arial"/>
                <w:sz w:val="22"/>
                <w:szCs w:val="22"/>
                <w:color w:val="auto"/>
              </w:rPr>
              <w:t>By: __/s/ Ryan Roller__________</w:t>
            </w:r>
          </w:p>
        </w:tc>
        <w:tc>
          <w:tcPr>
            <w:tcW w:w="3800" w:type="dxa"/>
            <w:vAlign w:val="bottom"/>
            <w:gridSpan w:val="5"/>
          </w:tcPr>
          <w:p>
            <w:pPr>
              <w:ind w:left="580"/>
              <w:spacing w:after="0"/>
              <w:rPr>
                <w:sz w:val="20"/>
                <w:szCs w:val="20"/>
                <w:color w:val="auto"/>
              </w:rPr>
            </w:pPr>
            <w:r>
              <w:rPr>
                <w:rFonts w:ascii="Arial" w:cs="Arial" w:eastAsia="Arial" w:hAnsi="Arial"/>
                <w:sz w:val="22"/>
                <w:szCs w:val="22"/>
                <w:color w:val="auto"/>
                <w:w w:val="94"/>
              </w:rPr>
              <w:t>By: _/s/ Herriot Tabuteau, M.D.___</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3660" w:type="dxa"/>
            <w:vAlign w:val="bottom"/>
            <w:gridSpan w:val="5"/>
          </w:tcPr>
          <w:p>
            <w:pPr>
              <w:spacing w:after="0"/>
              <w:rPr>
                <w:sz w:val="20"/>
                <w:szCs w:val="20"/>
                <w:color w:val="auto"/>
              </w:rPr>
            </w:pPr>
            <w:r>
              <w:rPr>
                <w:rFonts w:ascii="Arial" w:cs="Arial" w:eastAsia="Arial" w:hAnsi="Arial"/>
                <w:sz w:val="22"/>
                <w:szCs w:val="22"/>
                <w:color w:val="auto"/>
              </w:rPr>
              <w:t>Name: __Ryan Roller___________</w:t>
            </w:r>
          </w:p>
        </w:tc>
        <w:tc>
          <w:tcPr>
            <w:tcW w:w="3800" w:type="dxa"/>
            <w:vAlign w:val="bottom"/>
            <w:gridSpan w:val="5"/>
          </w:tcPr>
          <w:p>
            <w:pPr>
              <w:ind w:left="580"/>
              <w:spacing w:after="0"/>
              <w:rPr>
                <w:sz w:val="20"/>
                <w:szCs w:val="20"/>
                <w:color w:val="auto"/>
              </w:rPr>
            </w:pPr>
            <w:r>
              <w:rPr>
                <w:rFonts w:ascii="Arial" w:cs="Arial" w:eastAsia="Arial" w:hAnsi="Arial"/>
                <w:sz w:val="22"/>
                <w:szCs w:val="22"/>
                <w:color w:val="auto"/>
                <w:w w:val="89"/>
              </w:rPr>
              <w:t>Name: __Herriot Tabuteau, M.D.___</w:t>
            </w:r>
          </w:p>
        </w:tc>
      </w:tr>
      <w:tr>
        <w:trPr>
          <w:trHeight w:val="20"/>
        </w:trPr>
        <w:tc>
          <w:tcPr>
            <w:tcW w:w="900" w:type="dxa"/>
            <w:vAlign w:val="bottom"/>
            <w:tcBorders>
              <w:right w:val="single" w:sz="8" w:color="auto"/>
            </w:tcBorders>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3660" w:type="dxa"/>
            <w:vAlign w:val="bottom"/>
            <w:gridSpan w:val="5"/>
          </w:tcPr>
          <w:p>
            <w:pPr>
              <w:spacing w:after="0"/>
              <w:rPr>
                <w:sz w:val="20"/>
                <w:szCs w:val="20"/>
                <w:color w:val="auto"/>
              </w:rPr>
            </w:pPr>
            <w:r>
              <w:rPr>
                <w:rFonts w:ascii="Arial" w:cs="Arial" w:eastAsia="Arial" w:hAnsi="Arial"/>
                <w:sz w:val="22"/>
                <w:szCs w:val="22"/>
                <w:color w:val="auto"/>
              </w:rPr>
              <w:t>Title: ___Vice President________</w:t>
            </w:r>
          </w:p>
        </w:tc>
        <w:tc>
          <w:tcPr>
            <w:tcW w:w="3800" w:type="dxa"/>
            <w:vAlign w:val="bottom"/>
            <w:gridSpan w:val="5"/>
          </w:tcPr>
          <w:p>
            <w:pPr>
              <w:ind w:left="580"/>
              <w:spacing w:after="0"/>
              <w:rPr>
                <w:sz w:val="20"/>
                <w:szCs w:val="20"/>
                <w:color w:val="auto"/>
              </w:rPr>
            </w:pPr>
            <w:r>
              <w:rPr>
                <w:rFonts w:ascii="Arial" w:cs="Arial" w:eastAsia="Arial" w:hAnsi="Arial"/>
                <w:sz w:val="22"/>
                <w:szCs w:val="22"/>
                <w:color w:val="auto"/>
                <w:w w:val="92"/>
              </w:rPr>
              <w:t>Title: ___Chief Executive Officer __</w:t>
            </w: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160" w:right="239"/>
        <w:spacing w:after="0" w:line="251" w:lineRule="auto"/>
        <w:rPr>
          <w:sz w:val="20"/>
          <w:szCs w:val="20"/>
          <w:color w:val="auto"/>
        </w:rPr>
      </w:pPr>
      <w:r>
        <w:rPr>
          <w:rFonts w:ascii="Arial" w:cs="Arial" w:eastAsia="Arial" w:hAnsi="Arial"/>
          <w:sz w:val="22"/>
          <w:szCs w:val="22"/>
          <w:b w:val="1"/>
          <w:bCs w:val="1"/>
          <w:i w:val="1"/>
          <w:iCs w:val="1"/>
          <w:color w:val="auto"/>
        </w:rPr>
        <w:t>The undersigned hereby certifies, to the best of his or her knowledge, that the information set out in the Perfection Certificate is true, complete and correct.</w:t>
      </w: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AXSOME THERAPEUTICS, INC.</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Herriot Tabuteau, M.D.___</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Name: _ </w:t>
      </w:r>
      <w:r>
        <w:rPr>
          <w:rFonts w:ascii="Arial" w:cs="Arial" w:eastAsia="Arial" w:hAnsi="Arial"/>
          <w:sz w:val="22"/>
          <w:szCs w:val="22"/>
          <w:u w:val="single" w:color="auto"/>
          <w:color w:val="auto"/>
        </w:rPr>
        <w:t>Herriot Tabuteau, M.D.</w:t>
      </w:r>
      <w:r>
        <w:rPr>
          <w:rFonts w:ascii="Arial" w:cs="Arial" w:eastAsia="Arial" w:hAnsi="Arial"/>
          <w:sz w:val="22"/>
          <w:szCs w:val="22"/>
          <w:color w:val="auto"/>
        </w:rPr>
        <w:t>___</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 __</w:t>
      </w:r>
      <w:r>
        <w:rPr>
          <w:rFonts w:ascii="Arial" w:cs="Arial" w:eastAsia="Arial" w:hAnsi="Arial"/>
          <w:sz w:val="22"/>
          <w:szCs w:val="22"/>
          <w:u w:val="single" w:color="auto"/>
          <w:color w:val="auto"/>
        </w:rPr>
        <w:t>Chief Executive Officer</w:t>
      </w:r>
      <w:r>
        <w:rPr>
          <w:rFonts w:ascii="Arial" w:cs="Arial" w:eastAsia="Arial" w:hAnsi="Arial"/>
          <w:sz w:val="22"/>
          <w:szCs w:val="22"/>
          <w:color w:val="auto"/>
        </w:rPr>
        <w:t xml:space="preserve">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133350</wp:posOffset>
            </wp:positionV>
            <wp:extent cx="554863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22"/>
          <w:szCs w:val="22"/>
          <w:b w:val="1"/>
          <w:bCs w:val="1"/>
          <w:u w:val="single" w:color="auto"/>
          <w:color w:val="auto"/>
        </w:rPr>
        <w:t>Schedule 1</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17"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70"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73"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7"/>
          <w:szCs w:val="17"/>
          <w:color w:val="auto"/>
        </w:rPr>
        <w:t>Notwithstanding the foregoing, the Collateral does not include (i) more than sixty-five percent (65.0%) of the presently existing and hereafter arising issued and outstanding shares of capital stock owned by Borrower of Australian Subsidiary and Irish Subsidiary which shares entitle the holder thereof to vote for directors or any other matter, (ii) rights held under a license that are not assignable by their terms without the consent of the licensor thereof (but only to the extent such restriction on assignment is enforceable under applicable law), or (iii)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3" w:lineRule="exact"/>
        <w:rPr>
          <w:sz w:val="20"/>
          <w:szCs w:val="20"/>
          <w:color w:val="auto"/>
        </w:rPr>
      </w:pPr>
    </w:p>
    <w:p>
      <w:pPr>
        <w:ind w:left="160" w:right="879" w:firstLine="648"/>
        <w:spacing w:after="0" w:line="342" w:lineRule="auto"/>
        <w:rPr>
          <w:sz w:val="20"/>
          <w:szCs w:val="20"/>
          <w:color w:val="auto"/>
        </w:rPr>
      </w:pPr>
      <w:r>
        <w:rPr>
          <w:rFonts w:ascii="Arial" w:cs="Arial" w:eastAsia="Arial" w:hAnsi="Arial"/>
          <w:sz w:val="16"/>
          <w:szCs w:val="16"/>
          <w:color w:val="auto"/>
        </w:rPr>
        <w:t>Pursuant to the terms of a certain negative pledge arrangement with Bank, Borrower has agreed not to encumber any of its Intellectual Property in violation of this Agreement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87630</wp:posOffset>
            </wp:positionV>
            <wp:extent cx="554863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7" w:name="page198"/>
    <w:bookmarkEnd w:id="197"/>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“Agreement”) dated as of March 5, 2019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among (a)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SVB</w:t>
      </w:r>
      <w:r>
        <w:rPr>
          <w:rFonts w:ascii="Arial" w:cs="Arial" w:eastAsia="Arial" w:hAnsi="Arial"/>
          <w:sz w:val="17"/>
          <w:szCs w:val="17"/>
          <w:color w:val="auto"/>
        </w:rPr>
        <w:t>”), in its capacity as administrative agent and collateral agent (“</w:t>
      </w:r>
      <w:r>
        <w:rPr>
          <w:rFonts w:ascii="Arial" w:cs="Arial" w:eastAsia="Arial" w:hAnsi="Arial"/>
          <w:sz w:val="17"/>
          <w:szCs w:val="17"/>
          <w:b w:val="1"/>
          <w:bCs w:val="1"/>
          <w:color w:val="auto"/>
        </w:rPr>
        <w:t>Agent</w:t>
      </w:r>
      <w:r>
        <w:rPr>
          <w:rFonts w:ascii="Arial" w:cs="Arial" w:eastAsia="Arial" w:hAnsi="Arial"/>
          <w:sz w:val="17"/>
          <w:szCs w:val="17"/>
          <w:color w:val="auto"/>
        </w:rPr>
        <w:t xml:space="preserve">”), (b) </w:t>
      </w:r>
      <w:r>
        <w:rPr>
          <w:rFonts w:ascii="Arial" w:cs="Arial" w:eastAsia="Arial" w:hAnsi="Arial"/>
          <w:sz w:val="17"/>
          <w:szCs w:val="17"/>
          <w:b w:val="1"/>
          <w:bCs w:val="1"/>
          <w:color w:val="auto"/>
        </w:rPr>
        <w:t>SILICON VALLEY BANK</w:t>
      </w:r>
      <w:r>
        <w:rPr>
          <w:rFonts w:ascii="Arial" w:cs="Arial" w:eastAsia="Arial" w:hAnsi="Arial"/>
          <w:sz w:val="17"/>
          <w:szCs w:val="17"/>
          <w:color w:val="auto"/>
        </w:rPr>
        <w:t xml:space="preserve">, a California corporation, as a lender, (c) </w:t>
      </w:r>
      <w:r>
        <w:rPr>
          <w:rFonts w:ascii="Arial" w:cs="Arial" w:eastAsia="Arial" w:hAnsi="Arial"/>
          <w:sz w:val="17"/>
          <w:szCs w:val="17"/>
          <w:b w:val="1"/>
          <w:bCs w:val="1"/>
          <w:color w:val="auto"/>
        </w:rPr>
        <w:t>WESTRIVER INNOVATION LENDING FUND VIII, L.P.</w:t>
      </w:r>
      <w:r>
        <w:rPr>
          <w:rFonts w:ascii="Arial" w:cs="Arial" w:eastAsia="Arial" w:hAnsi="Arial"/>
          <w:sz w:val="17"/>
          <w:szCs w:val="17"/>
          <w:color w:val="auto"/>
        </w:rPr>
        <w:t>, a Delaware limited partnership (“</w:t>
      </w:r>
      <w:r>
        <w:rPr>
          <w:rFonts w:ascii="Arial" w:cs="Arial" w:eastAsia="Arial" w:hAnsi="Arial"/>
          <w:sz w:val="17"/>
          <w:szCs w:val="17"/>
          <w:b w:val="1"/>
          <w:bCs w:val="1"/>
          <w:color w:val="auto"/>
        </w:rPr>
        <w:t>WestRiver</w:t>
      </w:r>
      <w:r>
        <w:rPr>
          <w:rFonts w:ascii="Arial" w:cs="Arial" w:eastAsia="Arial" w:hAnsi="Arial"/>
          <w:sz w:val="17"/>
          <w:szCs w:val="17"/>
          <w:color w:val="auto"/>
        </w:rPr>
        <w:t>”), as a lender (SVB and WestRiver and each of the other “Lenders” from time to time a party hereto are referred to herein collectively as the “</w:t>
      </w:r>
      <w:r>
        <w:rPr>
          <w:rFonts w:ascii="Arial" w:cs="Arial" w:eastAsia="Arial" w:hAnsi="Arial"/>
          <w:sz w:val="17"/>
          <w:szCs w:val="17"/>
          <w:b w:val="1"/>
          <w:bCs w:val="1"/>
          <w:color w:val="auto"/>
        </w:rPr>
        <w:t>Lenders</w:t>
      </w:r>
      <w:r>
        <w:rPr>
          <w:rFonts w:ascii="Arial" w:cs="Arial" w:eastAsia="Arial" w:hAnsi="Arial"/>
          <w:sz w:val="17"/>
          <w:szCs w:val="17"/>
          <w:color w:val="auto"/>
        </w:rPr>
        <w:t>” and each individually as a “</w:t>
      </w:r>
      <w:r>
        <w:rPr>
          <w:rFonts w:ascii="Arial" w:cs="Arial" w:eastAsia="Arial" w:hAnsi="Arial"/>
          <w:sz w:val="17"/>
          <w:szCs w:val="17"/>
          <w:b w:val="1"/>
          <w:bCs w:val="1"/>
          <w:color w:val="auto"/>
        </w:rPr>
        <w:t>Lender</w:t>
      </w:r>
      <w:r>
        <w:rPr>
          <w:rFonts w:ascii="Arial" w:cs="Arial" w:eastAsia="Arial" w:hAnsi="Arial"/>
          <w:sz w:val="17"/>
          <w:szCs w:val="17"/>
          <w:color w:val="auto"/>
        </w:rPr>
        <w:t xml:space="preserve">”), and (d) </w:t>
      </w:r>
      <w:r>
        <w:rPr>
          <w:rFonts w:ascii="Arial" w:cs="Arial" w:eastAsia="Arial" w:hAnsi="Arial"/>
          <w:sz w:val="17"/>
          <w:szCs w:val="17"/>
          <w:b w:val="1"/>
          <w:bCs w:val="1"/>
          <w:color w:val="auto"/>
        </w:rPr>
        <w:t>AXSOME</w:t>
      </w:r>
      <w:r>
        <w:rPr>
          <w:rFonts w:ascii="Arial" w:cs="Arial" w:eastAsia="Arial" w:hAnsi="Arial"/>
          <w:sz w:val="17"/>
          <w:szCs w:val="17"/>
          <w:color w:val="auto"/>
        </w:rPr>
        <w:t xml:space="preserve"> </w:t>
      </w:r>
      <w:r>
        <w:rPr>
          <w:rFonts w:ascii="Arial" w:cs="Arial" w:eastAsia="Arial" w:hAnsi="Arial"/>
          <w:sz w:val="17"/>
          <w:szCs w:val="17"/>
          <w:b w:val="1"/>
          <w:bCs w:val="1"/>
          <w:color w:val="auto"/>
        </w:rPr>
        <w:t>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 which Agent and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lend to Borrower, and Borrower shall repay Agent and the Lenders. The parties agree as follows:</w:t>
      </w:r>
    </w:p>
    <w:p>
      <w:pPr>
        <w:spacing w:after="0" w:line="172" w:lineRule="exact"/>
        <w:rPr>
          <w:sz w:val="20"/>
          <w:szCs w:val="20"/>
          <w:color w:val="auto"/>
        </w:rPr>
      </w:pPr>
    </w:p>
    <w:p>
      <w:pPr>
        <w:ind w:left="1440" w:hanging="641"/>
        <w:spacing w:after="0"/>
        <w:tabs>
          <w:tab w:leader="none" w:pos="1440" w:val="left"/>
        </w:tabs>
        <w:numPr>
          <w:ilvl w:val="0"/>
          <w:numId w:val="9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left="160" w:right="139" w:firstLine="648"/>
        <w:spacing w:after="0" w:line="27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14 of this Agreement. All other terms contained in this Agreement, unless otherwise indicated, shall have the meaning provided by the Code to the extent such terms are defined therein.</w:t>
      </w:r>
    </w:p>
    <w:p>
      <w:pPr>
        <w:spacing w:after="0" w:line="167" w:lineRule="exact"/>
        <w:rPr>
          <w:sz w:val="20"/>
          <w:szCs w:val="20"/>
          <w:color w:val="auto"/>
        </w:rPr>
      </w:pPr>
    </w:p>
    <w:p>
      <w:pPr>
        <w:ind w:left="1440" w:hanging="641"/>
        <w:spacing w:after="0"/>
        <w:tabs>
          <w:tab w:leader="none" w:pos="1440" w:val="left"/>
        </w:tabs>
        <w:numPr>
          <w:ilvl w:val="0"/>
          <w:numId w:val="9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7"/>
          <w:szCs w:val="17"/>
          <w:b w:val="1"/>
          <w:bCs w:val="1"/>
          <w:color w:val="auto"/>
        </w:rPr>
        <w:t>2.1 Promise to Pay</w:t>
      </w:r>
      <w:r>
        <w:rPr>
          <w:rFonts w:ascii="Arial" w:cs="Arial" w:eastAsia="Arial" w:hAnsi="Arial"/>
          <w:sz w:val="17"/>
          <w:szCs w:val="17"/>
          <w:color w:val="auto"/>
        </w:rPr>
        <w:t>. Borrower hereby unconditionally promises to pay to Agent, for the ratable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of each Lender, the outstanding principal amount of all Credit Extensions advanced to Borrower by such Lender and accrued and unpaid interest thereon, together with any fees as and when due in accordance with this Agreement.</w:t>
      </w:r>
    </w:p>
    <w:p>
      <w:pPr>
        <w:spacing w:after="0" w:line="15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 Advances</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67" w:lineRule="auto"/>
        <w:tabs>
          <w:tab w:leader="none" w:pos="2147"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upon Borrower’s request, the Lenders, severally and not jointly, shall make one (1) term loan advance to Borrower on or about the Effective Date in an original principal amount of Twenty Million Dollars ($20,000,000.00) according to each Lender’s Term Loan Commitment as set forth on Schedule 1.1 hereto (the “</w:t>
      </w:r>
      <w:r>
        <w:rPr>
          <w:rFonts w:ascii="Arial" w:cs="Arial" w:eastAsia="Arial" w:hAnsi="Arial"/>
          <w:sz w:val="17"/>
          <w:szCs w:val="17"/>
          <w:b w:val="1"/>
          <w:bCs w:val="1"/>
          <w:color w:val="auto"/>
        </w:rPr>
        <w:t>Term A Loan Advance</w:t>
      </w:r>
      <w:r>
        <w:rPr>
          <w:rFonts w:ascii="Arial" w:cs="Arial" w:eastAsia="Arial" w:hAnsi="Arial"/>
          <w:sz w:val="17"/>
          <w:szCs w:val="17"/>
          <w:color w:val="auto"/>
        </w:rPr>
        <w:t>”), provided that all or a portion of the Term A Loan Advance shall be used to repay in full all of Borrower’s outstanding obligations and liabilities in respect of the Term Loan Advances to SVB under the Existing Loan Agreement (including, without limitation, the “Final Payment” as defined in the Existing Loan Agreement) (the “</w:t>
      </w:r>
      <w:r>
        <w:rPr>
          <w:rFonts w:ascii="Arial" w:cs="Arial" w:eastAsia="Arial" w:hAnsi="Arial"/>
          <w:sz w:val="17"/>
          <w:szCs w:val="17"/>
          <w:b w:val="1"/>
          <w:bCs w:val="1"/>
          <w:color w:val="auto"/>
        </w:rPr>
        <w:t>SVB Obligations</w:t>
      </w:r>
      <w:r>
        <w:rPr>
          <w:rFonts w:ascii="Arial" w:cs="Arial" w:eastAsia="Arial" w:hAnsi="Arial"/>
          <w:sz w:val="17"/>
          <w:szCs w:val="17"/>
          <w:color w:val="auto"/>
        </w:rPr>
        <w:t>”). Borrower hereby authorizes Agent to apply such proceeds to the SVB Obligations as part of the funding process without actually depositing such funds into an account of Borrower. Borrower hereby acknowledges, confirms and agrees that (i) as of the Effective Date, there is no availability remaining under the Existing Loan Agreement and (ii) upon payment in full of the SVB Obligations, the Existing Loan Agreement will be terminated. Subject to the terms and conditions of this Agreement, upon Borrower’s request, during the Draw Period, the Lenders, severally and not jointly, shall make one (1) term loan advance available to Borrower in an original principal amount of Four Million Dollars ($4,000,000.00) according to each Lender’s Term Loan Commitment as set forth on Schedule 1.1 hereto (the “</w:t>
      </w:r>
      <w:r>
        <w:rPr>
          <w:rFonts w:ascii="Arial" w:cs="Arial" w:eastAsia="Arial" w:hAnsi="Arial"/>
          <w:sz w:val="17"/>
          <w:szCs w:val="17"/>
          <w:b w:val="1"/>
          <w:bCs w:val="1"/>
          <w:color w:val="auto"/>
        </w:rPr>
        <w:t>Term B Loan</w:t>
      </w:r>
      <w:r>
        <w:rPr>
          <w:rFonts w:ascii="Arial" w:cs="Arial" w:eastAsia="Arial" w:hAnsi="Arial"/>
          <w:sz w:val="17"/>
          <w:szCs w:val="17"/>
          <w:color w:val="auto"/>
        </w:rPr>
        <w:t xml:space="preserve"> </w:t>
      </w:r>
      <w:r>
        <w:rPr>
          <w:rFonts w:ascii="Arial" w:cs="Arial" w:eastAsia="Arial" w:hAnsi="Arial"/>
          <w:sz w:val="17"/>
          <w:szCs w:val="17"/>
          <w:b w:val="1"/>
          <w:bCs w:val="1"/>
          <w:color w:val="auto"/>
        </w:rPr>
        <w:t>Advance</w:t>
      </w:r>
      <w:r>
        <w:rPr>
          <w:rFonts w:ascii="Arial" w:cs="Arial" w:eastAsia="Arial" w:hAnsi="Arial"/>
          <w:sz w:val="17"/>
          <w:szCs w:val="17"/>
          <w:color w:val="auto"/>
        </w:rPr>
        <w:t>”). The Term A Loan Advance and the Term B Loan Advance are hereinafter referred to singly as the “</w:t>
      </w:r>
      <w:r>
        <w:rPr>
          <w:rFonts w:ascii="Arial" w:cs="Arial" w:eastAsia="Arial" w:hAnsi="Arial"/>
          <w:sz w:val="17"/>
          <w:szCs w:val="17"/>
          <w:b w:val="1"/>
          <w:bCs w:val="1"/>
          <w:color w:val="auto"/>
        </w:rPr>
        <w:t>Term Loan Advance</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Loan Advances</w:t>
      </w:r>
      <w:r>
        <w:rPr>
          <w:rFonts w:ascii="Arial" w:cs="Arial" w:eastAsia="Arial" w:hAnsi="Arial"/>
          <w:sz w:val="17"/>
          <w:szCs w:val="17"/>
          <w:color w:val="auto"/>
        </w:rPr>
        <w:t>”. After repayment, no Term Loan Advance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thereof) may be reborrowed.</w:t>
      </w:r>
    </w:p>
    <w:p>
      <w:pPr>
        <w:spacing w:after="0" w:line="192" w:lineRule="exact"/>
        <w:rPr>
          <w:rFonts w:ascii="Arial" w:cs="Arial" w:eastAsia="Arial" w:hAnsi="Arial"/>
          <w:sz w:val="17"/>
          <w:szCs w:val="17"/>
          <w:color w:val="auto"/>
        </w:rPr>
      </w:pPr>
    </w:p>
    <w:p>
      <w:pPr>
        <w:jc w:val="both"/>
        <w:ind w:left="160" w:right="139" w:firstLine="1287"/>
        <w:spacing w:after="0" w:line="279" w:lineRule="auto"/>
        <w:tabs>
          <w:tab w:leader="none" w:pos="213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Interest Payments</w:t>
      </w:r>
      <w:r>
        <w:rPr>
          <w:rFonts w:ascii="Arial" w:cs="Arial" w:eastAsia="Arial" w:hAnsi="Arial"/>
          <w:sz w:val="17"/>
          <w:szCs w:val="17"/>
          <w:color w:val="auto"/>
        </w:rPr>
        <w:t>. With respect to each Term Loan Advance, commencing on the first (1</w:t>
      </w:r>
      <w:r>
        <w:rPr>
          <w:rFonts w:ascii="Arial" w:cs="Arial" w:eastAsia="Arial" w:hAnsi="Arial"/>
          <w:sz w:val="8"/>
          <w:szCs w:val="8"/>
          <w:color w:val="auto"/>
        </w:rPr>
        <w:t>st</w:t>
      </w:r>
      <w:r>
        <w:rPr>
          <w:rFonts w:ascii="Arial" w:cs="Arial" w:eastAsia="Arial" w:hAnsi="Arial"/>
          <w:sz w:val="17"/>
          <w:szCs w:val="17"/>
          <w:color w:val="auto"/>
        </w:rPr>
        <w:t>) Payment Date following the Funding Date of such Term Loan Advance and continuing on the Payment Date of each month thereafter, Borrower shall make monthly payments of interest to Agent, for the account of the Lenders, in arrears, on the principal amount of each Term Loan Advance, at the rate set forth in Section 2.3(a).</w:t>
      </w:r>
    </w:p>
    <w:p>
      <w:pPr>
        <w:spacing w:after="0" w:line="171" w:lineRule="exact"/>
        <w:rPr>
          <w:rFonts w:ascii="Arial" w:cs="Arial" w:eastAsia="Arial" w:hAnsi="Arial"/>
          <w:sz w:val="17"/>
          <w:szCs w:val="17"/>
          <w:color w:val="auto"/>
        </w:rPr>
      </w:pPr>
    </w:p>
    <w:p>
      <w:pPr>
        <w:jc w:val="both"/>
        <w:ind w:left="160" w:right="139" w:firstLine="1287"/>
        <w:spacing w:after="0" w:line="293" w:lineRule="auto"/>
        <w:tabs>
          <w:tab w:leader="none" w:pos="213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Repayment of the Term Loan Advances</w:t>
      </w:r>
      <w:r>
        <w:rPr>
          <w:rFonts w:ascii="Arial" w:cs="Arial" w:eastAsia="Arial" w:hAnsi="Arial"/>
          <w:sz w:val="16"/>
          <w:szCs w:val="16"/>
          <w:color w:val="auto"/>
        </w:rPr>
        <w:t>. Commencing on the Term Loan Amortization Date, and continuing on each Payment Date thereafter, Borrower shall repay the aggregate outstanding Term Loan Advances to Agent, for the account of the Lenders, in (i) consecutive equal monthly installments of principal based on the Repayment Schedule, plus (ii) monthly payments of accrued interest at the rate set forth in Section 2.3(a). All outstanding principal and accrued and unpaid interest with respect to the Term Loan Advances, and all other outstanding Obligations under the Term Loan Advances, are due and payable in full on the Term Loan Maturity Date.</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8" w:name="page199"/>
    <w:bookmarkEnd w:id="198"/>
    <w:p>
      <w:pPr>
        <w:jc w:val="both"/>
        <w:ind w:left="160" w:right="139" w:firstLine="1287"/>
        <w:spacing w:after="0" w:line="254" w:lineRule="auto"/>
        <w:tabs>
          <w:tab w:leader="none" w:pos="211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Permitted Prepayment</w:t>
      </w:r>
      <w:r>
        <w:rPr>
          <w:rFonts w:ascii="Arial" w:cs="Arial" w:eastAsia="Arial" w:hAnsi="Arial"/>
          <w:sz w:val="18"/>
          <w:szCs w:val="18"/>
          <w:color w:val="auto"/>
        </w:rPr>
        <w:t>. Borrower shall have the option to prepay all, but not less than all, of the Term Loan Advances advanced by the Lenders under this Agreement, provided Borrower (i) delivers written notice to Agent of its election to prepay the Term Loan Advances at least thirty (30) days prior to such prepayment, and (ii) pays to Agent, for the account of the Lenders in accordance with its respective Pro Rata Share, on the date of such prepayment (A) the outstanding principal plus accrued and unpaid interest with respect to the Term Loan Advances, (B) the Prepayment Premium, (C) the Final Payment and (D) all other sums, if any, that shall have become due and payable with respect to the Term Loan Advances, including Lenders’ Expenses and interest at the Default Rate with respect to any past due amounts.</w:t>
      </w:r>
    </w:p>
    <w:p>
      <w:pPr>
        <w:spacing w:after="0" w:line="192" w:lineRule="exact"/>
        <w:rPr>
          <w:rFonts w:ascii="Arial" w:cs="Arial" w:eastAsia="Arial" w:hAnsi="Arial"/>
          <w:sz w:val="18"/>
          <w:szCs w:val="18"/>
          <w:color w:val="auto"/>
        </w:rPr>
      </w:pPr>
    </w:p>
    <w:p>
      <w:pPr>
        <w:jc w:val="both"/>
        <w:ind w:left="160" w:right="139" w:firstLine="1287"/>
        <w:spacing w:after="0" w:line="272" w:lineRule="auto"/>
        <w:tabs>
          <w:tab w:leader="none" w:pos="212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Agent pursuant to Section 9.1 hereof, following the occurrence and during the continuance of an Event of Default, Borrower shall immediately pay to Agent, for the account of the Lenders in accordance with its respective Pro Rata Share, an amount equal to the sum of (i) all outstanding principal plus accrued and unpaid interest with respect to the Term Loan Advances, (ii) the Prepayment Premium, (iii) the Final Payment and (iv) all other sums, if any, that shall have become due and payable with respect to the Term Loan Advances, including Lenders’ Expenses and interest at the Default Rate with respect to any past due amounts.</w:t>
      </w:r>
    </w:p>
    <w:p>
      <w:pPr>
        <w:spacing w:after="0" w:line="17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59" w:lineRule="auto"/>
        <w:tabs>
          <w:tab w:leader="none" w:pos="21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each Term Loan Advance shall accrue interest at a floating per annum rate equal to the greater of (i) seven and one-half of one percent (7.50%) and (ii) two percent (2.0%) above the Prime Rate, which interest, in each case, shall be payable monthly in accordance with Section 2.3(d) below.</w:t>
      </w:r>
    </w:p>
    <w:p>
      <w:pPr>
        <w:spacing w:after="0" w:line="186" w:lineRule="exact"/>
        <w:rPr>
          <w:rFonts w:ascii="Arial" w:cs="Arial" w:eastAsia="Arial" w:hAnsi="Arial"/>
          <w:sz w:val="18"/>
          <w:szCs w:val="18"/>
          <w:color w:val="auto"/>
        </w:rPr>
      </w:pPr>
    </w:p>
    <w:p>
      <w:pPr>
        <w:jc w:val="both"/>
        <w:ind w:left="160" w:right="139" w:firstLine="1287"/>
        <w:spacing w:after="0" w:line="291" w:lineRule="auto"/>
        <w:tabs>
          <w:tab w:leader="none" w:pos="213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Fees and expenses which are required to be paid by Borrower pursuant to the Loan Documents (including, without limitation, Lenders’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Agent or any Lender.</w:t>
      </w:r>
    </w:p>
    <w:p>
      <w:pPr>
        <w:spacing w:after="0" w:line="167" w:lineRule="exact"/>
        <w:rPr>
          <w:rFonts w:ascii="Arial" w:cs="Arial" w:eastAsia="Arial" w:hAnsi="Arial"/>
          <w:sz w:val="16"/>
          <w:szCs w:val="16"/>
          <w:color w:val="auto"/>
        </w:rPr>
      </w:pPr>
    </w:p>
    <w:p>
      <w:pPr>
        <w:jc w:val="both"/>
        <w:ind w:left="160" w:right="139" w:firstLine="1287"/>
        <w:spacing w:after="0" w:line="264" w:lineRule="auto"/>
        <w:tabs>
          <w:tab w:leader="none" w:pos="214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81" w:lineRule="exact"/>
        <w:rPr>
          <w:rFonts w:ascii="Arial" w:cs="Arial" w:eastAsia="Arial" w:hAnsi="Arial"/>
          <w:sz w:val="18"/>
          <w:szCs w:val="18"/>
          <w:color w:val="auto"/>
        </w:rPr>
      </w:pPr>
    </w:p>
    <w:p>
      <w:pPr>
        <w:jc w:val="both"/>
        <w:ind w:left="160" w:right="139" w:firstLine="1287"/>
        <w:spacing w:after="0" w:line="273" w:lineRule="auto"/>
        <w:tabs>
          <w:tab w:leader="none" w:pos="213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of each month and shall be computed on the basis of a 360-day year for the actual number of days elapsed. In computing interest, (i) all payments received after 12:00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Agent:</w:t>
      </w:r>
    </w:p>
    <w:p>
      <w:pPr>
        <w:spacing w:after="0" w:line="229" w:lineRule="exact"/>
        <w:rPr>
          <w:sz w:val="20"/>
          <w:szCs w:val="20"/>
          <w:color w:val="auto"/>
        </w:rPr>
      </w:pPr>
    </w:p>
    <w:p>
      <w:pPr>
        <w:ind w:left="160" w:right="139" w:firstLine="1287"/>
        <w:spacing w:after="0" w:line="277" w:lineRule="auto"/>
        <w:tabs>
          <w:tab w:leader="none" w:pos="210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to be shared between the Lenders pursuant to their respective Term Loan Commitment Percentages;</w:t>
      </w:r>
    </w:p>
    <w:p>
      <w:pPr>
        <w:spacing w:after="0" w:line="170" w:lineRule="exact"/>
        <w:rPr>
          <w:rFonts w:ascii="Arial" w:cs="Arial" w:eastAsia="Arial" w:hAnsi="Arial"/>
          <w:sz w:val="18"/>
          <w:szCs w:val="18"/>
          <w:color w:val="auto"/>
        </w:rPr>
      </w:pPr>
    </w:p>
    <w:p>
      <w:pPr>
        <w:ind w:left="160" w:right="159" w:firstLine="1287"/>
        <w:spacing w:after="0" w:line="277" w:lineRule="auto"/>
        <w:tabs>
          <w:tab w:leader="none" w:pos="21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pursuant to their respective Term Loan Commitment Percentages; and</w:t>
      </w:r>
    </w:p>
    <w:p>
      <w:pPr>
        <w:spacing w:after="0" w:line="170" w:lineRule="exact"/>
        <w:rPr>
          <w:rFonts w:ascii="Arial" w:cs="Arial" w:eastAsia="Arial" w:hAnsi="Arial"/>
          <w:sz w:val="18"/>
          <w:szCs w:val="18"/>
          <w:color w:val="auto"/>
        </w:rPr>
      </w:pPr>
    </w:p>
    <w:p>
      <w:pPr>
        <w:jc w:val="both"/>
        <w:ind w:left="160" w:right="159" w:firstLine="1287"/>
        <w:spacing w:after="0" w:line="264" w:lineRule="auto"/>
        <w:tabs>
          <w:tab w:leader="none" w:pos="21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 (or, if no stated due date, upon demand by Agent).</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9" w:name="page200"/>
    <w:bookmarkEnd w:id="199"/>
    <w:p>
      <w:pPr>
        <w:jc w:val="both"/>
        <w:ind w:left="160" w:right="139" w:firstLine="648"/>
        <w:spacing w:after="0" w:line="273" w:lineRule="auto"/>
        <w:rPr>
          <w:sz w:val="20"/>
          <w:szCs w:val="20"/>
          <w:color w:val="auto"/>
        </w:rPr>
      </w:pPr>
      <w:r>
        <w:rPr>
          <w:rFonts w:ascii="Arial" w:cs="Arial" w:eastAsia="Arial" w:hAnsi="Arial"/>
          <w:sz w:val="17"/>
          <w:szCs w:val="17"/>
          <w:color w:val="auto"/>
        </w:rPr>
        <w:t>Unless otherwise provided in this Agreement or in a separate writing by Agent, Borrower shall not be entitled to any credit, rebate, or repayment of any fees earned by Agent or any Lender pursuant to this Agreement notwithstanding any termination of this Agreement or the suspension or termination of any Lender’s obligation to make loans and advances hereunder. Agent may deduct amounts owing by Borrower under the clauses of this Section 2.4 pursuant to the terms of Section 2.5(e). Agent shall provide Borrower written notice of deductions made from the Designated Deposit Account pursuant to the terms of the clauses of this Section 2.4.</w:t>
      </w:r>
    </w:p>
    <w:p>
      <w:pPr>
        <w:spacing w:after="0" w:line="17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Payments; Pro Rata Treatment; Application of Payments; Debit of Accounts</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55" w:lineRule="auto"/>
        <w:tabs>
          <w:tab w:leader="none" w:pos="2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payments (including prepayments) to be made by Borrower under any Loan Document shall be made to Agent for the account of Lenders, in immediately available funds in Dollars, without setoff or counterclaim, before 12:00 p.m. Eastern time on the date when due. Agent shall distribute such payments to Lenders in like funds as set forth in Section 2.6.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9" w:lineRule="exact"/>
        <w:rPr>
          <w:rFonts w:ascii="Arial" w:cs="Arial" w:eastAsia="Arial" w:hAnsi="Arial"/>
          <w:sz w:val="18"/>
          <w:szCs w:val="18"/>
          <w:color w:val="auto"/>
        </w:rPr>
      </w:pPr>
    </w:p>
    <w:p>
      <w:pPr>
        <w:ind w:left="160" w:right="159" w:firstLine="1287"/>
        <w:spacing w:after="0" w:line="277" w:lineRule="auto"/>
        <w:tabs>
          <w:tab w:leader="none" w:pos="215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borrowing by Borrower from Lenders hereunder shall be made according to the respective Term Loan Commitment Percentages of the relevant Lenders.</w:t>
      </w:r>
    </w:p>
    <w:p>
      <w:pPr>
        <w:spacing w:after="0" w:line="170" w:lineRule="exact"/>
        <w:rPr>
          <w:rFonts w:ascii="Arial" w:cs="Arial" w:eastAsia="Arial" w:hAnsi="Arial"/>
          <w:sz w:val="18"/>
          <w:szCs w:val="18"/>
          <w:color w:val="auto"/>
        </w:rPr>
      </w:pPr>
    </w:p>
    <w:p>
      <w:pPr>
        <w:jc w:val="both"/>
        <w:ind w:left="160" w:right="139" w:firstLine="1287"/>
        <w:spacing w:after="0" w:line="257" w:lineRule="auto"/>
        <w:tabs>
          <w:tab w:leader="none" w:pos="21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otherwise provided herein, each payment (including each prepayment) by Borrower on account of principal or interest on the Term Loan Advances shall be applied according to each Lender’s Pro Rata Share of the outstanding principal amount of the Term Loan Advances. The amount of each principal prepayment of the Term Loan Advances shall be applied to reduce the then remaining installments of the Term Loan Advances based upon each Pro Rata Share of Term Loan Advances.</w:t>
      </w:r>
    </w:p>
    <w:p>
      <w:pPr>
        <w:spacing w:after="0" w:line="188" w:lineRule="exact"/>
        <w:rPr>
          <w:rFonts w:ascii="Arial" w:cs="Arial" w:eastAsia="Arial" w:hAnsi="Arial"/>
          <w:sz w:val="18"/>
          <w:szCs w:val="18"/>
          <w:color w:val="auto"/>
        </w:rPr>
      </w:pPr>
    </w:p>
    <w:p>
      <w:pPr>
        <w:jc w:val="both"/>
        <w:ind w:left="160" w:right="139" w:firstLine="1287"/>
        <w:spacing w:after="0" w:line="302" w:lineRule="auto"/>
        <w:tabs>
          <w:tab w:leader="none" w:pos="211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Agent has the exclusive right to determine the order and manner in which all payments with respect to the Obligations may be applied. Borrower shall have no right to specify the order or the accounts to which Agent shall allocate or apply any payments required to be made by Borrower to Agent or otherwise received by Agent or any Lender under this Agreement when any such allocation or application is not specified elsewhere in this Agreement.</w:t>
      </w:r>
    </w:p>
    <w:p>
      <w:pPr>
        <w:spacing w:after="0" w:line="154" w:lineRule="exact"/>
        <w:rPr>
          <w:rFonts w:ascii="Arial" w:cs="Arial" w:eastAsia="Arial" w:hAnsi="Arial"/>
          <w:sz w:val="16"/>
          <w:szCs w:val="16"/>
          <w:color w:val="auto"/>
        </w:rPr>
      </w:pPr>
    </w:p>
    <w:p>
      <w:pPr>
        <w:jc w:val="both"/>
        <w:ind w:left="160" w:right="159" w:firstLine="1287"/>
        <w:spacing w:after="0" w:line="264" w:lineRule="auto"/>
        <w:tabs>
          <w:tab w:leader="none" w:pos="21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Agent may debit any of Borrower’s deposit accounts, including the Designated Deposit Account, for principal and interest payments or any other amounts Borrower owes Agent or any Lender when due. These debits shall not constitute a set-off.</w:t>
      </w:r>
    </w:p>
    <w:p>
      <w:pPr>
        <w:spacing w:after="0" w:line="181" w:lineRule="exact"/>
        <w:rPr>
          <w:rFonts w:ascii="Arial" w:cs="Arial" w:eastAsia="Arial" w:hAnsi="Arial"/>
          <w:sz w:val="18"/>
          <w:szCs w:val="18"/>
          <w:color w:val="auto"/>
        </w:rPr>
      </w:pPr>
    </w:p>
    <w:p>
      <w:pPr>
        <w:jc w:val="both"/>
        <w:ind w:left="160" w:right="139" w:firstLine="1287"/>
        <w:spacing w:after="0" w:line="271" w:lineRule="auto"/>
        <w:tabs>
          <w:tab w:leader="none" w:pos="216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Unless Agent shall have been notified in writing by Borrower prior to the date of any payment due to be made by Borrower hereunder that Borrower will not make such payment to Agent, Agent may assume that Borrower is making such payment, and Agent may, but shall not be required to, in reliance upon such assumption, make available to Lenders their respective Pro Rata Share of a corresponding payment amount. If such payment is not made to Agent by Borrower within three (3) Business Days after such due date,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Agent or any Lender against Borrower.</w:t>
      </w:r>
    </w:p>
    <w:p>
      <w:pPr>
        <w:spacing w:after="0" w:line="175"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Settlement Procedures</w:t>
      </w:r>
      <w:r>
        <w:rPr>
          <w:rFonts w:ascii="Arial" w:cs="Arial" w:eastAsia="Arial" w:hAnsi="Arial"/>
          <w:sz w:val="17"/>
          <w:szCs w:val="17"/>
          <w:color w:val="auto"/>
        </w:rPr>
        <w:t>.  If Agent receives any payment for the account of Lenders on or prior to</w:t>
      </w:r>
    </w:p>
    <w:p>
      <w:pPr>
        <w:spacing w:after="0" w:line="27" w:lineRule="exact"/>
        <w:rPr>
          <w:sz w:val="20"/>
          <w:szCs w:val="20"/>
          <w:color w:val="auto"/>
        </w:rPr>
      </w:pPr>
    </w:p>
    <w:p>
      <w:pPr>
        <w:jc w:val="both"/>
        <w:ind w:left="160" w:right="139"/>
        <w:spacing w:after="0" w:line="254" w:lineRule="auto"/>
        <w:rPr>
          <w:sz w:val="20"/>
          <w:szCs w:val="20"/>
          <w:color w:val="auto"/>
        </w:rPr>
      </w:pPr>
      <w:r>
        <w:rPr>
          <w:rFonts w:ascii="Arial" w:cs="Arial" w:eastAsia="Arial" w:hAnsi="Arial"/>
          <w:sz w:val="18"/>
          <w:szCs w:val="18"/>
          <w:color w:val="auto"/>
        </w:rPr>
        <w:t>12:00 p.m. (Eastern time) on any Business Day, Agent shall pay to each applicable Lender such Lender’s Pro Rata Share of such payment on such Business Day. If Agent receives any payment for the account of Lenders after 12:00 p.m. (Eastern time) on any Business Day, Agent shall pay to each applicable Lender such Lender’s Pro Rata Share of such payment on the next Business Day.</w:t>
      </w:r>
    </w:p>
    <w:p>
      <w:pPr>
        <w:spacing w:after="0" w:line="186" w:lineRule="exact"/>
        <w:rPr>
          <w:sz w:val="20"/>
          <w:szCs w:val="20"/>
          <w:color w:val="auto"/>
        </w:rPr>
      </w:pPr>
    </w:p>
    <w:p>
      <w:pPr>
        <w:jc w:val="both"/>
        <w:ind w:left="160" w:right="139" w:firstLine="648"/>
        <w:spacing w:after="0" w:line="281" w:lineRule="auto"/>
        <w:rPr>
          <w:sz w:val="20"/>
          <w:szCs w:val="20"/>
          <w:color w:val="auto"/>
        </w:rPr>
      </w:pPr>
      <w:r>
        <w:rPr>
          <w:rFonts w:ascii="Arial" w:cs="Arial" w:eastAsia="Arial" w:hAnsi="Arial"/>
          <w:sz w:val="17"/>
          <w:szCs w:val="17"/>
          <w:b w:val="1"/>
          <w:bCs w:val="1"/>
          <w:color w:val="auto"/>
        </w:rPr>
        <w:t>2.7 Withholding</w:t>
      </w:r>
      <w:r>
        <w:rPr>
          <w:rFonts w:ascii="Arial" w:cs="Arial" w:eastAsia="Arial" w:hAnsi="Arial"/>
          <w:sz w:val="17"/>
          <w:szCs w:val="17"/>
          <w:color w:val="auto"/>
        </w:rPr>
        <w:t>. Payments received by Agent from Borrower under this Agreement will be made free</w:t>
      </w:r>
      <w:r>
        <w:rPr>
          <w:rFonts w:ascii="Arial" w:cs="Arial" w:eastAsia="Arial" w:hAnsi="Arial"/>
          <w:sz w:val="17"/>
          <w:szCs w:val="17"/>
          <w:b w:val="1"/>
          <w:bCs w:val="1"/>
          <w:color w:val="auto"/>
        </w:rPr>
        <w:t xml:space="preserve"> </w:t>
      </w:r>
      <w:r>
        <w:rPr>
          <w:rFonts w:ascii="Arial" w:cs="Arial" w:eastAsia="Arial" w:hAnsi="Arial"/>
          <w:sz w:val="17"/>
          <w:szCs w:val="17"/>
          <w:color w:val="auto"/>
        </w:rPr>
        <w:t>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0" w:name="page201"/>
    <w:bookmarkEnd w:id="200"/>
    <w:p>
      <w:pPr>
        <w:jc w:val="both"/>
        <w:ind w:left="160" w:right="139"/>
        <w:spacing w:after="0" w:line="269" w:lineRule="auto"/>
        <w:rPr>
          <w:sz w:val="20"/>
          <w:szCs w:val="20"/>
          <w:color w:val="auto"/>
        </w:rPr>
      </w:pPr>
      <w:r>
        <w:rPr>
          <w:rFonts w:ascii="Arial" w:cs="Arial" w:eastAsia="Arial" w:hAnsi="Arial"/>
          <w:sz w:val="17"/>
          <w:szCs w:val="17"/>
          <w:color w:val="auto"/>
        </w:rPr>
        <w:t>applicable law, regulation or international agreement requires Borrower to make any withholding or deduction from any such payment or other sum payable hereunder to Agent, Borrower hereby covenants and agrees that the amount due from Borrower with respect to such payment or other sum payable hereunder will be increased to the extent necessary to ensure that, after the making of such required withholding or deduction, Agent receives a net sum equal to the sum which it would have received had no withholding or deduction been required, and Borrower shall pay the full amount withheld or deducted to the relevant Governmental Authority.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179" w:lineRule="exact"/>
        <w:rPr>
          <w:sz w:val="20"/>
          <w:szCs w:val="20"/>
          <w:color w:val="auto"/>
        </w:rPr>
      </w:pPr>
    </w:p>
    <w:p>
      <w:pPr>
        <w:ind w:left="1440" w:hanging="641"/>
        <w:spacing w:after="0"/>
        <w:tabs>
          <w:tab w:leader="none" w:pos="1440" w:val="left"/>
        </w:tabs>
        <w:numPr>
          <w:ilvl w:val="0"/>
          <w:numId w:val="10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Each Lender’s obligation to make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Credit Extension hereunder is subject to the condition precedent that Agent shall have received, in form and substance satisfactory to Agent and the Lenders, such documents, and completion of such other matters, as Agent may reasonably deem necessary or appropriate, including, without limitation:</w:t>
      </w:r>
    </w:p>
    <w:p>
      <w:pPr>
        <w:spacing w:after="0" w:line="184" w:lineRule="exact"/>
        <w:rPr>
          <w:sz w:val="20"/>
          <w:szCs w:val="20"/>
          <w:color w:val="auto"/>
        </w:rPr>
      </w:pPr>
    </w:p>
    <w:p>
      <w:pPr>
        <w:ind w:left="2100" w:hanging="653"/>
        <w:spacing w:after="0"/>
        <w:tabs>
          <w:tab w:leader="none" w:pos="2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ind w:left="2100" w:hanging="653"/>
        <w:spacing w:after="0"/>
        <w:tabs>
          <w:tab w:leader="none" w:pos="2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225" w:lineRule="exact"/>
        <w:rPr>
          <w:rFonts w:ascii="Arial" w:cs="Arial" w:eastAsia="Arial" w:hAnsi="Arial"/>
          <w:sz w:val="18"/>
          <w:szCs w:val="18"/>
          <w:color w:val="auto"/>
        </w:rPr>
      </w:pPr>
    </w:p>
    <w:p>
      <w:pPr>
        <w:ind w:left="2120" w:hanging="673"/>
        <w:spacing w:after="0"/>
        <w:tabs>
          <w:tab w:leader="none" w:pos="2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Borrower’s Operating Documents;</w:t>
      </w:r>
    </w:p>
    <w:p>
      <w:pPr>
        <w:spacing w:after="0" w:line="225" w:lineRule="exact"/>
        <w:rPr>
          <w:rFonts w:ascii="Arial" w:cs="Arial" w:eastAsia="Arial" w:hAnsi="Arial"/>
          <w:sz w:val="18"/>
          <w:szCs w:val="18"/>
          <w:color w:val="auto"/>
        </w:rPr>
      </w:pPr>
    </w:p>
    <w:p>
      <w:pPr>
        <w:jc w:val="both"/>
        <w:ind w:left="160" w:right="139" w:firstLine="1287"/>
        <w:spacing w:after="0" w:line="264" w:lineRule="auto"/>
        <w:tabs>
          <w:tab w:leader="none" w:pos="21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secretary’s corporate borrowing certificate of Borrower with respect to Borrower’s Operating Documents, incumbency and resolutions authorizing the execution and delivery of this Agreement and the other Loan Documents to which it is a party;</w:t>
      </w:r>
    </w:p>
    <w:p>
      <w:pPr>
        <w:spacing w:after="0" w:line="181" w:lineRule="exact"/>
        <w:rPr>
          <w:rFonts w:ascii="Arial" w:cs="Arial" w:eastAsia="Arial" w:hAnsi="Arial"/>
          <w:sz w:val="18"/>
          <w:szCs w:val="18"/>
          <w:color w:val="auto"/>
        </w:rPr>
      </w:pPr>
    </w:p>
    <w:p>
      <w:pPr>
        <w:ind w:left="2100" w:hanging="653"/>
        <w:spacing w:after="0"/>
        <w:tabs>
          <w:tab w:leader="none" w:pos="2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225" w:lineRule="exact"/>
        <w:rPr>
          <w:rFonts w:ascii="Arial" w:cs="Arial" w:eastAsia="Arial" w:hAnsi="Arial"/>
          <w:sz w:val="18"/>
          <w:szCs w:val="18"/>
          <w:color w:val="auto"/>
        </w:rPr>
      </w:pPr>
    </w:p>
    <w:p>
      <w:pPr>
        <w:jc w:val="both"/>
        <w:ind w:left="160" w:right="139" w:firstLine="1287"/>
        <w:spacing w:after="0" w:line="259" w:lineRule="auto"/>
        <w:tabs>
          <w:tab w:leader="none" w:pos="21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Agent may request, accompanied by written evidence (including any UCC termination statements) that the Liens indicated in any such financing statements either constitute Permitted Liens or have been or, in connection with the initial Credit Extension, will be terminated or released; and</w:t>
      </w:r>
    </w:p>
    <w:p>
      <w:pPr>
        <w:spacing w:after="0" w:line="186" w:lineRule="exact"/>
        <w:rPr>
          <w:rFonts w:ascii="Arial" w:cs="Arial" w:eastAsia="Arial" w:hAnsi="Arial"/>
          <w:sz w:val="18"/>
          <w:szCs w:val="18"/>
          <w:color w:val="auto"/>
        </w:rPr>
      </w:pPr>
    </w:p>
    <w:p>
      <w:pPr>
        <w:ind w:left="2100" w:hanging="653"/>
        <w:spacing w:after="0"/>
        <w:tabs>
          <w:tab w:leader="none" w:pos="21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payment of the fees and Lenders’ Expenses then due as specified in Section 2.4 hereof.</w:t>
      </w:r>
    </w:p>
    <w:p>
      <w:pPr>
        <w:spacing w:after="0" w:line="233" w:lineRule="exact"/>
        <w:rPr>
          <w:sz w:val="20"/>
          <w:szCs w:val="20"/>
          <w:color w:val="auto"/>
        </w:rPr>
      </w:pPr>
    </w:p>
    <w:p>
      <w:pPr>
        <w:ind w:left="160" w:right="139" w:firstLine="648"/>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Each Lender’s obligation to make each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including the initial Credit Extension, is subject to the following conditions precedent:</w:t>
      </w:r>
    </w:p>
    <w:p>
      <w:pPr>
        <w:spacing w:after="0" w:line="166" w:lineRule="exact"/>
        <w:rPr>
          <w:sz w:val="20"/>
          <w:szCs w:val="20"/>
          <w:color w:val="auto"/>
        </w:rPr>
      </w:pPr>
    </w:p>
    <w:p>
      <w:pPr>
        <w:ind w:left="160" w:right="159" w:firstLine="1287"/>
        <w:spacing w:after="0" w:line="277" w:lineRule="auto"/>
        <w:tabs>
          <w:tab w:leader="none" w:pos="2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timely receipt by the Lenders of (i) an executed Disbursement Letter; and (ii) an executed Payment/Advance Form and any materials and documents required by Section 3.4;</w:t>
      </w:r>
    </w:p>
    <w:p>
      <w:pPr>
        <w:spacing w:after="0" w:line="170" w:lineRule="exact"/>
        <w:rPr>
          <w:rFonts w:ascii="Arial" w:cs="Arial" w:eastAsia="Arial" w:hAnsi="Arial"/>
          <w:sz w:val="18"/>
          <w:szCs w:val="18"/>
          <w:color w:val="auto"/>
        </w:rPr>
      </w:pPr>
    </w:p>
    <w:p>
      <w:pPr>
        <w:jc w:val="both"/>
        <w:ind w:left="160" w:right="139" w:firstLine="1287"/>
        <w:spacing w:after="0" w:line="288" w:lineRule="auto"/>
        <w:tabs>
          <w:tab w:leader="none" w:pos="211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Disbursement Letter (and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1" w:name="page202"/>
    <w:bookmarkEnd w:id="201"/>
    <w:p>
      <w:pPr>
        <w:ind w:left="160" w:right="139"/>
        <w:spacing w:after="0" w:line="277" w:lineRule="auto"/>
        <w:rPr>
          <w:sz w:val="20"/>
          <w:szCs w:val="20"/>
          <w:color w:val="auto"/>
        </w:rPr>
      </w:pPr>
      <w:r>
        <w:rPr>
          <w:rFonts w:ascii="Arial" w:cs="Arial" w:eastAsia="Arial" w:hAnsi="Arial"/>
          <w:sz w:val="18"/>
          <w:szCs w:val="18"/>
          <w:color w:val="auto"/>
        </w:rPr>
        <w:t>and warranties expressly referring to a specific date shall be true, accurate and complete in all material respects as of such date; and</w:t>
      </w:r>
    </w:p>
    <w:p>
      <w:pPr>
        <w:spacing w:after="0" w:line="170" w:lineRule="exact"/>
        <w:rPr>
          <w:sz w:val="20"/>
          <w:szCs w:val="20"/>
          <w:color w:val="auto"/>
        </w:rPr>
      </w:pPr>
    </w:p>
    <w:p>
      <w:pPr>
        <w:jc w:val="both"/>
        <w:ind w:left="160" w:right="139" w:firstLine="1287"/>
        <w:spacing w:after="0" w:line="264" w:lineRule="auto"/>
        <w:tabs>
          <w:tab w:leader="none" w:pos="2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Agent and each Lender determine to its reasonable satisfaction that there has not been any material impairment in the general affairs, management, results of operation, financial condition or the prospect of repayment of the Obligations.</w:t>
      </w:r>
    </w:p>
    <w:p>
      <w:pPr>
        <w:spacing w:after="0" w:line="177" w:lineRule="exact"/>
        <w:rPr>
          <w:sz w:val="20"/>
          <w:szCs w:val="20"/>
          <w:color w:val="auto"/>
        </w:rPr>
      </w:pPr>
    </w:p>
    <w:p>
      <w:pPr>
        <w:jc w:val="both"/>
        <w:ind w:left="160" w:right="139" w:firstLine="648"/>
        <w:spacing w:after="0" w:line="277"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Agent and each Lender each item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Agent and each Lender under this Agreement as a condition precedent to any Credit Extension. Borrower expressly agrees that a Credit Extension made prior to the receipt by Agent and each Lender of any such item shall not constitute a waiver by Agent or Lenders of Borrower’s obligation to deliver such item, and the making of any Credit Extension in the absence of a required item shall be in each Lender’s sole discretion.</w:t>
      </w:r>
    </w:p>
    <w:p>
      <w:pPr>
        <w:spacing w:after="0" w:line="16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88" w:lineRule="auto"/>
        <w:tabs>
          <w:tab w:leader="none" w:pos="212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Term Loan Advances</w:t>
      </w:r>
      <w:r>
        <w:rPr>
          <w:rFonts w:ascii="Arial" w:cs="Arial" w:eastAsia="Arial" w:hAnsi="Arial"/>
          <w:sz w:val="16"/>
          <w:szCs w:val="16"/>
          <w:color w:val="auto"/>
        </w:rPr>
        <w:t>. Subject to the prior satisfaction of all other applicable conditions to the making of a Credit Extension set forth in this Agreement, to obtain a Credit Extension, Borrower shall notify Agent (which notice shall be irrevocable) by electronic mail, facsimile, or telephone by 12:00 p.m. Eastern time at least three</w:t>
      </w:r>
    </w:p>
    <w:p>
      <w:pPr>
        <w:jc w:val="both"/>
        <w:ind w:left="160" w:right="139" w:firstLine="50"/>
        <w:spacing w:after="0" w:line="252" w:lineRule="auto"/>
        <w:tabs>
          <w:tab w:leader="none" w:pos="4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Business Days before the proposed Funding Date of such Credit Extension. Together with any such electronic or facsimile notification, Borrower shall deliver to Agent by electronic mail or facsimile a completed Disbursement Letter (and Payment/Advance Form) executed by an Authorized Signer. Agent may rely on any telephone notice given by a person whom Agent believes is an Authorized Signer. On the Funding Date, Agent shall credit the Credit Extensions to the Designated Deposit Account. Agent may make Credit Extensions under this Agreement based on instructions from an Authorized Signer or without instructions if the Credit Extensions are necessary to meet Obligations which have become due.</w:t>
      </w:r>
    </w:p>
    <w:p>
      <w:pPr>
        <w:spacing w:after="0" w:line="193" w:lineRule="exact"/>
        <w:rPr>
          <w:rFonts w:ascii="Arial" w:cs="Arial" w:eastAsia="Arial" w:hAnsi="Arial"/>
          <w:sz w:val="18"/>
          <w:szCs w:val="18"/>
          <w:color w:val="auto"/>
        </w:rPr>
      </w:pPr>
    </w:p>
    <w:p>
      <w:pPr>
        <w:jc w:val="both"/>
        <w:ind w:left="160" w:right="139" w:firstLine="1287"/>
        <w:spacing w:after="0" w:line="286" w:lineRule="auto"/>
        <w:tabs>
          <w:tab w:leader="none" w:pos="2116"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Funding</w:t>
      </w:r>
      <w:r>
        <w:rPr>
          <w:rFonts w:ascii="Arial" w:cs="Arial" w:eastAsia="Arial" w:hAnsi="Arial"/>
          <w:sz w:val="16"/>
          <w:szCs w:val="16"/>
          <w:color w:val="auto"/>
        </w:rPr>
        <w:t>.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Unless Agent shall have been notified in writing by any Lender prior to the date of any Credit Extension, that such Lender will not make the amount that would constitute its share of such borrowing available to Agent, Agent may assume that such Lender is making such amount available to Agent, and Agent may, in reliance upon such assumption, make available to Borrower a corresponding amount. If such amount is not made available to Agent by the required time on the Funding Date therefor, such Lender shall pay to Agent, on demand, such amount with interest thereon, at a rate equal to the greater of (i) the Federal Funds Effective Rate or (ii) a rate determined by Agent in accordance with banking industry rules on interbank compensation, for the period until such Lender makes such amount immediately available to Agent. If such Lender’s share of such Credit Extension is not made available to Agent by such Lender within five (5) Business Days after such Funding Date, Agent shall also be entitled to recover such amount with interest thereon at the rate per annum applicable to the Term Loan Advances, on demand, from Borrower.</w:t>
      </w:r>
    </w:p>
    <w:p>
      <w:pPr>
        <w:spacing w:after="0" w:line="171" w:lineRule="exact"/>
        <w:rPr>
          <w:sz w:val="20"/>
          <w:szCs w:val="20"/>
          <w:color w:val="auto"/>
        </w:rPr>
      </w:pPr>
    </w:p>
    <w:p>
      <w:pPr>
        <w:ind w:left="1440" w:hanging="641"/>
        <w:spacing w:after="0"/>
        <w:tabs>
          <w:tab w:leader="none" w:pos="1440" w:val="left"/>
        </w:tabs>
        <w:numPr>
          <w:ilvl w:val="0"/>
          <w:numId w:val="10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Agent, for the ratable benefit of the Lenders,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secure the payment and performance in full of all of the Obligations, a continuing security interest in, and pledges to Agent, for the ratable benefit of the Lenders, the Collateral, wherever located, whether now owned or hereafter acquired or arising, and all proceeds and products thereof. For clarity, any reference to “Agent’s Lien” or any granting of collateral to Agent in this Agreement or any Loan Document means the Lien granted to Agent for the ratable benefit of the Lenders.</w:t>
      </w:r>
    </w:p>
    <w:p>
      <w:pPr>
        <w:spacing w:after="0" w:line="300"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SVB. Regardless of the terms of any Bank Services Agreement, Borrower agrees that any amounts Borrower owes SVB thereunder shall be deemed to be Obligations hereunder and that it is the intent of Borrower and SVB to have all such Obligations secured by the first priority perfected security interest in the Collateral granted herein (subject only to Permitted Liens that are permitted pursuant to the terms of this Agreement to have superior priority to Agent’s Lien in this Agreement).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2" w:name="page203"/>
    <w:bookmarkEnd w:id="202"/>
    <w:p>
      <w:pPr>
        <w:jc w:val="both"/>
        <w:ind w:left="160" w:right="139" w:firstLine="648"/>
        <w:spacing w:after="0" w:line="268" w:lineRule="auto"/>
        <w:rPr>
          <w:sz w:val="20"/>
          <w:szCs w:val="20"/>
          <w:color w:val="auto"/>
        </w:rPr>
      </w:pPr>
      <w:r>
        <w:rPr>
          <w:rFonts w:ascii="Arial" w:cs="Arial" w:eastAsia="Arial" w:hAnsi="Arial"/>
          <w:sz w:val="17"/>
          <w:szCs w:val="17"/>
          <w:color w:val="auto"/>
        </w:rPr>
        <w:t>If this Agreement is terminated,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Agent shall terminate the security interest granted herein upon Borrower providing to SVB cash collateral acceptable to SVB in its good faith business judgment for Bank Services, if any. In the event such Bank Services consist of outstanding Letters of Credit, Borrower shall provide to SVB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SVB in its business judgment), to secure all of the Obligations relating to such Letters of Credit.</w:t>
      </w:r>
    </w:p>
    <w:p>
      <w:pPr>
        <w:spacing w:after="0" w:line="184"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granted herein are and shall at all times continue to be a first priority perfected security interests in the Collateral (subject only to Permitted Liens that are permitted pursuant to the terms of this Agreement to have superior priority to Agent’s Lien under this Agreement). If Borrower shall acquire a commercial tort claim, Borrower shall promptly notify Agent in a writing signed by Borrower of the general details thereof and grant to Agent, for the ratable benefit of the Lenders, in such writing a security interest therein and in the proceeds thereof, all upon the terms of this Agreement, with such writing to be in form and substance reasonably satisfactory to Agent.</w:t>
      </w:r>
    </w:p>
    <w:p>
      <w:pPr>
        <w:spacing w:after="0" w:line="172"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Agent,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file financing statements, without notice to Borrower, with all appropriate jurisdictions to perfect or protect Agent’s and Lenders’ interest or rights hereunder, including a notice that any disposition of the Collateral, by either Borrower or any other Person, in violation of this Agreement, shall be deemed to violate the rights of Agent under the Code.</w:t>
      </w:r>
    </w:p>
    <w:p>
      <w:pPr>
        <w:spacing w:after="0" w:line="184" w:lineRule="exact"/>
        <w:rPr>
          <w:sz w:val="20"/>
          <w:szCs w:val="20"/>
          <w:color w:val="auto"/>
        </w:rPr>
      </w:pPr>
    </w:p>
    <w:p>
      <w:pPr>
        <w:ind w:left="1440" w:hanging="641"/>
        <w:spacing w:after="0"/>
        <w:tabs>
          <w:tab w:leader="none" w:pos="1440" w:val="left"/>
        </w:tabs>
        <w:numPr>
          <w:ilvl w:val="0"/>
          <w:numId w:val="1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left="160" w:right="139" w:firstLine="648"/>
        <w:spacing w:after="0" w:line="285"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previously delivered to SVB a completed certificate signed by Borrower, entitled “Perfection Certificate” dated as of November 9, 2016, as amended by Schedule 2 to that certain First Amendment to Loan and Security Agreement dated as of November 26, 2018 between Borrower and SVB (as amended,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Agent and each Lender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of any notice required or permitted by one or more specific provisions in this Agreement). If Borrower is not now a Registered Organization but later becomes one, Borrower shall promptly notify Agent of such occurrence and provide Agent with Borrower’s organizational identification number.</w:t>
      </w:r>
    </w:p>
    <w:p>
      <w:pPr>
        <w:spacing w:after="0" w:line="172" w:lineRule="exact"/>
        <w:rPr>
          <w:sz w:val="20"/>
          <w:szCs w:val="20"/>
          <w:color w:val="auto"/>
        </w:rPr>
      </w:pPr>
    </w:p>
    <w:p>
      <w:pPr>
        <w:jc w:val="both"/>
        <w:ind w:left="160" w:right="139" w:firstLine="648"/>
        <w:spacing w:after="0" w:line="312"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3" w:name="page204"/>
    <w:bookmarkEnd w:id="203"/>
    <w:p>
      <w:pPr>
        <w:jc w:val="both"/>
        <w:ind w:left="160" w:right="139"/>
        <w:spacing w:after="0" w:line="271" w:lineRule="auto"/>
        <w:rPr>
          <w:sz w:val="20"/>
          <w:szCs w:val="20"/>
          <w:color w:val="auto"/>
        </w:rPr>
      </w:pPr>
      <w:r>
        <w:rPr>
          <w:rFonts w:ascii="Arial" w:cs="Arial" w:eastAsia="Arial" w:hAnsi="Arial"/>
          <w:sz w:val="17"/>
          <w:szCs w:val="17"/>
          <w:color w:val="auto"/>
        </w:rPr>
        <w:t>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5"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7"/>
          <w:szCs w:val="17"/>
          <w:b w:val="1"/>
          <w:bCs w:val="1"/>
          <w:color w:val="auto"/>
        </w:rPr>
        <w:t>5.2 Collateral</w:t>
      </w:r>
      <w:r>
        <w:rPr>
          <w:rFonts w:ascii="Arial" w:cs="Arial" w:eastAsia="Arial" w:hAnsi="Arial"/>
          <w:sz w:val="17"/>
          <w:szCs w:val="17"/>
          <w:color w:val="auto"/>
        </w:rPr>
        <w:t>. Borrower has good title to, rights in, and the power to transfer each item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upon which it purports to grant a Lien hereunder, free and clear of any and all Liens except Permitted Liens. Borrower has no Collateral Accounts at or with any bank or financial institution other than SVB or SVB’s Affiliates except for the Collateral Accounts described in the Perfection Certificate and which Borrower has given Agent notice and taken such actions as are necessary to give Agent, for the ratable benefit of the Lenders, a perfected security interest therein, pursuant to the terms of Section 6.6(b) to the extent required under Section 6.6(b) hereof. The Accounts are bona fide, existing obligations of the Account Debtors.</w:t>
      </w:r>
    </w:p>
    <w:p>
      <w:pPr>
        <w:spacing w:after="0" w:line="176"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locations disclosed to Agent pursuant to Section 7.2, and locations of Experimental Compounds in the ordinary course of business in connection with clinical trials. None of the components of the Collateral shall be maintained at locations other than: (i) locations as provided in the Perfection Certificate, (ii) locations as permitted pursuant to Section 7.2, (iii) locations of mobile equipment, including phones, tablets and computers with employees and consultants in the ordinary course of business, (iv) locations where Collateral may be temporarily located for sales, testing or demonstration purposes in the ordinary course of business, (v) locations where biopharmaceutical compounds and therapeutic materials are located in the ordinary course of business in connection with clinical trials, and (vi) other locations where not more than Fifty Thousand Dollars ($50,000.00) of Collateral in the aggregate may be located at any time.</w:t>
      </w:r>
    </w:p>
    <w:p>
      <w:pPr>
        <w:spacing w:after="0" w:line="178"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All Inventory is in all material respects of good and marketable quality, free from material defects, except for Inventory for which adequate reserves have been made in accordance with GAAP. The foregoing representation shall not apply to Inventory consisting Experimental Compounds.</w:t>
      </w:r>
    </w:p>
    <w:p>
      <w:pPr>
        <w:spacing w:after="0" w:line="181"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7"/>
          <w:szCs w:val="17"/>
          <w:color w:val="auto"/>
        </w:rPr>
        <w:t>Borrower is the sole owner of the Intellectual Property which it owns or purports to own except for (a) non-exclusive licenses granted to its third parties in the ordinary course of business, (b) over-the-counter software and software that is commercially available to the public, (c) licenses that are disclosed in writing to Agent pursuant to Section 6.7(b), (d) material Intellectual Property licensed to Borrower and noted on the Perfection Certificate, and (e) immaterial Intellectual Property licensed to Borrower in the ordinary course of business. To the best of Borrower’s knowledge, each Patent (other than patent applications)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Except as noted on the Perfection Certificate, Borrower is not a party to, nor is bound by, any Restricted</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License.</w:t>
      </w:r>
    </w:p>
    <w:p>
      <w:pPr>
        <w:spacing w:after="0" w:line="207"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There are no actions or proceedings pending or, to the knowledge of any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threatened in writing by or against Borrower or any of its Subsidiaries involving more than, individually or in the aggregate, One Hundred Thousand Dollars ($100,000.00).</w:t>
      </w:r>
    </w:p>
    <w:p>
      <w:pPr>
        <w:spacing w:after="0" w:line="176"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financial statements for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delivered to Agent and the 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Agent and the Lenders.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4" w:name="page205"/>
    <w:bookmarkEnd w:id="204"/>
    <w:p>
      <w:pPr>
        <w:jc w:val="both"/>
        <w:ind w:left="160" w:right="159" w:firstLine="648"/>
        <w:spacing w:after="0" w:line="282"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is not left with unreasonably small capital after the transactions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Borrower is able to pay its debts (including trade debts) as they mature.</w:t>
      </w:r>
    </w:p>
    <w:p>
      <w:pPr>
        <w:spacing w:after="0" w:line="162"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in each case where the failure to comply or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do so would not reasonably be expected to have a material adverse effect on Borrower’s business.</w:t>
      </w:r>
    </w:p>
    <w:p>
      <w:pPr>
        <w:spacing w:after="0" w:line="180"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b w:val="1"/>
          <w:bCs w:val="1"/>
          <w:color w:val="auto"/>
        </w:rPr>
        <w:t>5.7 Subsidiaries; Investments</w:t>
      </w:r>
      <w:r>
        <w:rPr>
          <w:rFonts w:ascii="Arial" w:cs="Arial" w:eastAsia="Arial" w:hAnsi="Arial"/>
          <w:sz w:val="18"/>
          <w:szCs w:val="18"/>
          <w:color w:val="auto"/>
        </w:rPr>
        <w:t>. Borrower does not own any stock, partnership, or other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other equity securities except for Permitted Investments.</w:t>
      </w:r>
    </w:p>
    <w:p>
      <w:pPr>
        <w:spacing w:after="0" w:line="162"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b w:val="1"/>
          <w:bCs w:val="1"/>
          <w:color w:val="auto"/>
        </w:rPr>
        <w:t>5.8 Tax Returns and Payments; Pension Contributions</w:t>
      </w:r>
      <w:r>
        <w:rPr>
          <w:rFonts w:ascii="Arial" w:cs="Arial" w:eastAsia="Arial" w:hAnsi="Arial"/>
          <w:sz w:val="18"/>
          <w:szCs w:val="18"/>
          <w:color w:val="auto"/>
        </w:rPr>
        <w:t>. Borrower has timely filed all required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and reports (or appropriate extensions therefor),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Twenty-Five Thousand Dollars ($25,000.00).</w:t>
      </w:r>
    </w:p>
    <w:p>
      <w:pPr>
        <w:spacing w:after="0" w:line="193" w:lineRule="exact"/>
        <w:rPr>
          <w:sz w:val="20"/>
          <w:szCs w:val="20"/>
          <w:color w:val="auto"/>
        </w:rPr>
      </w:pPr>
    </w:p>
    <w:p>
      <w:pPr>
        <w:jc w:val="both"/>
        <w:ind w:left="160" w:right="139" w:firstLine="1296"/>
        <w:spacing w:after="0" w:line="288" w:lineRule="auto"/>
        <w:rPr>
          <w:sz w:val="20"/>
          <w:szCs w:val="20"/>
          <w:color w:val="auto"/>
        </w:rPr>
      </w:pPr>
      <w:r>
        <w:rPr>
          <w:rFonts w:ascii="Arial" w:cs="Arial" w:eastAsia="Arial" w:hAnsi="Arial"/>
          <w:sz w:val="16"/>
          <w:szCs w:val="16"/>
          <w:color w:val="auto"/>
        </w:rPr>
        <w:t>To the extent Borrower defers payment of any contested taxes, Borrower shall (i) notify Agent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Twenty-Five Thousand Dollars ($25,000.00).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65"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as working capital, to</w:t>
      </w:r>
      <w:r>
        <w:rPr>
          <w:rFonts w:ascii="Arial" w:cs="Arial" w:eastAsia="Arial" w:hAnsi="Arial"/>
          <w:sz w:val="18"/>
          <w:szCs w:val="18"/>
          <w:b w:val="1"/>
          <w:bCs w:val="1"/>
          <w:color w:val="auto"/>
        </w:rPr>
        <w:t xml:space="preserve"> </w:t>
      </w:r>
      <w:r>
        <w:rPr>
          <w:rFonts w:ascii="Arial" w:cs="Arial" w:eastAsia="Arial" w:hAnsi="Arial"/>
          <w:sz w:val="18"/>
          <w:szCs w:val="18"/>
          <w:color w:val="auto"/>
        </w:rPr>
        <w:t>repay the SVB Obligations in full and to fund its general business requirements and not for personal, family, household or agricultural purposes.</w:t>
      </w:r>
    </w:p>
    <w:p>
      <w:pPr>
        <w:spacing w:after="0" w:line="176"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7"/>
          <w:szCs w:val="17"/>
          <w:b w:val="1"/>
          <w:bCs w:val="1"/>
          <w:color w:val="auto"/>
        </w:rPr>
        <w:t>5.10 Full Disclosure</w:t>
      </w:r>
      <w:r>
        <w:rPr>
          <w:rFonts w:ascii="Arial" w:cs="Arial" w:eastAsia="Arial" w:hAnsi="Arial"/>
          <w:sz w:val="17"/>
          <w:szCs w:val="17"/>
          <w:color w:val="auto"/>
        </w:rPr>
        <w:t>. No written representation, warranty or other statement of Borrower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or written statement given to Agent or any Lender, as of the date such representation, warranty, or other statement was made, taken together with all such written certificates and written statements given to Agent or any Lender, contains any untrue statement of a material fact or omits to state a material fact necessary to make the statements contained in the certificates or statements, in light of the circumstances under which they were made, not misleading (it being recognized by Agent and each Lender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2"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b w:val="1"/>
          <w:bCs w:val="1"/>
          <w:color w:val="auto"/>
        </w:rPr>
        <w:t xml:space="preserve">5.11 Definition of “Knowledge.” </w:t>
      </w:r>
      <w:r>
        <w:rPr>
          <w:rFonts w:ascii="Arial" w:cs="Arial" w:eastAsia="Arial" w:hAnsi="Arial"/>
          <w:sz w:val="18"/>
          <w:szCs w:val="18"/>
          <w:color w:val="auto"/>
        </w:rPr>
        <w:t>For purposes of the Loan Documents, whenever a representation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is made to Borrower’s knowledge or awareness, to the “best of” Borrower’s knowledge, or with a similar qualification, knowledge or awareness means the actual knowledge, after reasonable investigation, of any Responsible Officer.</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5" w:name="page206"/>
    <w:bookmarkEnd w:id="205"/>
    <w:p>
      <w:pPr>
        <w:ind w:left="1440" w:hanging="641"/>
        <w:spacing w:after="0"/>
        <w:tabs>
          <w:tab w:leader="none" w:pos="1440" w:val="left"/>
        </w:tabs>
        <w:numPr>
          <w:ilvl w:val="0"/>
          <w:numId w:val="11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89" w:lineRule="auto"/>
        <w:tabs>
          <w:tab w:leader="none" w:pos="21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have a material adverse effect on Borrower’s business. Notwithstanding anything to the contrary set forth herein, Borrower’s Subsidiaries (which are not a co-borrower or secured guarantor to this Agreement) may wind-up and dissolve to the extent that Borrower determines that it is reasonable to do so and any remaining assets from such Subsidiaries which are not a co-borrower or secured guarantor to this Agreement) are transferred to Borrower or another Subsidiary in accordance with applicable law.</w:t>
      </w:r>
    </w:p>
    <w:p>
      <w:pPr>
        <w:spacing w:after="0" w:line="166" w:lineRule="exact"/>
        <w:rPr>
          <w:rFonts w:ascii="Arial" w:cs="Arial" w:eastAsia="Arial" w:hAnsi="Arial"/>
          <w:sz w:val="16"/>
          <w:szCs w:val="16"/>
          <w:color w:val="auto"/>
        </w:rPr>
      </w:pPr>
    </w:p>
    <w:p>
      <w:pPr>
        <w:jc w:val="both"/>
        <w:ind w:left="160" w:right="139" w:firstLine="1287"/>
        <w:spacing w:after="0" w:line="259" w:lineRule="auto"/>
        <w:tabs>
          <w:tab w:leader="none" w:pos="21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Agent in all of the Collateral. Pursuant to the terms of the prior sentence, Borrower shall promptly provide copies of any such obtained Governmental Approvals to Agent.</w:t>
      </w:r>
    </w:p>
    <w:p>
      <w:pPr>
        <w:spacing w:after="0" w:line="183"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Provide Agent and each Lender with the following:</w:t>
      </w:r>
    </w:p>
    <w:p>
      <w:pPr>
        <w:spacing w:after="0" w:line="229" w:lineRule="exact"/>
        <w:rPr>
          <w:sz w:val="20"/>
          <w:szCs w:val="20"/>
          <w:color w:val="auto"/>
        </w:rPr>
      </w:pPr>
    </w:p>
    <w:p>
      <w:pPr>
        <w:jc w:val="both"/>
        <w:ind w:left="160" w:right="139" w:firstLine="1287"/>
        <w:spacing w:after="0" w:line="259" w:lineRule="auto"/>
        <w:tabs>
          <w:tab w:leader="none" w:pos="21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forty (40) days after the last day of each month, a company prepared consolidated balance sheet and income statement covering Borrower’s consolidated operations for such month certified by a Responsible Officer and in a form acceptable to Agent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60" w:right="139" w:firstLine="1287"/>
        <w:spacing w:after="0" w:line="302" w:lineRule="auto"/>
        <w:tabs>
          <w:tab w:leader="none" w:pos="211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Monthly Compliance Certificate</w:t>
      </w:r>
      <w:r>
        <w:rPr>
          <w:rFonts w:ascii="Arial" w:cs="Arial" w:eastAsia="Arial" w:hAnsi="Arial"/>
          <w:sz w:val="16"/>
          <w:szCs w:val="16"/>
          <w:color w:val="auto"/>
        </w:rPr>
        <w:t>. Within forty (40)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such other information as Agent or the Lenders may reasonably request;</w:t>
      </w:r>
    </w:p>
    <w:p>
      <w:pPr>
        <w:spacing w:after="0" w:line="154" w:lineRule="exact"/>
        <w:rPr>
          <w:rFonts w:ascii="Arial" w:cs="Arial" w:eastAsia="Arial" w:hAnsi="Arial"/>
          <w:sz w:val="16"/>
          <w:szCs w:val="16"/>
          <w:color w:val="auto"/>
        </w:rPr>
      </w:pPr>
    </w:p>
    <w:p>
      <w:pPr>
        <w:jc w:val="both"/>
        <w:ind w:left="160" w:right="159" w:firstLine="1287"/>
        <w:spacing w:after="0" w:line="286" w:lineRule="auto"/>
        <w:tabs>
          <w:tab w:leader="none" w:pos="216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Board Projections</w:t>
      </w:r>
      <w:r>
        <w:rPr>
          <w:rFonts w:ascii="Arial" w:cs="Arial" w:eastAsia="Arial" w:hAnsi="Arial"/>
          <w:sz w:val="17"/>
          <w:szCs w:val="17"/>
          <w:color w:val="auto"/>
        </w:rPr>
        <w:t>. As soon as available, at least annually, and in any event no later than within sixty (60) days after the end of each fiscal year of Borrower, and promptly following any material updates or changes thereto, annual Board-approved operating budget and financial projections, in a form acceptable to Agent;</w:t>
      </w:r>
    </w:p>
    <w:p>
      <w:pPr>
        <w:spacing w:after="0" w:line="165" w:lineRule="exact"/>
        <w:rPr>
          <w:rFonts w:ascii="Arial" w:cs="Arial" w:eastAsia="Arial" w:hAnsi="Arial"/>
          <w:sz w:val="17"/>
          <w:szCs w:val="17"/>
          <w:color w:val="auto"/>
        </w:rPr>
      </w:pPr>
    </w:p>
    <w:p>
      <w:pPr>
        <w:jc w:val="both"/>
        <w:ind w:left="160" w:right="139" w:firstLine="1287"/>
        <w:spacing w:after="0" w:line="259" w:lineRule="auto"/>
        <w:tabs>
          <w:tab w:leader="none" w:pos="213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Agent;</w:t>
      </w:r>
    </w:p>
    <w:p>
      <w:pPr>
        <w:spacing w:after="0" w:line="186" w:lineRule="exact"/>
        <w:rPr>
          <w:rFonts w:ascii="Arial" w:cs="Arial" w:eastAsia="Arial" w:hAnsi="Arial"/>
          <w:sz w:val="18"/>
          <w:szCs w:val="18"/>
          <w:color w:val="auto"/>
        </w:rPr>
      </w:pPr>
    </w:p>
    <w:p>
      <w:pPr>
        <w:ind w:left="160" w:right="159" w:firstLine="1287"/>
        <w:spacing w:after="0" w:line="277" w:lineRule="auto"/>
        <w:tabs>
          <w:tab w:leader="none" w:pos="213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jc w:val="both"/>
        <w:ind w:left="160" w:right="139" w:firstLine="1287"/>
        <w:spacing w:after="0" w:line="257" w:lineRule="auto"/>
        <w:tabs>
          <w:tab w:leader="none" w:pos="215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10-Q Reports, 10-K Reports, and Annual Financial Statements</w:t>
      </w:r>
      <w:r>
        <w:rPr>
          <w:rFonts w:ascii="Arial" w:cs="Arial" w:eastAsia="Arial" w:hAnsi="Arial"/>
          <w:sz w:val="18"/>
          <w:szCs w:val="18"/>
          <w:color w:val="auto"/>
        </w:rPr>
        <w:t>. Within (i) forty-five (45) days after the last day of each fiscal quarter, Borrower’s 10-Q report, (ii) ninety (90) days after the last day of Borrower’s fiscal year, Borrower’s 10-K report, and (iii) ninety (90) days after the last day of Borrower’s fiscal year, a company prepared consolidated balance sheet and income statement covering Borrower’s consolidated operations for such fiscal year.</w:t>
      </w:r>
    </w:p>
    <w:p>
      <w:pPr>
        <w:spacing w:after="0" w:line="188" w:lineRule="exact"/>
        <w:rPr>
          <w:rFonts w:ascii="Arial" w:cs="Arial" w:eastAsia="Arial" w:hAnsi="Arial"/>
          <w:sz w:val="18"/>
          <w:szCs w:val="18"/>
          <w:color w:val="auto"/>
        </w:rPr>
      </w:pPr>
    </w:p>
    <w:p>
      <w:pPr>
        <w:jc w:val="both"/>
        <w:ind w:left="160" w:right="139" w:firstLine="1287"/>
        <w:spacing w:after="0" w:line="302" w:lineRule="auto"/>
        <w:tabs>
          <w:tab w:leader="none" w:pos="213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Within five (5) days of filing, copies of all other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6" w:name="page207"/>
    <w:bookmarkEnd w:id="206"/>
    <w:p>
      <w:pPr>
        <w:jc w:val="both"/>
        <w:ind w:left="160" w:right="159"/>
        <w:spacing w:after="0" w:line="259" w:lineRule="auto"/>
        <w:rPr>
          <w:sz w:val="20"/>
          <w:szCs w:val="20"/>
          <w:color w:val="auto"/>
        </w:rPr>
      </w:pPr>
      <w:r>
        <w:rPr>
          <w:rFonts w:ascii="Arial" w:cs="Arial" w:eastAsia="Arial" w:hAnsi="Arial"/>
          <w:sz w:val="18"/>
          <w:szCs w:val="18"/>
          <w:color w:val="auto"/>
        </w:rPr>
        <w:t>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Agent in writing (which may be by electronic mail) of the posting of any such documents;</w:t>
      </w:r>
    </w:p>
    <w:p>
      <w:pPr>
        <w:spacing w:after="0" w:line="187" w:lineRule="exact"/>
        <w:rPr>
          <w:sz w:val="20"/>
          <w:szCs w:val="20"/>
          <w:color w:val="auto"/>
        </w:rPr>
      </w:pPr>
    </w:p>
    <w:p>
      <w:pPr>
        <w:jc w:val="both"/>
        <w:ind w:left="160" w:right="139" w:firstLine="1287"/>
        <w:spacing w:after="0" w:line="312" w:lineRule="auto"/>
        <w:tabs>
          <w:tab w:leader="none" w:pos="211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Legal Action Notice</w:t>
      </w:r>
      <w:r>
        <w:rPr>
          <w:rFonts w:ascii="Arial" w:cs="Arial" w:eastAsia="Arial" w:hAnsi="Arial"/>
          <w:sz w:val="16"/>
          <w:szCs w:val="16"/>
          <w:color w:val="auto"/>
        </w:rPr>
        <w:t>. A prompt report of any legal actions pending or threatened in writing against Borrower or any of its Subsidiaries that could reasonably be expected to result in damages or costs to Borrower or any of its Subsidiaries of, individually or in the aggregate, One Hundred Thousand Dollars ($100,000.00) or more;</w:t>
      </w:r>
    </w:p>
    <w:p>
      <w:pPr>
        <w:spacing w:after="0" w:line="146" w:lineRule="exact"/>
        <w:rPr>
          <w:rFonts w:ascii="Arial" w:cs="Arial" w:eastAsia="Arial" w:hAnsi="Arial"/>
          <w:sz w:val="16"/>
          <w:szCs w:val="16"/>
          <w:color w:val="auto"/>
        </w:rPr>
      </w:pPr>
    </w:p>
    <w:p>
      <w:pPr>
        <w:jc w:val="both"/>
        <w:ind w:left="160" w:right="139" w:firstLine="1287"/>
        <w:spacing w:after="0" w:line="257" w:lineRule="auto"/>
        <w:tabs>
          <w:tab w:leader="none" w:pos="214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Prompt written notice of any changes to the beneficial ownership information set out in Section 14 of the Perfection Certificate. Borrower understands and acknowledges that each Lender relies on such true, accurate and up-to-date beneficial ownership information to meet such Lender’s regulatory obligations to obtain, verify and record information about the beneficial owners of its legal entity customers; and</w:t>
      </w:r>
    </w:p>
    <w:p>
      <w:pPr>
        <w:spacing w:after="0" w:line="188" w:lineRule="exact"/>
        <w:rPr>
          <w:rFonts w:ascii="Arial" w:cs="Arial" w:eastAsia="Arial" w:hAnsi="Arial"/>
          <w:sz w:val="18"/>
          <w:szCs w:val="18"/>
          <w:color w:val="auto"/>
        </w:rPr>
      </w:pPr>
    </w:p>
    <w:p>
      <w:pPr>
        <w:ind w:left="2120" w:hanging="673"/>
        <w:spacing w:after="0"/>
        <w:tabs>
          <w:tab w:leader="none" w:pos="21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Other Financial Information</w:t>
      </w:r>
      <w:r>
        <w:rPr>
          <w:rFonts w:ascii="Arial" w:cs="Arial" w:eastAsia="Arial" w:hAnsi="Arial"/>
          <w:sz w:val="16"/>
          <w:szCs w:val="16"/>
          <w:color w:val="auto"/>
        </w:rPr>
        <w:t>.  Other financial information reasonably requested by Agent or</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any Lender.</w:t>
      </w:r>
    </w:p>
    <w:p>
      <w:pPr>
        <w:spacing w:after="0" w:line="207"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Inventory for which adequate reserves have been made in accordance with GAAP; provided that the foregoing covenant shall not apply to Inventory consisting of Experimental Compounds. Returns and allowances between Borrower and its Account Debtors shall follow Borrower’s customary practices as they exist at the Effective Date. Borrower must promptly notify Agent of all returns, recoveries, disputes and claims that involve more than Fifty Thousand Dollars ($50,000.00).</w:t>
      </w:r>
    </w:p>
    <w:p>
      <w:pPr>
        <w:spacing w:after="0" w:line="188" w:lineRule="exact"/>
        <w:rPr>
          <w:sz w:val="20"/>
          <w:szCs w:val="20"/>
          <w:color w:val="auto"/>
        </w:rPr>
      </w:pPr>
    </w:p>
    <w:p>
      <w:pPr>
        <w:jc w:val="both"/>
        <w:ind w:left="160" w:right="159" w:firstLine="648"/>
        <w:spacing w:after="0" w:line="295" w:lineRule="auto"/>
        <w:rPr>
          <w:sz w:val="20"/>
          <w:szCs w:val="20"/>
          <w:color w:val="auto"/>
        </w:rPr>
      </w:pPr>
      <w:r>
        <w:rPr>
          <w:rFonts w:ascii="Arial" w:cs="Arial" w:eastAsia="Arial" w:hAnsi="Arial"/>
          <w:sz w:val="16"/>
          <w:szCs w:val="16"/>
          <w:b w:val="1"/>
          <w:bCs w:val="1"/>
          <w:color w:val="auto"/>
        </w:rPr>
        <w:t>6.4 Taxes; Pensions</w:t>
      </w:r>
      <w:r>
        <w:rPr>
          <w:rFonts w:ascii="Arial" w:cs="Arial" w:eastAsia="Arial" w:hAnsi="Arial"/>
          <w:sz w:val="16"/>
          <w:szCs w:val="16"/>
          <w:color w:val="auto"/>
        </w:rPr>
        <w:t>. Timely file and require each of its Subsidiaries to timely file, all required tax returns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reports (and extensions therefor) and timely pay, and require 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Agent, on demand, appropriate certificates attesting to such payments, and pay all amounts necessary to fund all present pension, profit sharing and deferred compensation plans in accordance with their terms.</w:t>
      </w:r>
    </w:p>
    <w:p>
      <w:pPr>
        <w:spacing w:after="0" w:line="156"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55" w:lineRule="auto"/>
        <w:tabs>
          <w:tab w:leader="none" w:pos="21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Keep its business and the Collateral insured for risks and in amounts standard for companies in Borrower’s industry and location and as Agent may reasonably request. Insurance policies shall be in a form, with financially sound and reputable insurance companies that are not Affiliates of Borrower, and in amounts that are satisfactory to Agent. All property policies shall have a lender’s loss payable endorsement showing Agent as lender loss payee. All liability policies shall show, or have endorsements showing, Agent as an additional insured. Agent shall be named as lender loss payee and/or additional insured with respect to any such insurance providing coverage in respect of any Collateral..</w:t>
      </w:r>
    </w:p>
    <w:p>
      <w:pPr>
        <w:spacing w:after="0" w:line="189" w:lineRule="exact"/>
        <w:rPr>
          <w:rFonts w:ascii="Arial" w:cs="Arial" w:eastAsia="Arial" w:hAnsi="Arial"/>
          <w:sz w:val="18"/>
          <w:szCs w:val="18"/>
          <w:color w:val="auto"/>
        </w:rPr>
      </w:pPr>
    </w:p>
    <w:p>
      <w:pPr>
        <w:jc w:val="both"/>
        <w:ind w:left="160" w:right="139" w:firstLine="1287"/>
        <w:spacing w:after="0" w:line="288" w:lineRule="auto"/>
        <w:tabs>
          <w:tab w:leader="none" w:pos="213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Ensure that proceeds payable under any property policy are, at Agent’s option, payable to Agent for the ratable benefit of the Lenders on account of the Obligations. Notwithstanding the foregoing, (i) so long as no Event of Default has occurred and is continuing, Borrower shall have the option of applying the proceeds of any casualty policy up to Two Hundred Fifty Thousand Dollars ($250,000.00)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(A) shall be of equal or like value as the replaced or repaired Collateral and (B) shall be deemed Collateral in which Agent has been granted a first priority security interest, and (ii) after the occurrence and during the continuance of an Event of Default, all proceeds payable under such casualty policy shall, at the option of the Lenders, be payable to Agent for the ratable benefit of the Lenders on account of the Obligations</w:t>
      </w:r>
    </w:p>
    <w:p>
      <w:pPr>
        <w:spacing w:after="0" w:line="169" w:lineRule="exact"/>
        <w:rPr>
          <w:rFonts w:ascii="Arial" w:cs="Arial" w:eastAsia="Arial" w:hAnsi="Arial"/>
          <w:sz w:val="16"/>
          <w:szCs w:val="16"/>
          <w:color w:val="auto"/>
        </w:rPr>
      </w:pPr>
    </w:p>
    <w:p>
      <w:pPr>
        <w:ind w:left="160" w:right="139" w:firstLine="1287"/>
        <w:spacing w:after="0" w:line="308" w:lineRule="auto"/>
        <w:tabs>
          <w:tab w:leader="none" w:pos="213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At Agent’s request, Borrower shall deliver certified copies of insurance policies and evidence of all premium payments. Each provider of any such insurance required under this Section 6.5 shall agree,</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7" w:name="page208"/>
    <w:bookmarkEnd w:id="207"/>
    <w:p>
      <w:pPr>
        <w:jc w:val="both"/>
        <w:ind w:left="160" w:right="139"/>
        <w:spacing w:after="0" w:line="273" w:lineRule="auto"/>
        <w:rPr>
          <w:sz w:val="20"/>
          <w:szCs w:val="20"/>
          <w:color w:val="auto"/>
        </w:rPr>
      </w:pPr>
      <w:r>
        <w:rPr>
          <w:rFonts w:ascii="Arial" w:cs="Arial" w:eastAsia="Arial" w:hAnsi="Arial"/>
          <w:sz w:val="17"/>
          <w:szCs w:val="17"/>
          <w:color w:val="auto"/>
        </w:rPr>
        <w:t>by endorsement upon the policy or policies issued by it or by independent instruments furnished to Agent, that it will give Agent thirty (30) days prior written notice before any such policy or policies shall be materially altered or canceled (or ten (10) days prior written notice for cancellation for non-payment of premiums). If Borrower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7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90" w:lineRule="auto"/>
        <w:tabs>
          <w:tab w:leader="none" w:pos="2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Maintain all of its and all of its Subsidiaries’ operating, depository and securities accounts with SVB and SVB’s Affiliates; provided that, Borrower may maintain one (1) account with CitiBank, so long as such account does not contain more than Ten Thousand Dollars ($10,000.00) in the aggregate any time (the “</w:t>
      </w:r>
      <w:r>
        <w:rPr>
          <w:rFonts w:ascii="Arial" w:cs="Arial" w:eastAsia="Arial" w:hAnsi="Arial"/>
          <w:sz w:val="16"/>
          <w:szCs w:val="16"/>
          <w:b w:val="1"/>
          <w:bCs w:val="1"/>
          <w:color w:val="auto"/>
        </w:rPr>
        <w:t>CitiBank</w:t>
      </w:r>
      <w:r>
        <w:rPr>
          <w:rFonts w:ascii="Arial" w:cs="Arial" w:eastAsia="Arial" w:hAnsi="Arial"/>
          <w:sz w:val="16"/>
          <w:szCs w:val="16"/>
          <w:color w:val="auto"/>
        </w:rPr>
        <w:t xml:space="preserve"> </w:t>
      </w:r>
      <w:r>
        <w:rPr>
          <w:rFonts w:ascii="Arial" w:cs="Arial" w:eastAsia="Arial" w:hAnsi="Arial"/>
          <w:sz w:val="16"/>
          <w:szCs w:val="16"/>
          <w:b w:val="1"/>
          <w:bCs w:val="1"/>
          <w:color w:val="auto"/>
        </w:rPr>
        <w:t>Account</w:t>
      </w:r>
      <w:r>
        <w:rPr>
          <w:rFonts w:ascii="Arial" w:cs="Arial" w:eastAsia="Arial" w:hAnsi="Arial"/>
          <w:sz w:val="16"/>
          <w:szCs w:val="16"/>
          <w:color w:val="auto"/>
        </w:rPr>
        <w:t>”). Notwithstanding the foregoing, Australian Subsidiary and Irish Subsidiary may maintain accounts outside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with financial institutions other than SVB and SVB’s Affiliates, provided that the maximum aggregate balance in all such accounts shall not exceed One Hundred Fifty Thousand Dollars ($150,000.00) at any time; provided, however, the aggregate balance in such accounts may total up to Three Hundred Thousand Dollars ($300,000.00) for a period not to exceed twenty (20) Business Days during any twelve (12) month period.</w:t>
      </w:r>
    </w:p>
    <w:p>
      <w:pPr>
        <w:spacing w:after="0" w:line="166" w:lineRule="exact"/>
        <w:rPr>
          <w:rFonts w:ascii="Arial" w:cs="Arial" w:eastAsia="Arial" w:hAnsi="Arial"/>
          <w:sz w:val="16"/>
          <w:szCs w:val="16"/>
          <w:color w:val="auto"/>
        </w:rPr>
      </w:pPr>
    </w:p>
    <w:p>
      <w:pPr>
        <w:jc w:val="both"/>
        <w:ind w:left="160" w:right="139" w:firstLine="1287"/>
        <w:spacing w:after="0" w:line="270" w:lineRule="auto"/>
        <w:tabs>
          <w:tab w:leader="none" w:pos="211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Provide Agent five (5) days prior written notice before establishing any Collateral Account at or with any bank or financial institution other than SVB or SVB’s Affiliates. For each Collateral Account that Borrower at any time maintains. Borrower shall cause the applicable bank or financial institution (other than SVB)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may not be terminated without the prior written consent of the Lenders. The provisions of the previous sentence shall not apply (i) to the CitiBank Account or (ii) to deposit accounts exclusively used for payroll, payroll taxes and other employee wage and benefit payments to or for the benefit of Borrower’s employees and identified to Agent and the Lenders by Borrower as such.</w:t>
      </w:r>
    </w:p>
    <w:p>
      <w:pPr>
        <w:spacing w:after="0" w:line="17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w:t>
      </w:r>
    </w:p>
    <w:p>
      <w:pPr>
        <w:spacing w:after="0" w:line="229" w:lineRule="exact"/>
        <w:rPr>
          <w:sz w:val="20"/>
          <w:szCs w:val="20"/>
          <w:color w:val="auto"/>
        </w:rPr>
      </w:pPr>
    </w:p>
    <w:p>
      <w:pPr>
        <w:jc w:val="both"/>
        <w:ind w:left="160" w:right="159" w:firstLine="1287"/>
        <w:spacing w:after="0" w:line="276" w:lineRule="auto"/>
        <w:tabs>
          <w:tab w:leader="none" w:pos="213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Use commercially reasonable efforts to protect, defend and maintain the validity and enforceability of its Intellectual Property that is material to its business; (ii) promptly advise Agent in writing of material infringements or any other event that could reasonably be expected to materially and adversely affect the value of its Intellectual Property that is material to its business; and (iii) not allow any Intellectual Property material to Borrower’s business to be abandoned, forfeited or dedicated to the public without Agent’s written consent.</w:t>
      </w:r>
    </w:p>
    <w:p>
      <w:pPr>
        <w:spacing w:after="0" w:line="172" w:lineRule="exact"/>
        <w:rPr>
          <w:rFonts w:ascii="Arial" w:cs="Arial" w:eastAsia="Arial" w:hAnsi="Arial"/>
          <w:sz w:val="17"/>
          <w:szCs w:val="17"/>
          <w:color w:val="auto"/>
        </w:rPr>
      </w:pPr>
    </w:p>
    <w:p>
      <w:pPr>
        <w:jc w:val="both"/>
        <w:ind w:left="160" w:right="139" w:firstLine="1287"/>
        <w:spacing w:after="0" w:line="254" w:lineRule="auto"/>
        <w:tabs>
          <w:tab w:leader="none" w:pos="211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 written notice to Agent within ten (10) days of entering or becoming bound by any Restricted License (other than over-the-counter software and software that is commercially available to the public). Borrower shall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and the Lenders’ rights and remedies under this Agreement and the other Loan Documents.</w:t>
      </w:r>
    </w:p>
    <w:p>
      <w:pPr>
        <w:spacing w:after="0" w:line="188"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6.8 Litigation Cooperation</w:t>
      </w:r>
      <w:r>
        <w:rPr>
          <w:rFonts w:ascii="Arial" w:cs="Arial" w:eastAsia="Arial" w:hAnsi="Arial"/>
          <w:sz w:val="18"/>
          <w:szCs w:val="18"/>
          <w:color w:val="auto"/>
        </w:rPr>
        <w:t>. From the date hereof and continuing through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make available to Agent, without expense to Agent or any Lender, Borrower and its officers, employees and agents and Borrower’s books and records, to the extent that Agent and/or the Lenders may deem them reasonably necessary to prosecute or defend any third-party suit or proceeding instituted by or against Agent and/or any Lender with respect to any Collateral or relating to Borrower.</w:t>
      </w:r>
    </w:p>
    <w:p>
      <w:pPr>
        <w:spacing w:after="0" w:line="184" w:lineRule="exact"/>
        <w:rPr>
          <w:sz w:val="20"/>
          <w:szCs w:val="20"/>
          <w:color w:val="auto"/>
        </w:rPr>
      </w:pPr>
    </w:p>
    <w:p>
      <w:pPr>
        <w:ind w:left="800"/>
        <w:spacing w:after="0"/>
        <w:tabs>
          <w:tab w:leader="none" w:pos="1440" w:val="left"/>
          <w:tab w:leader="none" w:pos="48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8"/>
          <w:szCs w:val="18"/>
          <w:b w:val="1"/>
          <w:bCs w:val="1"/>
          <w:color w:val="auto"/>
        </w:rPr>
        <w:t>Access to Collateral; Books and Records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Allow Agent, or its agents, at reasonable times, on five</w:t>
      </w:r>
    </w:p>
    <w:p>
      <w:pPr>
        <w:spacing w:after="0" w:line="27" w:lineRule="exact"/>
        <w:rPr>
          <w:sz w:val="20"/>
          <w:szCs w:val="20"/>
          <w:color w:val="auto"/>
        </w:rPr>
      </w:pPr>
    </w:p>
    <w:p>
      <w:pPr>
        <w:jc w:val="both"/>
        <w:ind w:left="160" w:right="159" w:hanging="9"/>
        <w:spacing w:after="0" w:line="295" w:lineRule="auto"/>
        <w:tabs>
          <w:tab w:leader="none" w:pos="43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Business Day’s notice (provided no notice is required if an Event of Default has occurred and is continuing), to inspect the Collateral and audit and copy Borrower’ Books. Such inspections or audits shall be conducted no more often than once every twelve (12) months unless an Event of Default has occurred and is continuing, in which case such inspections and audits shall occur as often as Agent shall determine is necessary. The foregoing inspections and</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8" w:name="page209"/>
    <w:bookmarkEnd w:id="208"/>
    <w:p>
      <w:pPr>
        <w:jc w:val="both"/>
        <w:ind w:left="160" w:right="139"/>
        <w:spacing w:after="0" w:line="272" w:lineRule="auto"/>
        <w:rPr>
          <w:sz w:val="20"/>
          <w:szCs w:val="20"/>
          <w:color w:val="auto"/>
        </w:rPr>
      </w:pPr>
      <w:r>
        <w:rPr>
          <w:rFonts w:ascii="Arial" w:cs="Arial" w:eastAsia="Arial" w:hAnsi="Arial"/>
          <w:sz w:val="17"/>
          <w:szCs w:val="17"/>
          <w:color w:val="auto"/>
        </w:rPr>
        <w:t>audits shall be at Borrower’ expense and the charge therefor shall be One Thousand Dollars ($1,000.00) per person per day (or such higher amount as shall represent Agent’s then-current standard charge for the same), plus reasonable out-of-pocket expenses. In the event Borrower and Agent schedule an audit more than eight (8) days in advance, and Borrower cancels or seeks to or reschedules the audit with less than eight (8) days written notice to Agent, then (without limiting any of Agent’s or any Lender’s rights or remedies) Borrower shall pay Agent a fee of Two Thousand Dollars ($2,000.00 plus any out-of-pocket expenses incurred by Agent to compensate Agent for the anticipated costs and expenses of the cancellation or rescheduling.</w:t>
      </w:r>
    </w:p>
    <w:p>
      <w:pPr>
        <w:spacing w:after="0" w:line="174"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reasonably request to perfect or continue Agent’s Lien in the Collateral or to effect the purposes of this Agreement. Deliver to Agent and the Lenders, within five (5)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that are material to its business or otherwise on the operations of Borrower or any of its Subsidiaries.</w:t>
      </w:r>
    </w:p>
    <w:p>
      <w:pPr>
        <w:spacing w:after="0" w:line="189" w:lineRule="exact"/>
        <w:rPr>
          <w:sz w:val="20"/>
          <w:szCs w:val="20"/>
          <w:color w:val="auto"/>
        </w:rPr>
      </w:pPr>
    </w:p>
    <w:p>
      <w:pPr>
        <w:ind w:left="1440" w:hanging="641"/>
        <w:spacing w:after="0"/>
        <w:tabs>
          <w:tab w:leader="none" w:pos="1440" w:val="left"/>
        </w:tabs>
        <w:numPr>
          <w:ilvl w:val="0"/>
          <w:numId w:val="11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shall not do any of the following without the prior written consent of the Lenders:</w:t>
      </w:r>
    </w:p>
    <w:p>
      <w:pPr>
        <w:spacing w:after="0" w:line="221"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w:t>
      </w:r>
    </w:p>
    <w:p>
      <w:pPr>
        <w:spacing w:after="0" w:line="3" w:lineRule="exact"/>
        <w:rPr>
          <w:sz w:val="20"/>
          <w:szCs w:val="20"/>
          <w:color w:val="auto"/>
        </w:rPr>
      </w:pPr>
    </w:p>
    <w:p>
      <w:pPr>
        <w:jc w:val="both"/>
        <w:ind w:left="160" w:right="139" w:hanging="9"/>
        <w:spacing w:after="0" w:line="252" w:lineRule="auto"/>
        <w:tabs>
          <w:tab w:leader="none" w:pos="4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189" w:lineRule="exact"/>
        <w:rPr>
          <w:sz w:val="20"/>
          <w:szCs w:val="20"/>
          <w:color w:val="auto"/>
        </w:rPr>
      </w:pPr>
    </w:p>
    <w:p>
      <w:pPr>
        <w:jc w:val="both"/>
        <w:ind w:left="160" w:right="159" w:firstLine="648"/>
        <w:spacing w:after="0" w:line="277" w:lineRule="auto"/>
        <w:rPr>
          <w:sz w:val="20"/>
          <w:szCs w:val="20"/>
          <w:color w:val="auto"/>
        </w:rPr>
      </w:pPr>
      <w:r>
        <w:rPr>
          <w:rFonts w:ascii="Arial" w:cs="Arial" w:eastAsia="Arial" w:hAnsi="Arial"/>
          <w:sz w:val="17"/>
          <w:szCs w:val="17"/>
          <w:b w:val="1"/>
          <w:bCs w:val="1"/>
          <w:color w:val="auto"/>
        </w:rPr>
        <w:t>7.2 Changes in Business, Management, Control, or Business Locations</w:t>
      </w:r>
      <w:r>
        <w:rPr>
          <w:rFonts w:ascii="Arial" w:cs="Arial" w:eastAsia="Arial" w:hAnsi="Arial"/>
          <w:sz w:val="17"/>
          <w:szCs w:val="17"/>
          <w:color w:val="auto"/>
        </w:rPr>
        <w:t>. (a) Engage in or permit any</w:t>
      </w:r>
      <w:r>
        <w:rPr>
          <w:rFonts w:ascii="Arial" w:cs="Arial" w:eastAsia="Arial" w:hAnsi="Arial"/>
          <w:sz w:val="17"/>
          <w:szCs w:val="17"/>
          <w:b w:val="1"/>
          <w:bCs w:val="1"/>
          <w:color w:val="auto"/>
        </w:rPr>
        <w:t xml:space="preserve"> </w:t>
      </w:r>
      <w:r>
        <w:rPr>
          <w:rFonts w:ascii="Arial" w:cs="Arial" w:eastAsia="Arial" w:hAnsi="Arial"/>
          <w:sz w:val="17"/>
          <w:szCs w:val="17"/>
          <w:color w:val="auto"/>
        </w:rPr>
        <w:t>of its Subsidiaries to engage in any business other than the businesses currently engaged in by Borrower and such Subsidiary, as applicable, or reasonably related thereto; (b) liquidate or dissolve; (c) fail to provide notice to Agent and Lenders of any Key Person departing from or ceasing to be employed by Borrower within five (5) days after such Key Person’s departure from Borrower; or (d) permit or suffer any Change in Control.</w:t>
      </w:r>
    </w:p>
    <w:p>
      <w:pPr>
        <w:spacing w:after="0" w:line="172" w:lineRule="exact"/>
        <w:rPr>
          <w:sz w:val="20"/>
          <w:szCs w:val="20"/>
          <w:color w:val="auto"/>
        </w:rPr>
      </w:pPr>
    </w:p>
    <w:p>
      <w:pPr>
        <w:jc w:val="both"/>
        <w:ind w:left="160" w:right="139" w:firstLine="648"/>
        <w:spacing w:after="0" w:line="285" w:lineRule="auto"/>
        <w:rPr>
          <w:sz w:val="20"/>
          <w:szCs w:val="20"/>
          <w:color w:val="auto"/>
        </w:rPr>
      </w:pPr>
      <w:r>
        <w:rPr>
          <w:rFonts w:ascii="Arial" w:cs="Arial" w:eastAsia="Arial" w:hAnsi="Arial"/>
          <w:sz w:val="16"/>
          <w:szCs w:val="16"/>
          <w:color w:val="auto"/>
        </w:rPr>
        <w:t>Borrower shall not, without at least thirty (30) days prior written notice to Agent: (1) add any new offices or business locations, including warehouses (unless such new offices or business locations contain less than Fifty Thousand Dollars ($50,000.00) in Borrower’s assets or property or are clinical locations used in the ordinary course of business for trials of Experimental Compounds) or deliver any portion of the Collateral valued, individually or in the aggregate, in excess of Fifty Thousand Dollars ($50,000.00) to a bailee at a location other than to a bailee and at a location already disclosed in the Perfection Certificate (including clinical locations used in the ordinary course of business for trials of Experimental Compounds),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Fifty Thousand Dollars ($50,000.00) of Borrower’s assets or property, then Borrower shall cause the landlord of any such new offices or business locations, including warehouses, to execute and deliver a landlord consent in form and substance satisfactory to Agent. If Borrower intends to deliver any portion of the Collateral valued, individually or in the aggregate, in excess of Fifty Thousand Dollars ($50,000.00) to a bailee, and Agent and such bailee are not already parties to a bailee agreement governing both the Collateral and the location to which Borrower intends to deliver the Collateral, then Borrower will first receive the written consent of Agent, and such bailee shall execute and deliver a bailee agreement in form and substance reasonably satisfactory to Agent. The foregoing requirements shall not apply to Experimental Compounds and materials that are located at clinical sites for testing purposes.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9" w:name="page210"/>
    <w:bookmarkEnd w:id="209"/>
    <w:p>
      <w:pPr>
        <w:jc w:val="both"/>
        <w:ind w:left="160" w:right="139" w:firstLine="648"/>
        <w:spacing w:after="0" w:line="261"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with any other Person, or acquire, or 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180"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b w:val="1"/>
          <w:bCs w:val="1"/>
          <w:color w:val="auto"/>
        </w:rPr>
        <w:t>7.4 Indebtedness</w:t>
      </w:r>
      <w:r>
        <w:rPr>
          <w:rFonts w:ascii="Arial" w:cs="Arial" w:eastAsia="Arial" w:hAnsi="Arial"/>
          <w:sz w:val="18"/>
          <w:szCs w:val="18"/>
          <w:color w:val="auto"/>
        </w:rPr>
        <w:t>. Create, incur, assume, or be liable for any Indebtedness, or permit any Subsidiary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other than Permitted Indebtedness.</w:t>
      </w:r>
    </w:p>
    <w:p>
      <w:pPr>
        <w:spacing w:after="0" w:line="162"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 Create, incur, allow, or suffer any Lien on any of its property, or assign or convey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Agent, for the ratable benefit of the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5"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6.6(b) hereof.</w:t>
      </w:r>
    </w:p>
    <w:p>
      <w:pPr>
        <w:spacing w:after="0" w:line="162"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7"/>
          <w:szCs w:val="17"/>
          <w:b w:val="1"/>
          <w:bCs w:val="1"/>
          <w:color w:val="auto"/>
        </w:rPr>
        <w:t>7.7 Distributions; Investments</w:t>
      </w:r>
      <w:r>
        <w:rPr>
          <w:rFonts w:ascii="Arial" w:cs="Arial" w:eastAsia="Arial" w:hAnsi="Arial"/>
          <w:sz w:val="17"/>
          <w:szCs w:val="17"/>
          <w:color w:val="auto"/>
        </w:rPr>
        <w:t>. (a) Pay any dividends or make any distribution or payment or redeem,</w:t>
      </w:r>
      <w:r>
        <w:rPr>
          <w:rFonts w:ascii="Arial" w:cs="Arial" w:eastAsia="Arial" w:hAnsi="Arial"/>
          <w:sz w:val="17"/>
          <w:szCs w:val="17"/>
          <w:b w:val="1"/>
          <w:bCs w:val="1"/>
          <w:color w:val="auto"/>
        </w:rPr>
        <w:t xml:space="preserve"> </w:t>
      </w:r>
      <w:r>
        <w:rPr>
          <w:rFonts w:ascii="Arial" w:cs="Arial" w:eastAsia="Arial" w:hAnsi="Arial"/>
          <w:sz w:val="17"/>
          <w:szCs w:val="17"/>
          <w:color w:val="auto"/>
        </w:rPr>
        <w:t>retire or purchase any of its capital stock provided that (i) Borrower may convert any of its convertible securities (including warrants and convertible debt) into other securities pursuant to the terms of such convertible securities or otherwise in exchange thereof, (ii) Borrower may pay dividends solely in common stock, and (iii) Borrower may purchase fractional shares of capital stock arising out of stock dividends, splits or combinations, provided such purchases do not exceed Twenty-Five Thousand Dollars ($25,000.00) in the aggregate in any fiscal year; or (b) directly or indirectly make any Investment (including, without limitation, by the formation of any Subsidiary) other than Permitted Investments, or permit any of its Subsidiaries to do so.</w:t>
      </w:r>
    </w:p>
    <w:p>
      <w:pPr>
        <w:spacing w:after="0" w:line="172" w:lineRule="exact"/>
        <w:rPr>
          <w:sz w:val="20"/>
          <w:szCs w:val="20"/>
          <w:color w:val="auto"/>
        </w:rPr>
      </w:pPr>
    </w:p>
    <w:p>
      <w:pPr>
        <w:jc w:val="both"/>
        <w:ind w:left="160" w:right="139" w:firstLine="648"/>
        <w:spacing w:after="0" w:line="292"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with any Affiliate of Borrower, except for (a) transactions that are in the ordinary course of Borrower’s business, upon fair and reasonable terms that are no less favorable to Borrower than would be obtained in an arm’s length transaction with a non-affiliated Person, (b) Subordinated Debt and equity investments by Borrower’s investors in Borrower, (c) reasonable and customary fees paid to members of Borrower’s Board and its Subsidiaries, (d) customary employment arrangements with executive officers, (e) Permitted Investments, (f) transactions with Subsidiaries listed on the Perfection Certificate as of the Effective Date, and (g) transactions permitted under Section 7.7.</w:t>
      </w:r>
    </w:p>
    <w:p>
      <w:pPr>
        <w:spacing w:after="0" w:line="162"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(a) Make or permit any payment on any Subordinated Debt, except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Agent and the Lenders.</w:t>
      </w:r>
    </w:p>
    <w:p>
      <w:pPr>
        <w:spacing w:after="0" w:line="184" w:lineRule="exact"/>
        <w:rPr>
          <w:sz w:val="20"/>
          <w:szCs w:val="20"/>
          <w:color w:val="auto"/>
        </w:rPr>
      </w:pPr>
    </w:p>
    <w:p>
      <w:pPr>
        <w:jc w:val="both"/>
        <w:ind w:left="160" w:right="139" w:firstLine="648"/>
        <w:spacing w:after="0" w:line="288"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ind w:left="160" w:right="159"/>
        <w:spacing w:after="0" w:line="277" w:lineRule="auto"/>
        <w:rPr>
          <w:sz w:val="20"/>
          <w:szCs w:val="20"/>
          <w:color w:val="auto"/>
        </w:rPr>
      </w:pPr>
      <w:r>
        <w:rPr>
          <w:rFonts w:ascii="Arial" w:cs="Arial" w:eastAsia="Arial" w:hAnsi="Arial"/>
          <w:sz w:val="18"/>
          <w:szCs w:val="18"/>
          <w:color w:val="auto"/>
        </w:rPr>
        <w:t>result in any liability of Borrower, including any liability to the Pension Benefit Guaranty Corporation or its successors or any other governmental agency.</w:t>
      </w:r>
    </w:p>
    <w:p>
      <w:pPr>
        <w:spacing w:after="0" w:line="166" w:lineRule="exact"/>
        <w:rPr>
          <w:sz w:val="20"/>
          <w:szCs w:val="20"/>
          <w:color w:val="auto"/>
        </w:rPr>
      </w:pPr>
    </w:p>
    <w:p>
      <w:pPr>
        <w:ind w:left="1440" w:hanging="641"/>
        <w:spacing w:after="0"/>
        <w:tabs>
          <w:tab w:leader="none" w:pos="1440" w:val="left"/>
        </w:tabs>
        <w:numPr>
          <w:ilvl w:val="0"/>
          <w:numId w:val="12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37"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when due, or (b) 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29" w:lineRule="exact"/>
        <w:rPr>
          <w:sz w:val="20"/>
          <w:szCs w:val="20"/>
          <w:color w:val="auto"/>
        </w:rPr>
      </w:pPr>
    </w:p>
    <w:p>
      <w:pPr>
        <w:ind w:left="160" w:right="159" w:firstLine="1287"/>
        <w:spacing w:after="0" w:line="277" w:lineRule="auto"/>
        <w:tabs>
          <w:tab w:leader="none" w:pos="21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6.4, 6.5, 6.6, or 6.7(b), or violates any covenant in Section 7; or</w:t>
      </w:r>
    </w:p>
    <w:p>
      <w:pPr>
        <w:spacing w:after="0" w:line="170" w:lineRule="exact"/>
        <w:rPr>
          <w:rFonts w:ascii="Arial" w:cs="Arial" w:eastAsia="Arial" w:hAnsi="Arial"/>
          <w:sz w:val="18"/>
          <w:szCs w:val="18"/>
          <w:color w:val="auto"/>
        </w:rPr>
      </w:pPr>
    </w:p>
    <w:p>
      <w:pPr>
        <w:jc w:val="both"/>
        <w:ind w:left="160" w:right="139" w:firstLine="1287"/>
        <w:spacing w:after="0" w:line="270" w:lineRule="auto"/>
        <w:tabs>
          <w:tab w:leader="none" w:pos="21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4"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A Material Adverse Change occurs;</w:t>
      </w:r>
    </w:p>
    <w:p>
      <w:pPr>
        <w:spacing w:after="0" w:line="225"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76" w:lineRule="auto"/>
        <w:tabs>
          <w:tab w:leader="none" w:pos="213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2" w:lineRule="exact"/>
        <w:rPr>
          <w:rFonts w:ascii="Arial" w:cs="Arial" w:eastAsia="Arial" w:hAnsi="Arial"/>
          <w:sz w:val="17"/>
          <w:szCs w:val="17"/>
          <w:color w:val="auto"/>
        </w:rPr>
      </w:pPr>
    </w:p>
    <w:p>
      <w:pPr>
        <w:jc w:val="both"/>
        <w:ind w:left="160" w:right="139" w:firstLine="1287"/>
        <w:spacing w:after="0" w:line="264" w:lineRule="auto"/>
        <w:tabs>
          <w:tab w:leader="none" w:pos="21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77" w:lineRule="exact"/>
        <w:rPr>
          <w:sz w:val="20"/>
          <w:szCs w:val="20"/>
          <w:color w:val="auto"/>
        </w:rPr>
      </w:pPr>
    </w:p>
    <w:p>
      <w:pPr>
        <w:ind w:left="800"/>
        <w:spacing w:after="0"/>
        <w:tabs>
          <w:tab w:leader="none" w:pos="1460" w:val="left"/>
          <w:tab w:leader="none" w:pos="24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color w:val="auto"/>
        </w:rPr>
        <w:t>Insolvency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Borrower is unable to pay its debts (including trade debts) as they become due;</w:t>
      </w:r>
    </w:p>
    <w:p>
      <w:pPr>
        <w:spacing w:after="0" w:line="27" w:lineRule="exact"/>
        <w:rPr>
          <w:sz w:val="20"/>
          <w:szCs w:val="20"/>
          <w:color w:val="auto"/>
        </w:rPr>
      </w:pPr>
    </w:p>
    <w:p>
      <w:pPr>
        <w:jc w:val="both"/>
        <w:ind w:left="160" w:right="159" w:hanging="9"/>
        <w:spacing w:after="0" w:line="255" w:lineRule="auto"/>
        <w:tabs>
          <w:tab w:leader="none" w:pos="4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86" w:lineRule="exact"/>
        <w:rPr>
          <w:sz w:val="20"/>
          <w:szCs w:val="20"/>
          <w:color w:val="auto"/>
        </w:rPr>
      </w:pPr>
    </w:p>
    <w:p>
      <w:pPr>
        <w:jc w:val="both"/>
        <w:ind w:left="160" w:right="139" w:firstLine="648"/>
        <w:spacing w:after="0" w:line="292" w:lineRule="auto"/>
        <w:rPr>
          <w:sz w:val="20"/>
          <w:szCs w:val="20"/>
          <w:color w:val="auto"/>
        </w:rPr>
      </w:pPr>
      <w:r>
        <w:rPr>
          <w:rFonts w:ascii="Arial" w:cs="Arial" w:eastAsia="Arial" w:hAnsi="Arial"/>
          <w:sz w:val="16"/>
          <w:szCs w:val="16"/>
          <w:b w:val="1"/>
          <w:bCs w:val="1"/>
          <w:color w:val="auto"/>
        </w:rPr>
        <w:t>8.6 Other Agreement</w:t>
      </w:r>
      <w:r>
        <w:rPr>
          <w:rFonts w:ascii="Arial" w:cs="Arial" w:eastAsia="Arial" w:hAnsi="Arial"/>
          <w:sz w:val="16"/>
          <w:szCs w:val="16"/>
          <w:color w:val="auto"/>
        </w:rPr>
        <w:t>s. There is, under any agreement to which Borrower is a party with a third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 any default resulting in a right by such third party or parties, whether or not exercised, to accelerate the maturity of any Indebtedness in an amount individually or in the aggregate in excess of One Hundred Thousand Dollars ($100,000.00); or (b) any breach or default by Borrower, the result of which could have a material adverse effect on Borrower’s business; provided, however, that the Event of Default under this Section 8.6 caused by the occurrence of a breach or default under such other agreement shall be cured or waived for purposes of this Agreement upon Agent receiving written notice from the party asserting such breach or default of such cure or waiver of the</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1" w:name="page212"/>
    <w:bookmarkEnd w:id="211"/>
    <w:p>
      <w:pPr>
        <w:jc w:val="both"/>
        <w:ind w:left="160" w:right="139"/>
        <w:spacing w:after="0" w:line="273" w:lineRule="auto"/>
        <w:rPr>
          <w:sz w:val="20"/>
          <w:szCs w:val="20"/>
          <w:color w:val="auto"/>
        </w:rPr>
      </w:pPr>
      <w:r>
        <w:rPr>
          <w:rFonts w:ascii="Arial" w:cs="Arial" w:eastAsia="Arial" w:hAnsi="Arial"/>
          <w:sz w:val="17"/>
          <w:szCs w:val="17"/>
          <w:color w:val="auto"/>
        </w:rPr>
        <w:t>breach or default under such other agreement, if at the time of such cure or waiver under such other agreement (x) a Lender has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Agent be materially less advantageous to Borrower;</w:t>
      </w:r>
    </w:p>
    <w:p>
      <w:pPr>
        <w:spacing w:after="0" w:line="174"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b w:val="1"/>
          <w:bCs w:val="1"/>
          <w:color w:val="auto"/>
        </w:rPr>
        <w:t>8.7 Judgments; Penalties</w:t>
      </w:r>
      <w:r>
        <w:rPr>
          <w:rFonts w:ascii="Arial" w:cs="Arial" w:eastAsia="Arial" w:hAnsi="Arial"/>
          <w:sz w:val="16"/>
          <w:szCs w:val="16"/>
          <w:color w:val="auto"/>
        </w:rPr>
        <w:t>. One or more fines, penalties or final judgments, orders or decrees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money in an amount, individually or in the aggregate, of at least One Hundred Thousand Dollars ($100,000.00) (not covered by independent third-party insurance as to which liability has been accepted by such insurance carrier) shall be rendered against Borrower by any Governmental Authority, and the same are not, within ten</w:t>
      </w:r>
    </w:p>
    <w:p>
      <w:pPr>
        <w:spacing w:after="0" w:line="3" w:lineRule="exact"/>
        <w:rPr>
          <w:sz w:val="20"/>
          <w:szCs w:val="20"/>
          <w:color w:val="auto"/>
        </w:rPr>
      </w:pPr>
    </w:p>
    <w:p>
      <w:pPr>
        <w:jc w:val="both"/>
        <w:ind w:left="160" w:right="139" w:hanging="9"/>
        <w:spacing w:after="0" w:line="254" w:lineRule="auto"/>
        <w:tabs>
          <w:tab w:leader="none" w:pos="5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6"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Agent or any Lender or to induce Agent or any Lender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w:t>
      </w:r>
      <w:r>
        <w:rPr>
          <w:rFonts w:ascii="Arial" w:cs="Arial" w:eastAsia="Arial" w:hAnsi="Arial"/>
          <w:sz w:val="18"/>
          <w:szCs w:val="18"/>
          <w:b w:val="1"/>
          <w:bCs w:val="1"/>
          <w:color w:val="auto"/>
        </w:rPr>
        <w:t xml:space="preserve"> </w:t>
      </w:r>
      <w:r>
        <w:rPr>
          <w:rFonts w:ascii="Arial" w:cs="Arial" w:eastAsia="Arial" w:hAnsi="Arial"/>
          <w:sz w:val="18"/>
          <w:szCs w:val="18"/>
          <w:color w:val="auto"/>
        </w:rPr>
        <w:t>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4" w:lineRule="exact"/>
        <w:rPr>
          <w:sz w:val="20"/>
          <w:szCs w:val="20"/>
          <w:color w:val="auto"/>
        </w:rPr>
      </w:pPr>
    </w:p>
    <w:p>
      <w:pPr>
        <w:jc w:val="both"/>
        <w:ind w:left="160" w:right="139" w:firstLine="648"/>
        <w:spacing w:after="0" w:line="274" w:lineRule="auto"/>
        <w:rPr>
          <w:sz w:val="20"/>
          <w:szCs w:val="20"/>
          <w:color w:val="auto"/>
        </w:rPr>
      </w:pPr>
      <w:r>
        <w:rPr>
          <w:rFonts w:ascii="Arial" w:cs="Arial" w:eastAsia="Arial" w:hAnsi="Arial"/>
          <w:sz w:val="17"/>
          <w:szCs w:val="17"/>
          <w:b w:val="1"/>
          <w:bCs w:val="1"/>
          <w:color w:val="auto"/>
        </w:rPr>
        <w:t>8.10 Governmental Approvals</w:t>
      </w:r>
      <w:r>
        <w:rPr>
          <w:rFonts w:ascii="Arial" w:cs="Arial" w:eastAsia="Arial" w:hAnsi="Arial"/>
          <w:sz w:val="17"/>
          <w:szCs w:val="17"/>
          <w:color w:val="auto"/>
        </w:rPr>
        <w:t>. Any Governmental Approval shall have been (a) revoked, rescinded,</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causes, or could reasonably be expected to cause, a Material Adverse Change.</w:t>
      </w:r>
    </w:p>
    <w:p>
      <w:pPr>
        <w:spacing w:after="0" w:line="174" w:lineRule="exact"/>
        <w:rPr>
          <w:sz w:val="20"/>
          <w:szCs w:val="20"/>
          <w:color w:val="auto"/>
        </w:rPr>
      </w:pPr>
    </w:p>
    <w:p>
      <w:pPr>
        <w:ind w:left="1440" w:hanging="641"/>
        <w:spacing w:after="0"/>
        <w:tabs>
          <w:tab w:leader="none" w:pos="1440" w:val="left"/>
        </w:tabs>
        <w:numPr>
          <w:ilvl w:val="0"/>
          <w:numId w:val="1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jc w:val="both"/>
        <w:ind w:left="160" w:right="159" w:firstLine="648"/>
        <w:spacing w:after="0" w:line="261"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as directed by each Lender in accordance with the Lender Intercreditor Agreement or, if such rights and remedies are not addressed in the Lender Intercreditor Agreement, as directed by a majority of the Lenders, may, without notice or demand, do any or all of the following:</w:t>
      </w:r>
    </w:p>
    <w:p>
      <w:pPr>
        <w:spacing w:after="0" w:line="184" w:lineRule="exact"/>
        <w:rPr>
          <w:sz w:val="20"/>
          <w:szCs w:val="20"/>
          <w:color w:val="auto"/>
        </w:rPr>
      </w:pPr>
    </w:p>
    <w:p>
      <w:pPr>
        <w:ind w:left="160" w:right="159" w:firstLine="1287"/>
        <w:spacing w:after="0" w:line="308" w:lineRule="auto"/>
        <w:tabs>
          <w:tab w:leader="none" w:pos="210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Agent or any Lender);</w:t>
      </w:r>
    </w:p>
    <w:p>
      <w:pPr>
        <w:spacing w:after="0" w:line="146" w:lineRule="exact"/>
        <w:rPr>
          <w:rFonts w:ascii="Arial" w:cs="Arial" w:eastAsia="Arial" w:hAnsi="Arial"/>
          <w:sz w:val="17"/>
          <w:szCs w:val="17"/>
          <w:color w:val="auto"/>
        </w:rPr>
      </w:pPr>
    </w:p>
    <w:p>
      <w:pPr>
        <w:ind w:left="160" w:right="159" w:firstLine="1287"/>
        <w:spacing w:after="0" w:line="277" w:lineRule="auto"/>
        <w:tabs>
          <w:tab w:leader="none" w:pos="21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among Borrower, Agent, and/or any Lenders;</w:t>
      </w:r>
    </w:p>
    <w:p>
      <w:pPr>
        <w:spacing w:after="0" w:line="170" w:lineRule="exact"/>
        <w:rPr>
          <w:rFonts w:ascii="Arial" w:cs="Arial" w:eastAsia="Arial" w:hAnsi="Arial"/>
          <w:sz w:val="18"/>
          <w:szCs w:val="18"/>
          <w:color w:val="auto"/>
        </w:rPr>
      </w:pPr>
    </w:p>
    <w:p>
      <w:pPr>
        <w:jc w:val="both"/>
        <w:ind w:left="160" w:right="139" w:firstLine="1287"/>
        <w:spacing w:after="0" w:line="291" w:lineRule="auto"/>
        <w:tabs>
          <w:tab w:leader="none" w:pos="21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demand that Borrower (i) deposit cash with SVB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SVB in its good faith business judgment)), to secure all of the Obligations relating to such Letters of Credit, as collateral security for the repayment of any future drawings under such Letters of Credit, and Borrower shall forthwith deposit and pay such</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2" w:name="page213"/>
    <w:bookmarkEnd w:id="212"/>
    <w:p>
      <w:pPr>
        <w:ind w:left="160" w:right="139"/>
        <w:spacing w:after="0" w:line="277" w:lineRule="auto"/>
        <w:rPr>
          <w:sz w:val="20"/>
          <w:szCs w:val="20"/>
          <w:color w:val="auto"/>
        </w:rPr>
      </w:pPr>
      <w:r>
        <w:rPr>
          <w:rFonts w:ascii="Arial" w:cs="Arial" w:eastAsia="Arial" w:hAnsi="Arial"/>
          <w:sz w:val="18"/>
          <w:szCs w:val="18"/>
          <w:color w:val="auto"/>
        </w:rPr>
        <w:t>amounts, and (ii) pay in advance all letter of credit fees scheduled to be paid or payable over the remaining term of any Letters of Credit;</w:t>
      </w:r>
    </w:p>
    <w:p>
      <w:pPr>
        <w:spacing w:after="0" w:line="170" w:lineRule="exact"/>
        <w:rPr>
          <w:sz w:val="20"/>
          <w:szCs w:val="20"/>
          <w:color w:val="auto"/>
        </w:rPr>
      </w:pPr>
    </w:p>
    <w:p>
      <w:pPr>
        <w:ind w:left="2100" w:hanging="653"/>
        <w:spacing w:after="0"/>
        <w:tabs>
          <w:tab w:leader="none" w:pos="2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left="160" w:right="139" w:firstLine="1287"/>
        <w:spacing w:after="0" w:line="259" w:lineRule="auto"/>
        <w:tabs>
          <w:tab w:leader="none" w:pos="21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Agent and/or the Lenders consider advisable, and notify any Person owing Borrower money of Agent’s security interest in such funds;</w:t>
      </w:r>
    </w:p>
    <w:p>
      <w:pPr>
        <w:spacing w:after="0" w:line="186" w:lineRule="exact"/>
        <w:rPr>
          <w:rFonts w:ascii="Arial" w:cs="Arial" w:eastAsia="Arial" w:hAnsi="Arial"/>
          <w:sz w:val="18"/>
          <w:szCs w:val="18"/>
          <w:color w:val="auto"/>
        </w:rPr>
      </w:pPr>
    </w:p>
    <w:p>
      <w:pPr>
        <w:jc w:val="both"/>
        <w:ind w:left="160" w:right="139" w:firstLine="1287"/>
        <w:spacing w:after="0" w:line="293" w:lineRule="auto"/>
        <w:tabs>
          <w:tab w:leader="none" w:pos="2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make any payments and do any acts Agent or any Lender considers necessary or reasonable to protect the Collateral and/or its security interest in the Collateral. Borrower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and pay all expenses incurred. Borrower grants Agent a license to enter and occupy any of its premises, without charge, to exercise any of Agent’s rights or remedies;</w:t>
      </w:r>
    </w:p>
    <w:p>
      <w:pPr>
        <w:spacing w:after="0" w:line="164" w:lineRule="exact"/>
        <w:rPr>
          <w:rFonts w:ascii="Arial" w:cs="Arial" w:eastAsia="Arial" w:hAnsi="Arial"/>
          <w:sz w:val="16"/>
          <w:szCs w:val="16"/>
          <w:color w:val="auto"/>
        </w:rPr>
      </w:pPr>
    </w:p>
    <w:p>
      <w:pPr>
        <w:ind w:left="160" w:right="159" w:firstLine="1287"/>
        <w:spacing w:after="0" w:line="277" w:lineRule="auto"/>
        <w:tabs>
          <w:tab w:leader="none" w:pos="21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Agent owing to or for the credit or the account of Borrower;</w:t>
      </w:r>
    </w:p>
    <w:p>
      <w:pPr>
        <w:spacing w:after="0" w:line="170" w:lineRule="exact"/>
        <w:rPr>
          <w:rFonts w:ascii="Arial" w:cs="Arial" w:eastAsia="Arial" w:hAnsi="Arial"/>
          <w:sz w:val="18"/>
          <w:szCs w:val="18"/>
          <w:color w:val="auto"/>
        </w:rPr>
      </w:pPr>
    </w:p>
    <w:p>
      <w:pPr>
        <w:jc w:val="both"/>
        <w:ind w:left="160" w:right="139" w:firstLine="1287"/>
        <w:spacing w:after="0" w:line="255" w:lineRule="auto"/>
        <w:tabs>
          <w:tab w:leader="none" w:pos="21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Agent, for the benefit of the Lenders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Borrower’s rights under all licenses and all franchise agreements inure to Agent, for the ratable benefit of the Lenders;</w:t>
      </w:r>
    </w:p>
    <w:p>
      <w:pPr>
        <w:spacing w:after="0" w:line="189" w:lineRule="exact"/>
        <w:rPr>
          <w:rFonts w:ascii="Arial" w:cs="Arial" w:eastAsia="Arial" w:hAnsi="Arial"/>
          <w:sz w:val="18"/>
          <w:szCs w:val="18"/>
          <w:color w:val="auto"/>
        </w:rPr>
      </w:pPr>
    </w:p>
    <w:p>
      <w:pPr>
        <w:jc w:val="both"/>
        <w:ind w:left="160" w:right="139" w:firstLine="1287"/>
        <w:spacing w:after="0" w:line="264" w:lineRule="auto"/>
        <w:tabs>
          <w:tab w:leader="none" w:pos="21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181" w:lineRule="exact"/>
        <w:rPr>
          <w:rFonts w:ascii="Arial" w:cs="Arial" w:eastAsia="Arial" w:hAnsi="Arial"/>
          <w:sz w:val="18"/>
          <w:szCs w:val="18"/>
          <w:color w:val="auto"/>
        </w:rPr>
      </w:pPr>
    </w:p>
    <w:p>
      <w:pPr>
        <w:ind w:left="2120" w:hanging="673"/>
        <w:spacing w:after="0"/>
        <w:tabs>
          <w:tab w:leader="none" w:pos="2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jc w:val="both"/>
        <w:ind w:left="160" w:right="159" w:firstLine="1287"/>
        <w:spacing w:after="0" w:line="264" w:lineRule="auto"/>
        <w:tabs>
          <w:tab w:leader="none" w:pos="219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exercise all rights and remedies available to Agent and the Lenders under the Loan Documents or at law or equity, including all remedies provided under the Code (including disposal of the Collateral pursuant to the terms thereof).</w:t>
      </w:r>
    </w:p>
    <w:p>
      <w:pPr>
        <w:spacing w:after="0" w:line="177" w:lineRule="exact"/>
        <w:rPr>
          <w:sz w:val="20"/>
          <w:szCs w:val="20"/>
          <w:color w:val="auto"/>
        </w:rPr>
      </w:pPr>
    </w:p>
    <w:p>
      <w:pPr>
        <w:jc w:val="both"/>
        <w:ind w:left="160" w:right="139" w:firstLine="648"/>
        <w:spacing w:after="0" w:line="286"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Agent, for the benefit of the Lenders, as</w:t>
      </w:r>
      <w:r>
        <w:rPr>
          <w:rFonts w:ascii="Arial" w:cs="Arial" w:eastAsia="Arial" w:hAnsi="Arial"/>
          <w:sz w:val="16"/>
          <w:szCs w:val="16"/>
          <w:b w:val="1"/>
          <w:bCs w:val="1"/>
          <w:color w:val="auto"/>
        </w:rPr>
        <w:t xml:space="preserve"> </w:t>
      </w:r>
      <w:r>
        <w:rPr>
          <w:rFonts w:ascii="Arial" w:cs="Arial" w:eastAsia="Arial" w:hAnsi="Arial"/>
          <w:sz w:val="16"/>
          <w:szCs w:val="16"/>
          <w:color w:val="auto"/>
        </w:rPr>
        <w:t>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Borrower hereby appoints Agent as its lawful attorney-in-fact to sign Borrower’s name on any documents necessary to perfect or continue the perfection of Agent’s security interest in the Collateral regardless of whether an Event of Default has occurred until all Obligations (other than inchoate indemnity obligations and any other obligations which, by their terms, are to survive the termination of this Agreement) have been satisfied in full and Lenders are under no further obligation to make Credit Extensions hereunder. Agent’s foregoing appointment as Borrower’s attorney in fact, and all of Agent’s rights and powers, coupled with an interest, are irrevocable until all Obligations (other than inchoate indemnity obligations and any other obligations which, by their terms, are to survive</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3" w:name="page214"/>
    <w:bookmarkEnd w:id="213"/>
    <w:p>
      <w:pPr>
        <w:jc w:val="both"/>
        <w:ind w:left="160" w:right="159"/>
        <w:spacing w:after="0" w:line="277" w:lineRule="auto"/>
        <w:rPr>
          <w:sz w:val="20"/>
          <w:szCs w:val="20"/>
          <w:color w:val="auto"/>
        </w:rPr>
      </w:pPr>
      <w:r>
        <w:rPr>
          <w:rFonts w:ascii="Arial" w:cs="Arial" w:eastAsia="Arial" w:hAnsi="Arial"/>
          <w:sz w:val="18"/>
          <w:szCs w:val="18"/>
          <w:color w:val="auto"/>
        </w:rPr>
        <w:t>the termination of this Agreement) have been fully repaid and performed and each Lender’s obligation to provide Credit Extensions terminates.</w:t>
      </w:r>
    </w:p>
    <w:p>
      <w:pPr>
        <w:spacing w:after="0" w:line="166"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w:t>
      </w:r>
      <w:r>
        <w:rPr>
          <w:rFonts w:ascii="Arial" w:cs="Arial" w:eastAsia="Arial" w:hAnsi="Arial"/>
          <w:sz w:val="17"/>
          <w:szCs w:val="17"/>
          <w:b w:val="1"/>
          <w:bCs w:val="1"/>
          <w:color w:val="auto"/>
        </w:rPr>
        <w:t xml:space="preserve"> </w:t>
      </w:r>
      <w:r>
        <w:rPr>
          <w:rFonts w:ascii="Arial" w:cs="Arial" w:eastAsia="Arial" w:hAnsi="Arial"/>
          <w:sz w:val="17"/>
          <w:szCs w:val="17"/>
          <w:color w:val="auto"/>
        </w:rPr>
        <w:t>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Lenders’ Expenses and immediately due and payable, bearing interest at the then highest rate applicable to the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and/or Lender’s waiver of any Event of Default.</w:t>
      </w:r>
    </w:p>
    <w:p>
      <w:pPr>
        <w:spacing w:after="0" w:line="172"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 If an Event of Default has occurred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Agent shall have the right to apply in any order any funds in its possession, whether from Borrower’s account balances, payments, proceeds realized as the result of any collection of Accounts or other disposition of the Collateral, or otherwise, to the Obligations. Agent shall pay any surplus to Borrower by credit to the Designated Deposit Account or to other Persons legally entitled thereto; Borrower shall remain liable to Agent and the Lenders for any deficiency. If Agent, directly or indirectly, enters into a deferred payment or other credit transaction with any purchaser at any sale of Collateral, Agent shall have the option, exercisable at any time, of either reducing the Obligations by the principal amount of the purchase price or deferring the reduction of the Obligations until the actual receipt by Agent of cash therefor.</w:t>
      </w:r>
    </w:p>
    <w:p>
      <w:pPr>
        <w:spacing w:after="0" w:line="189" w:lineRule="exact"/>
        <w:rPr>
          <w:sz w:val="20"/>
          <w:szCs w:val="20"/>
          <w:color w:val="auto"/>
        </w:rPr>
      </w:pPr>
    </w:p>
    <w:p>
      <w:pPr>
        <w:jc w:val="both"/>
        <w:ind w:left="160" w:right="139" w:firstLine="648"/>
        <w:spacing w:after="0" w:line="277" w:lineRule="auto"/>
        <w:rPr>
          <w:sz w:val="20"/>
          <w:szCs w:val="20"/>
          <w:color w:val="auto"/>
        </w:rPr>
      </w:pPr>
      <w:r>
        <w:rPr>
          <w:rFonts w:ascii="Arial" w:cs="Arial" w:eastAsia="Arial" w:hAnsi="Arial"/>
          <w:sz w:val="17"/>
          <w:szCs w:val="17"/>
          <w:b w:val="1"/>
          <w:bCs w:val="1"/>
          <w:color w:val="auto"/>
        </w:rPr>
        <w:t>9.5 Liability for Collateral</w:t>
      </w:r>
      <w:r>
        <w:rPr>
          <w:rFonts w:ascii="Arial" w:cs="Arial" w:eastAsia="Arial" w:hAnsi="Arial"/>
          <w:sz w:val="17"/>
          <w:szCs w:val="17"/>
          <w:color w:val="auto"/>
        </w:rPr>
        <w:t>. So long as Agent and Lenders comply with reasonable banking practices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safekeeping of the Collateral in their possession or under the control of Agent and/or Lenders, Agent and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8" w:lineRule="exact"/>
        <w:rPr>
          <w:sz w:val="20"/>
          <w:szCs w:val="20"/>
          <w:color w:val="auto"/>
        </w:rPr>
      </w:pPr>
    </w:p>
    <w:p>
      <w:pPr>
        <w:jc w:val="both"/>
        <w:ind w:left="160" w:right="139" w:firstLine="648"/>
        <w:spacing w:after="0" w:line="253"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Agent’s and any Lender’s failure, at any time or times, to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strict performance by Borrower of any 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each Lender’s rights and remedies under this Agreement and the other Loan Documents are cumulative. Agent and each Lender have all rights and remedies provided under the Code, by law, or in equity. Agent’s or any Lender’s exercise of one right or remedy is not an election and shall not preclude Agent or any Lender from exercising any other remedy under this Agreement or any other Loan Document or other remedy available at law or in equity, and Agent’s or any Lender’s waiver of any Event of Default is not a continuing waiver. Agent’s or any Lender’s delay in exercising any remedy is not a waiver, election, or acquiescence.</w:t>
      </w:r>
    </w:p>
    <w:p>
      <w:pPr>
        <w:spacing w:after="0" w:line="193"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7"/>
          <w:szCs w:val="17"/>
          <w:b w:val="1"/>
          <w:bCs w:val="1"/>
          <w:color w:val="auto"/>
        </w:rPr>
        <w:t>9.7 Demand Waiver</w:t>
      </w:r>
      <w:r>
        <w:rPr>
          <w:rFonts w:ascii="Arial" w:cs="Arial" w:eastAsia="Arial" w:hAnsi="Arial"/>
          <w:sz w:val="17"/>
          <w:szCs w:val="17"/>
          <w:color w:val="auto"/>
        </w:rPr>
        <w:t>. Borrower waives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Agent on which Borrower is liable.</w:t>
      </w:r>
    </w:p>
    <w:p>
      <w:pPr>
        <w:spacing w:after="0" w:line="15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u w:val="single" w:color="auto"/>
          <w:color w:val="auto"/>
        </w:rPr>
        <w:t>10</w:t>
      </w:r>
      <w:r>
        <w:rPr>
          <w:sz w:val="20"/>
          <w:szCs w:val="20"/>
          <w:color w:val="auto"/>
        </w:rPr>
        <w:tab/>
      </w:r>
      <w:r>
        <w:rPr>
          <w:rFonts w:ascii="Arial" w:cs="Arial" w:eastAsia="Arial" w:hAnsi="Arial"/>
          <w:sz w:val="18"/>
          <w:szCs w:val="18"/>
          <w:b w:val="1"/>
          <w:bCs w:val="1"/>
          <w:u w:val="single" w:color="auto"/>
          <w:color w:val="auto"/>
        </w:rPr>
        <w:t>agent</w:t>
      </w:r>
    </w:p>
    <w:p>
      <w:pPr>
        <w:spacing w:after="0" w:line="225"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Appointment and Authority</w:t>
      </w:r>
      <w:r>
        <w:rPr>
          <w:rFonts w:ascii="Arial" w:cs="Arial" w:eastAsia="Arial" w:hAnsi="Arial"/>
          <w:sz w:val="16"/>
          <w:szCs w:val="16"/>
          <w:color w:val="auto"/>
        </w:rPr>
        <w:t>.</w:t>
      </w:r>
    </w:p>
    <w:p>
      <w:pPr>
        <w:spacing w:after="0" w:line="229" w:lineRule="exact"/>
        <w:rPr>
          <w:sz w:val="20"/>
          <w:szCs w:val="20"/>
          <w:color w:val="auto"/>
        </w:rPr>
      </w:pPr>
    </w:p>
    <w:p>
      <w:pPr>
        <w:jc w:val="both"/>
        <w:ind w:left="160" w:right="139" w:firstLine="1287"/>
        <w:spacing w:after="0" w:line="259" w:lineRule="auto"/>
        <w:tabs>
          <w:tab w:leader="none" w:pos="2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Lender hereby irrevocably appoints SVB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w:t>
      </w:r>
    </w:p>
    <w:p>
      <w:pPr>
        <w:spacing w:after="0" w:line="186" w:lineRule="exact"/>
        <w:rPr>
          <w:rFonts w:ascii="Arial" w:cs="Arial" w:eastAsia="Arial" w:hAnsi="Arial"/>
          <w:sz w:val="18"/>
          <w:szCs w:val="18"/>
          <w:color w:val="auto"/>
        </w:rPr>
      </w:pPr>
    </w:p>
    <w:p>
      <w:pPr>
        <w:ind w:left="160" w:right="159" w:firstLine="1287"/>
        <w:spacing w:after="0" w:line="308" w:lineRule="auto"/>
        <w:tabs>
          <w:tab w:leader="none" w:pos="214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provisions of this Section 10 are solely for the benefit of Agent and Lenders, and Borrower shall not have rights as a third party beneficiary of any of such provisions. Notwithstanding any provision</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4" w:name="page215"/>
    <w:bookmarkEnd w:id="214"/>
    <w:p>
      <w:pPr>
        <w:jc w:val="both"/>
        <w:ind w:left="160" w:right="159"/>
        <w:spacing w:after="0" w:line="259" w:lineRule="auto"/>
        <w:rPr>
          <w:sz w:val="20"/>
          <w:szCs w:val="20"/>
          <w:color w:val="auto"/>
        </w:rPr>
      </w:pPr>
      <w:r>
        <w:rPr>
          <w:rFonts w:ascii="Arial" w:cs="Arial" w:eastAsia="Arial" w:hAnsi="Arial"/>
          <w:sz w:val="18"/>
          <w:szCs w:val="18"/>
          <w:color w:val="auto"/>
        </w:rPr>
        <w:t>to the contrary elsewhere in this Agreement,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Agent.</w:t>
      </w:r>
    </w:p>
    <w:p>
      <w:pPr>
        <w:spacing w:after="0" w:line="183" w:lineRule="exact"/>
        <w:rPr>
          <w:sz w:val="20"/>
          <w:szCs w:val="20"/>
          <w:color w:val="auto"/>
        </w:rPr>
      </w:pPr>
    </w:p>
    <w:p>
      <w:pPr>
        <w:jc w:val="both"/>
        <w:ind w:left="160" w:right="139" w:firstLine="648"/>
        <w:spacing w:after="0" w:line="295" w:lineRule="auto"/>
        <w:rPr>
          <w:sz w:val="20"/>
          <w:szCs w:val="20"/>
          <w:color w:val="auto"/>
        </w:rPr>
      </w:pPr>
      <w:r>
        <w:rPr>
          <w:rFonts w:ascii="Arial" w:cs="Arial" w:eastAsia="Arial" w:hAnsi="Arial"/>
          <w:sz w:val="16"/>
          <w:szCs w:val="16"/>
          <w:b w:val="1"/>
          <w:bCs w:val="1"/>
          <w:color w:val="auto"/>
        </w:rPr>
        <w:t>10.2 Delegation of Duties</w:t>
      </w:r>
      <w:r>
        <w:rPr>
          <w:rFonts w:ascii="Arial" w:cs="Arial" w:eastAsia="Arial" w:hAnsi="Arial"/>
          <w:sz w:val="16"/>
          <w:szCs w:val="16"/>
          <w:color w:val="auto"/>
        </w:rPr>
        <w:t>. Agent may perform any and all of its duties and exercise its rights and powers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or under any other Loan Document by or through any one or more sub-agents appointed by Agent. Agent and any such sub-agent may perform any and all of its duties and exercise its rights and powers by or through their respective Indemnified Persons. The exculpatory provisions of this Section 10.2 shall apply to any such sub-agent and to the Indemnified Persons of Agent and any such sub-agent, and shall apply to their respective activities in connection with the syndication of the credit facilities provided for herein as well as activities as Agent.</w:t>
      </w:r>
    </w:p>
    <w:p>
      <w:pPr>
        <w:spacing w:after="0" w:line="156" w:lineRule="exact"/>
        <w:rPr>
          <w:sz w:val="20"/>
          <w:szCs w:val="20"/>
          <w:color w:val="auto"/>
        </w:rPr>
      </w:pPr>
    </w:p>
    <w:p>
      <w:pPr>
        <w:jc w:val="both"/>
        <w:ind w:left="160" w:right="159" w:firstLine="648"/>
        <w:spacing w:after="0" w:line="313" w:lineRule="auto"/>
        <w:rPr>
          <w:sz w:val="20"/>
          <w:szCs w:val="20"/>
          <w:color w:val="auto"/>
        </w:rPr>
      </w:pPr>
      <w:r>
        <w:rPr>
          <w:rFonts w:ascii="Arial" w:cs="Arial" w:eastAsia="Arial" w:hAnsi="Arial"/>
          <w:sz w:val="17"/>
          <w:szCs w:val="17"/>
          <w:b w:val="1"/>
          <w:bCs w:val="1"/>
          <w:color w:val="auto"/>
        </w:rPr>
        <w:t>10.3 Exculpatory Provisions</w:t>
      </w:r>
      <w:r>
        <w:rPr>
          <w:rFonts w:ascii="Arial" w:cs="Arial" w:eastAsia="Arial" w:hAnsi="Arial"/>
          <w:sz w:val="17"/>
          <w:szCs w:val="17"/>
          <w:color w:val="auto"/>
        </w:rPr>
        <w:t>. Agent shall have no duties or obligations except those expressly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in the other Loan Documents. Without limiting the generality of the foregoing, Agent shall not:</w:t>
      </w:r>
    </w:p>
    <w:p>
      <w:pPr>
        <w:spacing w:after="0" w:line="142" w:lineRule="exact"/>
        <w:rPr>
          <w:sz w:val="20"/>
          <w:szCs w:val="20"/>
          <w:color w:val="auto"/>
        </w:rPr>
      </w:pPr>
    </w:p>
    <w:p>
      <w:pPr>
        <w:ind w:left="160" w:right="139" w:firstLine="1287"/>
        <w:spacing w:after="0" w:line="277" w:lineRule="auto"/>
        <w:tabs>
          <w:tab w:leader="none" w:pos="21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be subject to any fiduciary, trust, agency or other similar duties, regardless of whether any Event of Default has occurred and is continuing;</w:t>
      </w:r>
    </w:p>
    <w:p>
      <w:pPr>
        <w:spacing w:after="0" w:line="170" w:lineRule="exact"/>
        <w:rPr>
          <w:rFonts w:ascii="Arial" w:cs="Arial" w:eastAsia="Arial" w:hAnsi="Arial"/>
          <w:sz w:val="18"/>
          <w:szCs w:val="18"/>
          <w:color w:val="auto"/>
        </w:rPr>
      </w:pPr>
    </w:p>
    <w:p>
      <w:pPr>
        <w:jc w:val="both"/>
        <w:ind w:left="160" w:right="159" w:firstLine="1287"/>
        <w:spacing w:after="0" w:line="257" w:lineRule="auto"/>
        <w:tabs>
          <w:tab w:leader="none" w:pos="21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Agent is required to exercise as directed in writing by the Lenders,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Agent shall not be required to take any action that, in its opinion or the opinion of its counsel, may expose Agent to liability or that is contrary to any Loan Document or applicable law; and</w:t>
      </w:r>
    </w:p>
    <w:p>
      <w:pPr>
        <w:spacing w:after="0" w:line="188" w:lineRule="exact"/>
        <w:rPr>
          <w:rFonts w:ascii="Arial" w:cs="Arial" w:eastAsia="Arial" w:hAnsi="Arial"/>
          <w:sz w:val="18"/>
          <w:szCs w:val="18"/>
          <w:color w:val="auto"/>
        </w:rPr>
      </w:pPr>
    </w:p>
    <w:p>
      <w:pPr>
        <w:jc w:val="both"/>
        <w:ind w:left="160" w:right="139" w:firstLine="1287"/>
        <w:spacing w:after="0" w:line="286" w:lineRule="auto"/>
        <w:tabs>
          <w:tab w:leader="none" w:pos="21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spacing w:after="0" w:line="166"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Agent shall not be liable for any action taken or not taken by it (i) with the consent or at the request of the Lenders (or as Agent shall believe in good faith shall be necessary, under the circumstances as provided in Section 13.7) or (ii) in the absence of its own gross negligence or willful misconduct.</w:t>
      </w:r>
    </w:p>
    <w:p>
      <w:pPr>
        <w:spacing w:after="0" w:line="181" w:lineRule="exact"/>
        <w:rPr>
          <w:sz w:val="20"/>
          <w:szCs w:val="20"/>
          <w:color w:val="auto"/>
        </w:rPr>
      </w:pPr>
    </w:p>
    <w:p>
      <w:pPr>
        <w:jc w:val="both"/>
        <w:ind w:left="160" w:right="139" w:firstLine="648"/>
        <w:spacing w:after="0" w:line="291" w:lineRule="auto"/>
        <w:rPr>
          <w:sz w:val="20"/>
          <w:szCs w:val="20"/>
          <w:color w:val="auto"/>
        </w:rPr>
      </w:pPr>
      <w:r>
        <w:rPr>
          <w:rFonts w:ascii="Arial" w:cs="Arial" w:eastAsia="Arial" w:hAnsi="Arial"/>
          <w:sz w:val="16"/>
          <w:szCs w:val="16"/>
          <w:color w:val="auto"/>
        </w:rPr>
        <w:t>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Agent.</w:t>
      </w:r>
    </w:p>
    <w:p>
      <w:pPr>
        <w:spacing w:after="0" w:line="163"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b w:val="1"/>
          <w:bCs w:val="1"/>
          <w:color w:val="auto"/>
        </w:rPr>
        <w:t>10.4 Reliance by Agent</w:t>
      </w:r>
      <w:r>
        <w:rPr>
          <w:rFonts w:ascii="Arial" w:cs="Arial" w:eastAsia="Arial" w:hAnsi="Arial"/>
          <w:sz w:val="16"/>
          <w:szCs w:val="16"/>
          <w:color w:val="auto"/>
        </w:rPr>
        <w:t>.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Credit Extensions.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5" w:name="page216"/>
    <w:bookmarkEnd w:id="215"/>
    <w:p>
      <w:pPr>
        <w:jc w:val="both"/>
        <w:ind w:left="160" w:right="139" w:firstLine="648"/>
        <w:spacing w:after="0" w:line="256" w:lineRule="auto"/>
        <w:rPr>
          <w:sz w:val="20"/>
          <w:szCs w:val="20"/>
          <w:color w:val="auto"/>
        </w:rPr>
      </w:pPr>
      <w:r>
        <w:rPr>
          <w:rFonts w:ascii="Arial" w:cs="Arial" w:eastAsia="Arial" w:hAnsi="Arial"/>
          <w:sz w:val="18"/>
          <w:szCs w:val="18"/>
          <w:b w:val="1"/>
          <w:bCs w:val="1"/>
          <w:color w:val="auto"/>
        </w:rPr>
        <w:t>10.5 Notice of Default</w:t>
      </w:r>
      <w:r>
        <w:rPr>
          <w:rFonts w:ascii="Arial" w:cs="Arial" w:eastAsia="Arial" w:hAnsi="Arial"/>
          <w:sz w:val="18"/>
          <w:szCs w:val="18"/>
          <w:color w:val="auto"/>
        </w:rPr>
        <w:t>. Agent shall not be deemed to have knowledge or notice of the occurrence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Default (except with respect to defaults in the payment of principal, interest or fees required to be paid to Agent for the account of Lenders), unless Agent has received notice from a Lender or Borrower referring to this Agreement, describing such Event of Default and stating that such notice is a “notice of default”. In the event that Agent receives such a notice, Agent shall give notice thereof to Lenders. Agent shall take such action with respect to such Event of Default as shall be reasonably directed by the Lenders.</w:t>
      </w:r>
    </w:p>
    <w:p>
      <w:pPr>
        <w:spacing w:after="0" w:line="188"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7"/>
          <w:szCs w:val="17"/>
          <w:b w:val="1"/>
          <w:bCs w:val="1"/>
          <w:color w:val="auto"/>
        </w:rPr>
        <w:t>10.6 Non-Reliance on Agent and Other Lenders</w:t>
      </w:r>
      <w:r>
        <w:rPr>
          <w:rFonts w:ascii="Arial" w:cs="Arial" w:eastAsia="Arial" w:hAnsi="Arial"/>
          <w:sz w:val="17"/>
          <w:szCs w:val="17"/>
          <w:color w:val="auto"/>
        </w:rPr>
        <w:t>. Each Lender expressly acknowledges that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nor any of its officers, directors, employees, agents, attorneys in fact or affiliates has made any representations or warranties to it and that no act by Agent hereafter taken, including any review of the affairs of a Group Member or any Affiliate of a Group Member, shall be deemed to constitute any representation or warranty by Agent to any Lender. Each Lender represents to Agent that it has, independently and without reliance upon Agent or any other Lender, and based on such documents and information as it has deemed appropriate, made its own appraisal of, and investigation into, the business, operations, property, financial and other condition and creditworthiness of the Group Members and their Affiliates and made its own decision to make its Credit Extensions hereunder and enter into this Agreement. Each Lender also represents that it will, independently and without reliance upon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Lenders by Agent hereunder,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Agent or any of its officers, directors, employees, agents, attorneys in fact or Affiliates.</w:t>
      </w:r>
    </w:p>
    <w:p>
      <w:pPr>
        <w:spacing w:after="0" w:line="177" w:lineRule="exact"/>
        <w:rPr>
          <w:sz w:val="20"/>
          <w:szCs w:val="20"/>
          <w:color w:val="auto"/>
        </w:rPr>
      </w:pPr>
    </w:p>
    <w:p>
      <w:pPr>
        <w:jc w:val="both"/>
        <w:ind w:left="160" w:right="139" w:firstLine="648"/>
        <w:spacing w:after="0" w:line="286" w:lineRule="auto"/>
        <w:rPr>
          <w:sz w:val="20"/>
          <w:szCs w:val="20"/>
          <w:color w:val="auto"/>
        </w:rPr>
      </w:pPr>
      <w:r>
        <w:rPr>
          <w:rFonts w:ascii="Arial" w:cs="Arial" w:eastAsia="Arial" w:hAnsi="Arial"/>
          <w:sz w:val="16"/>
          <w:szCs w:val="16"/>
          <w:b w:val="1"/>
          <w:bCs w:val="1"/>
          <w:color w:val="auto"/>
        </w:rPr>
        <w:t>10.7 Indemnification</w:t>
      </w:r>
      <w:r>
        <w:rPr>
          <w:rFonts w:ascii="Arial" w:cs="Arial" w:eastAsia="Arial" w:hAnsi="Arial"/>
          <w:sz w:val="16"/>
          <w:szCs w:val="16"/>
          <w:color w:val="auto"/>
        </w:rPr>
        <w:t>. Each Lender agrees to indemnify Agent in its capacity as such (to the extent not</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reimbursed by Borrower and without limiting the obligation of Borrower to do so in accordance with the terms hereof, according to its Term Loan Commitment Percentage in effect on the date on which indemnification is sought under this Section 10.7 (or, if indemnification is sought after the date upon which the Commitments shall have terminated and the Obligations shall have been paid in full, in accordance with its Term Loan Commitment Percentage immediately prior to such date), from and against any and all liabilities, obligations, losses, damages, penalties, actions, judgments, suits, costs, expenses or disbursements of any kind whatsoever that may at any time (whether before or after the payment of the Credit Extensions) be imposed on, incurred by or asserted against Agent in any way relating to or arising out of, the Commitments, this Agreement, any of the other Loan Documents or any documents contemplated by or referred to herein or therein or the transactions contemplated hereby or thereby or any action taken or omitted by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Agent’s gross negligence or willful misconduct. The agreements in this Section shall survive the payment of the Credit Extensions and all other amounts payable hereunder.</w:t>
      </w:r>
    </w:p>
    <w:p>
      <w:pPr>
        <w:spacing w:after="0" w:line="169"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7"/>
          <w:szCs w:val="17"/>
          <w:b w:val="1"/>
          <w:bCs w:val="1"/>
          <w:color w:val="auto"/>
        </w:rPr>
        <w:t>10.8 Agent in Its Individual Capacity</w:t>
      </w:r>
      <w:r>
        <w:rPr>
          <w:rFonts w:ascii="Arial" w:cs="Arial" w:eastAsia="Arial" w:hAnsi="Arial"/>
          <w:sz w:val="17"/>
          <w:szCs w:val="17"/>
          <w:color w:val="auto"/>
        </w:rPr>
        <w:t>. The Person serving as Agent hereunder shall have the same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and powers in its capacity as a Lender as any other Lender and may exercise the same as though it were not Agent and the term “Lender” or “Lenders”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any Guarantor or any Subsidiary or other Affiliate thereof as if such Person were not Agent hereunder and without any duty to account therefor to Lenders.</w:t>
      </w:r>
    </w:p>
    <w:p>
      <w:pPr>
        <w:spacing w:after="0" w:line="172" w:lineRule="exact"/>
        <w:rPr>
          <w:sz w:val="20"/>
          <w:szCs w:val="20"/>
          <w:color w:val="auto"/>
        </w:rPr>
      </w:pPr>
    </w:p>
    <w:p>
      <w:pPr>
        <w:jc w:val="both"/>
        <w:ind w:left="160" w:right="159" w:firstLine="648"/>
        <w:spacing w:after="0" w:line="295" w:lineRule="auto"/>
        <w:rPr>
          <w:sz w:val="20"/>
          <w:szCs w:val="20"/>
          <w:color w:val="auto"/>
        </w:rPr>
      </w:pPr>
      <w:r>
        <w:rPr>
          <w:rFonts w:ascii="Arial" w:cs="Arial" w:eastAsia="Arial" w:hAnsi="Arial"/>
          <w:sz w:val="16"/>
          <w:szCs w:val="16"/>
          <w:b w:val="1"/>
          <w:bCs w:val="1"/>
          <w:color w:val="auto"/>
        </w:rPr>
        <w:t>10.9 Successor Agent</w:t>
      </w:r>
      <w:r>
        <w:rPr>
          <w:rFonts w:ascii="Arial" w:cs="Arial" w:eastAsia="Arial" w:hAnsi="Arial"/>
          <w:sz w:val="16"/>
          <w:szCs w:val="16"/>
          <w:color w:val="auto"/>
        </w:rPr>
        <w:t>. Agent may at any time give notice of its resignation to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resignation shall not be effective until the time at which the majority of the Lenders have delivered to Agent their written consent to such resignation. Upon receipt of any such notice of resignation, the Lenders shall have the right, in consultation with Borrower, to appoint a successor, which shall be a financial institution with an office in the State of California, or an Affiliate of any such bank with an office in the State of California. If no such successor shall have been so appointed by the Lenders and shall have accepted such appointment within thirty (30) days after the</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6" w:name="page217"/>
    <w:bookmarkEnd w:id="216"/>
    <w:p>
      <w:pPr>
        <w:jc w:val="both"/>
        <w:ind w:left="160" w:right="139"/>
        <w:spacing w:after="0" w:line="267" w:lineRule="auto"/>
        <w:rPr>
          <w:sz w:val="20"/>
          <w:szCs w:val="20"/>
          <w:color w:val="auto"/>
        </w:rPr>
      </w:pPr>
      <w:r>
        <w:rPr>
          <w:rFonts w:ascii="Arial" w:cs="Arial" w:eastAsia="Arial" w:hAnsi="Arial"/>
          <w:sz w:val="17"/>
          <w:szCs w:val="17"/>
          <w:color w:val="auto"/>
        </w:rPr>
        <w:t>retiring Agent has received the written consent of the majority of the Lenders to such resignation, then the retiring Agent may on behalf of Lenders, appoint a successor Agent meeting the qualifications set forth above; provided that in no event shall any such successor Agent be a Defaulting Lender and provided further that if the retiring Agent shall notify Borrower and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Agent on behalf of the Lenders under any of the Loan Documents, the retiring Agent shall continue to hold such collateral security until such time as a successor Agent is appointed and such collateral security is assigned to such successor Agent) and (2) all payments, communications and determinations provided to be made by, to or through Agent shall instead be made by or to each Lender directly, until such time as the Lenders appoint a successor Agent as provided for above in this Section 10.9.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10.9). The fees payable by Borrower to a successor Agent shall be the same as those payable to its predecessor unless otherwise agreed between the Borrower and such successor. After the retiring Agent’s resignation hereunder and under the other Loan Documents, the provisions of this Section 10 shall continue in effect for the benefit of such retiring Agent, its sub-agents and their respective Indemnified Persons in respect of any actions taken or omitted to be taken by any of them while the retiring Agent was acting as Agent.</w:t>
      </w:r>
    </w:p>
    <w:p>
      <w:pPr>
        <w:spacing w:after="0" w:line="186"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Defaulting Lender</w:t>
      </w:r>
      <w:r>
        <w:rPr>
          <w:rFonts w:ascii="Arial" w:cs="Arial" w:eastAsia="Arial" w:hAnsi="Arial"/>
          <w:sz w:val="16"/>
          <w:szCs w:val="16"/>
          <w:color w:val="auto"/>
        </w:rPr>
        <w:t>.</w:t>
      </w:r>
    </w:p>
    <w:p>
      <w:pPr>
        <w:spacing w:after="0" w:line="229" w:lineRule="exact"/>
        <w:rPr>
          <w:sz w:val="20"/>
          <w:szCs w:val="20"/>
          <w:color w:val="auto"/>
        </w:rPr>
      </w:pPr>
    </w:p>
    <w:p>
      <w:pPr>
        <w:jc w:val="both"/>
        <w:ind w:left="160" w:right="159" w:firstLine="1287"/>
        <w:spacing w:after="0" w:line="264" w:lineRule="auto"/>
        <w:tabs>
          <w:tab w:leader="none" w:pos="210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1" w:lineRule="exact"/>
        <w:rPr>
          <w:rFonts w:ascii="Arial" w:cs="Arial" w:eastAsia="Arial" w:hAnsi="Arial"/>
          <w:sz w:val="18"/>
          <w:szCs w:val="18"/>
          <w:color w:val="auto"/>
        </w:rPr>
      </w:pPr>
    </w:p>
    <w:p>
      <w:pPr>
        <w:jc w:val="both"/>
        <w:ind w:left="2100" w:right="159" w:firstLine="644"/>
        <w:spacing w:after="0" w:line="264" w:lineRule="auto"/>
        <w:tabs>
          <w:tab w:leader="none" w:pos="343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long as said Lender is a Defaulting Lender.</w:t>
      </w:r>
    </w:p>
    <w:p>
      <w:pPr>
        <w:spacing w:after="0" w:line="181" w:lineRule="exact"/>
        <w:rPr>
          <w:rFonts w:ascii="Arial" w:cs="Arial" w:eastAsia="Arial" w:hAnsi="Arial"/>
          <w:sz w:val="18"/>
          <w:szCs w:val="18"/>
          <w:color w:val="auto"/>
        </w:rPr>
      </w:pPr>
    </w:p>
    <w:p>
      <w:pPr>
        <w:jc w:val="both"/>
        <w:ind w:left="2100" w:right="139" w:firstLine="644"/>
        <w:spacing w:after="0" w:line="267" w:lineRule="auto"/>
        <w:tabs>
          <w:tab w:leader="none" w:pos="3472"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Agent for the account of such Defaulting Lender (whether voluntary or mandatory, at maturity, pursuant to Section 8 or otherwise, and including any amounts made available to the Agent by such Defaulting Lender pursuant to Section 13.10), shall be applied at such time or times as may be determined by the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Event of Default exists), to the funding of any Term Loan Advance in respect of which such Defaulting Lender has failed to fund its portion thereof as required by this Agreement, as determined by the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Agent and Borrower, to be held in a Deposit Account and released pro rata to satisfy such Defaulting Lender’s potential future funding obligations with respect to Term Loan Advances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so long as no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such payment is a payment of the principal amount of any Term Loan Advances in respect of which such Defaulting Lender has not fully funded its appropriate share and (B) such Term Loan Advances were made at a time when the conditions set forth in Section 3.1 were satisfied or waived, such payment shall be applied solely to pay the Loans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Term Loan Advances of such Defaulting Lender until such time as all Term Loan Advances are held by the Lenders pro rata in accordance with the Term Loan Commitments under this Agreement. Any payments, prepayments or other amounts paid or payable to a Defaulting Lender that are applied (or held) to pay amounts owed by a Defaulting Lender pursuant to</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7" w:name="page218"/>
    <w:bookmarkEnd w:id="217"/>
    <w:p>
      <w:pPr>
        <w:ind w:left="2100" w:right="139"/>
        <w:spacing w:after="0" w:line="277" w:lineRule="auto"/>
        <w:rPr>
          <w:sz w:val="20"/>
          <w:szCs w:val="20"/>
          <w:color w:val="auto"/>
        </w:rPr>
      </w:pPr>
      <w:r>
        <w:rPr>
          <w:rFonts w:ascii="Arial" w:cs="Arial" w:eastAsia="Arial" w:hAnsi="Arial"/>
          <w:sz w:val="18"/>
          <w:szCs w:val="18"/>
          <w:color w:val="auto"/>
        </w:rPr>
        <w:t>this Section 10.10(a)(ii) shall be deemed paid to and redirected by such Defaulting Lender, and each Lender irrevocably consents hereto.</w:t>
      </w:r>
    </w:p>
    <w:p>
      <w:pPr>
        <w:spacing w:after="0" w:line="170" w:lineRule="exact"/>
        <w:rPr>
          <w:sz w:val="20"/>
          <w:szCs w:val="20"/>
          <w:color w:val="auto"/>
        </w:rPr>
      </w:pPr>
    </w:p>
    <w:p>
      <w:pPr>
        <w:jc w:val="both"/>
        <w:ind w:left="2100" w:right="159" w:firstLine="644"/>
        <w:spacing w:after="0" w:line="279" w:lineRule="auto"/>
        <w:tabs>
          <w:tab w:leader="none" w:pos="3482" w:val="left"/>
        </w:tabs>
        <w:numPr>
          <w:ilvl w:val="2"/>
          <w:numId w:val="132"/>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No Defaulting Lender shall be entitled to receive any fee pursuant to Section 2.4(a) or Section 2.4(b) for any period during which such Lender is a Defaulting Lender (and the Borrower shall not be required to pay any such fee that otherwise would have been required to have been paid to such Defaulting Lender).</w:t>
      </w:r>
    </w:p>
    <w:p>
      <w:pPr>
        <w:spacing w:after="0" w:line="171" w:lineRule="exact"/>
        <w:rPr>
          <w:rFonts w:ascii="Arial" w:cs="Arial" w:eastAsia="Arial" w:hAnsi="Arial"/>
          <w:sz w:val="17"/>
          <w:szCs w:val="17"/>
          <w:color w:val="auto"/>
        </w:rPr>
      </w:pPr>
    </w:p>
    <w:p>
      <w:pPr>
        <w:jc w:val="both"/>
        <w:ind w:left="160" w:right="139" w:firstLine="1287"/>
        <w:spacing w:after="0" w:line="288" w:lineRule="auto"/>
        <w:tabs>
          <w:tab w:leader="none" w:pos="2116"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Borrower and Agent agree in writing that a Lender is no longer a Defaulting Lender, Agent will so notify the parties hereto, whereupon as of the effective date specified in such notice and subject to any conditions set forth therein, such Lender will, to the extent applicable, purchase at par that portion of outstanding Term Loan Advances of the other Lenders or take such other actions as Agent may determine to be necessary to cause the Term Loan Advances to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Lenders in accordance with their respective Term Loan Commitment Percentages,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69" w:lineRule="exact"/>
        <w:rPr>
          <w:rFonts w:ascii="Arial" w:cs="Arial" w:eastAsia="Arial" w:hAnsi="Arial"/>
          <w:sz w:val="16"/>
          <w:szCs w:val="16"/>
          <w:color w:val="auto"/>
        </w:rPr>
      </w:pPr>
    </w:p>
    <w:p>
      <w:pPr>
        <w:jc w:val="both"/>
        <w:ind w:left="160" w:right="139" w:firstLine="1287"/>
        <w:spacing w:after="0" w:line="288" w:lineRule="auto"/>
        <w:tabs>
          <w:tab w:leader="none" w:pos="2147"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Termination of Defaulting Lender</w:t>
      </w:r>
      <w:r>
        <w:rPr>
          <w:rFonts w:ascii="Arial" w:cs="Arial" w:eastAsia="Arial" w:hAnsi="Arial"/>
          <w:sz w:val="16"/>
          <w:szCs w:val="16"/>
          <w:color w:val="auto"/>
        </w:rPr>
        <w:t>. The Borrower may terminate the unused amount of the Term Loan Commitment of any Lender that is a Defaulting Lender upon not less than ten (10) Business Days’ prior notice to Agent (which shall promptly notify the Lenders thereof), and in such event the provisions of Section 10.10(a)</w:t>
      </w:r>
    </w:p>
    <w:p>
      <w:pPr>
        <w:jc w:val="both"/>
        <w:ind w:left="160" w:right="139" w:hanging="9"/>
        <w:spacing w:after="0" w:line="254" w:lineRule="auto"/>
        <w:tabs>
          <w:tab w:leader="none" w:pos="4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will apply to all amounts thereafter paid by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Borrower, Agent or any Lender may have against such Defaulting Lender.</w:t>
      </w:r>
    </w:p>
    <w:p>
      <w:pPr>
        <w:spacing w:after="0" w:line="189" w:lineRule="exact"/>
        <w:rPr>
          <w:rFonts w:ascii="Arial" w:cs="Arial" w:eastAsia="Arial" w:hAnsi="Arial"/>
          <w:sz w:val="18"/>
          <w:szCs w:val="18"/>
          <w:color w:val="auto"/>
        </w:rPr>
      </w:pPr>
    </w:p>
    <w:p>
      <w:pPr>
        <w:jc w:val="both"/>
        <w:ind w:left="160" w:right="139" w:firstLine="1287"/>
        <w:spacing w:after="0" w:line="293" w:lineRule="auto"/>
        <w:tabs>
          <w:tab w:leader="none" w:pos="211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If the Person serving as Agent is a Defaulting Lender pursuant to clause (d) of the definition thereof, the non-Defaulting Lenders may, to the extent permitted by applicable law, by notice in writing to Borrower and such Person, remove such Person as Agent and, in consultation with Borrower, appoint a successor. If no such successor shall have been so appointed by the non-Defaulting Lenders and shall have accepted such appointment within thirty (30) days (or such earlier day as shall be agreed by the non-Defaulting Lenders) (the “</w:t>
      </w:r>
      <w:r>
        <w:rPr>
          <w:rFonts w:ascii="Arial" w:cs="Arial" w:eastAsia="Arial" w:hAnsi="Arial"/>
          <w:sz w:val="16"/>
          <w:szCs w:val="16"/>
          <w:b w:val="1"/>
          <w:bCs w:val="1"/>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5211445</wp:posOffset>
            </wp:positionH>
            <wp:positionV relativeFrom="paragraph">
              <wp:posOffset>-1557655</wp:posOffset>
            </wp:positionV>
            <wp:extent cx="368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41"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u w:val="single" w:color="auto"/>
          <w:color w:val="auto"/>
        </w:rPr>
        <w:t>11</w:t>
      </w:r>
      <w:r>
        <w:rPr>
          <w:sz w:val="20"/>
          <w:szCs w:val="20"/>
          <w:color w:val="auto"/>
        </w:rPr>
        <w:tab/>
      </w: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Agent or Borrower may change its mailing or electronic mail address or facsimile number by giving the other party written notice thereof in accordance with the terms of this Section 11.</w:t>
      </w:r>
    </w:p>
    <w:p>
      <w:pPr>
        <w:sectPr>
          <w:pgSz w:w="11900" w:h="16838" w:orient="portrait"/>
          <w:cols w:equalWidth="0" w:num="1">
            <w:col w:w="9019"/>
          </w:cols>
          <w:pgMar w:left="1440" w:top="125" w:right="1440" w:bottom="1440" w:gutter="0" w:footer="0" w:header="0"/>
        </w:sectPr>
      </w:pP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Axsome Therapeutics,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25 Broadway, 9</w:t>
      </w:r>
      <w:r>
        <w:rPr>
          <w:rFonts w:ascii="Arial" w:cs="Arial" w:eastAsia="Arial" w:hAnsi="Arial"/>
          <w:sz w:val="8"/>
          <w:szCs w:val="8"/>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Chief Executive Officer</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auto"/>
        </w:rPr>
        <w:t>(212) 332-3241</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320-0245</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htabuteau@axsome.com</w:t>
      </w:r>
    </w:p>
    <w:p>
      <w:pPr>
        <w:spacing w:after="0" w:line="200" w:lineRule="exact"/>
        <w:rPr>
          <w:sz w:val="20"/>
          <w:szCs w:val="20"/>
          <w:color w:val="auto"/>
        </w:rPr>
      </w:pPr>
    </w:p>
    <w:p>
      <w:pPr>
        <w:sectPr>
          <w:pgSz w:w="11900" w:h="16838" w:orient="portrait"/>
          <w:cols w:equalWidth="0" w:num="2">
            <w:col w:w="2680" w:space="720"/>
            <w:col w:w="5619"/>
          </w:cols>
          <w:pgMar w:left="1440" w:top="125" w:right="1440" w:bottom="1440" w:gutter="0" w:footer="0" w:header="0"/>
          <w:type w:val="continuous"/>
        </w:sectPr>
      </w:pPr>
    </w:p>
    <w:p>
      <w:pPr>
        <w:spacing w:after="0" w:line="4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to:DLA Piper LLP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192405</wp:posOffset>
            </wp:positionV>
            <wp:extent cx="554863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8" w:name="page219"/>
    <w:bookmarkEnd w:id="218"/>
    <w:p>
      <w:pPr>
        <w:ind w:left="3400"/>
        <w:spacing w:after="0"/>
        <w:rPr>
          <w:sz w:val="20"/>
          <w:szCs w:val="20"/>
          <w:color w:val="auto"/>
        </w:rPr>
      </w:pPr>
      <w:r>
        <w:rPr>
          <w:rFonts w:ascii="Arial" w:cs="Arial" w:eastAsia="Arial" w:hAnsi="Arial"/>
          <w:sz w:val="18"/>
          <w:szCs w:val="18"/>
          <w:color w:val="auto"/>
        </w:rPr>
        <w:t>2000 University Avenue</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East Palo Alto, CA 94303</w:t>
      </w:r>
    </w:p>
    <w:p>
      <w:pPr>
        <w:spacing w:after="0" w:line="9" w:lineRule="exact"/>
        <w:rPr>
          <w:sz w:val="20"/>
          <w:szCs w:val="20"/>
          <w:color w:val="auto"/>
        </w:rPr>
      </w:pPr>
    </w:p>
    <w:p>
      <w:pPr>
        <w:ind w:left="3400"/>
        <w:spacing w:after="0"/>
        <w:tabs>
          <w:tab w:leader="none" w:pos="44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Standlee, Esquire</w:t>
      </w:r>
    </w:p>
    <w:p>
      <w:pPr>
        <w:spacing w:after="0" w:line="9" w:lineRule="exact"/>
        <w:rPr>
          <w:sz w:val="20"/>
          <w:szCs w:val="20"/>
          <w:color w:val="auto"/>
        </w:rPr>
      </w:pPr>
    </w:p>
    <w:p>
      <w:pPr>
        <w:ind w:left="3400"/>
        <w:spacing w:after="0"/>
        <w:tabs>
          <w:tab w:leader="none" w:pos="4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(650) 687-1199</w:t>
      </w:r>
    </w:p>
    <w:p>
      <w:pPr>
        <w:spacing w:after="0" w:line="9" w:lineRule="exact"/>
        <w:rPr>
          <w:sz w:val="20"/>
          <w:szCs w:val="20"/>
          <w:color w:val="auto"/>
        </w:rPr>
      </w:pPr>
    </w:p>
    <w:p>
      <w:pPr>
        <w:ind w:left="3400"/>
        <w:spacing w:after="0"/>
        <w:tabs>
          <w:tab w:leader="none" w:pos="450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michael.standlee@dlapiper.com</w:t>
      </w:r>
    </w:p>
    <w:p>
      <w:pPr>
        <w:sectPr>
          <w:pgSz w:w="11900" w:h="16838" w:orient="portrait"/>
          <w:cols w:equalWidth="0" w:num="1">
            <w:col w:w="9019"/>
          </w:cols>
          <w:pgMar w:left="1440" w:top="125" w:right="1440" w:bottom="1440" w:gutter="0" w:footer="0" w:header="0"/>
        </w:sectPr>
      </w:pPr>
    </w:p>
    <w:p>
      <w:pPr>
        <w:spacing w:after="0" w:line="23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If to Agent or SVB:</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275 Grove Street, Suite 2-200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Newton, Massachusetts 02466</w:t>
      </w:r>
    </w:p>
    <w:p>
      <w:pPr>
        <w:spacing w:after="0" w:line="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Lauren Cole</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lcole@svb.com</w:t>
      </w:r>
    </w:p>
    <w:p>
      <w:pPr>
        <w:spacing w:after="0" w:line="200" w:lineRule="exact"/>
        <w:rPr>
          <w:sz w:val="20"/>
          <w:szCs w:val="20"/>
          <w:color w:val="auto"/>
        </w:rPr>
      </w:pPr>
    </w:p>
    <w:p>
      <w:pPr>
        <w:sectPr>
          <w:pgSz w:w="11900" w:h="16838" w:orient="portrait"/>
          <w:cols w:equalWidth="0" w:num="2">
            <w:col w:w="2880" w:space="520"/>
            <w:col w:w="5619"/>
          </w:cols>
          <w:pgMar w:left="1440" w:top="125" w:right="1440" w:bottom="1440" w:gutter="0" w:footer="0" w:header="0"/>
          <w:type w:val="continuous"/>
        </w:sectPr>
      </w:pPr>
    </w:p>
    <w:p>
      <w:pPr>
        <w:spacing w:after="0" w:line="3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 Clarendon Street, 20</w:t>
      </w:r>
      <w:r>
        <w:rPr>
          <w:rFonts w:ascii="Arial" w:cs="Arial" w:eastAsia="Arial" w:hAnsi="Arial"/>
          <w:sz w:val="8"/>
          <w:szCs w:val="8"/>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220"/>
        <w:spacing w:after="0"/>
        <w:tabs>
          <w:tab w:leader="none" w:pos="140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David A. Ephraim, Esquire</w:t>
      </w:r>
    </w:p>
    <w:p>
      <w:pPr>
        <w:spacing w:after="0" w:line="32" w:lineRule="exact"/>
        <w:rPr>
          <w:sz w:val="20"/>
          <w:szCs w:val="20"/>
          <w:color w:val="auto"/>
        </w:rPr>
      </w:pPr>
    </w:p>
    <w:p>
      <w:pPr>
        <w:ind w:left="220"/>
        <w:spacing w:after="0"/>
        <w:tabs>
          <w:tab w:leader="none" w:pos="1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DEphraim@mofo.com</w:t>
      </w:r>
    </w:p>
    <w:p>
      <w:pPr>
        <w:spacing w:after="0" w:line="200" w:lineRule="exact"/>
        <w:rPr>
          <w:sz w:val="20"/>
          <w:szCs w:val="20"/>
          <w:color w:val="auto"/>
        </w:rPr>
      </w:pPr>
    </w:p>
    <w:p>
      <w:pPr>
        <w:sectPr>
          <w:pgSz w:w="11900" w:h="16838" w:orient="portrait"/>
          <w:cols w:equalWidth="0" w:num="2">
            <w:col w:w="2520" w:space="660"/>
            <w:col w:w="5839"/>
          </w:cols>
          <w:pgMar w:left="1440" w:top="125" w:right="1440" w:bottom="1440" w:gutter="0" w:footer="0" w:header="0"/>
          <w:type w:val="continuous"/>
        </w:sectPr>
      </w:pPr>
    </w:p>
    <w:p>
      <w:pPr>
        <w:spacing w:after="0" w:line="1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If to WestRiver: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WestRiver Innovation Lending Fund VIII, L.P.</w:t>
      </w:r>
    </w:p>
    <w:p>
      <w:pPr>
        <w:spacing w:after="0" w:line="200" w:lineRule="exact"/>
        <w:rPr>
          <w:sz w:val="20"/>
          <w:szCs w:val="20"/>
          <w:color w:val="auto"/>
        </w:rPr>
      </w:pPr>
    </w:p>
    <w:p>
      <w:pPr>
        <w:sectPr>
          <w:pgSz w:w="11900" w:h="16838" w:orient="portrait"/>
          <w:cols w:equalWidth="0" w:num="2">
            <w:col w:w="3180" w:space="720"/>
            <w:col w:w="5119"/>
          </w:cols>
          <w:pgMar w:left="1440" w:top="125" w:right="1440" w:bottom="1440" w:gutter="0" w:footer="0" w:header="0"/>
          <w:type w:val="continuous"/>
        </w:sectPr>
      </w:pPr>
    </w:p>
    <w:p>
      <w:pPr>
        <w:spacing w:after="0" w:line="4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 WestRiver Management, LLC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3720 Carillon Point</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Kirkland, Washington 98033-7455</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Attn: Trent Dawson</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Email: tdawson@westrivermgmt.com</w:t>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u w:val="single" w:color="auto"/>
          <w:color w:val="auto"/>
        </w:rPr>
        <w:t>12</w:t>
      </w:r>
      <w:r>
        <w:rPr>
          <w:sz w:val="20"/>
          <w:szCs w:val="20"/>
          <w:color w:val="auto"/>
        </w:rPr>
        <w:tab/>
      </w:r>
      <w:r>
        <w:rPr>
          <w:rFonts w:ascii="Arial" w:cs="Arial" w:eastAsia="Arial" w:hAnsi="Arial"/>
          <w:sz w:val="18"/>
          <w:szCs w:val="18"/>
          <w:b w:val="1"/>
          <w:bCs w:val="1"/>
          <w:u w:val="single" w:color="auto"/>
          <w:color w:val="auto"/>
        </w:rPr>
        <w:t>CHOICE OF LAW, VENUE, AND JURY TRIAL WAIVER</w:t>
      </w:r>
    </w:p>
    <w:p>
      <w:pPr>
        <w:spacing w:after="0" w:line="229"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7"/>
          <w:szCs w:val="17"/>
          <w:color w:val="auto"/>
        </w:rPr>
        <w:t>Except as otherwise expressly provided in any of the Loan Documents, Massachusetts law governs the Loan Documents without regard to principles of conflicts of law. Borrower, Agent, and Lenders each submit to the exclusive jurisdiction of the State and Federal courts in Boston, Massachusetts; provided, however, that nothing in this Agreement shall be deemed to operate to preclude Agent or Lenders from bringing suit or taking other legal action in any other jurisdiction to realize on the Collateral or any other security for the Obligations, or to enforce a judgment or other court order in favor of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11 of this Agreement and that service so made shall be deemed completed upon the earlier to occur of Borrower’s actual receipt thereof or three (3) days after deposit in the U.S. mails, proper postage prepaid.</w:t>
      </w:r>
    </w:p>
    <w:p>
      <w:pPr>
        <w:spacing w:after="0" w:line="181"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LAW, BORROWER,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ALL PARTIES TO ENTER INTO THIS AGREEMENT. EACH PARTY HAS REVIEWED THIS WAIVER WITH ITS COUNSEL.</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Section 12 shall survive the termination of this Agreement.</w:t>
      </w:r>
    </w:p>
    <w:p>
      <w:pPr>
        <w:spacing w:after="0" w:line="221"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u w:val="single" w:color="auto"/>
          <w:color w:val="auto"/>
        </w:rPr>
        <w:t>13</w:t>
      </w:r>
      <w:r>
        <w:rPr>
          <w:sz w:val="20"/>
          <w:szCs w:val="20"/>
          <w:color w:val="auto"/>
        </w:rPr>
        <w:tab/>
      </w: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left="160" w:right="159" w:firstLine="648"/>
        <w:spacing w:after="0" w:line="347" w:lineRule="auto"/>
        <w:rPr>
          <w:sz w:val="20"/>
          <w:szCs w:val="20"/>
          <w:color w:val="auto"/>
        </w:rPr>
      </w:pPr>
      <w:r>
        <w:rPr>
          <w:rFonts w:ascii="Arial" w:cs="Arial" w:eastAsia="Arial" w:hAnsi="Arial"/>
          <w:sz w:val="16"/>
          <w:szCs w:val="16"/>
          <w:b w:val="1"/>
          <w:bCs w:val="1"/>
          <w:color w:val="auto"/>
        </w:rPr>
        <w:t xml:space="preserve">13.1 Termination Prior to Term Loan Maturity Date; Survival. </w:t>
      </w:r>
      <w:r>
        <w:rPr>
          <w:rFonts w:ascii="Arial" w:cs="Arial" w:eastAsia="Arial" w:hAnsi="Arial"/>
          <w:sz w:val="16"/>
          <w:szCs w:val="16"/>
          <w:color w:val="auto"/>
        </w:rPr>
        <w:t>All covenants,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made in this Agreement continue in full force until this Agreement has terminated pursuant to its terms and</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9" w:name="page220"/>
    <w:bookmarkEnd w:id="219"/>
    <w:p>
      <w:pPr>
        <w:jc w:val="both"/>
        <w:ind w:left="160" w:right="139"/>
        <w:spacing w:after="0" w:line="270" w:lineRule="auto"/>
        <w:rPr>
          <w:sz w:val="20"/>
          <w:szCs w:val="20"/>
          <w:color w:val="auto"/>
        </w:rPr>
      </w:pPr>
      <w:r>
        <w:rPr>
          <w:rFonts w:ascii="Arial" w:cs="Arial" w:eastAsia="Arial" w:hAnsi="Arial"/>
          <w:sz w:val="17"/>
          <w:szCs w:val="17"/>
          <w:color w:val="auto"/>
        </w:rPr>
        <w:t>all Obligations (other than inchoate indemnity obligations and any other obligations which, by their terms, are to survive the termination of this Agreement)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Agent. Those obligations that are expressly specified in this Agreement as surviving this Agreement’s termination shall continue to survive notwithstanding this Agreement’s termination. Those Obligations that are expressly specified in this Agreement as surviving this Agreement’s termination shall continue to survive notwithstanding this Agreement’s termination and payment in full of the Obligations then outstanding.</w:t>
      </w:r>
    </w:p>
    <w:p>
      <w:pPr>
        <w:spacing w:after="0" w:line="174"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b w:val="1"/>
          <w:bCs w:val="1"/>
          <w:color w:val="auto"/>
        </w:rPr>
        <w:t xml:space="preserve">13.2 Successors and Assigns. </w:t>
      </w:r>
      <w:r>
        <w:rPr>
          <w:rFonts w:ascii="Arial" w:cs="Arial" w:eastAsia="Arial" w:hAnsi="Arial"/>
          <w:sz w:val="18"/>
          <w:szCs w:val="18"/>
          <w:color w:val="auto"/>
        </w:rPr>
        <w:t>This Agreement binds and is for the benefit of the successors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of each party. Borrower may not assign this Agreement or any rights or obligations under it without Agent and Lenders’ prior written consent (which may be granted or withheld in Agent’s and Lenders’ discretion). Agent and each Lender has the right, without the consent of or notice to Borrower, to sell, transfer, assign, negotiate, or grant participation in all or any part of, or any interest in, such Lender’s obligations, rights, and benefits under this Agreement and the other Loan Documents (other than the Warrant, as to which assignment, transfer and other such actions are governed by the terms thereof).</w:t>
      </w:r>
    </w:p>
    <w:p>
      <w:pPr>
        <w:spacing w:after="0" w:line="189" w:lineRule="exact"/>
        <w:rPr>
          <w:sz w:val="20"/>
          <w:szCs w:val="20"/>
          <w:color w:val="auto"/>
        </w:rPr>
      </w:pPr>
    </w:p>
    <w:p>
      <w:pPr>
        <w:jc w:val="both"/>
        <w:ind w:left="160" w:right="139" w:firstLine="648"/>
        <w:spacing w:after="0" w:line="291" w:lineRule="auto"/>
        <w:rPr>
          <w:sz w:val="20"/>
          <w:szCs w:val="20"/>
          <w:color w:val="auto"/>
        </w:rPr>
      </w:pPr>
      <w:r>
        <w:rPr>
          <w:rFonts w:ascii="Arial" w:cs="Arial" w:eastAsia="Arial" w:hAnsi="Arial"/>
          <w:sz w:val="16"/>
          <w:szCs w:val="16"/>
          <w:b w:val="1"/>
          <w:bCs w:val="1"/>
          <w:color w:val="auto"/>
        </w:rPr>
        <w:t>13.3 Indemnification</w:t>
      </w:r>
      <w:r>
        <w:rPr>
          <w:rFonts w:ascii="Arial" w:cs="Arial" w:eastAsia="Arial" w:hAnsi="Arial"/>
          <w:sz w:val="16"/>
          <w:szCs w:val="16"/>
          <w:color w:val="auto"/>
        </w:rPr>
        <w:t>. Borrower agrees to indemnify, defend and hold Agent, each Lender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directors, officers, employees, agents, attorneys, or any other Person affiliated with or representing Agent or any Lender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 (ii) all losses or expenses (including Lenders’ Expenses) in any way suffered, incurred, or paid by such Indemnified Person as a result of, following from, consequential to, or arising from transactions between Agent, Lenders and Borrower (including reasonable attorneys’ fees and expenses), except for Claims and/or losses directly caused by such Indemnified Person’s gross negligence or willful misconduct.</w:t>
      </w:r>
    </w:p>
    <w:p>
      <w:pPr>
        <w:spacing w:after="0" w:line="164" w:lineRule="exact"/>
        <w:rPr>
          <w:sz w:val="20"/>
          <w:szCs w:val="20"/>
          <w:color w:val="auto"/>
        </w:rPr>
      </w:pPr>
    </w:p>
    <w:p>
      <w:pPr>
        <w:jc w:val="both"/>
        <w:ind w:left="160" w:right="159" w:firstLine="648"/>
        <w:spacing w:after="0" w:line="277" w:lineRule="auto"/>
        <w:rPr>
          <w:sz w:val="20"/>
          <w:szCs w:val="20"/>
          <w:color w:val="auto"/>
        </w:rPr>
      </w:pPr>
      <w:r>
        <w:rPr>
          <w:rFonts w:ascii="Arial" w:cs="Arial" w:eastAsia="Arial" w:hAnsi="Arial"/>
          <w:sz w:val="18"/>
          <w:szCs w:val="18"/>
          <w:color w:val="auto"/>
        </w:rPr>
        <w:t>This Section 13.3 shall survive until all statutes of limitation with respect to the Claims, losses, and expenses for which indemnity is given shall have run.</w:t>
      </w:r>
    </w:p>
    <w:p>
      <w:pPr>
        <w:spacing w:after="0" w:line="166"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b w:val="1"/>
          <w:bCs w:val="1"/>
          <w:color w:val="auto"/>
        </w:rPr>
        <w:t>13.5 Severability of Provisions</w:t>
      </w:r>
      <w:r>
        <w:rPr>
          <w:rFonts w:ascii="Arial" w:cs="Arial" w:eastAsia="Arial" w:hAnsi="Arial"/>
          <w:sz w:val="18"/>
          <w:szCs w:val="18"/>
          <w:color w:val="auto"/>
        </w:rPr>
        <w:t>. Each provision of this Agreement is severable from every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in determining the enforceability of any provision.</w:t>
      </w:r>
    </w:p>
    <w:p>
      <w:pPr>
        <w:spacing w:after="0" w:line="162" w:lineRule="exact"/>
        <w:rPr>
          <w:sz w:val="20"/>
          <w:szCs w:val="20"/>
          <w:color w:val="auto"/>
        </w:rPr>
      </w:pPr>
    </w:p>
    <w:p>
      <w:pPr>
        <w:jc w:val="both"/>
        <w:ind w:left="160" w:right="159" w:firstLine="648"/>
        <w:spacing w:after="0" w:line="281" w:lineRule="auto"/>
        <w:rPr>
          <w:sz w:val="20"/>
          <w:szCs w:val="20"/>
          <w:color w:val="auto"/>
        </w:rPr>
      </w:pPr>
      <w:r>
        <w:rPr>
          <w:rFonts w:ascii="Arial" w:cs="Arial" w:eastAsia="Arial" w:hAnsi="Arial"/>
          <w:sz w:val="17"/>
          <w:szCs w:val="17"/>
          <w:b w:val="1"/>
          <w:bCs w:val="1"/>
          <w:color w:val="auto"/>
        </w:rPr>
        <w:t>13.6 Correction of Loan Documents</w:t>
      </w:r>
      <w:r>
        <w:rPr>
          <w:rFonts w:ascii="Arial" w:cs="Arial" w:eastAsia="Arial" w:hAnsi="Arial"/>
          <w:sz w:val="17"/>
          <w:szCs w:val="17"/>
          <w:color w:val="auto"/>
        </w:rPr>
        <w:t>. Agent may correct patent errors and fill in any blanks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consistent with the agreement of the parties so long as Agent provides Borrower with written notice of such correction and allows Borrower at least ten (10) days to object to such correction. In the event of such objection, such correction shall not be made except by an amendment signed by both Agent and Borrower.</w:t>
      </w:r>
    </w:p>
    <w:p>
      <w:pPr>
        <w:spacing w:after="0" w:line="165" w:lineRule="exact"/>
        <w:rPr>
          <w:sz w:val="20"/>
          <w:szCs w:val="20"/>
          <w:color w:val="auto"/>
        </w:rPr>
      </w:pPr>
    </w:p>
    <w:p>
      <w:pPr>
        <w:jc w:val="both"/>
        <w:ind w:left="160" w:right="139" w:firstLine="648"/>
        <w:spacing w:after="0" w:line="268" w:lineRule="auto"/>
        <w:rPr>
          <w:sz w:val="20"/>
          <w:szCs w:val="20"/>
          <w:color w:val="auto"/>
        </w:rPr>
      </w:pPr>
      <w:r>
        <w:rPr>
          <w:rFonts w:ascii="Arial" w:cs="Arial" w:eastAsia="Arial" w:hAnsi="Arial"/>
          <w:sz w:val="17"/>
          <w:szCs w:val="17"/>
          <w:b w:val="1"/>
          <w:bCs w:val="1"/>
          <w:color w:val="auto"/>
        </w:rPr>
        <w:t>13.7 Amendments in Writing; Waiver; Integration</w:t>
      </w:r>
      <w:r>
        <w:rPr>
          <w:rFonts w:ascii="Arial" w:cs="Arial" w:eastAsia="Arial" w:hAnsi="Arial"/>
          <w:sz w:val="17"/>
          <w:szCs w:val="17"/>
          <w:color w:val="auto"/>
        </w:rPr>
        <w:t>. No purported amendment or modification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or waiver, discharge or termination of any obligation under any Loan Document, or release, or subordinate Lenders’ security interest in, or consent to the transfer of, any Collateral shall be enforceable or admissible unless, and only to the extent, expressly set forth in a writing signed by Agent, with the consent of the Lenders in accordance with the Lender Intercreditor Agreement or, if such item is not addressed in the Lender Intercreditor Agreement, as consented to by a majority of the Lenders, and Borrower.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In the event any provision of any other Loan Document is inconsistent with the provisions of this Agreement, the provisions of this Agreement shall exclusively control.</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0" w:name="page221"/>
    <w:bookmarkEnd w:id="220"/>
    <w:p>
      <w:pPr>
        <w:jc w:val="both"/>
        <w:ind w:left="160" w:right="139" w:firstLine="648"/>
        <w:spacing w:after="0" w:line="266" w:lineRule="auto"/>
        <w:rPr>
          <w:sz w:val="20"/>
          <w:szCs w:val="20"/>
          <w:color w:val="auto"/>
        </w:rPr>
      </w:pPr>
      <w:r>
        <w:rPr>
          <w:rFonts w:ascii="Arial" w:cs="Arial" w:eastAsia="Arial" w:hAnsi="Arial"/>
          <w:sz w:val="18"/>
          <w:szCs w:val="18"/>
          <w:b w:val="1"/>
          <w:bCs w:val="1"/>
          <w:color w:val="auto"/>
        </w:rPr>
        <w:t>13.8 Counterparts</w:t>
      </w:r>
      <w:r>
        <w:rPr>
          <w:rFonts w:ascii="Arial" w:cs="Arial" w:eastAsia="Arial" w:hAnsi="Arial"/>
          <w:sz w:val="18"/>
          <w:szCs w:val="18"/>
          <w:color w:val="auto"/>
        </w:rPr>
        <w:t>. This Agreement may be executed in any number of counterparts and by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on separate counterparts, each of which, when executed and delivered, is an original, and all taken together, constitute one Agreement.</w:t>
      </w:r>
    </w:p>
    <w:p>
      <w:pPr>
        <w:spacing w:after="0" w:line="176"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b w:val="1"/>
          <w:bCs w:val="1"/>
          <w:color w:val="auto"/>
        </w:rPr>
        <w:t xml:space="preserve">13.9 Confidentiality </w:t>
      </w:r>
      <w:r>
        <w:rPr>
          <w:rFonts w:ascii="Arial" w:cs="Arial" w:eastAsia="Arial" w:hAnsi="Arial"/>
          <w:sz w:val="16"/>
          <w:szCs w:val="16"/>
          <w:color w:val="auto"/>
        </w:rPr>
        <w:t>Agent and each Lender agree to maintain the confidentiality of Information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except that Information may be disclosed (a) to Agent and/or any Lender’s subsidiaries or Affiliates, and their respective employees, directors, investors, potential investors, agents, attorneys, accountants and other professional advisors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and, together with Agent and the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w:t>
      </w:r>
    </w:p>
    <w:p>
      <w:pPr>
        <w:spacing w:after="0" w:line="3" w:lineRule="exact"/>
        <w:rPr>
          <w:sz w:val="20"/>
          <w:szCs w:val="20"/>
          <w:color w:val="auto"/>
        </w:rPr>
      </w:pPr>
    </w:p>
    <w:p>
      <w:pPr>
        <w:jc w:val="both"/>
        <w:ind w:left="160" w:right="139" w:hanging="9"/>
        <w:spacing w:after="0" w:line="281" w:lineRule="auto"/>
        <w:tabs>
          <w:tab w:leader="none" w:pos="41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prospective transferees, assignees, credit providers or purchasers of any of the Lenders’ or Agent’s interests under or in connection with this Agreement and their Representatives (provided, however, Agent and the Lenders shall use their best efforts to obtain any such prospective transferee’s, assignee’s, credit provider’s, purchaser’s or their Representatives’ agreement to the terms of this provision); (c) as required by law, regulation, subpoena, or other order;</w:t>
      </w:r>
    </w:p>
    <w:p>
      <w:pPr>
        <w:spacing w:after="0" w:line="2" w:lineRule="exact"/>
        <w:rPr>
          <w:rFonts w:ascii="Arial" w:cs="Arial" w:eastAsia="Arial" w:hAnsi="Arial"/>
          <w:sz w:val="16"/>
          <w:szCs w:val="16"/>
          <w:color w:val="auto"/>
        </w:rPr>
      </w:pPr>
    </w:p>
    <w:p>
      <w:pPr>
        <w:jc w:val="both"/>
        <w:ind w:left="160" w:right="139" w:hanging="9"/>
        <w:spacing w:after="0" w:line="251" w:lineRule="auto"/>
        <w:tabs>
          <w:tab w:leader="none" w:pos="46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Agent’s or any Lender’s regulators or as otherwise required in connection with Agent’s or any Lender’s examination or audit; (e) as Agent or any Lender considers appropriate in exercising remedies under the Loan Documents; and (f) to third-party service providers of Agent and/or the Lenders so long as such service providers have executed a confidentiality agreement with Agent or the Lenders, as applicable, with terms no less restrictive than those contained herein. The term “Information” means all information received from Borrower regarding Borrower or its business, in each case other than information that is either: (i) in the public domain or in Agent’s or any Lender’s possession when disclosed to Agent or such Lender, or becomes part of the public domain (other than as a result of its disclosure by Agent or a Lender in violation of this Agreement) after disclosure to Agent and/or the Lenders; or (ii) disclosed to Agent and/or the Lenders by a third party, if Agent/the Lenders do not know that the third party is prohibited from disclosing the information.</w:t>
      </w:r>
    </w:p>
    <w:p>
      <w:pPr>
        <w:spacing w:after="0" w:line="198"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Lender Entities may use anonymous forms of confidential information for aggregate datasets, for analyses or reporting, and for any other uses not expressly prohibited in writing by Borrower. The provisions of this Section 13.9 shall survive the termination of this Agreement.</w:t>
      </w:r>
    </w:p>
    <w:p>
      <w:pPr>
        <w:spacing w:after="0" w:line="177"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7"/>
          <w:szCs w:val="17"/>
          <w:b w:val="1"/>
          <w:bCs w:val="1"/>
          <w:color w:val="auto"/>
        </w:rPr>
        <w:t>13.10 Right of Setoff</w:t>
      </w:r>
      <w:r>
        <w:rPr>
          <w:rFonts w:ascii="Arial" w:cs="Arial" w:eastAsia="Arial" w:hAnsi="Arial"/>
          <w:sz w:val="17"/>
          <w:szCs w:val="17"/>
          <w:color w:val="auto"/>
        </w:rPr>
        <w:t>. Borrower hereby grants to Agent, for the ratable benefit of the Lenders a Lien and a</w:t>
      </w:r>
      <w:r>
        <w:rPr>
          <w:rFonts w:ascii="Arial" w:cs="Arial" w:eastAsia="Arial" w:hAnsi="Arial"/>
          <w:sz w:val="17"/>
          <w:szCs w:val="17"/>
          <w:b w:val="1"/>
          <w:bCs w:val="1"/>
          <w:color w:val="auto"/>
        </w:rPr>
        <w:t xml:space="preserve"> </w:t>
      </w:r>
      <w:r>
        <w:rPr>
          <w:rFonts w:ascii="Arial" w:cs="Arial" w:eastAsia="Arial" w:hAnsi="Arial"/>
          <w:sz w:val="17"/>
          <w:szCs w:val="17"/>
          <w:color w:val="auto"/>
        </w:rPr>
        <w:t>right of setoff as security for all Obligations to Agent and the Lenders, whether now existing or hereafter arising upon and against all deposits, credits, collateral and property, now or hereafter in the possession, custody, safekeeping or control of Agent or any entity under the control of Agent (including a subsidiary of Agent) in transit to any of them. At any time after the occurrence and during the continuance of an Event of Default, without demand or notice, Agent or any Lender may setoff the same or any part thereof and apply the same to any liability or Obligation of Borrower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left="160" w:right="139" w:firstLine="648"/>
        <w:spacing w:after="0" w:line="298" w:lineRule="auto"/>
        <w:rPr>
          <w:sz w:val="20"/>
          <w:szCs w:val="20"/>
          <w:color w:val="auto"/>
        </w:rPr>
      </w:pPr>
      <w:r>
        <w:rPr>
          <w:rFonts w:ascii="Arial" w:cs="Arial" w:eastAsia="Arial" w:hAnsi="Arial"/>
          <w:sz w:val="16"/>
          <w:szCs w:val="16"/>
          <w:b w:val="1"/>
          <w:bCs w:val="1"/>
          <w:color w:val="auto"/>
        </w:rPr>
        <w:t>13.11 Electronic Execution of Documents</w:t>
      </w:r>
      <w:r>
        <w:rPr>
          <w:rFonts w:ascii="Arial" w:cs="Arial" w:eastAsia="Arial" w:hAnsi="Arial"/>
          <w:sz w:val="16"/>
          <w:szCs w:val="16"/>
          <w:color w:val="auto"/>
        </w:rPr>
        <w:t>. The words “execution,” “signed,” “signature” and words of</w:t>
      </w:r>
      <w:r>
        <w:rPr>
          <w:rFonts w:ascii="Arial" w:cs="Arial" w:eastAsia="Arial" w:hAnsi="Arial"/>
          <w:sz w:val="16"/>
          <w:szCs w:val="16"/>
          <w:b w:val="1"/>
          <w:bCs w:val="1"/>
          <w:color w:val="auto"/>
        </w:rPr>
        <w:t xml:space="preserve"> </w:t>
      </w:r>
      <w:r>
        <w:rPr>
          <w:rFonts w:ascii="Arial" w:cs="Arial" w:eastAsia="Arial" w:hAnsi="Arial"/>
          <w:sz w:val="16"/>
          <w:szCs w:val="16"/>
          <w:color w:val="auto"/>
        </w:rPr>
        <w:t>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54"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b w:val="1"/>
          <w:bCs w:val="1"/>
          <w:color w:val="auto"/>
        </w:rPr>
        <w:t>13.12 Captions</w:t>
      </w:r>
      <w:r>
        <w:rPr>
          <w:rFonts w:ascii="Arial" w:cs="Arial" w:eastAsia="Arial" w:hAnsi="Arial"/>
          <w:sz w:val="18"/>
          <w:szCs w:val="18"/>
          <w:color w:val="auto"/>
        </w:rPr>
        <w:t>. The headings used in this Agreement are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2"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b w:val="1"/>
          <w:bCs w:val="1"/>
          <w:color w:val="auto"/>
        </w:rPr>
        <w:t>13.13 Construction of Agreement</w:t>
      </w:r>
      <w:r>
        <w:rPr>
          <w:rFonts w:ascii="Arial" w:cs="Arial" w:eastAsia="Arial" w:hAnsi="Arial"/>
          <w:sz w:val="18"/>
          <w:szCs w:val="18"/>
          <w:color w:val="auto"/>
        </w:rPr>
        <w:t>. The parties mutually acknowledge that they and their attorneys have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participated in the 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7"/>
          <w:szCs w:val="17"/>
          <w:b w:val="1"/>
          <w:bCs w:val="1"/>
          <w:color w:val="auto"/>
        </w:rPr>
        <w:t>13.14 Relationship</w:t>
      </w:r>
      <w:r>
        <w:rPr>
          <w:rFonts w:ascii="Arial" w:cs="Arial" w:eastAsia="Arial" w:hAnsi="Arial"/>
          <w:sz w:val="17"/>
          <w:szCs w:val="17"/>
          <w:color w:val="auto"/>
        </w:rPr>
        <w:t>. The relationship of the parties to this Agreement is determined solely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The parties do not intend to create any agency, partnership, joint venture, trust, fiduciary or other relationship with duties or incidents different from those of parties to an arm’s-length contract.</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1" w:name="page222"/>
    <w:bookmarkEnd w:id="221"/>
    <w:p>
      <w:pPr>
        <w:jc w:val="both"/>
        <w:ind w:left="160" w:right="159" w:firstLine="648"/>
        <w:spacing w:after="0" w:line="258" w:lineRule="auto"/>
        <w:rPr>
          <w:sz w:val="20"/>
          <w:szCs w:val="20"/>
          <w:color w:val="auto"/>
        </w:rPr>
      </w:pPr>
      <w:r>
        <w:rPr>
          <w:rFonts w:ascii="Arial" w:cs="Arial" w:eastAsia="Arial" w:hAnsi="Arial"/>
          <w:sz w:val="18"/>
          <w:szCs w:val="18"/>
          <w:b w:val="1"/>
          <w:bCs w:val="1"/>
          <w:color w:val="auto"/>
        </w:rPr>
        <w:t>13.15 Third Parties</w:t>
      </w:r>
      <w:r>
        <w:rPr>
          <w:rFonts w:ascii="Arial" w:cs="Arial" w:eastAsia="Arial" w:hAnsi="Arial"/>
          <w:sz w:val="18"/>
          <w:szCs w:val="18"/>
          <w:color w:val="auto"/>
        </w:rPr>
        <w:t>. Nothing in this Agreement, whether express or implied, is intended to: (a) confer any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4"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b w:val="1"/>
          <w:bCs w:val="1"/>
          <w:color w:val="auto"/>
        </w:rPr>
        <w:t>13.16 Patriot Act</w:t>
      </w:r>
      <w:r>
        <w:rPr>
          <w:rFonts w:ascii="Arial" w:cs="Arial" w:eastAsia="Arial" w:hAnsi="Arial"/>
          <w:sz w:val="18"/>
          <w:szCs w:val="18"/>
          <w:color w:val="auto"/>
        </w:rPr>
        <w:t>. Each Lender hereby notifies Borrower that pursuant to the requirements of the USA</w:t>
      </w:r>
      <w:r>
        <w:rPr>
          <w:rFonts w:ascii="Arial" w:cs="Arial" w:eastAsia="Arial" w:hAnsi="Arial"/>
          <w:sz w:val="18"/>
          <w:szCs w:val="18"/>
          <w:b w:val="1"/>
          <w:bCs w:val="1"/>
          <w:color w:val="auto"/>
        </w:rPr>
        <w:t xml:space="preserve"> </w:t>
      </w:r>
      <w:r>
        <w:rPr>
          <w:rFonts w:ascii="Arial" w:cs="Arial" w:eastAsia="Arial" w:hAnsi="Arial"/>
          <w:sz w:val="18"/>
          <w:szCs w:val="18"/>
          <w:color w:val="auto"/>
        </w:rPr>
        <w:t>PATRIOT Act, it is required to obtain, verify and record information that identifies Borrower and each of its Subsidiaries, which information includes the names and addresses of each Borrower and each of its Subsidiaries and other information that will allow Lender, as applicable, to identify Borrower and each of its Subsidiaries in accordance with the USA PATRIOT Act.</w:t>
      </w:r>
    </w:p>
    <w:p>
      <w:pPr>
        <w:spacing w:after="0" w:line="184" w:lineRule="exact"/>
        <w:rPr>
          <w:sz w:val="20"/>
          <w:szCs w:val="20"/>
          <w:color w:val="auto"/>
        </w:rPr>
      </w:pPr>
    </w:p>
    <w:p>
      <w:pPr>
        <w:jc w:val="both"/>
        <w:ind w:left="160" w:right="159" w:firstLine="648"/>
        <w:spacing w:after="0" w:line="261" w:lineRule="auto"/>
        <w:rPr>
          <w:sz w:val="20"/>
          <w:szCs w:val="20"/>
          <w:color w:val="auto"/>
        </w:rPr>
      </w:pPr>
      <w:r>
        <w:rPr>
          <w:rFonts w:ascii="Arial" w:cs="Arial" w:eastAsia="Arial" w:hAnsi="Arial"/>
          <w:sz w:val="18"/>
          <w:szCs w:val="18"/>
          <w:b w:val="1"/>
          <w:bCs w:val="1"/>
          <w:color w:val="auto"/>
        </w:rPr>
        <w:t>13.17 Ratification of Perfection Certificate</w:t>
      </w:r>
      <w:r>
        <w:rPr>
          <w:rFonts w:ascii="Arial" w:cs="Arial" w:eastAsia="Arial" w:hAnsi="Arial"/>
          <w:sz w:val="18"/>
          <w:szCs w:val="18"/>
          <w:color w:val="auto"/>
        </w:rPr>
        <w:t>. Borrower hereby ratifies, confirms and reaffirms, all and</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the terms and disclosures contained in the Perfection Certificate and acknowledges, confirms and agrees the disclosures and information Borrower provided to SVB in the Perfection Certificate have not changed, as of the Effective Date.</w:t>
      </w:r>
    </w:p>
    <w:p>
      <w:pPr>
        <w:spacing w:after="0" w:line="18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8"/>
          <w:szCs w:val="18"/>
          <w:b w:val="1"/>
          <w:bCs w:val="1"/>
          <w:u w:val="single" w:color="auto"/>
          <w:color w:val="auto"/>
        </w:rPr>
        <w:t>14</w:t>
      </w:r>
      <w:r>
        <w:rPr>
          <w:sz w:val="20"/>
          <w:szCs w:val="20"/>
          <w:color w:val="auto"/>
        </w:rPr>
        <w:tab/>
      </w: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80" w:lineRule="exact"/>
        <w:rPr>
          <w:sz w:val="20"/>
          <w:szCs w:val="20"/>
          <w:color w:val="auto"/>
        </w:rPr>
      </w:pPr>
    </w:p>
    <w:p>
      <w:pPr>
        <w:jc w:val="both"/>
        <w:ind w:left="160" w:right="13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w:t>
      </w:r>
      <w:r>
        <w:rPr>
          <w:rFonts w:ascii="Arial" w:cs="Arial" w:eastAsia="Arial" w:hAnsi="Arial"/>
          <w:sz w:val="17"/>
          <w:szCs w:val="17"/>
          <w:b w:val="1"/>
          <w:bCs w:val="1"/>
          <w:color w:val="auto"/>
        </w:rPr>
        <w:t>account</w:t>
      </w:r>
      <w:r>
        <w:rPr>
          <w:rFonts w:ascii="Arial" w:cs="Arial" w:eastAsia="Arial" w:hAnsi="Arial"/>
          <w:sz w:val="17"/>
          <w:szCs w:val="17"/>
          <w:color w:val="auto"/>
        </w:rPr>
        <w:t>” as defined in the Code with such additions to such term as may hereafter be made, and includes, without limitation, all accounts receivable and other sums owing to Borrower.</w:t>
      </w:r>
    </w:p>
    <w:p>
      <w:pPr>
        <w:spacing w:after="0" w:line="138"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162"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76"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Australian Subsidiary</w:t>
      </w:r>
      <w:r>
        <w:rPr>
          <w:rFonts w:ascii="Arial" w:cs="Arial" w:eastAsia="Arial" w:hAnsi="Arial"/>
          <w:sz w:val="18"/>
          <w:szCs w:val="18"/>
          <w:color w:val="auto"/>
        </w:rPr>
        <w:t>” is Axsome Therapeutics Australia Pty Ltd, a company organized under the laws of Australia.</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AXS-12</w:t>
      </w:r>
      <w:r>
        <w:rPr>
          <w:rFonts w:ascii="Arial" w:cs="Arial" w:eastAsia="Arial" w:hAnsi="Arial"/>
          <w:sz w:val="18"/>
          <w:szCs w:val="18"/>
          <w:color w:val="auto"/>
        </w:rPr>
        <w:t>” means Borrower’s AXS-12 product candidate for the treatment of narcolepsy.</w:t>
      </w:r>
    </w:p>
    <w:p>
      <w:pPr>
        <w:spacing w:after="0" w:line="225"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SVB or any SVB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SVB’s various agreements related thereto (each, a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Agreement</w:t>
      </w:r>
      <w:r>
        <w:rPr>
          <w:rFonts w:ascii="Arial" w:cs="Arial" w:eastAsia="Arial" w:hAnsi="Arial"/>
          <w:sz w:val="18"/>
          <w:szCs w:val="18"/>
          <w:color w:val="auto"/>
        </w:rPr>
        <w:t>”).</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2" w:name="page223"/>
    <w:bookmarkEnd w:id="222"/>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jc w:val="both"/>
        <w:ind w:left="160" w:right="139"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Agent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Agent and the Lenders may conclusively rely on such certificate unless and until such Person shall have delivered to Agent and the Lenders a further certificate canceling or amending such prior certificate.</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Agent is closed.</w:t>
      </w:r>
    </w:p>
    <w:p>
      <w:pPr>
        <w:spacing w:after="0" w:line="225"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SVB’s certificates of deposit issued maturing no more than one (1) year after issue.</w:t>
      </w:r>
    </w:p>
    <w:p>
      <w:pPr>
        <w:spacing w:after="0" w:line="184" w:lineRule="exact"/>
        <w:rPr>
          <w:sz w:val="20"/>
          <w:szCs w:val="20"/>
          <w:color w:val="auto"/>
        </w:rPr>
      </w:pPr>
    </w:p>
    <w:p>
      <w:pPr>
        <w:jc w:val="both"/>
        <w:ind w:left="160" w:right="139" w:firstLine="648"/>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6"/>
          <w:szCs w:val="16"/>
          <w:color w:val="auto"/>
        </w:rPr>
        <w:t>‑</w:t>
      </w:r>
      <w:r>
        <w:rPr>
          <w:rFonts w:ascii="Arial" w:cs="Arial" w:eastAsia="Arial" w:hAnsi="Arial"/>
          <w:sz w:val="16"/>
          <w:szCs w:val="16"/>
          <w:color w:val="auto"/>
        </w:rPr>
        <w:t>5 under the Exchange Act), directly or indirectly, of forty percent (40.0%) or more of the ordinary voting power for the election of directors of Borrower (determined on a fully diluted basis) other than by the sale of Borrower’s equity securities in a public offering or to venture capital or private equity investors so long as Borrower identifies to the Agent and the Lenders the venture capital or private equity investors at least seven (7) Business Days prior to the closing of the transaction and provides to Agent and the Lenders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w:t>
      </w:r>
    </w:p>
    <w:p>
      <w:pPr>
        <w:jc w:val="both"/>
        <w:ind w:left="160" w:right="139" w:hanging="9"/>
        <w:spacing w:after="0" w:line="270" w:lineRule="auto"/>
        <w:tabs>
          <w:tab w:leader="none" w:pos="37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free and clear of all Liens (except Liens created by this Agreement).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CitiBank Account</w:t>
      </w:r>
      <w:r>
        <w:rPr>
          <w:rFonts w:ascii="Arial" w:cs="Arial" w:eastAsia="Arial" w:hAnsi="Arial"/>
          <w:sz w:val="18"/>
          <w:szCs w:val="18"/>
          <w:color w:val="auto"/>
        </w:rPr>
        <w:t>” is defined in Section 6.6(a).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13.3.</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3" w:name="page224"/>
    <w:bookmarkEnd w:id="223"/>
    <w:p>
      <w:pPr>
        <w:jc w:val="both"/>
        <w:ind w:left="160" w:right="139"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Commonwealth of Massachusetts,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and “</w:t>
      </w:r>
      <w:r>
        <w:rPr>
          <w:rFonts w:ascii="Arial" w:cs="Arial" w:eastAsia="Arial" w:hAnsi="Arial"/>
          <w:sz w:val="18"/>
          <w:szCs w:val="18"/>
          <w:b w:val="1"/>
          <w:bCs w:val="1"/>
          <w:color w:val="auto"/>
        </w:rPr>
        <w:t>Commitments</w:t>
      </w:r>
      <w:r>
        <w:rPr>
          <w:rFonts w:ascii="Arial" w:cs="Arial" w:eastAsia="Arial" w:hAnsi="Arial"/>
          <w:sz w:val="18"/>
          <w:szCs w:val="18"/>
          <w:color w:val="auto"/>
        </w:rPr>
        <w:t>” means the Term Loan Commitment(s).</w:t>
      </w:r>
    </w:p>
    <w:p>
      <w:pPr>
        <w:spacing w:after="0" w:line="225"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w:t>
      </w:r>
    </w:p>
    <w:p>
      <w:pPr>
        <w:spacing w:after="0" w:line="50" w:lineRule="exact"/>
        <w:rPr>
          <w:sz w:val="20"/>
          <w:szCs w:val="20"/>
          <w:color w:val="auto"/>
        </w:rPr>
      </w:pPr>
    </w:p>
    <w:p>
      <w:pPr>
        <w:jc w:val="both"/>
        <w:ind w:left="160" w:right="139" w:hanging="9"/>
        <w:spacing w:after="0" w:line="281" w:lineRule="auto"/>
        <w:tabs>
          <w:tab w:leader="none" w:pos="41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2" w:lineRule="exact"/>
        <w:rPr>
          <w:rFonts w:ascii="Arial" w:cs="Arial" w:eastAsia="Arial" w:hAnsi="Arial"/>
          <w:sz w:val="16"/>
          <w:szCs w:val="16"/>
          <w:color w:val="auto"/>
        </w:rPr>
      </w:pPr>
    </w:p>
    <w:p>
      <w:pPr>
        <w:jc w:val="both"/>
        <w:ind w:left="160" w:right="139" w:hanging="9"/>
        <w:spacing w:after="0" w:line="269" w:lineRule="auto"/>
        <w:tabs>
          <w:tab w:leader="none" w:pos="41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7"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84"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is any Term Loan Advance, or any other extension of credit by any Lender for Borrower’s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benefit.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jc w:val="both"/>
        <w:ind w:left="160" w:right="139"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is, subject to Section 10.10(b), any Lender that (a) has failed to (i) fund all or any portion of its Term Loan Advances within two (2) Business Days of the date such Term Loan Advances were required to be funded hereunder unless such Lender notifies Agent and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w:t>
      </w:r>
    </w:p>
    <w:p>
      <w:pPr>
        <w:spacing w:after="0" w:line="2" w:lineRule="exact"/>
        <w:rPr>
          <w:sz w:val="20"/>
          <w:szCs w:val="20"/>
          <w:color w:val="auto"/>
        </w:rPr>
      </w:pPr>
    </w:p>
    <w:p>
      <w:pPr>
        <w:ind w:left="160" w:right="159" w:hanging="9"/>
        <w:spacing w:after="0" w:line="290" w:lineRule="auto"/>
        <w:tabs>
          <w:tab w:leader="none" w:pos="42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pay to Agent or any other Lender any other amount required to be paid by it hereunder within two (2) Business Days of the date when due, (b) has notified Borrower or Agent in writing that it does not intend to comply with its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4" w:name="page225"/>
    <w:bookmarkEnd w:id="224"/>
    <w:p>
      <w:pPr>
        <w:jc w:val="both"/>
        <w:ind w:left="160" w:right="139"/>
        <w:spacing w:after="0" w:line="284" w:lineRule="auto"/>
        <w:rPr>
          <w:sz w:val="20"/>
          <w:szCs w:val="20"/>
          <w:color w:val="auto"/>
        </w:rPr>
      </w:pPr>
      <w:r>
        <w:rPr>
          <w:rFonts w:ascii="Arial" w:cs="Arial" w:eastAsia="Arial" w:hAnsi="Arial"/>
          <w:sz w:val="16"/>
          <w:szCs w:val="16"/>
          <w:color w:val="auto"/>
        </w:rPr>
        <w:t>funding obligations hereunder, or has made a public statement to that effect (unless such writing or public statement relates to such Lender’s obligation to fund a Term Loan Advance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to confirm in writing to Agent and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Agent and Borrower), or</w:t>
      </w:r>
    </w:p>
    <w:p>
      <w:pPr>
        <w:spacing w:after="0" w:line="3" w:lineRule="exact"/>
        <w:rPr>
          <w:sz w:val="20"/>
          <w:szCs w:val="20"/>
          <w:color w:val="auto"/>
        </w:rPr>
      </w:pPr>
    </w:p>
    <w:p>
      <w:pPr>
        <w:jc w:val="both"/>
        <w:ind w:left="160" w:right="139" w:hanging="9"/>
        <w:spacing w:after="0" w:line="285" w:lineRule="auto"/>
        <w:tabs>
          <w:tab w:leader="none" w:pos="42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has, or has a direct or indirect parent company that has, (i) become the subject of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Section 10.10(b)) upon delivery of written notice of such determination to Borrower and each Lender.</w:t>
      </w:r>
    </w:p>
    <w:p>
      <w:pPr>
        <w:spacing w:after="0" w:line="169"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162"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account number ending 844 (last three digits) maintained by Borrower with SVB (provided, however, if no such account number is included, then the Designated Deposit Account shall be any deposit account of Borrower maintained with SVB as chosen by the Lenders).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w:t>
      </w:r>
    </w:p>
    <w:p>
      <w:pPr>
        <w:spacing w:after="0" w:line="50" w:lineRule="exact"/>
        <w:rPr>
          <w:sz w:val="20"/>
          <w:szCs w:val="20"/>
          <w:color w:val="auto"/>
        </w:rPr>
      </w:pPr>
    </w:p>
    <w:p>
      <w:pPr>
        <w:jc w:val="both"/>
        <w:ind w:left="160" w:right="139" w:hanging="9"/>
        <w:spacing w:after="0" w:line="255" w:lineRule="auto"/>
        <w:tabs>
          <w:tab w:leader="none" w:pos="4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spacing w:after="0" w:line="186"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of time commencing upon the occurrence of the Milestone Event and continuing through August 15, 2019.</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w:t>
      </w:r>
      <w:r>
        <w:rPr>
          <w:rFonts w:ascii="Arial" w:cs="Arial" w:eastAsia="Arial" w:hAnsi="Arial"/>
          <w:sz w:val="18"/>
          <w:szCs w:val="18"/>
          <w:b w:val="1"/>
          <w:bCs w:val="1"/>
          <w:color w:val="auto"/>
        </w:rPr>
        <w:t>equipment</w:t>
      </w:r>
      <w:r>
        <w:rPr>
          <w:rFonts w:ascii="Arial" w:cs="Arial" w:eastAsia="Arial" w:hAnsi="Arial"/>
          <w:sz w:val="18"/>
          <w:szCs w:val="18"/>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5" w:name="page226"/>
    <w:bookmarkEnd w:id="225"/>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Loan Agreement</w:t>
      </w:r>
      <w:r>
        <w:rPr>
          <w:rFonts w:ascii="Arial" w:cs="Arial" w:eastAsia="Arial" w:hAnsi="Arial"/>
          <w:sz w:val="18"/>
          <w:szCs w:val="18"/>
          <w:color w:val="auto"/>
        </w:rPr>
        <w:t>” is that certain Loan and Security Agreement by and between Borrower and SVB, dated as of November 9, 2016, as amended by that certain First Amendment to Loan and Security Agreement by and between Borrower and SVB, dated as of November 26, 2018.</w:t>
      </w:r>
    </w:p>
    <w:p>
      <w:pPr>
        <w:spacing w:after="0" w:line="176"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Experimental Compounds</w:t>
      </w:r>
      <w:r>
        <w:rPr>
          <w:rFonts w:ascii="Arial" w:cs="Arial" w:eastAsia="Arial" w:hAnsi="Arial"/>
          <w:sz w:val="18"/>
          <w:szCs w:val="18"/>
          <w:color w:val="auto"/>
        </w:rPr>
        <w:t>” means biopharmaceutical compounds and therapeutic materials that remain subject to clinical trials and have not yet received regulatory approval.</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United States Food and Drug Administration, and any successor thereto.</w:t>
      </w:r>
    </w:p>
    <w:p>
      <w:pPr>
        <w:spacing w:after="0" w:line="225"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84" w:lineRule="exact"/>
        <w:rPr>
          <w:sz w:val="20"/>
          <w:szCs w:val="20"/>
          <w:color w:val="auto"/>
        </w:rPr>
      </w:pPr>
    </w:p>
    <w:p>
      <w:pPr>
        <w:jc w:val="both"/>
        <w:ind w:left="160" w:right="139"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in substitution for the regular monthly payments of principal plus accrued interest) equal to the original aggregate principal amount of each Term Loan Advance extended by the Lenders to Borrower hereunder multiplied by six percent (6.0%) due on the earliest to occur of (a) the Term Loan Maturity Date, (b) the acceleration of the Term Loan Advances, (c) the prepayment of the Term Loan Advances pursuant to Section 2.2(d) or 2.2(e), or (d) the termination of this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162"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SVB under which Borrower commits to purchase from or sell to SVB a specific amount of Foreign Currency on a specified date.</w:t>
      </w:r>
    </w:p>
    <w:p>
      <w:pPr>
        <w:spacing w:after="0" w:line="162"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4" w:lineRule="exact"/>
        <w:rPr>
          <w:sz w:val="20"/>
          <w:szCs w:val="20"/>
          <w:color w:val="auto"/>
        </w:rPr>
      </w:pPr>
    </w:p>
    <w:p>
      <w:pPr>
        <w:jc w:val="both"/>
        <w:ind w:left="160" w:right="139"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4"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76"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80"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6" w:name="page227"/>
    <w:bookmarkEnd w:id="226"/>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13.3.</w:t>
      </w:r>
    </w:p>
    <w:p>
      <w:pPr>
        <w:spacing w:after="0" w:line="225" w:lineRule="exact"/>
        <w:rPr>
          <w:sz w:val="20"/>
          <w:szCs w:val="20"/>
          <w:color w:val="auto"/>
        </w:rPr>
      </w:pPr>
    </w:p>
    <w:p>
      <w:pPr>
        <w:jc w:val="both"/>
        <w:ind w:left="160" w:right="159"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58"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66" w:lineRule="exact"/>
        <w:rPr>
          <w:sz w:val="20"/>
          <w:szCs w:val="20"/>
          <w:color w:val="auto"/>
        </w:rPr>
      </w:pPr>
    </w:p>
    <w:p>
      <w:pPr>
        <w:ind w:left="2100" w:hanging="653"/>
        <w:spacing w:after="0"/>
        <w:tabs>
          <w:tab w:leader="none" w:pos="2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Copyrights, Trademarks and Patents;</w:t>
      </w:r>
    </w:p>
    <w:p>
      <w:pPr>
        <w:spacing w:after="0" w:line="225" w:lineRule="exact"/>
        <w:rPr>
          <w:rFonts w:ascii="Arial" w:cs="Arial" w:eastAsia="Arial" w:hAnsi="Arial"/>
          <w:sz w:val="18"/>
          <w:szCs w:val="18"/>
          <w:color w:val="auto"/>
        </w:rPr>
      </w:pPr>
    </w:p>
    <w:p>
      <w:pPr>
        <w:ind w:left="160" w:right="159" w:firstLine="1287"/>
        <w:spacing w:after="0" w:line="277" w:lineRule="auto"/>
        <w:tabs>
          <w:tab w:leader="none" w:pos="21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2120" w:hanging="673"/>
        <w:spacing w:after="0"/>
        <w:tabs>
          <w:tab w:leader="none" w:pos="21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100" w:hanging="653"/>
        <w:spacing w:after="0"/>
        <w:tabs>
          <w:tab w:leader="none" w:pos="2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jc w:val="both"/>
        <w:ind w:left="160" w:right="139" w:firstLine="1287"/>
        <w:spacing w:after="0" w:line="264" w:lineRule="auto"/>
        <w:tabs>
          <w:tab w:leader="none" w:pos="21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81" w:lineRule="exact"/>
        <w:rPr>
          <w:rFonts w:ascii="Arial" w:cs="Arial" w:eastAsia="Arial" w:hAnsi="Arial"/>
          <w:sz w:val="18"/>
          <w:szCs w:val="18"/>
          <w:color w:val="auto"/>
        </w:rPr>
      </w:pPr>
    </w:p>
    <w:p>
      <w:pPr>
        <w:ind w:left="2140" w:hanging="693"/>
        <w:spacing w:after="0"/>
        <w:tabs>
          <w:tab w:leader="none" w:pos="21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244"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4"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Irish Subsidiary</w:t>
      </w:r>
      <w:r>
        <w:rPr>
          <w:rFonts w:ascii="Arial" w:cs="Arial" w:eastAsia="Arial" w:hAnsi="Arial"/>
          <w:sz w:val="17"/>
          <w:szCs w:val="17"/>
          <w:color w:val="auto"/>
        </w:rPr>
        <w:t>” is a wholly owned Subsidiary of Borrower to be formed in the future under the laws of</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Ireland.</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Chief Executive Officer, who is Herriot Tabuteau as of the Effective Date.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13.9.</w:t>
      </w:r>
    </w:p>
    <w:p>
      <w:pPr>
        <w:spacing w:after="0" w:line="225"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Intercreditor Agreement</w:t>
      </w:r>
      <w:r>
        <w:rPr>
          <w:rFonts w:ascii="Arial" w:cs="Arial" w:eastAsia="Arial" w:hAnsi="Arial"/>
          <w:sz w:val="18"/>
          <w:szCs w:val="18"/>
          <w:color w:val="auto"/>
        </w:rPr>
        <w:t>” is, collectively, any and all intercreditor agreement, master arrangement agreement or similar agreement by and between WestRiver and SVB, as each may be amended from time to time in accordance with the provisions thereof.</w:t>
      </w:r>
    </w:p>
    <w:p>
      <w:pPr>
        <w:spacing w:after="0" w:line="176"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of Agent’s and the Lenders’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80"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SVB upon request of Borrower based upon an application, guarantee, indemnity, or similar agreement.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7" w:name="page228"/>
    <w:bookmarkEnd w:id="227"/>
    <w:p>
      <w:pPr>
        <w:jc w:val="both"/>
        <w:ind w:left="160" w:right="15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38"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the Lender Intercreditor Agreement, each Disbursement Letter, the Warrant, any Bank Services Agreement, any Control Agreement, any subordination agreement, any note, or notes or guaranties executed by Borrower, and any other present or future agreement by Borrower with or for the benefit of Agent and the Lenders in connection with this Agreement or Bank Services, all as amended, restated, or otherwise modified.</w:t>
      </w:r>
    </w:p>
    <w:p>
      <w:pPr>
        <w:spacing w:after="0" w:line="188"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80"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means Borrower has provided Agent and the Lenders with evidence, on or prior to August 15, 2019, satisfactory to Agent in Agent’s and each Lender’s sole but reasonable discretion that Borrower (i) has received positive data with respect to Borrower’s phase 2 clinical trial for AXS-12, sufficient to submit a phase 3 protocol to the FDA and (ii) has not received any objections from the FDA within thirty (30) days after submission of such phase 3 protocol.</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jc w:val="both"/>
        <w:ind w:left="160" w:right="139"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Lenders’ Expenses, the Final Payment, the Prepayment Premium and other amounts Borrower owes Agent or any Lender now or later, whether under this Agreement, the other Loan Documents (other than the Warrant, or otherwise, including, without limitation, all obligations relating to Bank Services, if any, and including any interest accruing after Insolvency Proceedings begin and debts, liabilities, or obligations of Borrower assigned to Agent and/or the Lenders, and to perform Borrower’s duties under the Loan Documents (other than the Warrant).</w:t>
      </w:r>
    </w:p>
    <w:p>
      <w:pPr>
        <w:spacing w:after="0" w:line="174" w:lineRule="exact"/>
        <w:rPr>
          <w:sz w:val="20"/>
          <w:szCs w:val="20"/>
          <w:color w:val="auto"/>
        </w:rPr>
      </w:pPr>
    </w:p>
    <w:p>
      <w:pPr>
        <w:jc w:val="both"/>
        <w:ind w:left="160" w:right="13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8" w:lineRule="exact"/>
        <w:rPr>
          <w:sz w:val="20"/>
          <w:szCs w:val="20"/>
          <w:color w:val="auto"/>
        </w:rPr>
      </w:pPr>
    </w:p>
    <w:p>
      <w:pPr>
        <w:jc w:val="both"/>
        <w:ind w:left="160" w:right="15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8"/>
          <w:szCs w:val="8"/>
          <w:color w:val="auto"/>
        </w:rPr>
        <w:t>st</w:t>
      </w:r>
      <w:r>
        <w:rPr>
          <w:rFonts w:ascii="Arial" w:cs="Arial" w:eastAsia="Arial" w:hAnsi="Arial"/>
          <w:sz w:val="18"/>
          <w:szCs w:val="18"/>
          <w:color w:val="auto"/>
        </w:rPr>
        <w:t>) calendar day of each month.</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100" w:hanging="653"/>
        <w:spacing w:after="0"/>
        <w:tabs>
          <w:tab w:leader="none" w:pos="21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Borrower’s Indebtedness to Agent and the Lenders under this Agreement and the other Loan</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2100" w:hanging="653"/>
        <w:spacing w:after="0"/>
        <w:tabs>
          <w:tab w:leader="none" w:pos="21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Indebtedness existing on the Effective Date which is shown on the Perfection Certificate;</w:t>
      </w:r>
    </w:p>
    <w:p>
      <w:pPr>
        <w:spacing w:after="0" w:line="236" w:lineRule="exact"/>
        <w:rPr>
          <w:rFonts w:ascii="Arial" w:cs="Arial" w:eastAsia="Arial" w:hAnsi="Arial"/>
          <w:sz w:val="17"/>
          <w:szCs w:val="17"/>
          <w:color w:val="auto"/>
        </w:rPr>
      </w:pPr>
    </w:p>
    <w:p>
      <w:pPr>
        <w:ind w:left="2120" w:hanging="673"/>
        <w:spacing w:after="0"/>
        <w:tabs>
          <w:tab w:leader="none" w:pos="2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8" w:name="page229"/>
    <w:bookmarkEnd w:id="228"/>
    <w:p>
      <w:pPr>
        <w:ind w:left="2100" w:hanging="653"/>
        <w:spacing w:after="0"/>
        <w:tabs>
          <w:tab w:leader="none" w:pos="21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36" w:lineRule="exact"/>
        <w:rPr>
          <w:rFonts w:ascii="Arial" w:cs="Arial" w:eastAsia="Arial" w:hAnsi="Arial"/>
          <w:sz w:val="17"/>
          <w:szCs w:val="17"/>
          <w:color w:val="auto"/>
        </w:rPr>
      </w:pPr>
    </w:p>
    <w:p>
      <w:pPr>
        <w:ind w:left="2100" w:hanging="653"/>
        <w:spacing w:after="0"/>
        <w:tabs>
          <w:tab w:leader="none" w:pos="21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160" w:right="139" w:firstLine="1287"/>
        <w:spacing w:after="0" w:line="277" w:lineRule="auto"/>
        <w:tabs>
          <w:tab w:leader="none" w:pos="219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intercompany Indebtedness of the Australian Subsidiary to Borrower with respect to Investments permitted under clause (h) of the definition of Permitted Investments;</w:t>
      </w:r>
    </w:p>
    <w:p>
      <w:pPr>
        <w:spacing w:after="0" w:line="170" w:lineRule="exact"/>
        <w:rPr>
          <w:rFonts w:ascii="Arial" w:cs="Arial" w:eastAsia="Arial" w:hAnsi="Arial"/>
          <w:sz w:val="18"/>
          <w:szCs w:val="18"/>
          <w:color w:val="auto"/>
        </w:rPr>
      </w:pPr>
    </w:p>
    <w:p>
      <w:pPr>
        <w:ind w:left="160" w:right="159" w:firstLine="1287"/>
        <w:spacing w:after="0" w:line="277" w:lineRule="auto"/>
        <w:tabs>
          <w:tab w:leader="none" w:pos="21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170" w:lineRule="exact"/>
        <w:rPr>
          <w:rFonts w:ascii="Arial" w:cs="Arial" w:eastAsia="Arial" w:hAnsi="Arial"/>
          <w:sz w:val="18"/>
          <w:szCs w:val="18"/>
          <w:color w:val="auto"/>
        </w:rPr>
      </w:pPr>
    </w:p>
    <w:p>
      <w:pPr>
        <w:ind w:left="160" w:right="159" w:firstLine="1287"/>
        <w:spacing w:after="0" w:line="277" w:lineRule="auto"/>
        <w:tabs>
          <w:tab w:leader="none" w:pos="211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hereunder, in an aggregate amount not to exceed Twenty-Five Thousand Dollars ($25,000.00) at any time outstanding; and</w:t>
      </w:r>
    </w:p>
    <w:p>
      <w:pPr>
        <w:spacing w:after="0" w:line="170" w:lineRule="exact"/>
        <w:rPr>
          <w:rFonts w:ascii="Arial" w:cs="Arial" w:eastAsia="Arial" w:hAnsi="Arial"/>
          <w:sz w:val="18"/>
          <w:szCs w:val="18"/>
          <w:color w:val="auto"/>
        </w:rPr>
      </w:pPr>
    </w:p>
    <w:p>
      <w:pPr>
        <w:jc w:val="both"/>
        <w:ind w:left="160" w:right="139" w:firstLine="1287"/>
        <w:spacing w:after="0" w:line="312" w:lineRule="auto"/>
        <w:tabs>
          <w:tab w:leader="none" w:pos="22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337" w:lineRule="exact"/>
        <w:rPr>
          <w:sz w:val="20"/>
          <w:szCs w:val="20"/>
          <w:color w:val="auto"/>
        </w:rPr>
      </w:pPr>
    </w:p>
    <w:p>
      <w:pPr>
        <w:ind w:left="160" w:right="159" w:firstLine="1287"/>
        <w:spacing w:after="0" w:line="277" w:lineRule="auto"/>
        <w:tabs>
          <w:tab w:leader="none" w:pos="210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which are shown on the Perfection Certificate;</w:t>
      </w:r>
    </w:p>
    <w:p>
      <w:pPr>
        <w:spacing w:after="0" w:line="170" w:lineRule="exact"/>
        <w:rPr>
          <w:sz w:val="20"/>
          <w:szCs w:val="20"/>
          <w:color w:val="auto"/>
        </w:rPr>
      </w:pPr>
    </w:p>
    <w:p>
      <w:pPr>
        <w:jc w:val="both"/>
        <w:ind w:left="160" w:right="139" w:firstLine="1287"/>
        <w:spacing w:after="0" w:line="259" w:lineRule="auto"/>
        <w:tabs>
          <w:tab w:leader="none" w:pos="2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consisting of (i) Cash Equivalents and (ii) any other Investments permitted by Borrower’s Investment Policy and Guidelines dated as of August 2016 and provided to Agent on November 5, 2016, as amended from time to time, provided that any amendments thereto have been approved in writing by Agent and the Lenders;</w:t>
      </w:r>
    </w:p>
    <w:p>
      <w:pPr>
        <w:spacing w:after="0" w:line="186" w:lineRule="exact"/>
        <w:rPr>
          <w:rFonts w:ascii="Arial" w:cs="Arial" w:eastAsia="Arial" w:hAnsi="Arial"/>
          <w:sz w:val="18"/>
          <w:szCs w:val="18"/>
          <w:color w:val="auto"/>
        </w:rPr>
      </w:pPr>
    </w:p>
    <w:p>
      <w:pPr>
        <w:jc w:val="both"/>
        <w:ind w:left="160" w:right="139" w:firstLine="1287"/>
        <w:spacing w:after="0" w:line="264" w:lineRule="auto"/>
        <w:tabs>
          <w:tab w:leader="none" w:pos="21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consisting of deposit and securities accounts to the extent that (i) such accounts are permitted to be maintained pursuant to Section 6.6 and (ii) Agent has a first priority perfected security interest to the extent required under Section 6.6;</w:t>
      </w:r>
    </w:p>
    <w:p>
      <w:pPr>
        <w:spacing w:after="0" w:line="181" w:lineRule="exact"/>
        <w:rPr>
          <w:rFonts w:ascii="Arial" w:cs="Arial" w:eastAsia="Arial" w:hAnsi="Arial"/>
          <w:sz w:val="18"/>
          <w:szCs w:val="18"/>
          <w:color w:val="auto"/>
        </w:rPr>
      </w:pPr>
    </w:p>
    <w:p>
      <w:pPr>
        <w:ind w:left="2100" w:hanging="653"/>
        <w:spacing w:after="0"/>
        <w:tabs>
          <w:tab w:leader="none" w:pos="21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jc w:val="both"/>
        <w:ind w:left="160" w:right="139" w:firstLine="1287"/>
        <w:spacing w:after="0" w:line="259" w:lineRule="auto"/>
        <w:tabs>
          <w:tab w:leader="none" w:pos="218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w:t>
      </w:r>
    </w:p>
    <w:p>
      <w:pPr>
        <w:spacing w:after="0" w:line="186" w:lineRule="exact"/>
        <w:rPr>
          <w:rFonts w:ascii="Arial" w:cs="Arial" w:eastAsia="Arial" w:hAnsi="Arial"/>
          <w:sz w:val="18"/>
          <w:szCs w:val="18"/>
          <w:color w:val="auto"/>
        </w:rPr>
      </w:pPr>
    </w:p>
    <w:p>
      <w:pPr>
        <w:jc w:val="both"/>
        <w:ind w:left="160" w:right="139" w:firstLine="1287"/>
        <w:spacing w:after="0" w:line="264" w:lineRule="auto"/>
        <w:tabs>
          <w:tab w:leader="none" w:pos="215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1" w:lineRule="exact"/>
        <w:rPr>
          <w:rFonts w:ascii="Arial" w:cs="Arial" w:eastAsia="Arial" w:hAnsi="Arial"/>
          <w:sz w:val="18"/>
          <w:szCs w:val="18"/>
          <w:color w:val="auto"/>
        </w:rPr>
      </w:pPr>
    </w:p>
    <w:p>
      <w:pPr>
        <w:jc w:val="both"/>
        <w:ind w:left="160" w:right="159" w:firstLine="1287"/>
        <w:spacing w:after="0" w:line="264" w:lineRule="auto"/>
        <w:tabs>
          <w:tab w:leader="none" w:pos="21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(g) shall not apply to Investments of Borrower in any Subsidiary;</w:t>
      </w:r>
    </w:p>
    <w:p>
      <w:pPr>
        <w:spacing w:after="0" w:line="181" w:lineRule="exact"/>
        <w:rPr>
          <w:rFonts w:ascii="Arial" w:cs="Arial" w:eastAsia="Arial" w:hAnsi="Arial"/>
          <w:sz w:val="18"/>
          <w:szCs w:val="18"/>
          <w:color w:val="auto"/>
        </w:rPr>
      </w:pPr>
    </w:p>
    <w:p>
      <w:pPr>
        <w:jc w:val="both"/>
        <w:ind w:left="160" w:right="139" w:firstLine="1287"/>
        <w:spacing w:after="0" w:line="276" w:lineRule="auto"/>
        <w:tabs>
          <w:tab w:leader="none" w:pos="215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Investments (i) by Borrower in Australian Subsidiary for ordinary, necessary and current operating expenses not to exceed One Million Five Hundred Thousand Dollars ($1,500,000.00) in the aggregate in any fiscal year and (ii) by Borrower in Irish Subsidiary for ordinary, necessary and current operating expenses not to exceed Fifty Thousand Dollars ($50,000.00) in the aggregate in any fiscal year, provided, in each case, no Event of Default has occurred and is continuing at the time of such Investments or would result from such Investments; and</w:t>
      </w:r>
    </w:p>
    <w:p>
      <w:pPr>
        <w:spacing w:after="0" w:line="172" w:lineRule="exact"/>
        <w:rPr>
          <w:rFonts w:ascii="Arial" w:cs="Arial" w:eastAsia="Arial" w:hAnsi="Arial"/>
          <w:sz w:val="17"/>
          <w:szCs w:val="17"/>
          <w:color w:val="auto"/>
        </w:rPr>
      </w:pPr>
    </w:p>
    <w:p>
      <w:pPr>
        <w:jc w:val="both"/>
        <w:ind w:left="160" w:right="139" w:firstLine="1287"/>
        <w:spacing w:after="0" w:line="264" w:lineRule="auto"/>
        <w:tabs>
          <w:tab w:leader="none" w:pos="21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Intellectual Property or the providing of technical support.</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9" w:name="page230"/>
    <w:bookmarkEnd w:id="229"/>
    <w:p>
      <w:pPr>
        <w:ind w:left="160" w:right="159" w:firstLine="1287"/>
        <w:spacing w:after="0" w:line="277" w:lineRule="auto"/>
        <w:tabs>
          <w:tab w:leader="none" w:pos="210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existing on the Effective Date which are shown on the Perfection Certificate or arising under this Agreement and the other Loan Documents;</w:t>
      </w:r>
    </w:p>
    <w:p>
      <w:pPr>
        <w:spacing w:after="0" w:line="170" w:lineRule="exact"/>
        <w:rPr>
          <w:sz w:val="20"/>
          <w:szCs w:val="20"/>
          <w:color w:val="auto"/>
        </w:rPr>
      </w:pPr>
    </w:p>
    <w:p>
      <w:pPr>
        <w:jc w:val="both"/>
        <w:ind w:left="160" w:right="139" w:firstLine="1287"/>
        <w:spacing w:after="0" w:line="259" w:lineRule="auto"/>
        <w:tabs>
          <w:tab w:leader="none" w:pos="215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6" w:lineRule="exact"/>
        <w:rPr>
          <w:rFonts w:ascii="Arial" w:cs="Arial" w:eastAsia="Arial" w:hAnsi="Arial"/>
          <w:sz w:val="18"/>
          <w:szCs w:val="18"/>
          <w:color w:val="auto"/>
        </w:rPr>
      </w:pPr>
    </w:p>
    <w:p>
      <w:pPr>
        <w:jc w:val="both"/>
        <w:ind w:left="160" w:right="139" w:firstLine="1287"/>
        <w:spacing w:after="0" w:line="259" w:lineRule="auto"/>
        <w:tabs>
          <w:tab w:leader="none" w:pos="215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purchase money Liens or capital leases (i) on Equipment acquired or held by Borrower incurred for financing the acquisition of the Equipment securing no more than Fifty Thousand Dollars ($50,000.00)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186" w:lineRule="exact"/>
        <w:rPr>
          <w:rFonts w:ascii="Arial" w:cs="Arial" w:eastAsia="Arial" w:hAnsi="Arial"/>
          <w:sz w:val="18"/>
          <w:szCs w:val="18"/>
          <w:color w:val="auto"/>
        </w:rPr>
      </w:pPr>
    </w:p>
    <w:p>
      <w:pPr>
        <w:jc w:val="both"/>
        <w:ind w:left="160" w:right="139" w:firstLine="1287"/>
        <w:spacing w:after="0" w:line="279" w:lineRule="auto"/>
        <w:tabs>
          <w:tab w:leader="none" w:pos="216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jc w:val="both"/>
        <w:ind w:left="160" w:right="139" w:firstLine="1287"/>
        <w:spacing w:after="0" w:line="264" w:lineRule="auto"/>
        <w:tabs>
          <w:tab w:leader="none" w:pos="211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81" w:lineRule="exact"/>
        <w:rPr>
          <w:rFonts w:ascii="Arial" w:cs="Arial" w:eastAsia="Arial" w:hAnsi="Arial"/>
          <w:sz w:val="18"/>
          <w:szCs w:val="18"/>
          <w:color w:val="auto"/>
        </w:rPr>
      </w:pPr>
    </w:p>
    <w:p>
      <w:pPr>
        <w:jc w:val="both"/>
        <w:ind w:left="160" w:right="159" w:firstLine="1287"/>
        <w:spacing w:after="0" w:line="312" w:lineRule="auto"/>
        <w:tabs>
          <w:tab w:leader="none" w:pos="211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Liens, deposits and pledges to secure the performance of bids, tenders, contracts (other than contracts for the payment of money), public or statutory obligations, surety, stay, appeal, indemnity, performance or other similar bonds or other similar obligations arising in the ordinary course of Borrower’s business;</w:t>
      </w:r>
    </w:p>
    <w:p>
      <w:pPr>
        <w:spacing w:after="0" w:line="146" w:lineRule="exact"/>
        <w:rPr>
          <w:rFonts w:ascii="Arial" w:cs="Arial" w:eastAsia="Arial" w:hAnsi="Arial"/>
          <w:sz w:val="16"/>
          <w:szCs w:val="16"/>
          <w:color w:val="auto"/>
        </w:rPr>
      </w:pPr>
    </w:p>
    <w:p>
      <w:pPr>
        <w:jc w:val="both"/>
        <w:ind w:left="160" w:right="159" w:firstLine="1287"/>
        <w:spacing w:after="0" w:line="297" w:lineRule="auto"/>
        <w:tabs>
          <w:tab w:leader="none" w:pos="211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leases, subleases, licenses and sublicenses do not prohibit granting Agent a security interest therein;</w:t>
      </w:r>
    </w:p>
    <w:p>
      <w:pPr>
        <w:spacing w:after="0" w:line="158" w:lineRule="exact"/>
        <w:rPr>
          <w:rFonts w:ascii="Arial" w:cs="Arial" w:eastAsia="Arial" w:hAnsi="Arial"/>
          <w:sz w:val="16"/>
          <w:szCs w:val="16"/>
          <w:color w:val="auto"/>
        </w:rPr>
      </w:pPr>
    </w:p>
    <w:p>
      <w:pPr>
        <w:jc w:val="both"/>
        <w:ind w:left="160" w:right="139" w:firstLine="1287"/>
        <w:spacing w:after="0" w:line="259" w:lineRule="auto"/>
        <w:tabs>
          <w:tab w:leader="none" w:pos="213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86" w:lineRule="exact"/>
        <w:rPr>
          <w:rFonts w:ascii="Arial" w:cs="Arial" w:eastAsia="Arial" w:hAnsi="Arial"/>
          <w:sz w:val="18"/>
          <w:szCs w:val="18"/>
          <w:color w:val="auto"/>
        </w:rPr>
      </w:pPr>
    </w:p>
    <w:p>
      <w:pPr>
        <w:jc w:val="both"/>
        <w:ind w:left="160" w:right="139" w:firstLine="1287"/>
        <w:spacing w:after="0" w:line="279" w:lineRule="auto"/>
        <w:tabs>
          <w:tab w:leader="none" w:pos="21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(but only to the extent such accounts are permitted to be maintained pursuant to Section 6.6), provided that Agent has a first priority perfected security interest in the amounts held in such deposit and/or securities accounts to the extent required under Section 6.6;</w:t>
      </w:r>
    </w:p>
    <w:p>
      <w:pPr>
        <w:spacing w:after="0" w:line="171" w:lineRule="exact"/>
        <w:rPr>
          <w:rFonts w:ascii="Arial" w:cs="Arial" w:eastAsia="Arial" w:hAnsi="Arial"/>
          <w:sz w:val="17"/>
          <w:szCs w:val="17"/>
          <w:color w:val="auto"/>
        </w:rPr>
      </w:pPr>
    </w:p>
    <w:p>
      <w:pPr>
        <w:ind w:left="160" w:right="159" w:firstLine="1287"/>
        <w:spacing w:after="0" w:line="277" w:lineRule="auto"/>
        <w:tabs>
          <w:tab w:leader="none" w:pos="21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arising from attachments or judgments, orders, or decrees in circumstances not constituting an Event of Default under Sections 8.4 and 8.7; and</w:t>
      </w:r>
    </w:p>
    <w:p>
      <w:pPr>
        <w:spacing w:after="0" w:line="170" w:lineRule="exact"/>
        <w:rPr>
          <w:rFonts w:ascii="Arial" w:cs="Arial" w:eastAsia="Arial" w:hAnsi="Arial"/>
          <w:sz w:val="18"/>
          <w:szCs w:val="18"/>
          <w:color w:val="auto"/>
        </w:rPr>
      </w:pPr>
    </w:p>
    <w:p>
      <w:pPr>
        <w:jc w:val="both"/>
        <w:ind w:left="160" w:right="159" w:firstLine="1287"/>
        <w:spacing w:after="0" w:line="264" w:lineRule="auto"/>
        <w:tabs>
          <w:tab w:leader="none" w:pos="213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69" w:lineRule="exact"/>
        <w:rPr>
          <w:sz w:val="20"/>
          <w:szCs w:val="20"/>
          <w:color w:val="auto"/>
        </w:rPr>
      </w:pPr>
    </w:p>
    <w:p>
      <w:pPr>
        <w:jc w:val="both"/>
        <w:ind w:left="160" w:right="139" w:firstLine="69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58" w:lineRule="exact"/>
        <w:rPr>
          <w:sz w:val="20"/>
          <w:szCs w:val="20"/>
          <w:color w:val="auto"/>
        </w:rPr>
      </w:pPr>
    </w:p>
    <w:p>
      <w:pPr>
        <w:jc w:val="both"/>
        <w:ind w:left="160" w:right="139" w:firstLine="1287"/>
        <w:spacing w:after="0" w:line="264" w:lineRule="auto"/>
        <w:tabs>
          <w:tab w:leader="none" w:pos="210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(1</w:t>
      </w:r>
      <w:r>
        <w:rPr>
          <w:rFonts w:ascii="Arial" w:cs="Arial" w:eastAsia="Arial" w:hAnsi="Arial"/>
          <w:sz w:val="8"/>
          <w:szCs w:val="8"/>
          <w:color w:val="auto"/>
        </w:rPr>
        <w:t>st</w:t>
      </w:r>
      <w:r>
        <w:rPr>
          <w:rFonts w:ascii="Arial" w:cs="Arial" w:eastAsia="Arial" w:hAnsi="Arial"/>
          <w:sz w:val="18"/>
          <w:szCs w:val="18"/>
          <w:color w:val="auto"/>
        </w:rPr>
        <w:t>) anniversary of the Effective Date, three percent (3.0%) of the then outstanding principal amount of the Term Loan Advances immediately prior to the date of such prepayment;</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0" w:name="page231"/>
    <w:bookmarkEnd w:id="230"/>
    <w:p>
      <w:pPr>
        <w:jc w:val="both"/>
        <w:ind w:left="160" w:right="139" w:firstLine="1287"/>
        <w:spacing w:after="0" w:line="286" w:lineRule="auto"/>
        <w:tabs>
          <w:tab w:leader="none" w:pos="21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for a prepayment of the Term Loan Advances made after the first (1</w:t>
      </w:r>
      <w:r>
        <w:rPr>
          <w:rFonts w:ascii="Arial" w:cs="Arial" w:eastAsia="Arial" w:hAnsi="Arial"/>
          <w:sz w:val="8"/>
          <w:szCs w:val="8"/>
          <w:color w:val="auto"/>
        </w:rPr>
        <w:t>st</w:t>
      </w:r>
      <w:r>
        <w:rPr>
          <w:rFonts w:ascii="Arial" w:cs="Arial" w:eastAsia="Arial" w:hAnsi="Arial"/>
          <w:sz w:val="17"/>
          <w:szCs w:val="17"/>
          <w:color w:val="auto"/>
        </w:rPr>
        <w:t>) anniversary of the Effective Date, but on or prior to the second (2</w:t>
      </w:r>
      <w:r>
        <w:rPr>
          <w:rFonts w:ascii="Arial" w:cs="Arial" w:eastAsia="Arial" w:hAnsi="Arial"/>
          <w:sz w:val="8"/>
          <w:szCs w:val="8"/>
          <w:color w:val="auto"/>
        </w:rPr>
        <w:t>nd</w:t>
      </w:r>
      <w:r>
        <w:rPr>
          <w:rFonts w:ascii="Arial" w:cs="Arial" w:eastAsia="Arial" w:hAnsi="Arial"/>
          <w:sz w:val="17"/>
          <w:szCs w:val="17"/>
          <w:color w:val="auto"/>
        </w:rPr>
        <w:t>) anniversary of the Effective Date, two percent (2.0%) of the then outstanding principal amount of the Term Loan Advances immediately prior to the date of such prepayment; and</w:t>
      </w:r>
    </w:p>
    <w:p>
      <w:pPr>
        <w:spacing w:after="0" w:line="166" w:lineRule="exact"/>
        <w:rPr>
          <w:sz w:val="20"/>
          <w:szCs w:val="20"/>
          <w:color w:val="auto"/>
        </w:rPr>
      </w:pPr>
    </w:p>
    <w:p>
      <w:pPr>
        <w:jc w:val="both"/>
        <w:ind w:left="160" w:right="159" w:firstLine="1287"/>
        <w:spacing w:after="0" w:line="264" w:lineRule="auto"/>
        <w:tabs>
          <w:tab w:leader="none" w:pos="21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w:t>
      </w:r>
      <w:r>
        <w:rPr>
          <w:rFonts w:ascii="Arial" w:cs="Arial" w:eastAsia="Arial" w:hAnsi="Arial"/>
          <w:sz w:val="8"/>
          <w:szCs w:val="8"/>
          <w:color w:val="auto"/>
        </w:rPr>
        <w:t>nd</w:t>
      </w:r>
      <w:r>
        <w:rPr>
          <w:rFonts w:ascii="Arial" w:cs="Arial" w:eastAsia="Arial" w:hAnsi="Arial"/>
          <w:sz w:val="18"/>
          <w:szCs w:val="18"/>
          <w:color w:val="auto"/>
        </w:rPr>
        <w:t>) anniversary of the Effective Date, but prior to the Term Loan Maturity Date, one percent (1.0%) of the then outstanding principal amount of the Term Loan Advances immediately prior to the date of such prepayment.</w:t>
      </w:r>
    </w:p>
    <w:p>
      <w:pPr>
        <w:spacing w:after="0" w:line="69" w:lineRule="exact"/>
        <w:rPr>
          <w:sz w:val="20"/>
          <w:szCs w:val="20"/>
          <w:color w:val="auto"/>
        </w:rPr>
      </w:pPr>
    </w:p>
    <w:p>
      <w:pPr>
        <w:jc w:val="both"/>
        <w:ind w:left="160" w:right="139"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Agent, the “Prime Rate” shall mean the rate of interest per annum announced by SVB as its prime rate in effect at its principal office in the State of California (such SVB announced Prime Rate not being intended to be the lowest rate of interest charged by SVB in connection with extensions of credit to debtors); provided that, in the event such rate of interest is less than zero, such rate shall be deemed to be zero for purposes of this Agreement.</w:t>
      </w:r>
    </w:p>
    <w:p>
      <w:pPr>
        <w:spacing w:after="0" w:line="174" w:lineRule="exact"/>
        <w:rPr>
          <w:sz w:val="20"/>
          <w:szCs w:val="20"/>
          <w:color w:val="auto"/>
        </w:rPr>
      </w:pPr>
    </w:p>
    <w:p>
      <w:pPr>
        <w:jc w:val="both"/>
        <w:ind w:left="160" w:right="139"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xml:space="preserve">” is, as of any date of determination, with respect to each Lender, a percentage (expressed as a decimal, rounded to the ninth decimal place) determined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the outstanding principal amount of Term Loan Advances held by such Lender </w:t>
      </w:r>
      <w:r>
        <w:rPr>
          <w:rFonts w:ascii="Arial" w:cs="Arial" w:eastAsia="Arial" w:hAnsi="Arial"/>
          <w:sz w:val="16"/>
          <w:szCs w:val="16"/>
          <w:i w:val="1"/>
          <w:iCs w:val="1"/>
          <w:color w:val="auto"/>
        </w:rPr>
        <w:t>by</w:t>
      </w:r>
      <w:r>
        <w:rPr>
          <w:rFonts w:ascii="Arial" w:cs="Arial" w:eastAsia="Arial" w:hAnsi="Arial"/>
          <w:sz w:val="16"/>
          <w:szCs w:val="16"/>
          <w:color w:val="auto"/>
        </w:rPr>
        <w:t xml:space="preserve"> the aggregate outstanding principal amount of all Term Loan Advances.</w:t>
      </w:r>
    </w:p>
    <w:p>
      <w:pPr>
        <w:spacing w:after="0" w:line="142"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w:t>
      </w:r>
    </w:p>
    <w:p>
      <w:pPr>
        <w:spacing w:after="0" w:line="162"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Schedule</w:t>
      </w:r>
      <w:r>
        <w:rPr>
          <w:rFonts w:ascii="Arial" w:cs="Arial" w:eastAsia="Arial" w:hAnsi="Arial"/>
          <w:sz w:val="18"/>
          <w:szCs w:val="18"/>
          <w:color w:val="auto"/>
        </w:rPr>
        <w:t>” means the period of time equal to thirty-six (36) consecutive months; provided, however, if the Term B Loan Advance is made, the Repayment Schedule shall mean the period of time equal to thirty (30) consecutive months.</w:t>
      </w:r>
    </w:p>
    <w:p>
      <w:pPr>
        <w:spacing w:after="0" w:line="176" w:lineRule="exact"/>
        <w:rPr>
          <w:sz w:val="20"/>
          <w:szCs w:val="20"/>
          <w:color w:val="auto"/>
        </w:rPr>
      </w:pPr>
    </w:p>
    <w:p>
      <w:pPr>
        <w:jc w:val="both"/>
        <w:ind w:left="160" w:right="139" w:firstLine="70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0"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VP-Finance, and Controller of Borrower.</w:t>
      </w:r>
    </w:p>
    <w:p>
      <w:pPr>
        <w:spacing w:after="0" w:line="162"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reasonably be expected to interfere with the Agent’s right to sell any Collateral.</w:t>
      </w:r>
    </w:p>
    <w:p>
      <w:pPr>
        <w:spacing w:after="0" w:line="180"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162" w:lineRule="exact"/>
        <w:rPr>
          <w:sz w:val="20"/>
          <w:szCs w:val="20"/>
          <w:color w:val="auto"/>
        </w:rPr>
      </w:pPr>
    </w:p>
    <w:p>
      <w:pPr>
        <w:jc w:val="both"/>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w:t>
      </w:r>
      <w:r>
        <w:rPr>
          <w:rFonts w:ascii="Arial" w:cs="Arial" w:eastAsia="Arial" w:hAnsi="Arial"/>
          <w:sz w:val="18"/>
          <w:szCs w:val="18"/>
          <w:b w:val="1"/>
          <w:bCs w:val="1"/>
          <w:color w:val="auto"/>
        </w:rPr>
        <w:t>securities account</w:t>
      </w:r>
      <w:r>
        <w:rPr>
          <w:rFonts w:ascii="Arial" w:cs="Arial" w:eastAsia="Arial" w:hAnsi="Arial"/>
          <w:sz w:val="18"/>
          <w:szCs w:val="18"/>
          <w:color w:val="auto"/>
        </w:rPr>
        <w:t>” as defined in the Code with such additions to such term as may hereafter be made.</w:t>
      </w:r>
    </w:p>
    <w:p>
      <w:pPr>
        <w:spacing w:after="0" w:line="162"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Agent and the Lenders (pursuant to a subordination, intercreditor, or other similar agreement in form and substance satisfactory to Agent and the Lenders entered into between Agent, the Lenders and the other creditor), on terms acceptable to Agent and the Lenders.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60" w:right="139"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1" w:name="page232"/>
    <w:bookmarkEnd w:id="231"/>
    <w:p>
      <w:pPr>
        <w:jc w:val="both"/>
        <w:ind w:left="160" w:right="139"/>
        <w:spacing w:after="0" w:line="259" w:lineRule="auto"/>
        <w:rPr>
          <w:sz w:val="20"/>
          <w:szCs w:val="20"/>
          <w:color w:val="auto"/>
        </w:rPr>
      </w:pPr>
      <w:r>
        <w:rPr>
          <w:rFonts w:ascii="Arial" w:cs="Arial" w:eastAsia="Arial" w:hAnsi="Arial"/>
          <w:sz w:val="18"/>
          <w:szCs w:val="18"/>
          <w:color w:val="auto"/>
        </w:rPr>
        <w:t>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Obligations</w:t>
      </w:r>
      <w:r>
        <w:rPr>
          <w:rFonts w:ascii="Arial" w:cs="Arial" w:eastAsia="Arial" w:hAnsi="Arial"/>
          <w:sz w:val="18"/>
          <w:szCs w:val="18"/>
          <w:color w:val="auto"/>
        </w:rPr>
        <w:t>” is defined in Section 2.2(a).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2.2(a).</w:t>
      </w:r>
    </w:p>
    <w:p>
      <w:pPr>
        <w:spacing w:after="0" w:line="225" w:lineRule="exact"/>
        <w:rPr>
          <w:sz w:val="20"/>
          <w:szCs w:val="20"/>
          <w:color w:val="auto"/>
        </w:rPr>
      </w:pPr>
    </w:p>
    <w:p>
      <w:pPr>
        <w:jc w:val="both"/>
        <w:ind w:left="160" w:right="1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March 1, 2020; provided, however, if the Term B Loan Advance is made, the Term Loan Amortization Date shall be September 1, 2020.</w:t>
      </w:r>
    </w:p>
    <w:p>
      <w:pPr>
        <w:spacing w:after="0" w:line="162"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means, for any Lender, the obligation of such Lender to make a Term Loan Advance as and when available, up to the principal amount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“Term Loan Commitments” means the aggregate amount of such commitments of all Lenders.</w:t>
      </w:r>
    </w:p>
    <w:p>
      <w:pPr>
        <w:spacing w:after="0" w:line="176"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means, as to any Lender at any time, the percentage (carried out to the fourth decimal place) of the Term Loan Commitments represented by such Lender’s Term Loan Commitment at such time. The initial Term Loan Commitment Percentage of each Lender is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February 1, 2023.</w:t>
      </w:r>
    </w:p>
    <w:p>
      <w:pPr>
        <w:spacing w:after="0" w:line="225" w:lineRule="exact"/>
        <w:rPr>
          <w:sz w:val="20"/>
          <w:szCs w:val="20"/>
          <w:color w:val="auto"/>
        </w:rPr>
      </w:pPr>
    </w:p>
    <w:p>
      <w:pPr>
        <w:jc w:val="both"/>
        <w:ind w:left="160" w:right="1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jc w:val="both"/>
        <w:ind w:left="160" w:right="139"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w:t>
      </w:r>
      <w:r>
        <w:rPr>
          <w:rFonts w:ascii="Arial" w:cs="Arial" w:eastAsia="Arial" w:hAnsi="Arial"/>
          <w:sz w:val="16"/>
          <w:szCs w:val="16"/>
          <w:color w:val="auto"/>
        </w:rPr>
        <w:t>” means, collectively, (a) that certain warrant to purchase stock dated as of the Effective Date between Borrower and SVB and (b) that certain warrant to purchase stock dated as of the Effective Date between Borrower and WestRiver, in each case, as may be amended, modified, supplemented and/or restated from time to time.</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WestRiver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2" w:name="page233"/>
    <w:bookmarkEnd w:id="232"/>
    <w:p>
      <w:pPr>
        <w:ind w:left="160" w:right="139"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under the laws of the Commonwealth of Massachusetts as of the Effective Date.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Herriot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Herriot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Chief Executive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SILICON VALLEY BANK, as Agent</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Lauren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Lauren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Lauren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Lauren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WESTRIVER INNOVATION LENDING FUND VIII, L.P.</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Trent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Trent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29070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Chief Financial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29070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177800</wp:posOffset>
            </wp:positionV>
            <wp:extent cx="554863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LOAN COMMITMENTS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480" w:type="dxa"/>
            <w:vAlign w:val="bottom"/>
            <w:tcBorders>
              <w:righ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3"/>
          </w:tcPr>
          <w:p>
            <w:pPr>
              <w:jc w:val="center"/>
              <w:ind w:right="940"/>
              <w:spacing w:after="0" w:line="189" w:lineRule="exact"/>
              <w:rPr>
                <w:sz w:val="20"/>
                <w:szCs w:val="20"/>
                <w:color w:val="auto"/>
              </w:rPr>
            </w:pPr>
            <w:r>
              <w:rPr>
                <w:rFonts w:ascii="Arial" w:cs="Arial" w:eastAsia="Arial" w:hAnsi="Arial"/>
                <w:sz w:val="18"/>
                <w:szCs w:val="18"/>
                <w:b w:val="1"/>
                <w:bCs w:val="1"/>
                <w:color w:val="auto"/>
                <w:w w:val="93"/>
              </w:rPr>
              <w:t>Lender</w:t>
            </w:r>
          </w:p>
        </w:tc>
        <w:tc>
          <w:tcPr>
            <w:tcW w:w="284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b w:val="1"/>
                <w:bCs w:val="1"/>
                <w:color w:val="auto"/>
                <w:w w:val="92"/>
              </w:rPr>
              <w:t>Term Loan Commitment</w:t>
            </w:r>
          </w:p>
        </w:tc>
        <w:tc>
          <w:tcPr>
            <w:tcW w:w="320" w:type="dxa"/>
            <w:vAlign w:val="bottom"/>
            <w:tcBorders>
              <w:top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4"/>
          </w:tcPr>
          <w:p>
            <w:pPr>
              <w:jc w:val="center"/>
              <w:ind w:right="340"/>
              <w:spacing w:after="0" w:line="189" w:lineRule="exact"/>
              <w:rPr>
                <w:sz w:val="20"/>
                <w:szCs w:val="20"/>
                <w:color w:val="auto"/>
              </w:rPr>
            </w:pPr>
            <w:r>
              <w:rPr>
                <w:rFonts w:ascii="Arial" w:cs="Arial" w:eastAsia="Arial" w:hAnsi="Arial"/>
                <w:sz w:val="18"/>
                <w:szCs w:val="18"/>
                <w:b w:val="1"/>
                <w:bCs w:val="1"/>
                <w:color w:val="auto"/>
                <w:w w:val="92"/>
              </w:rPr>
              <w:t>Term Loan Commitment</w:t>
            </w:r>
          </w:p>
        </w:tc>
        <w:tc>
          <w:tcPr>
            <w:tcW w:w="440" w:type="dxa"/>
            <w:vAlign w:val="bottom"/>
          </w:tcPr>
          <w:p>
            <w:pPr>
              <w:spacing w:after="0"/>
              <w:rPr>
                <w:sz w:val="16"/>
                <w:szCs w:val="16"/>
                <w:color w:val="auto"/>
              </w:rPr>
            </w:pPr>
          </w:p>
        </w:tc>
      </w:tr>
      <w:tr>
        <w:trPr>
          <w:trHeight w:val="196"/>
        </w:trPr>
        <w:tc>
          <w:tcPr>
            <w:tcW w:w="4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540"/>
              <w:spacing w:after="0" w:line="196" w:lineRule="exact"/>
              <w:rPr>
                <w:sz w:val="20"/>
                <w:szCs w:val="20"/>
                <w:color w:val="auto"/>
              </w:rPr>
            </w:pPr>
            <w:r>
              <w:rPr>
                <w:rFonts w:ascii="Arial" w:cs="Arial" w:eastAsia="Arial" w:hAnsi="Arial"/>
                <w:sz w:val="18"/>
                <w:szCs w:val="18"/>
                <w:b w:val="1"/>
                <w:bCs w:val="1"/>
                <w:color w:val="auto"/>
                <w:w w:val="86"/>
              </w:rPr>
              <w:t>Percentage</w:t>
            </w:r>
          </w:p>
        </w:tc>
        <w:tc>
          <w:tcPr>
            <w:tcW w:w="3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r>
      <w:tr>
        <w:trPr>
          <w:trHeight w:val="21"/>
        </w:trPr>
        <w:tc>
          <w:tcPr>
            <w:tcW w:w="480" w:type="dxa"/>
            <w:vAlign w:val="bottom"/>
            <w:tcBorders>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4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4"/>
              </w:rPr>
              <w:t>Silicon Valley Bank</w:t>
            </w:r>
          </w:p>
        </w:tc>
        <w:tc>
          <w:tcPr>
            <w:tcW w:w="23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$12,000,000.00</w:t>
            </w:r>
          </w:p>
        </w:tc>
        <w:tc>
          <w:tcPr>
            <w:tcW w:w="480" w:type="dxa"/>
            <w:vAlign w:val="bottom"/>
            <w:tcBorders>
              <w:right w:val="single" w:sz="8" w:color="auto"/>
            </w:tcBorders>
          </w:tcPr>
          <w:p>
            <w:pPr>
              <w:spacing w:after="0"/>
              <w:rPr>
                <w:sz w:val="24"/>
                <w:szCs w:val="24"/>
                <w:color w:val="auto"/>
              </w:rPr>
            </w:pPr>
          </w:p>
        </w:tc>
        <w:tc>
          <w:tcPr>
            <w:tcW w:w="170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50.0%</w:t>
            </w: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135"/>
        </w:trPr>
        <w:tc>
          <w:tcPr>
            <w:tcW w:w="480" w:type="dxa"/>
            <w:vAlign w:val="bottom"/>
            <w:tcBorders>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r>
        <w:trPr>
          <w:trHeight w:val="195"/>
        </w:trPr>
        <w:tc>
          <w:tcPr>
            <w:tcW w:w="48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gridSpan w:val="5"/>
          </w:tcPr>
          <w:p>
            <w:pPr>
              <w:jc w:val="center"/>
              <w:ind w:right="20"/>
              <w:spacing w:after="0" w:line="195" w:lineRule="exact"/>
              <w:rPr>
                <w:sz w:val="20"/>
                <w:szCs w:val="20"/>
                <w:color w:val="auto"/>
              </w:rPr>
            </w:pPr>
            <w:r>
              <w:rPr>
                <w:rFonts w:ascii="Arial" w:cs="Arial" w:eastAsia="Arial" w:hAnsi="Arial"/>
                <w:sz w:val="18"/>
                <w:szCs w:val="18"/>
                <w:color w:val="auto"/>
                <w:w w:val="92"/>
              </w:rPr>
              <w:t>WestRiver Innovation</w:t>
            </w:r>
          </w:p>
        </w:tc>
        <w:tc>
          <w:tcPr>
            <w:tcW w:w="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230"/>
        </w:trPr>
        <w:tc>
          <w:tcPr>
            <w:tcW w:w="48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4"/>
              </w:rPr>
              <w:t>Lending Fund VIII, L.P.</w:t>
            </w:r>
          </w:p>
        </w:tc>
        <w:tc>
          <w:tcPr>
            <w:tcW w:w="236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w w:val="89"/>
              </w:rPr>
              <w:t>$12,000,000.00</w:t>
            </w:r>
          </w:p>
        </w:tc>
        <w:tc>
          <w:tcPr>
            <w:tcW w:w="4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0"/>
              </w:rPr>
              <w:t>50.0%</w:t>
            </w: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169"/>
        </w:trPr>
        <w:tc>
          <w:tcPr>
            <w:tcW w:w="4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Borders>
              <w:right w:val="single" w:sz="8" w:color="auto"/>
            </w:tcBorders>
            <w:gridSpan w:val="4"/>
          </w:tcPr>
          <w:p>
            <w:pPr>
              <w:jc w:val="center"/>
              <w:ind w:right="900"/>
              <w:spacing w:after="0" w:line="170" w:lineRule="exact"/>
              <w:rPr>
                <w:sz w:val="20"/>
                <w:szCs w:val="20"/>
                <w:color w:val="auto"/>
              </w:rPr>
            </w:pPr>
            <w:r>
              <w:rPr>
                <w:rFonts w:ascii="Arial" w:cs="Arial" w:eastAsia="Arial" w:hAnsi="Arial"/>
                <w:sz w:val="18"/>
                <w:szCs w:val="18"/>
                <w:b w:val="1"/>
                <w:bCs w:val="1"/>
                <w:color w:val="auto"/>
              </w:rPr>
              <w:t>TOTAL</w:t>
            </w:r>
          </w:p>
        </w:tc>
        <w:tc>
          <w:tcPr>
            <w:tcW w:w="2360" w:type="dxa"/>
            <w:vAlign w:val="bottom"/>
            <w:gridSpan w:val="2"/>
          </w:tcPr>
          <w:p>
            <w:pPr>
              <w:jc w:val="center"/>
              <w:ind w:left="350"/>
              <w:spacing w:after="0" w:line="170" w:lineRule="exact"/>
              <w:rPr>
                <w:sz w:val="20"/>
                <w:szCs w:val="20"/>
                <w:color w:val="auto"/>
              </w:rPr>
            </w:pPr>
            <w:r>
              <w:rPr>
                <w:rFonts w:ascii="Arial" w:cs="Arial" w:eastAsia="Arial" w:hAnsi="Arial"/>
                <w:sz w:val="18"/>
                <w:szCs w:val="18"/>
                <w:b w:val="1"/>
                <w:bCs w:val="1"/>
                <w:color w:val="auto"/>
                <w:w w:val="89"/>
              </w:rPr>
              <w:t>$24,000,000.00</w:t>
            </w:r>
          </w:p>
        </w:tc>
        <w:tc>
          <w:tcPr>
            <w:tcW w:w="480" w:type="dxa"/>
            <w:vAlign w:val="bottom"/>
            <w:tcBorders>
              <w:right w:val="single" w:sz="8" w:color="auto"/>
            </w:tcBorders>
          </w:tcPr>
          <w:p>
            <w:pPr>
              <w:spacing w:after="0"/>
              <w:rPr>
                <w:sz w:val="14"/>
                <w:szCs w:val="14"/>
                <w:color w:val="auto"/>
              </w:rPr>
            </w:pPr>
          </w:p>
        </w:tc>
        <w:tc>
          <w:tcPr>
            <w:tcW w:w="2240" w:type="dxa"/>
            <w:vAlign w:val="bottom"/>
            <w:gridSpan w:val="4"/>
          </w:tcPr>
          <w:p>
            <w:pPr>
              <w:jc w:val="center"/>
              <w:ind w:left="210"/>
              <w:spacing w:after="0" w:line="170" w:lineRule="exact"/>
              <w:rPr>
                <w:sz w:val="20"/>
                <w:szCs w:val="20"/>
                <w:color w:val="auto"/>
              </w:rPr>
            </w:pPr>
            <w:r>
              <w:rPr>
                <w:rFonts w:ascii="Arial" w:cs="Arial" w:eastAsia="Arial" w:hAnsi="Arial"/>
                <w:sz w:val="18"/>
                <w:szCs w:val="18"/>
                <w:b w:val="1"/>
                <w:bCs w:val="1"/>
                <w:color w:val="auto"/>
                <w:w w:val="94"/>
              </w:rPr>
              <w:t>100.0000%</w:t>
            </w:r>
          </w:p>
        </w:tc>
        <w:tc>
          <w:tcPr>
            <w:tcW w:w="3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21"/>
        </w:trPr>
        <w:tc>
          <w:tcPr>
            <w:tcW w:w="480" w:type="dxa"/>
            <w:vAlign w:val="bottom"/>
            <w:tcBorders>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121"/>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-616585</wp:posOffset>
            </wp:positionV>
            <wp:extent cx="285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4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37" w:lineRule="exact"/>
        <w:rPr>
          <w:sz w:val="20"/>
          <w:szCs w:val="20"/>
          <w:color w:val="auto"/>
        </w:rPr>
      </w:pPr>
    </w:p>
    <w:p>
      <w:pPr>
        <w:jc w:val="both"/>
        <w:ind w:left="160" w:right="139" w:firstLine="648"/>
        <w:spacing w:after="0" w:line="273"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8"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all of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1" w:lineRule="exact"/>
        <w:rPr>
          <w:sz w:val="20"/>
          <w:szCs w:val="20"/>
          <w:color w:val="auto"/>
        </w:rPr>
      </w:pPr>
    </w:p>
    <w:p>
      <w:pPr>
        <w:jc w:val="both"/>
        <w:ind w:left="160" w:right="139" w:firstLine="648"/>
        <w:spacing w:after="0" w:line="287" w:lineRule="auto"/>
        <w:rPr>
          <w:sz w:val="20"/>
          <w:szCs w:val="20"/>
          <w:color w:val="auto"/>
        </w:rPr>
      </w:pPr>
      <w:r>
        <w:rPr>
          <w:rFonts w:ascii="Arial" w:cs="Arial" w:eastAsia="Arial" w:hAnsi="Arial"/>
          <w:sz w:val="16"/>
          <w:szCs w:val="16"/>
          <w:color w:val="auto"/>
        </w:rPr>
        <w:t>Notwithstanding the foregoing, the Collateral does not include (i) more than sixty-five percent (65.0%) of the presently existing and hereafter arising issued and outstanding shares of capital stock owned by Borrower of Australian Subsidiary and Irish Subsidiary which shares entitle the holder thereof to vote for directors or any other matter, (ii) rights held under a license that are not assignable by their terms without the consent of the licensor thereof (but only to the extent such restriction on assignment is enforceable under applicable law), or (iii)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Agent’s, for the ratable benefit of the Lenders, security interest in such Accounts and such other property of Borrower that are proceeds of the Intellectual Property.</w:t>
      </w:r>
    </w:p>
    <w:p>
      <w:pPr>
        <w:spacing w:after="0" w:line="173" w:lineRule="exact"/>
        <w:rPr>
          <w:sz w:val="20"/>
          <w:szCs w:val="20"/>
          <w:color w:val="auto"/>
        </w:rPr>
      </w:pPr>
    </w:p>
    <w:p>
      <w:pPr>
        <w:jc w:val="both"/>
        <w:ind w:left="160" w:right="139" w:firstLine="648"/>
        <w:spacing w:after="0" w:line="264" w:lineRule="auto"/>
        <w:rPr>
          <w:sz w:val="20"/>
          <w:szCs w:val="20"/>
          <w:color w:val="auto"/>
        </w:rPr>
      </w:pPr>
      <w:r>
        <w:rPr>
          <w:rFonts w:ascii="Arial" w:cs="Arial" w:eastAsia="Arial" w:hAnsi="Arial"/>
          <w:sz w:val="18"/>
          <w:szCs w:val="18"/>
          <w:color w:val="auto"/>
        </w:rPr>
        <w:t>Pursuant to the terms of a certain negative pledge arrangement with Agent and the Lenders, Borrower has agreed not to encumber any of its Intellectual Property in violation of this Agreement without Agent’s and the Lenders’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415925</wp:posOffset>
            </wp:positionV>
            <wp:extent cx="554863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5" w:name="page236"/>
    <w:bookmarkEnd w:id="235"/>
    <w:p>
      <w:pPr>
        <w:jc w:val="center"/>
        <w:ind w:right="6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u w:val="single" w:color="auto"/>
          <w:color w:val="auto"/>
        </w:rPr>
        <w:t>COMPLIANCE Certificate</w:t>
      </w:r>
    </w:p>
    <w:p>
      <w:pPr>
        <w:sectPr>
          <w:pgSz w:w="11900" w:h="16838" w:orient="portrait"/>
          <w:cols w:equalWidth="0" w:num="1">
            <w:col w:w="9660"/>
          </w:cols>
          <w:pgMar w:left="1440" w:top="337" w:right="7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SILICON VALLEY BANK, as Agent, SVB, and WESTRIVER</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FROM: AXSOME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453" w:lineRule="exact"/>
        <w:rPr>
          <w:sz w:val="20"/>
          <w:szCs w:val="20"/>
          <w:color w:val="auto"/>
        </w:rPr>
      </w:pPr>
    </w:p>
    <w:p>
      <w:pPr>
        <w:sectPr>
          <w:pgSz w:w="11900" w:h="16838" w:orient="portrait"/>
          <w:cols w:equalWidth="0" w:num="2">
            <w:col w:w="5680" w:space="640"/>
            <w:col w:w="3340"/>
          </w:cols>
          <w:pgMar w:left="1440" w:top="337" w:right="799" w:bottom="1440" w:gutter="0" w:footer="0" w:header="0"/>
          <w:type w:val="continuous"/>
        </w:sectPr>
      </w:pPr>
    </w:p>
    <w:p>
      <w:pPr>
        <w:spacing w:after="0" w:line="7" w:lineRule="exact"/>
        <w:rPr>
          <w:sz w:val="20"/>
          <w:szCs w:val="20"/>
          <w:color w:val="auto"/>
        </w:rPr>
      </w:pPr>
    </w:p>
    <w:p>
      <w:pPr>
        <w:jc w:val="both"/>
        <w:ind w:left="160" w:right="780" w:firstLine="648"/>
        <w:spacing w:after="0" w:line="266" w:lineRule="auto"/>
        <w:rPr>
          <w:sz w:val="20"/>
          <w:szCs w:val="20"/>
          <w:color w:val="auto"/>
        </w:rPr>
      </w:pPr>
      <w:r>
        <w:rPr>
          <w:rFonts w:ascii="Arial" w:cs="Arial" w:eastAsia="Arial" w:hAnsi="Arial"/>
          <w:sz w:val="18"/>
          <w:szCs w:val="18"/>
          <w:color w:val="auto"/>
        </w:rPr>
        <w:t>The undersigned authorized officer of AXSOME THERAPEUTICS, INC. (“</w:t>
      </w:r>
      <w:r>
        <w:rPr>
          <w:rFonts w:ascii="Arial" w:cs="Arial" w:eastAsia="Arial" w:hAnsi="Arial"/>
          <w:sz w:val="18"/>
          <w:szCs w:val="18"/>
          <w:b w:val="1"/>
          <w:bCs w:val="1"/>
          <w:color w:val="auto"/>
        </w:rPr>
        <w:t>Borrower</w:t>
      </w:r>
      <w:r>
        <w:rPr>
          <w:rFonts w:ascii="Arial" w:cs="Arial" w:eastAsia="Arial" w:hAnsi="Arial"/>
          <w:sz w:val="18"/>
          <w:szCs w:val="18"/>
          <w:color w:val="auto"/>
        </w:rPr>
        <w:t>”) certifies that under the terms and conditions of the Loan and Security Agreement among Borrower, SVB, and WestRiver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jc w:val="both"/>
        <w:ind w:left="160" w:right="780" w:firstLine="639"/>
        <w:spacing w:after="0" w:line="269" w:lineRule="auto"/>
        <w:tabs>
          <w:tab w:leader="none" w:pos="10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Borrower is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(4) Borrower, and each of its Subsidiaries, has timely filed all required tax returns and reports (or appropriate extensions therefor),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Agent.</w:t>
      </w:r>
    </w:p>
    <w:p>
      <w:pPr>
        <w:spacing w:after="0" w:line="183" w:lineRule="exact"/>
        <w:rPr>
          <w:sz w:val="20"/>
          <w:szCs w:val="20"/>
          <w:color w:val="auto"/>
        </w:rPr>
      </w:pPr>
    </w:p>
    <w:p>
      <w:pPr>
        <w:jc w:val="both"/>
        <w:ind w:left="160" w:right="780" w:firstLine="648"/>
        <w:spacing w:after="0" w:line="255"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320" w:type="dxa"/>
            <w:vAlign w:val="bottom"/>
            <w:tcBorders>
              <w:right w:val="single" w:sz="8" w:color="auto"/>
            </w:tcBorders>
          </w:tcPr>
          <w:p>
            <w:pPr>
              <w:spacing w:after="0"/>
              <w:rPr>
                <w:sz w:val="16"/>
                <w:szCs w:val="16"/>
                <w:color w:val="auto"/>
              </w:rPr>
            </w:pPr>
          </w:p>
        </w:tc>
        <w:tc>
          <w:tcPr>
            <w:tcW w:w="3960" w:type="dxa"/>
            <w:vAlign w:val="bottom"/>
            <w:tcBorders>
              <w:top w:val="single" w:sz="8" w:color="auto"/>
              <w:right w:val="single" w:sz="8" w:color="auto"/>
            </w:tcBorders>
            <w:gridSpan w:val="4"/>
          </w:tcPr>
          <w:p>
            <w:pPr>
              <w:ind w:left="120"/>
              <w:spacing w:after="0" w:line="189" w:lineRule="exact"/>
              <w:rPr>
                <w:sz w:val="20"/>
                <w:szCs w:val="20"/>
                <w:color w:val="auto"/>
              </w:rPr>
            </w:pPr>
            <w:r>
              <w:rPr>
                <w:rFonts w:ascii="Arial" w:cs="Arial" w:eastAsia="Arial" w:hAnsi="Arial"/>
                <w:sz w:val="18"/>
                <w:szCs w:val="18"/>
                <w:b w:val="1"/>
                <w:bCs w:val="1"/>
                <w:color w:val="auto"/>
              </w:rPr>
              <w:t>Reporting Covenants</w:t>
            </w:r>
          </w:p>
        </w:tc>
        <w:tc>
          <w:tcPr>
            <w:tcW w:w="2220" w:type="dxa"/>
            <w:vAlign w:val="bottom"/>
            <w:tcBorders>
              <w:top w:val="single" w:sz="8" w:color="auto"/>
            </w:tcBorders>
            <w:gridSpan w:val="3"/>
          </w:tcPr>
          <w:p>
            <w:pPr>
              <w:ind w:left="1280"/>
              <w:spacing w:after="0" w:line="189" w:lineRule="exact"/>
              <w:rPr>
                <w:sz w:val="20"/>
                <w:szCs w:val="20"/>
                <w:color w:val="auto"/>
              </w:rPr>
            </w:pPr>
            <w:r>
              <w:rPr>
                <w:rFonts w:ascii="Arial" w:cs="Arial" w:eastAsia="Arial" w:hAnsi="Arial"/>
                <w:sz w:val="18"/>
                <w:szCs w:val="18"/>
                <w:b w:val="1"/>
                <w:bCs w:val="1"/>
                <w:color w:val="auto"/>
              </w:rPr>
              <w:t>Required</w:t>
            </w:r>
          </w:p>
        </w:tc>
        <w:tc>
          <w:tcPr>
            <w:tcW w:w="1060" w:type="dxa"/>
            <w:vAlign w:val="bottom"/>
            <w:tcBorders>
              <w:top w:val="single" w:sz="8" w:color="auto"/>
              <w:righ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4"/>
          </w:tcPr>
          <w:p>
            <w:pPr>
              <w:ind w:left="600"/>
              <w:spacing w:after="0" w:line="189" w:lineRule="exact"/>
              <w:rPr>
                <w:sz w:val="20"/>
                <w:szCs w:val="20"/>
                <w:color w:val="auto"/>
              </w:rPr>
            </w:pPr>
            <w:r>
              <w:rPr>
                <w:rFonts w:ascii="Arial" w:cs="Arial" w:eastAsia="Arial" w:hAnsi="Arial"/>
                <w:sz w:val="18"/>
                <w:szCs w:val="18"/>
                <w:b w:val="1"/>
                <w:bCs w:val="1"/>
                <w:color w:val="auto"/>
              </w:rPr>
              <w:t>Complies</w:t>
            </w:r>
          </w:p>
        </w:tc>
        <w:tc>
          <w:tcPr>
            <w:tcW w:w="0" w:type="dxa"/>
            <w:vAlign w:val="bottom"/>
          </w:tcPr>
          <w:p>
            <w:pPr>
              <w:spacing w:after="0"/>
              <w:rPr>
                <w:sz w:val="1"/>
                <w:szCs w:val="1"/>
                <w:color w:val="auto"/>
              </w:rPr>
            </w:pPr>
          </w:p>
        </w:tc>
      </w:tr>
      <w:tr>
        <w:trPr>
          <w:trHeight w:val="21"/>
        </w:trPr>
        <w:tc>
          <w:tcPr>
            <w:tcW w:w="3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Monthly financial statements with</w:t>
            </w:r>
          </w:p>
        </w:tc>
        <w:tc>
          <w:tcPr>
            <w:tcW w:w="222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Monthly within 40 days</w:t>
            </w:r>
          </w:p>
        </w:tc>
        <w:tc>
          <w:tcPr>
            <w:tcW w:w="10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10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Compliance Certificate</w:t>
            </w:r>
          </w:p>
        </w:tc>
        <w:tc>
          <w:tcPr>
            <w:tcW w:w="1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Annual financial statement (CPA Audited)</w:t>
            </w: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FYE within 180 days</w:t>
            </w:r>
          </w:p>
        </w:tc>
        <w:tc>
          <w:tcPr>
            <w:tcW w:w="10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4"/>
          </w:tcPr>
          <w:p>
            <w:pPr>
              <w:ind w:left="120"/>
              <w:spacing w:after="0" w:line="207" w:lineRule="exact"/>
              <w:rPr>
                <w:sz w:val="20"/>
                <w:szCs w:val="20"/>
                <w:color w:val="auto"/>
              </w:rPr>
            </w:pPr>
            <w:r>
              <w:rPr>
                <w:rFonts w:ascii="Arial" w:cs="Arial" w:eastAsia="Arial" w:hAnsi="Arial"/>
                <w:sz w:val="18"/>
                <w:szCs w:val="18"/>
                <w:color w:val="auto"/>
              </w:rPr>
              <w:t>Filed 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28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Within 5 days after filing with SEC</w:t>
            </w: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5"/>
        </w:trPr>
        <w:tc>
          <w:tcPr>
            <w:tcW w:w="3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10-Q Report, 10-K Report, and annual</w:t>
            </w:r>
          </w:p>
        </w:tc>
        <w:tc>
          <w:tcPr>
            <w:tcW w:w="328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Within 45 days of quarter end for 10-Q;</w:t>
            </w:r>
          </w:p>
        </w:tc>
        <w:tc>
          <w:tcPr>
            <w:tcW w:w="60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10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2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financial statement</w:t>
            </w:r>
          </w:p>
        </w:tc>
        <w:tc>
          <w:tcPr>
            <w:tcW w:w="328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FYE within 90 days for 10-K; and FYE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within 90 days for annual financial</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statements</w:t>
            </w:r>
          </w:p>
        </w:tc>
        <w:tc>
          <w:tcPr>
            <w:tcW w:w="10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Board-Approved Projections</w:t>
            </w:r>
          </w:p>
        </w:tc>
        <w:tc>
          <w:tcPr>
            <w:tcW w:w="328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FYE within 60 days and promptly</w:t>
            </w:r>
          </w:p>
        </w:tc>
        <w:tc>
          <w:tcPr>
            <w:tcW w:w="60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10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following changes</w:t>
            </w:r>
          </w:p>
        </w:tc>
        <w:tc>
          <w:tcPr>
            <w:tcW w:w="10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280" w:type="dxa"/>
            <w:vAlign w:val="bottom"/>
            <w:gridSpan w:val="5"/>
          </w:tcPr>
          <w:p>
            <w:pPr>
              <w:spacing w:after="0"/>
              <w:rPr>
                <w:sz w:val="20"/>
                <w:szCs w:val="20"/>
                <w:color w:val="auto"/>
              </w:rPr>
            </w:pPr>
            <w:r>
              <w:rPr>
                <w:rFonts w:ascii="Arial" w:cs="Arial" w:eastAsia="Arial" w:hAnsi="Arial"/>
                <w:sz w:val="18"/>
                <w:szCs w:val="18"/>
                <w:b w:val="1"/>
                <w:bCs w:val="1"/>
                <w:color w:val="auto"/>
              </w:rPr>
              <w:t>Other Matters</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20" w:type="dxa"/>
            <w:vAlign w:val="bottom"/>
          </w:tcPr>
          <w:p>
            <w:pPr>
              <w:spacing w:after="0"/>
              <w:rPr>
                <w:sz w:val="24"/>
                <w:szCs w:val="24"/>
                <w:color w:val="auto"/>
              </w:rPr>
            </w:pPr>
          </w:p>
        </w:tc>
        <w:tc>
          <w:tcPr>
            <w:tcW w:w="6180" w:type="dxa"/>
            <w:vAlign w:val="bottom"/>
            <w:gridSpan w:val="7"/>
          </w:tcPr>
          <w:p>
            <w:pPr>
              <w:ind w:left="20"/>
              <w:spacing w:after="0"/>
              <w:rPr>
                <w:sz w:val="20"/>
                <w:szCs w:val="20"/>
                <w:color w:val="auto"/>
              </w:rPr>
            </w:pPr>
            <w:r>
              <w:rPr>
                <w:rFonts w:ascii="Arial" w:cs="Arial" w:eastAsia="Arial" w:hAnsi="Arial"/>
                <w:sz w:val="18"/>
                <w:szCs w:val="18"/>
                <w:color w:val="auto"/>
                <w:w w:val="96"/>
              </w:rPr>
              <w:t>Have there been any amendments of or other changes to the capitalization table</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180" w:type="dxa"/>
            <w:vAlign w:val="bottom"/>
            <w:gridSpan w:val="7"/>
          </w:tcPr>
          <w:p>
            <w:pPr>
              <w:ind w:left="20"/>
              <w:spacing w:after="0"/>
              <w:rPr>
                <w:sz w:val="20"/>
                <w:szCs w:val="20"/>
                <w:color w:val="auto"/>
              </w:rPr>
            </w:pPr>
            <w:r>
              <w:rPr>
                <w:rFonts w:ascii="Arial" w:cs="Arial" w:eastAsia="Arial" w:hAnsi="Arial"/>
                <w:sz w:val="18"/>
                <w:szCs w:val="18"/>
                <w:color w:val="auto"/>
              </w:rPr>
              <w:t>of Borrower and to the Operating Documents of Borrower or any of its</w:t>
            </w:r>
          </w:p>
        </w:tc>
        <w:tc>
          <w:tcPr>
            <w:tcW w:w="1060" w:type="dxa"/>
            <w:vAlign w:val="bottom"/>
            <w:vMerge w:val="restart"/>
          </w:tcPr>
          <w:p>
            <w:pPr>
              <w:ind w:left="220"/>
              <w:spacing w:after="0"/>
              <w:rPr>
                <w:sz w:val="20"/>
                <w:szCs w:val="20"/>
                <w:color w:val="auto"/>
              </w:rPr>
            </w:pPr>
            <w:r>
              <w:rPr>
                <w:rFonts w:ascii="Arial" w:cs="Arial" w:eastAsia="Arial" w:hAnsi="Arial"/>
                <w:sz w:val="18"/>
                <w:szCs w:val="18"/>
                <w:color w:val="auto"/>
              </w:rPr>
              <w:t>Yes</w:t>
            </w:r>
          </w:p>
        </w:tc>
        <w:tc>
          <w:tcPr>
            <w:tcW w:w="940" w:type="dxa"/>
            <w:vAlign w:val="bottom"/>
            <w:gridSpan w:val="2"/>
            <w:vMerge w:val="restart"/>
          </w:tcPr>
          <w:p>
            <w:pPr>
              <w:ind w:left="420"/>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6180" w:type="dxa"/>
            <w:vAlign w:val="bottom"/>
            <w:gridSpan w:val="7"/>
            <w:vMerge w:val="restart"/>
          </w:tcPr>
          <w:p>
            <w:pPr>
              <w:ind w:left="20"/>
              <w:spacing w:after="0"/>
              <w:rPr>
                <w:sz w:val="20"/>
                <w:szCs w:val="20"/>
                <w:color w:val="auto"/>
              </w:rPr>
            </w:pPr>
            <w:r>
              <w:rPr>
                <w:rFonts w:ascii="Arial" w:cs="Arial" w:eastAsia="Arial" w:hAnsi="Arial"/>
                <w:sz w:val="18"/>
                <w:szCs w:val="18"/>
                <w:color w:val="auto"/>
                <w:w w:val="99"/>
              </w:rPr>
              <w:t>Subsidiaries? If yes, provide copies of any such amendments or changes with</w:t>
            </w:r>
          </w:p>
        </w:tc>
        <w:tc>
          <w:tcPr>
            <w:tcW w:w="106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6180" w:type="dxa"/>
            <w:vAlign w:val="bottom"/>
            <w:gridSpan w:val="7"/>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8"/>
          <w:szCs w:val="18"/>
          <w:color w:val="auto"/>
        </w:rPr>
        <w:t>this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1120775</wp:posOffset>
            </wp:positionV>
            <wp:extent cx="554863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660"/>
          </w:cols>
          <w:pgMar w:left="1440" w:top="337" w:right="799" w:bottom="1440" w:gutter="0" w:footer="0" w:header="0"/>
          <w:type w:val="continuous"/>
        </w:sectPr>
      </w:pPr>
    </w:p>
    <w:bookmarkStart w:id="236" w:name="page237"/>
    <w:bookmarkEnd w:id="236"/>
    <w:p>
      <w:pPr>
        <w:ind w:left="340" w:right="139" w:firstLine="648"/>
        <w:spacing w:after="0" w:line="277" w:lineRule="auto"/>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660" w:type="dxa"/>
            <w:vAlign w:val="bottom"/>
          </w:tcPr>
          <w:p>
            <w:pPr>
              <w:ind w:left="120"/>
              <w:spacing w:after="0"/>
              <w:rPr>
                <w:sz w:val="20"/>
                <w:szCs w:val="20"/>
                <w:color w:val="auto"/>
              </w:rPr>
            </w:pPr>
            <w:r>
              <w:rPr>
                <w:rFonts w:ascii="Arial" w:cs="Arial" w:eastAsia="Arial" w:hAnsi="Arial"/>
                <w:sz w:val="18"/>
                <w:szCs w:val="18"/>
                <w:color w:val="auto"/>
              </w:rPr>
              <w:t>AXSOME THERAPEUTICS, INC.</w:t>
            </w:r>
          </w:p>
        </w:tc>
        <w:tc>
          <w:tcPr>
            <w:tcW w:w="2760" w:type="dxa"/>
            <w:vAlign w:val="bottom"/>
            <w:gridSpan w:val="4"/>
          </w:tcPr>
          <w:p>
            <w:pPr>
              <w:ind w:left="940"/>
              <w:spacing w:after="0"/>
              <w:rPr>
                <w:sz w:val="20"/>
                <w:szCs w:val="20"/>
                <w:color w:val="auto"/>
              </w:rPr>
            </w:pPr>
            <w:r>
              <w:rPr>
                <w:rFonts w:ascii="Arial" w:cs="Arial" w:eastAsia="Arial" w:hAnsi="Arial"/>
                <w:sz w:val="18"/>
                <w:szCs w:val="18"/>
                <w:b w:val="1"/>
                <w:bCs w:val="1"/>
                <w:color w:val="auto"/>
              </w:rPr>
              <w:t>AGENT USE ONLY</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tcPr>
          <w:p>
            <w:pPr>
              <w:spacing w:after="0"/>
              <w:rPr>
                <w:sz w:val="24"/>
                <w:szCs w:val="24"/>
                <w:color w:val="auto"/>
              </w:rPr>
            </w:pPr>
          </w:p>
        </w:tc>
        <w:tc>
          <w:tcPr>
            <w:tcW w:w="5080" w:type="dxa"/>
            <w:vAlign w:val="bottom"/>
            <w:gridSpan w:val="8"/>
          </w:tcPr>
          <w:p>
            <w:pPr>
              <w:ind w:left="940"/>
              <w:spacing w:after="0"/>
              <w:rPr>
                <w:sz w:val="20"/>
                <w:szCs w:val="20"/>
                <w:color w:val="auto"/>
              </w:rPr>
            </w:pPr>
            <w:r>
              <w:rPr>
                <w:rFonts w:ascii="Arial" w:cs="Arial" w:eastAsia="Arial" w:hAnsi="Arial"/>
                <w:sz w:val="18"/>
                <w:szCs w:val="18"/>
                <w:color w:val="auto"/>
              </w:rPr>
              <w:t>Received by: _____________________</w:t>
            </w:r>
          </w:p>
        </w:tc>
        <w:tc>
          <w:tcPr>
            <w:tcW w:w="0" w:type="dxa"/>
            <w:vAlign w:val="bottom"/>
          </w:tcPr>
          <w:p>
            <w:pPr>
              <w:spacing w:after="0"/>
              <w:rPr>
                <w:sz w:val="1"/>
                <w:szCs w:val="1"/>
                <w:color w:val="auto"/>
              </w:rPr>
            </w:pPr>
          </w:p>
        </w:tc>
      </w:tr>
      <w:tr>
        <w:trPr>
          <w:trHeight w:val="222"/>
        </w:trPr>
        <w:tc>
          <w:tcPr>
            <w:tcW w:w="3660" w:type="dxa"/>
            <w:vAlign w:val="bottom"/>
          </w:tcPr>
          <w:p>
            <w:pPr>
              <w:ind w:left="120"/>
              <w:spacing w:after="0"/>
              <w:rPr>
                <w:sz w:val="20"/>
                <w:szCs w:val="20"/>
                <w:color w:val="auto"/>
              </w:rPr>
            </w:pPr>
            <w:r>
              <w:rPr>
                <w:rFonts w:ascii="Arial" w:cs="Arial" w:eastAsia="Arial" w:hAnsi="Arial"/>
                <w:sz w:val="18"/>
                <w:szCs w:val="18"/>
                <w:color w:val="auto"/>
              </w:rPr>
              <w:t>By:</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authorized signer</w:t>
            </w:r>
          </w:p>
        </w:tc>
        <w:tc>
          <w:tcPr>
            <w:tcW w:w="1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20"/>
              <w:spacing w:after="0" w:line="190" w:lineRule="exact"/>
              <w:rPr>
                <w:sz w:val="20"/>
                <w:szCs w:val="20"/>
                <w:color w:val="auto"/>
              </w:rPr>
            </w:pPr>
            <w:r>
              <w:rPr>
                <w:rFonts w:ascii="Arial" w:cs="Arial" w:eastAsia="Arial" w:hAnsi="Arial"/>
                <w:sz w:val="18"/>
                <w:szCs w:val="18"/>
                <w:color w:val="auto"/>
              </w:rPr>
              <w:t>Name:</w:t>
            </w:r>
          </w:p>
        </w:tc>
        <w:tc>
          <w:tcPr>
            <w:tcW w:w="1940" w:type="dxa"/>
            <w:vAlign w:val="bottom"/>
            <w:gridSpan w:val="2"/>
          </w:tcPr>
          <w:p>
            <w:pPr>
              <w:ind w:left="940"/>
              <w:spacing w:after="0" w:line="190" w:lineRule="exact"/>
              <w:rPr>
                <w:sz w:val="20"/>
                <w:szCs w:val="20"/>
                <w:color w:val="auto"/>
              </w:rPr>
            </w:pPr>
            <w:r>
              <w:rPr>
                <w:rFonts w:ascii="Arial" w:cs="Arial" w:eastAsia="Arial" w:hAnsi="Arial"/>
                <w:sz w:val="18"/>
                <w:szCs w:val="18"/>
                <w:color w:val="auto"/>
              </w:rPr>
              <w:t>Date:</w:t>
            </w:r>
          </w:p>
        </w:tc>
        <w:tc>
          <w:tcPr>
            <w:tcW w:w="3140" w:type="dxa"/>
            <w:vAlign w:val="bottom"/>
            <w:gridSpan w:val="6"/>
          </w:tcPr>
          <w:p>
            <w:pPr>
              <w:jc w:val="right"/>
              <w:ind w:right="800"/>
              <w:spacing w:after="0" w:line="190" w:lineRule="exact"/>
              <w:rPr>
                <w:sz w:val="20"/>
                <w:szCs w:val="20"/>
                <w:color w:val="auto"/>
              </w:rPr>
            </w:pPr>
            <w:r>
              <w:rPr>
                <w:rFonts w:ascii="Arial" w:cs="Arial" w:eastAsia="Arial" w:hAnsi="Arial"/>
                <w:sz w:val="18"/>
                <w:szCs w:val="18"/>
                <w:color w:val="auto"/>
                <w:w w:val="92"/>
              </w:rPr>
              <w:t>_________________________</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Title:</w:t>
            </w: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5080" w:type="dxa"/>
            <w:vAlign w:val="bottom"/>
            <w:gridSpan w:val="8"/>
            <w:vMerge w:val="restart"/>
          </w:tcPr>
          <w:p>
            <w:pPr>
              <w:ind w:left="940"/>
              <w:spacing w:after="0"/>
              <w:rPr>
                <w:sz w:val="20"/>
                <w:szCs w:val="20"/>
                <w:color w:val="auto"/>
              </w:rPr>
            </w:pPr>
            <w:r>
              <w:rPr>
                <w:rFonts w:ascii="Arial" w:cs="Arial" w:eastAsia="Arial" w:hAnsi="Arial"/>
                <w:sz w:val="18"/>
                <w:szCs w:val="18"/>
                <w:color w:val="auto"/>
              </w:rPr>
              <w:t>Verified: ________________________</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50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authorized signer</w:t>
            </w:r>
          </w:p>
        </w:tc>
        <w:tc>
          <w:tcPr>
            <w:tcW w:w="13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940" w:type="dxa"/>
            <w:vAlign w:val="bottom"/>
            <w:gridSpan w:val="2"/>
          </w:tcPr>
          <w:p>
            <w:pPr>
              <w:ind w:left="940"/>
              <w:spacing w:after="0" w:line="190" w:lineRule="exact"/>
              <w:rPr>
                <w:sz w:val="20"/>
                <w:szCs w:val="20"/>
                <w:color w:val="auto"/>
              </w:rPr>
            </w:pPr>
            <w:r>
              <w:rPr>
                <w:rFonts w:ascii="Arial" w:cs="Arial" w:eastAsia="Arial" w:hAnsi="Arial"/>
                <w:sz w:val="18"/>
                <w:szCs w:val="18"/>
                <w:color w:val="auto"/>
              </w:rPr>
              <w:t>Date:</w:t>
            </w:r>
          </w:p>
        </w:tc>
        <w:tc>
          <w:tcPr>
            <w:tcW w:w="3140" w:type="dxa"/>
            <w:vAlign w:val="bottom"/>
            <w:gridSpan w:val="6"/>
          </w:tcPr>
          <w:p>
            <w:pPr>
              <w:jc w:val="right"/>
              <w:ind w:right="800"/>
              <w:spacing w:after="0" w:line="190" w:lineRule="exact"/>
              <w:rPr>
                <w:sz w:val="20"/>
                <w:szCs w:val="20"/>
                <w:color w:val="auto"/>
              </w:rPr>
            </w:pPr>
            <w:r>
              <w:rPr>
                <w:rFonts w:ascii="Arial" w:cs="Arial" w:eastAsia="Arial" w:hAnsi="Arial"/>
                <w:sz w:val="18"/>
                <w:szCs w:val="18"/>
                <w:color w:val="auto"/>
                <w:w w:val="92"/>
              </w:rPr>
              <w:t>_________________________</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60" w:type="dxa"/>
            <w:vAlign w:val="bottom"/>
          </w:tcPr>
          <w:p>
            <w:pPr>
              <w:spacing w:after="0"/>
              <w:rPr>
                <w:sz w:val="24"/>
                <w:szCs w:val="24"/>
                <w:color w:val="auto"/>
              </w:rPr>
            </w:pPr>
          </w:p>
        </w:tc>
        <w:tc>
          <w:tcPr>
            <w:tcW w:w="2760" w:type="dxa"/>
            <w:vAlign w:val="bottom"/>
            <w:gridSpan w:val="4"/>
          </w:tcPr>
          <w:p>
            <w:pPr>
              <w:ind w:left="940"/>
              <w:spacing w:after="0"/>
              <w:rPr>
                <w:sz w:val="20"/>
                <w:szCs w:val="20"/>
                <w:color w:val="auto"/>
              </w:rPr>
            </w:pPr>
            <w:r>
              <w:rPr>
                <w:rFonts w:ascii="Arial" w:cs="Arial" w:eastAsia="Arial" w:hAnsi="Arial"/>
                <w:sz w:val="18"/>
                <w:szCs w:val="18"/>
                <w:color w:val="auto"/>
              </w:rPr>
              <w:t>Compliance Status:</w:t>
            </w:r>
          </w:p>
        </w:tc>
        <w:tc>
          <w:tcPr>
            <w:tcW w:w="2320" w:type="dxa"/>
            <w:vAlign w:val="bottom"/>
            <w:gridSpan w:val="4"/>
          </w:tcPr>
          <w:p>
            <w:pPr>
              <w:jc w:val="right"/>
              <w:ind w:right="1380"/>
              <w:spacing w:after="0"/>
              <w:rPr>
                <w:sz w:val="20"/>
                <w:szCs w:val="20"/>
                <w:color w:val="auto"/>
              </w:rPr>
            </w:pPr>
            <w:r>
              <w:rPr>
                <w:rFonts w:ascii="Arial" w:cs="Arial" w:eastAsia="Arial" w:hAnsi="Arial"/>
                <w:sz w:val="18"/>
                <w:szCs w:val="18"/>
                <w:color w:val="auto"/>
              </w:rPr>
              <w:t>Yes   No</w:t>
            </w:r>
          </w:p>
        </w:tc>
        <w:tc>
          <w:tcPr>
            <w:tcW w:w="0" w:type="dxa"/>
            <w:vAlign w:val="bottom"/>
          </w:tcPr>
          <w:p>
            <w:pPr>
              <w:spacing w:after="0"/>
              <w:rPr>
                <w:sz w:val="1"/>
                <w:szCs w:val="1"/>
                <w:color w:val="auto"/>
              </w:rPr>
            </w:pPr>
          </w:p>
        </w:tc>
      </w:tr>
      <w:tr>
        <w:trPr>
          <w:trHeight w:val="1155"/>
        </w:trPr>
        <w:tc>
          <w:tcPr>
            <w:tcW w:w="36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99"/>
          </w:cols>
          <w:pgMar w:left="1260" w:top="341" w:right="1440" w:bottom="1440" w:gutter="0" w:footer="0" w:header="0"/>
        </w:sectPr>
      </w:pPr>
    </w:p>
    <w:bookmarkStart w:id="237" w:name="page238"/>
    <w:bookmarkEnd w:id="237"/>
    <w:p>
      <w:pPr>
        <w:ind w:left="4360"/>
        <w:spacing w:after="0"/>
        <w:rPr>
          <w:sz w:val="20"/>
          <w:szCs w:val="20"/>
          <w:color w:val="auto"/>
        </w:rPr>
      </w:pPr>
      <w:r>
        <w:rPr>
          <w:rFonts w:ascii="Arial" w:cs="Arial" w:eastAsia="Arial" w:hAnsi="Arial"/>
          <w:sz w:val="18"/>
          <w:szCs w:val="18"/>
          <w:color w:val="auto"/>
        </w:rPr>
        <w:t>EXHIBIT C</w:t>
      </w:r>
    </w:p>
    <w:p>
      <w:pPr>
        <w:spacing w:after="0" w:line="59" w:lineRule="exact"/>
        <w:rPr>
          <w:sz w:val="20"/>
          <w:szCs w:val="20"/>
          <w:color w:val="auto"/>
        </w:rPr>
      </w:pPr>
    </w:p>
    <w:p>
      <w:pPr>
        <w:ind w:left="2800"/>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same day processing is Noon Eastern Time</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Fax To: Date: _____________________</w:t>
            </w:r>
          </w:p>
        </w:tc>
        <w:tc>
          <w:tcPr>
            <w:tcW w:w="5260" w:type="dxa"/>
            <w:vAlign w:val="bottom"/>
          </w:tcPr>
          <w:p>
            <w:pPr>
              <w:spacing w:after="0"/>
              <w:rPr>
                <w:sz w:val="20"/>
                <w:szCs w:val="20"/>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28"/>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Loan Payment:  </w:t>
            </w:r>
            <w:r>
              <w:rPr>
                <w:rFonts w:ascii="Arial" w:cs="Arial" w:eastAsia="Arial" w:hAnsi="Arial"/>
                <w:sz w:val="18"/>
                <w:szCs w:val="18"/>
                <w:color w:val="auto"/>
              </w:rPr>
              <w:t>AXSOME THERAPEUTICS, INC.</w:t>
            </w:r>
          </w:p>
        </w:tc>
        <w:tc>
          <w:tcPr>
            <w:tcW w:w="5260" w:type="dxa"/>
            <w:vAlign w:val="bottom"/>
            <w:tcBorders>
              <w:right w:val="single" w:sz="8" w:color="auto"/>
            </w:tcBorders>
          </w:tcPr>
          <w:p>
            <w:pPr>
              <w:spacing w:after="0"/>
              <w:rPr>
                <w:sz w:val="19"/>
                <w:szCs w:val="19"/>
                <w:color w:val="auto"/>
              </w:rPr>
            </w:pPr>
          </w:p>
        </w:tc>
      </w:tr>
      <w:tr>
        <w:trPr>
          <w:trHeight w:val="305"/>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3"/>
              </w:rPr>
              <w:t>From Account #________________________________</w:t>
            </w:r>
          </w:p>
        </w:tc>
        <w:tc>
          <w:tcPr>
            <w:tcW w:w="526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To Account</w:t>
            </w:r>
          </w:p>
        </w:tc>
      </w:tr>
      <w:tr>
        <w:trPr>
          <w:trHeight w:val="189"/>
        </w:trPr>
        <w:tc>
          <w:tcPr>
            <w:tcW w:w="424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8"/>
                <w:szCs w:val="18"/>
                <w:color w:val="auto"/>
                <w:w w:val="97"/>
              </w:rPr>
              <w:t>#__________________________________________</w:t>
            </w:r>
          </w:p>
        </w:tc>
        <w:tc>
          <w:tcPr>
            <w:tcW w:w="5260" w:type="dxa"/>
            <w:vAlign w:val="bottom"/>
            <w:tcBorders>
              <w:right w:val="single" w:sz="8" w:color="auto"/>
            </w:tcBorders>
          </w:tcPr>
          <w:p>
            <w:pPr>
              <w:spacing w:after="0"/>
              <w:rPr>
                <w:sz w:val="16"/>
                <w:szCs w:val="16"/>
                <w:color w:val="auto"/>
              </w:rPr>
            </w:pPr>
          </w:p>
        </w:tc>
      </w:tr>
      <w:tr>
        <w:trPr>
          <w:trHeight w:val="189"/>
        </w:trPr>
        <w:tc>
          <w:tcPr>
            <w:tcW w:w="4240" w:type="dxa"/>
            <w:vAlign w:val="bottom"/>
            <w:tcBorders>
              <w:left w:val="single" w:sz="8" w:color="auto"/>
            </w:tcBorders>
          </w:tcPr>
          <w:p>
            <w:pPr>
              <w:ind w:left="1320"/>
              <w:spacing w:after="0" w:line="189" w:lineRule="exact"/>
              <w:rPr>
                <w:sz w:val="20"/>
                <w:szCs w:val="20"/>
                <w:color w:val="auto"/>
              </w:rPr>
            </w:pPr>
            <w:r>
              <w:rPr>
                <w:rFonts w:ascii="Arial" w:cs="Arial" w:eastAsia="Arial" w:hAnsi="Arial"/>
                <w:sz w:val="18"/>
                <w:szCs w:val="18"/>
                <w:color w:val="auto"/>
              </w:rPr>
              <w:t>(Deposit Account #)</w:t>
            </w:r>
          </w:p>
        </w:tc>
        <w:tc>
          <w:tcPr>
            <w:tcW w:w="526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8"/>
                <w:szCs w:val="18"/>
                <w:color w:val="auto"/>
              </w:rPr>
              <w:t>(Loan Account #)</w:t>
            </w:r>
          </w:p>
        </w:tc>
      </w:tr>
      <w:tr>
        <w:trPr>
          <w:trHeight w:val="189"/>
        </w:trPr>
        <w:tc>
          <w:tcPr>
            <w:tcW w:w="424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Principal $____________________________________</w:t>
            </w:r>
          </w:p>
        </w:tc>
        <w:tc>
          <w:tcPr>
            <w:tcW w:w="5260" w:type="dxa"/>
            <w:vAlign w:val="bottom"/>
            <w:tcBorders>
              <w:right w:val="single" w:sz="8" w:color="auto"/>
            </w:tcBorders>
          </w:tcPr>
          <w:p>
            <w:pPr>
              <w:ind w:left="440"/>
              <w:spacing w:after="0" w:line="189" w:lineRule="exact"/>
              <w:rPr>
                <w:sz w:val="20"/>
                <w:szCs w:val="20"/>
                <w:color w:val="auto"/>
              </w:rPr>
            </w:pPr>
            <w:r>
              <w:rPr>
                <w:rFonts w:ascii="Arial" w:cs="Arial" w:eastAsia="Arial" w:hAnsi="Arial"/>
                <w:sz w:val="18"/>
                <w:szCs w:val="18"/>
                <w:color w:val="auto"/>
              </w:rPr>
              <w:t>and/or Interest</w:t>
            </w:r>
          </w:p>
        </w:tc>
      </w:tr>
      <w:tr>
        <w:trPr>
          <w:trHeight w:val="230"/>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$________________________________________</w:t>
            </w:r>
          </w:p>
        </w:tc>
        <w:tc>
          <w:tcPr>
            <w:tcW w:w="5260" w:type="dxa"/>
            <w:vAlign w:val="bottom"/>
            <w:tcBorders>
              <w:right w:val="single" w:sz="8" w:color="auto"/>
            </w:tcBorders>
          </w:tcPr>
          <w:p>
            <w:pPr>
              <w:spacing w:after="0"/>
              <w:rPr>
                <w:sz w:val="20"/>
                <w:szCs w:val="20"/>
                <w:color w:val="auto"/>
              </w:rPr>
            </w:pPr>
          </w:p>
        </w:tc>
      </w:tr>
      <w:tr>
        <w:trPr>
          <w:trHeight w:val="337"/>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Authorized Signature:</w:t>
            </w:r>
          </w:p>
        </w:tc>
        <w:tc>
          <w:tcPr>
            <w:tcW w:w="52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Phone Number:</w:t>
            </w:r>
          </w:p>
        </w:tc>
      </w:tr>
      <w:tr>
        <w:trPr>
          <w:trHeight w:val="230"/>
        </w:trPr>
        <w:tc>
          <w:tcPr>
            <w:tcW w:w="42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Print Name/Title:</w:t>
            </w:r>
          </w:p>
        </w:tc>
        <w:tc>
          <w:tcPr>
            <w:tcW w:w="5260" w:type="dxa"/>
            <w:vAlign w:val="bottom"/>
            <w:tcBorders>
              <w:bottom w:val="single" w:sz="8" w:color="auto"/>
              <w:right w:val="single" w:sz="8" w:color="auto"/>
            </w:tcBorders>
          </w:tcPr>
          <w:p>
            <w:pPr>
              <w:spacing w:after="0"/>
              <w:rPr>
                <w:sz w:val="20"/>
                <w:szCs w:val="20"/>
                <w:color w:val="auto"/>
              </w:rPr>
            </w:pP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Loan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6028690" cy="22980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6028690" cy="229806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Complete </w:t>
      </w:r>
      <w:r>
        <w:rPr>
          <w:rFonts w:ascii="Arial" w:cs="Arial" w:eastAsia="Arial" w:hAnsi="Arial"/>
          <w:sz w:val="17"/>
          <w:szCs w:val="17"/>
          <w:i w:val="1"/>
          <w:iCs w:val="1"/>
          <w:color w:val="auto"/>
        </w:rPr>
        <w:t>Outgoing Wire Request</w:t>
      </w:r>
      <w:r>
        <w:rPr>
          <w:rFonts w:ascii="Arial" w:cs="Arial" w:eastAsia="Arial" w:hAnsi="Arial"/>
          <w:sz w:val="17"/>
          <w:szCs w:val="17"/>
          <w:color w:val="auto"/>
        </w:rPr>
        <w:t xml:space="preserve"> section below if all or a portion of the funds from this loan advance are for an outgoing wire.</w:t>
      </w:r>
    </w:p>
    <w:p>
      <w:pPr>
        <w:spacing w:after="0" w:line="181"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18"/>
          <w:szCs w:val="18"/>
          <w:color w:val="auto"/>
        </w:rPr>
        <w:t>From Account #________________________________</w:t>
      </w:r>
      <w:r>
        <w:rPr>
          <w:sz w:val="20"/>
          <w:szCs w:val="20"/>
          <w:color w:val="auto"/>
        </w:rPr>
        <w:tab/>
      </w:r>
      <w:r>
        <w:rPr>
          <w:rFonts w:ascii="Arial" w:cs="Arial" w:eastAsia="Arial" w:hAnsi="Arial"/>
          <w:sz w:val="16"/>
          <w:szCs w:val="16"/>
          <w:color w:val="auto"/>
        </w:rPr>
        <w:t>To Account</w:t>
      </w:r>
    </w:p>
    <w:p>
      <w:pPr>
        <w:ind w:left="20"/>
        <w:spacing w:after="0" w:line="219" w:lineRule="auto"/>
        <w:rPr>
          <w:sz w:val="20"/>
          <w:szCs w:val="20"/>
          <w:color w:val="auto"/>
        </w:rPr>
      </w:pPr>
      <w:r>
        <w:rPr>
          <w:rFonts w:ascii="Arial" w:cs="Arial" w:eastAsia="Arial" w:hAnsi="Arial"/>
          <w:sz w:val="18"/>
          <w:szCs w:val="18"/>
          <w:color w:val="auto"/>
        </w:rPr>
        <w:t>#__________________________________________</w:t>
      </w:r>
    </w:p>
    <w:p>
      <w:pPr>
        <w:ind w:left="1320"/>
        <w:spacing w:after="0"/>
        <w:tabs>
          <w:tab w:leader="none" w:pos="5160" w:val="left"/>
        </w:tabs>
        <w:rPr>
          <w:sz w:val="20"/>
          <w:szCs w:val="20"/>
          <w:color w:val="auto"/>
        </w:rPr>
      </w:pPr>
      <w:r>
        <w:rPr>
          <w:rFonts w:ascii="Arial" w:cs="Arial" w:eastAsia="Arial" w:hAnsi="Arial"/>
          <w:sz w:val="18"/>
          <w:szCs w:val="18"/>
          <w:color w:val="auto"/>
        </w:rPr>
        <w:t>(Loan Account #)</w:t>
      </w:r>
      <w:r>
        <w:rPr>
          <w:sz w:val="20"/>
          <w:szCs w:val="20"/>
          <w:color w:val="auto"/>
        </w:rPr>
        <w:tab/>
      </w:r>
      <w:r>
        <w:rPr>
          <w:rFonts w:ascii="Arial" w:cs="Arial" w:eastAsia="Arial" w:hAnsi="Arial"/>
          <w:sz w:val="16"/>
          <w:szCs w:val="16"/>
          <w:color w:val="auto"/>
        </w:rPr>
        <w:t>(Deposit Account #)</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 of Term Loan Advance $___________________________</w:t>
      </w:r>
    </w:p>
    <w:p>
      <w:pPr>
        <w:spacing w:after="0" w:line="171" w:lineRule="exact"/>
        <w:rPr>
          <w:sz w:val="20"/>
          <w:szCs w:val="20"/>
          <w:color w:val="auto"/>
        </w:rPr>
      </w:pPr>
    </w:p>
    <w:p>
      <w:pPr>
        <w:ind w:left="20" w:right="120"/>
        <w:spacing w:after="0" w:line="228"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49"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6"/>
          <w:szCs w:val="16"/>
          <w:color w:val="auto"/>
        </w:rPr>
        <w:t>Phone Number:</w:t>
      </w:r>
    </w:p>
    <w:p>
      <w:pPr>
        <w:ind w:left="20"/>
        <w:spacing w:after="0"/>
        <w:rPr>
          <w:sz w:val="20"/>
          <w:szCs w:val="20"/>
          <w:color w:val="auto"/>
        </w:rPr>
      </w:pPr>
      <w:r>
        <w:rPr>
          <w:rFonts w:ascii="Arial" w:cs="Arial" w:eastAsia="Arial" w:hAnsi="Arial"/>
          <w:sz w:val="18"/>
          <w:szCs w:val="18"/>
          <w:color w:val="auto"/>
        </w:rPr>
        <w:t>Print Name/Title:</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Outgoing Wire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028690" cy="2675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6028690" cy="2675890"/>
                    </a:xfrm>
                    <a:prstGeom prst="rect">
                      <a:avLst/>
                    </a:prstGeom>
                    <a:noFill/>
                  </pic:spPr>
                </pic:pic>
              </a:graphicData>
            </a:graphic>
          </wp:anchor>
        </w:drawing>
      </w:r>
    </w:p>
    <w:p>
      <w:pPr>
        <w:ind w:left="20"/>
        <w:spacing w:after="0" w:line="221" w:lineRule="auto"/>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Deadline for same day processing is noon, Eastern Time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8"/>
                <w:szCs w:val="18"/>
                <w:color w:val="auto"/>
                <w:w w:val="91"/>
              </w:rPr>
              <w:t>Beneficiary Name: _____________________________</w:t>
            </w:r>
          </w:p>
        </w:tc>
        <w:tc>
          <w:tcPr>
            <w:tcW w:w="3480" w:type="dxa"/>
            <w:vAlign w:val="bottom"/>
          </w:tcPr>
          <w:p>
            <w:pPr>
              <w:jc w:val="center"/>
              <w:ind w:right="810"/>
              <w:spacing w:after="0"/>
              <w:rPr>
                <w:sz w:val="20"/>
                <w:szCs w:val="20"/>
                <w:color w:val="auto"/>
              </w:rPr>
            </w:pPr>
            <w:r>
              <w:rPr>
                <w:rFonts w:ascii="Arial" w:cs="Arial" w:eastAsia="Arial" w:hAnsi="Arial"/>
                <w:sz w:val="18"/>
                <w:szCs w:val="18"/>
                <w:color w:val="auto"/>
                <w:w w:val="95"/>
              </w:rPr>
              <w:t>Amount of Wire: $</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w w:val="90"/>
              </w:rPr>
              <w:t>Beneficiary Bank: ______________________________</w:t>
            </w:r>
          </w:p>
        </w:tc>
        <w:tc>
          <w:tcPr>
            <w:tcW w:w="3480" w:type="dxa"/>
            <w:vAlign w:val="bottom"/>
          </w:tcPr>
          <w:p>
            <w:pPr>
              <w:jc w:val="center"/>
              <w:ind w:right="810"/>
              <w:spacing w:after="0" w:line="189" w:lineRule="exact"/>
              <w:rPr>
                <w:sz w:val="20"/>
                <w:szCs w:val="20"/>
                <w:color w:val="auto"/>
              </w:rPr>
            </w:pPr>
            <w:r>
              <w:rPr>
                <w:rFonts w:ascii="Arial" w:cs="Arial" w:eastAsia="Arial" w:hAnsi="Arial"/>
                <w:sz w:val="18"/>
                <w:szCs w:val="18"/>
                <w:color w:val="auto"/>
                <w:w w:val="93"/>
              </w:rPr>
              <w:t>Account Number:</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City and State:</w:t>
            </w:r>
          </w:p>
        </w:tc>
        <w:tc>
          <w:tcPr>
            <w:tcW w:w="3480" w:type="dxa"/>
            <w:vAlign w:val="bottom"/>
          </w:tcPr>
          <w:p>
            <w:pPr>
              <w:spacing w:after="0"/>
              <w:rPr>
                <w:sz w:val="20"/>
                <w:szCs w:val="20"/>
                <w:color w:val="auto"/>
              </w:rPr>
            </w:pPr>
          </w:p>
        </w:tc>
      </w:tr>
      <w:tr>
        <w:trPr>
          <w:trHeight w:val="333"/>
        </w:trPr>
        <w:tc>
          <w:tcPr>
            <w:tcW w:w="4060" w:type="dxa"/>
            <w:vAlign w:val="bottom"/>
          </w:tcPr>
          <w:p>
            <w:pPr>
              <w:spacing w:after="0"/>
              <w:rPr>
                <w:sz w:val="20"/>
                <w:szCs w:val="20"/>
                <w:color w:val="auto"/>
              </w:rPr>
            </w:pPr>
            <w:r>
              <w:rPr>
                <w:rFonts w:ascii="Arial" w:cs="Arial" w:eastAsia="Arial" w:hAnsi="Arial"/>
                <w:sz w:val="18"/>
                <w:szCs w:val="18"/>
                <w:color w:val="auto"/>
              </w:rPr>
              <w:t>Beneficiary Bank Transit (ABA) #:</w:t>
            </w:r>
          </w:p>
        </w:tc>
        <w:tc>
          <w:tcPr>
            <w:tcW w:w="3480" w:type="dxa"/>
            <w:vAlign w:val="bottom"/>
          </w:tcPr>
          <w:p>
            <w:pPr>
              <w:spacing w:after="0"/>
              <w:rPr>
                <w:sz w:val="20"/>
                <w:szCs w:val="20"/>
                <w:color w:val="auto"/>
              </w:rPr>
            </w:pPr>
            <w:r>
              <w:rPr>
                <w:rFonts w:ascii="Arial" w:cs="Arial" w:eastAsia="Arial" w:hAnsi="Arial"/>
                <w:sz w:val="18"/>
                <w:szCs w:val="18"/>
                <w:color w:val="auto"/>
                <w:w w:val="92"/>
              </w:rPr>
              <w:t>Beneficiary Bank Code (Swift, Sort, Chip, etc.):</w:t>
            </w:r>
          </w:p>
        </w:tc>
      </w:tr>
      <w:tr>
        <w:trPr>
          <w:trHeight w:val="193"/>
        </w:trPr>
        <w:tc>
          <w:tcPr>
            <w:tcW w:w="4060" w:type="dxa"/>
            <w:vAlign w:val="bottom"/>
          </w:tcPr>
          <w:p>
            <w:pPr>
              <w:spacing w:after="0"/>
              <w:rPr>
                <w:sz w:val="16"/>
                <w:szCs w:val="16"/>
                <w:color w:val="auto"/>
              </w:rPr>
            </w:pPr>
          </w:p>
        </w:tc>
        <w:tc>
          <w:tcPr>
            <w:tcW w:w="3480" w:type="dxa"/>
            <w:vAlign w:val="bottom"/>
          </w:tcPr>
          <w:p>
            <w:pPr>
              <w:ind w:left="480"/>
              <w:spacing w:after="0" w:line="193" w:lineRule="exact"/>
              <w:rPr>
                <w:sz w:val="20"/>
                <w:szCs w:val="20"/>
                <w:color w:val="auto"/>
              </w:rPr>
            </w:pPr>
            <w:r>
              <w:rPr>
                <w:rFonts w:ascii="Arial" w:cs="Arial" w:eastAsia="Arial" w:hAnsi="Arial"/>
                <w:sz w:val="18"/>
                <w:szCs w:val="18"/>
                <w:b w:val="1"/>
                <w:bCs w:val="1"/>
                <w:color w:val="auto"/>
              </w:rPr>
              <w:t>(For International Wire Only)</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Intermediary Bank:</w:t>
            </w:r>
          </w:p>
        </w:tc>
        <w:tc>
          <w:tcPr>
            <w:tcW w:w="3480" w:type="dxa"/>
            <w:vAlign w:val="bottom"/>
          </w:tcPr>
          <w:p>
            <w:pPr>
              <w:ind w:left="920"/>
              <w:spacing w:after="0" w:line="189" w:lineRule="exact"/>
              <w:rPr>
                <w:sz w:val="20"/>
                <w:szCs w:val="20"/>
                <w:color w:val="auto"/>
              </w:rPr>
            </w:pPr>
            <w:r>
              <w:rPr>
                <w:rFonts w:ascii="Arial" w:cs="Arial" w:eastAsia="Arial" w:hAnsi="Arial"/>
                <w:sz w:val="18"/>
                <w:szCs w:val="18"/>
                <w:color w:val="auto"/>
              </w:rPr>
              <w:t>Transit (ABA) #:</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For Further Credit to:</w:t>
            </w:r>
          </w:p>
        </w:tc>
        <w:tc>
          <w:tcPr>
            <w:tcW w:w="3480" w:type="dxa"/>
            <w:vAlign w:val="bottom"/>
          </w:tcPr>
          <w:p>
            <w:pPr>
              <w:spacing w:after="0"/>
              <w:rPr>
                <w:sz w:val="20"/>
                <w:szCs w:val="20"/>
                <w:color w:val="auto"/>
              </w:rPr>
            </w:pPr>
          </w:p>
        </w:tc>
      </w:tr>
      <w:tr>
        <w:trPr>
          <w:trHeight w:val="378"/>
        </w:trPr>
        <w:tc>
          <w:tcPr>
            <w:tcW w:w="4060" w:type="dxa"/>
            <w:vAlign w:val="bottom"/>
          </w:tcPr>
          <w:p>
            <w:pPr>
              <w:spacing w:after="0"/>
              <w:rPr>
                <w:sz w:val="20"/>
                <w:szCs w:val="20"/>
                <w:color w:val="auto"/>
              </w:rPr>
            </w:pPr>
            <w:r>
              <w:rPr>
                <w:rFonts w:ascii="Arial" w:cs="Arial" w:eastAsia="Arial" w:hAnsi="Arial"/>
                <w:sz w:val="18"/>
                <w:szCs w:val="18"/>
                <w:color w:val="auto"/>
              </w:rPr>
              <w:t>Special Instruction:</w:t>
            </w:r>
          </w:p>
        </w:tc>
        <w:tc>
          <w:tcPr>
            <w:tcW w:w="3480" w:type="dxa"/>
            <w:vAlign w:val="bottom"/>
          </w:tcPr>
          <w:p>
            <w:pPr>
              <w:spacing w:after="0"/>
              <w:rPr>
                <w:sz w:val="24"/>
                <w:szCs w:val="24"/>
                <w:color w:val="auto"/>
              </w:rPr>
            </w:pPr>
          </w:p>
        </w:tc>
      </w:tr>
    </w:tbl>
    <w:p>
      <w:pPr>
        <w:spacing w:after="0" w:line="148" w:lineRule="exact"/>
        <w:rPr>
          <w:sz w:val="20"/>
          <w:szCs w:val="20"/>
          <w:color w:val="auto"/>
        </w:rPr>
      </w:pPr>
    </w:p>
    <w:p>
      <w:pPr>
        <w:ind w:left="20" w:right="260"/>
        <w:spacing w:after="0" w:line="235"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80" w:type="dxa"/>
            <w:vAlign w:val="bottom"/>
            <w:gridSpan w:val="2"/>
          </w:tcPr>
          <w:p>
            <w:pPr>
              <w:spacing w:after="0"/>
              <w:rPr>
                <w:sz w:val="20"/>
                <w:szCs w:val="20"/>
                <w:color w:val="auto"/>
              </w:rPr>
            </w:pPr>
            <w:r>
              <w:rPr>
                <w:rFonts w:ascii="Arial" w:cs="Arial" w:eastAsia="Arial" w:hAnsi="Arial"/>
                <w:sz w:val="14"/>
                <w:szCs w:val="14"/>
                <w:color w:val="auto"/>
                <w:w w:val="93"/>
              </w:rPr>
              <w:t>Authorized Signature: ___________________________</w:t>
            </w:r>
          </w:p>
        </w:tc>
        <w:tc>
          <w:tcPr>
            <w:tcW w:w="5860" w:type="dxa"/>
            <w:vAlign w:val="bottom"/>
          </w:tcPr>
          <w:p>
            <w:pPr>
              <w:ind w:left="6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Signature (if required): _______________________________________</w:t>
            </w:r>
          </w:p>
        </w:tc>
      </w:tr>
      <w:tr>
        <w:trPr>
          <w:trHeight w:val="196"/>
        </w:trPr>
        <w:tc>
          <w:tcPr>
            <w:tcW w:w="3280" w:type="dxa"/>
            <w:vAlign w:val="bottom"/>
            <w:gridSpan w:val="2"/>
          </w:tcPr>
          <w:p>
            <w:pPr>
              <w:spacing w:after="0"/>
              <w:rPr>
                <w:sz w:val="20"/>
                <w:szCs w:val="20"/>
                <w:color w:val="auto"/>
              </w:rPr>
            </w:pPr>
            <w:r>
              <w:rPr>
                <w:rFonts w:ascii="Arial" w:cs="Arial" w:eastAsia="Arial" w:hAnsi="Arial"/>
                <w:sz w:val="14"/>
                <w:szCs w:val="14"/>
                <w:color w:val="auto"/>
                <w:w w:val="95"/>
              </w:rPr>
              <w:t>Print Name/Title: ______________________________</w:t>
            </w:r>
          </w:p>
        </w:tc>
        <w:tc>
          <w:tcPr>
            <w:tcW w:w="5860" w:type="dxa"/>
            <w:vAlign w:val="bottom"/>
          </w:tcPr>
          <w:p>
            <w:pPr>
              <w:ind w:left="560"/>
              <w:spacing w:after="0"/>
              <w:rPr>
                <w:sz w:val="20"/>
                <w:szCs w:val="20"/>
                <w:color w:val="auto"/>
              </w:rPr>
            </w:pPr>
            <w:r>
              <w:rPr>
                <w:rFonts w:ascii="Arial" w:cs="Arial" w:eastAsia="Arial" w:hAnsi="Arial"/>
                <w:sz w:val="14"/>
                <w:szCs w:val="14"/>
                <w:color w:val="auto"/>
              </w:rPr>
              <w:t>Print Name/Title: ______________________________________________</w:t>
            </w:r>
          </w:p>
        </w:tc>
      </w:tr>
      <w:tr>
        <w:trPr>
          <w:trHeight w:val="189"/>
        </w:trPr>
        <w:tc>
          <w:tcPr>
            <w:tcW w:w="3280" w:type="dxa"/>
            <w:vAlign w:val="bottom"/>
            <w:gridSpan w:val="2"/>
          </w:tcPr>
          <w:p>
            <w:pPr>
              <w:spacing w:after="0"/>
              <w:rPr>
                <w:sz w:val="20"/>
                <w:szCs w:val="20"/>
                <w:color w:val="auto"/>
              </w:rPr>
            </w:pPr>
            <w:r>
              <w:rPr>
                <w:rFonts w:ascii="Arial" w:cs="Arial" w:eastAsia="Arial" w:hAnsi="Arial"/>
                <w:sz w:val="14"/>
                <w:szCs w:val="14"/>
                <w:color w:val="auto"/>
              </w:rPr>
              <w:t>Telephone #:</w:t>
            </w:r>
          </w:p>
        </w:tc>
        <w:tc>
          <w:tcPr>
            <w:tcW w:w="5860" w:type="dxa"/>
            <w:vAlign w:val="bottom"/>
          </w:tcPr>
          <w:p>
            <w:pPr>
              <w:ind w:left="40"/>
              <w:spacing w:after="0"/>
              <w:rPr>
                <w:sz w:val="20"/>
                <w:szCs w:val="20"/>
                <w:color w:val="auto"/>
              </w:rPr>
            </w:pPr>
            <w:r>
              <w:rPr>
                <w:rFonts w:ascii="Arial" w:cs="Arial" w:eastAsia="Arial" w:hAnsi="Arial"/>
                <w:sz w:val="14"/>
                <w:szCs w:val="14"/>
                <w:color w:val="auto"/>
              </w:rPr>
              <w:t>Telephone #:</w:t>
            </w:r>
          </w:p>
        </w:tc>
      </w:tr>
      <w:tr>
        <w:trPr>
          <w:trHeight w:val="924"/>
        </w:trPr>
        <w:tc>
          <w:tcPr>
            <w:tcW w:w="4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9480"/>
          </w:cols>
          <w:pgMar w:left="1160" w:top="558" w:right="125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54" w:right="1440"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DISBURSEMENT LETTER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w:t>
      </w:r>
    </w:p>
    <w:p>
      <w:pPr>
        <w:spacing w:after="0" w:line="59" w:lineRule="exact"/>
        <w:rPr>
          <w:sz w:val="20"/>
          <w:szCs w:val="20"/>
          <w:color w:val="auto"/>
        </w:rPr>
      </w:pPr>
    </w:p>
    <w:p>
      <w:pPr>
        <w:ind w:left="800"/>
        <w:spacing w:after="0"/>
        <w:tabs>
          <w:tab w:leader="none" w:pos="778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8"/>
          <w:szCs w:val="18"/>
          <w:color w:val="auto"/>
        </w:rPr>
        <w:t xml:space="preserve">of  </w:t>
      </w:r>
      <w:r>
        <w:rPr>
          <w:rFonts w:ascii="Arial" w:cs="Arial" w:eastAsia="Arial" w:hAnsi="Arial"/>
          <w:sz w:val="18"/>
          <w:szCs w:val="18"/>
          <w:b w:val="1"/>
          <w:bCs w:val="1"/>
          <w:color w:val="auto"/>
        </w:rPr>
        <w:t>AXSOME</w:t>
      </w:r>
    </w:p>
    <w:p>
      <w:pPr>
        <w:spacing w:after="0" w:line="27" w:lineRule="exact"/>
        <w:rPr>
          <w:sz w:val="20"/>
          <w:szCs w:val="20"/>
          <w:color w:val="auto"/>
        </w:rPr>
      </w:pPr>
    </w:p>
    <w:p>
      <w:pPr>
        <w:jc w:val="both"/>
        <w:ind w:left="160" w:right="139"/>
        <w:spacing w:after="0" w:line="251" w:lineRule="auto"/>
        <w:rPr>
          <w:sz w:val="20"/>
          <w:szCs w:val="20"/>
          <w:color w:val="auto"/>
        </w:rPr>
      </w:pPr>
      <w:r>
        <w:rPr>
          <w:rFonts w:ascii="Arial" w:cs="Arial" w:eastAsia="Arial" w:hAnsi="Arial"/>
          <w:sz w:val="18"/>
          <w:szCs w:val="18"/>
          <w:b w:val="1"/>
          <w:bCs w:val="1"/>
          <w:color w:val="auto"/>
        </w:rPr>
        <w:t>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does hereby certify, in their capacity as an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and not individually, to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a California corporation, as a lender,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and Security Agreement dated as of March 5, 2019,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8" w:lineRule="exact"/>
        <w:rPr>
          <w:sz w:val="20"/>
          <w:szCs w:val="20"/>
          <w:color w:val="auto"/>
        </w:rPr>
      </w:pPr>
    </w:p>
    <w:p>
      <w:pPr>
        <w:ind w:left="160" w:right="479" w:firstLine="315"/>
        <w:spacing w:after="0" w:line="277" w:lineRule="auto"/>
        <w:tabs>
          <w:tab w:leader="none" w:pos="126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160" w:right="239" w:firstLine="315"/>
        <w:spacing w:after="0" w:line="277" w:lineRule="auto"/>
        <w:tabs>
          <w:tab w:leader="none" w:pos="126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event or condition has occurred that would constitute an Event of Default under the Loan Agreement or any other Loan Document.</w:t>
      </w:r>
    </w:p>
    <w:p>
      <w:pPr>
        <w:spacing w:after="0" w:line="170" w:lineRule="exact"/>
        <w:rPr>
          <w:rFonts w:ascii="Arial" w:cs="Arial" w:eastAsia="Arial" w:hAnsi="Arial"/>
          <w:sz w:val="18"/>
          <w:szCs w:val="18"/>
          <w:color w:val="auto"/>
        </w:rPr>
      </w:pPr>
    </w:p>
    <w:p>
      <w:pPr>
        <w:ind w:left="160" w:right="359" w:firstLine="315"/>
        <w:spacing w:after="0" w:line="277" w:lineRule="auto"/>
        <w:tabs>
          <w:tab w:leader="none" w:pos="126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170" w:lineRule="exact"/>
        <w:rPr>
          <w:rFonts w:ascii="Arial" w:cs="Arial" w:eastAsia="Arial" w:hAnsi="Arial"/>
          <w:sz w:val="18"/>
          <w:szCs w:val="18"/>
          <w:color w:val="auto"/>
        </w:rPr>
      </w:pPr>
    </w:p>
    <w:p>
      <w:pPr>
        <w:ind w:left="160" w:right="299" w:firstLine="315"/>
        <w:spacing w:after="0" w:line="277" w:lineRule="auto"/>
        <w:tabs>
          <w:tab w:leader="none" w:pos="126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1260" w:hanging="785"/>
        <w:spacing w:after="0"/>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1260" w:hanging="785"/>
        <w:spacing w:after="0"/>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495300</wp:posOffset>
            </wp:positionV>
            <wp:extent cx="554863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40" w:name="page241"/>
    <w:bookmarkEnd w:id="240"/>
    <w:p>
      <w:pPr>
        <w:ind w:left="1260" w:hanging="785"/>
        <w:spacing w:after="0"/>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proceeds of the Term Loan Advance shall be disbursed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Disbursement from SVB:</w:t>
            </w:r>
          </w:p>
        </w:tc>
        <w:tc>
          <w:tcPr>
            <w:tcW w:w="2920" w:type="dxa"/>
            <w:vAlign w:val="bottom"/>
          </w:tcPr>
          <w:p>
            <w:pPr>
              <w:spacing w:after="0"/>
              <w:rPr>
                <w:sz w:val="19"/>
                <w:szCs w:val="19"/>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Loan Amount</w:t>
            </w:r>
          </w:p>
        </w:tc>
        <w:tc>
          <w:tcPr>
            <w:tcW w:w="2920" w:type="dxa"/>
            <w:vAlign w:val="bottom"/>
          </w:tcPr>
          <w:p>
            <w:pPr>
              <w:jc w:val="right"/>
              <w:spacing w:after="0"/>
              <w:rPr>
                <w:sz w:val="20"/>
                <w:szCs w:val="20"/>
                <w:color w:val="auto"/>
              </w:rPr>
            </w:pPr>
            <w:r>
              <w:rPr>
                <w:rFonts w:ascii="Arial" w:cs="Arial" w:eastAsia="Arial" w:hAnsi="Arial"/>
                <w:sz w:val="18"/>
                <w:szCs w:val="18"/>
                <w:color w:val="auto"/>
              </w:rPr>
              <w:t>$_______________</w:t>
            </w: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Plus:</w:t>
            </w:r>
          </w:p>
        </w:tc>
        <w:tc>
          <w:tcPr>
            <w:tcW w:w="2920" w:type="dxa"/>
            <w:vAlign w:val="bottom"/>
          </w:tcPr>
          <w:p>
            <w:pPr>
              <w:spacing w:after="0"/>
              <w:rPr>
                <w:sz w:val="18"/>
                <w:szCs w:val="18"/>
                <w:color w:val="auto"/>
              </w:rPr>
            </w:pPr>
          </w:p>
        </w:tc>
      </w:tr>
      <w:tr>
        <w:trPr>
          <w:trHeight w:val="230"/>
        </w:trPr>
        <w:tc>
          <w:tcPr>
            <w:tcW w:w="41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Deposit Received</w:t>
            </w:r>
          </w:p>
        </w:tc>
        <w:tc>
          <w:tcPr>
            <w:tcW w:w="2920" w:type="dxa"/>
            <w:vAlign w:val="bottom"/>
          </w:tcPr>
          <w:p>
            <w:pPr>
              <w:jc w:val="right"/>
              <w:spacing w:after="0"/>
              <w:rPr>
                <w:sz w:val="20"/>
                <w:szCs w:val="20"/>
                <w:color w:val="auto"/>
              </w:rPr>
            </w:pPr>
            <w:r>
              <w:rPr>
                <w:rFonts w:ascii="Arial" w:cs="Arial" w:eastAsia="Arial" w:hAnsi="Arial"/>
                <w:sz w:val="18"/>
                <w:szCs w:val="18"/>
                <w:color w:val="auto"/>
              </w:rPr>
              <w:t>$__________</w:t>
            </w:r>
          </w:p>
        </w:tc>
      </w:tr>
      <w:tr>
        <w:trPr>
          <w:trHeight w:val="418"/>
        </w:trPr>
        <w:tc>
          <w:tcPr>
            <w:tcW w:w="4180" w:type="dxa"/>
            <w:vAlign w:val="bottom"/>
          </w:tcPr>
          <w:p>
            <w:pPr>
              <w:ind w:left="440"/>
              <w:spacing w:after="0"/>
              <w:rPr>
                <w:sz w:val="20"/>
                <w:szCs w:val="20"/>
                <w:color w:val="auto"/>
              </w:rPr>
            </w:pPr>
            <w:r>
              <w:rPr>
                <w:rFonts w:ascii="Arial" w:cs="Arial" w:eastAsia="Arial" w:hAnsi="Arial"/>
                <w:sz w:val="18"/>
                <w:szCs w:val="18"/>
                <w:color w:val="auto"/>
              </w:rPr>
              <w:t>Less:</w:t>
            </w:r>
          </w:p>
        </w:tc>
        <w:tc>
          <w:tcPr>
            <w:tcW w:w="2920" w:type="dxa"/>
            <w:vAlign w:val="bottom"/>
          </w:tcPr>
          <w:p>
            <w:pPr>
              <w:spacing w:after="0"/>
              <w:rPr>
                <w:sz w:val="24"/>
                <w:szCs w:val="24"/>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--Payoff of Silicon Valley Bank</w:t>
            </w:r>
          </w:p>
        </w:tc>
        <w:tc>
          <w:tcPr>
            <w:tcW w:w="2920" w:type="dxa"/>
            <w:vAlign w:val="bottom"/>
          </w:tcPr>
          <w:p>
            <w:pPr>
              <w:jc w:val="right"/>
              <w:spacing w:after="0"/>
              <w:rPr>
                <w:sz w:val="20"/>
                <w:szCs w:val="20"/>
                <w:color w:val="auto"/>
              </w:rPr>
            </w:pPr>
            <w:r>
              <w:rPr>
                <w:rFonts w:ascii="Arial" w:cs="Arial" w:eastAsia="Arial" w:hAnsi="Arial"/>
                <w:sz w:val="18"/>
                <w:szCs w:val="18"/>
                <w:color w:val="auto"/>
              </w:rPr>
              <w:t>($_________)</w:t>
            </w:r>
          </w:p>
        </w:tc>
      </w:tr>
      <w:tr>
        <w:trPr>
          <w:trHeight w:val="230"/>
        </w:trPr>
        <w:tc>
          <w:tcPr>
            <w:tcW w:w="41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Lender’s Legal Fees</w:t>
            </w:r>
          </w:p>
        </w:tc>
        <w:tc>
          <w:tcPr>
            <w:tcW w:w="2920" w:type="dxa"/>
            <w:vAlign w:val="bottom"/>
          </w:tcPr>
          <w:p>
            <w:pPr>
              <w:jc w:val="right"/>
              <w:ind w:right="10"/>
              <w:spacing w:after="0"/>
              <w:rPr>
                <w:sz w:val="20"/>
                <w:szCs w:val="20"/>
                <w:color w:val="auto"/>
              </w:rPr>
            </w:pPr>
            <w:r>
              <w:rPr>
                <w:rFonts w:ascii="Arial" w:cs="Arial" w:eastAsia="Arial" w:hAnsi="Arial"/>
                <w:sz w:val="18"/>
                <w:szCs w:val="18"/>
                <w:color w:val="auto"/>
              </w:rPr>
              <w:t>($_________)*</w:t>
            </w:r>
          </w:p>
        </w:tc>
      </w:tr>
    </w:tbl>
    <w:p>
      <w:pPr>
        <w:spacing w:after="0" w:line="198" w:lineRule="exact"/>
        <w:rPr>
          <w:sz w:val="20"/>
          <w:szCs w:val="20"/>
          <w:color w:val="auto"/>
        </w:rPr>
      </w:pPr>
    </w:p>
    <w:p>
      <w:pPr>
        <w:sectPr>
          <w:pgSz w:w="11900" w:h="16838" w:orient="portrait"/>
          <w:cols w:equalWidth="0" w:num="1">
            <w:col w:w="9019"/>
          </w:cols>
          <w:pgMar w:left="1440" w:top="341" w:right="1440" w:bottom="1440" w:gutter="0" w:footer="0" w:header="0"/>
        </w:sectPr>
      </w:pPr>
    </w:p>
    <w:p>
      <w:pPr>
        <w:ind w:left="1660"/>
        <w:spacing w:after="0"/>
        <w:rPr>
          <w:sz w:val="20"/>
          <w:szCs w:val="20"/>
          <w:color w:val="auto"/>
        </w:rPr>
      </w:pPr>
      <w:r>
        <w:rPr>
          <w:rFonts w:ascii="Arial" w:cs="Arial" w:eastAsia="Arial" w:hAnsi="Arial"/>
          <w:sz w:val="18"/>
          <w:szCs w:val="18"/>
          <w:b w:val="1"/>
          <w:bCs w:val="1"/>
          <w:color w:val="auto"/>
        </w:rPr>
        <w:t>Net Proceeds due from SVB:</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Disbursement from WestRiver:</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Loan Amount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Plus:</w:t>
      </w:r>
    </w:p>
    <w:p>
      <w:pPr>
        <w:spacing w:after="0" w:line="9" w:lineRule="exact"/>
        <w:rPr>
          <w:sz w:val="20"/>
          <w:szCs w:val="20"/>
          <w:color w:val="auto"/>
        </w:rPr>
      </w:pPr>
    </w:p>
    <w:p>
      <w:pPr>
        <w:ind w:left="2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Deposit Received</w:t>
      </w:r>
    </w:p>
    <w:p>
      <w:pPr>
        <w:spacing w:after="0" w:line="200" w:lineRule="exact"/>
        <w:rPr>
          <w:sz w:val="20"/>
          <w:szCs w:val="20"/>
          <w:color w:val="auto"/>
        </w:rPr>
      </w:pPr>
    </w:p>
    <w:p>
      <w:pPr>
        <w:spacing w:after="0" w:line="223"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Net Proceeds due from WestRiver:</w:t>
      </w:r>
    </w:p>
    <w:p>
      <w:pPr>
        <w:spacing w:after="0" w:line="225" w:lineRule="exact"/>
        <w:rPr>
          <w:sz w:val="20"/>
          <w:szCs w:val="20"/>
          <w:color w:val="auto"/>
        </w:rPr>
      </w:pPr>
    </w:p>
    <w:p>
      <w:pPr>
        <w:ind w:left="1660" w:right="200"/>
        <w:spacing w:after="0" w:line="282" w:lineRule="auto"/>
        <w:rPr>
          <w:sz w:val="20"/>
          <w:szCs w:val="20"/>
          <w:color w:val="auto"/>
        </w:rPr>
      </w:pPr>
      <w:r>
        <w:rPr>
          <w:rFonts w:ascii="Arial" w:cs="Arial" w:eastAsia="Arial" w:hAnsi="Arial"/>
          <w:sz w:val="18"/>
          <w:szCs w:val="18"/>
          <w:b w:val="1"/>
          <w:bCs w:val="1"/>
          <w:color w:val="auto"/>
        </w:rPr>
        <w:t>TOTAL TERM LOAN ADVANCE NET PROCEEDS FROM LENDERS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$_______________</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$_______________</w:t>
      </w:r>
    </w:p>
    <w:p>
      <w:pPr>
        <w:spacing w:after="0" w:line="360" w:lineRule="exact"/>
        <w:rPr>
          <w:sz w:val="20"/>
          <w:szCs w:val="20"/>
          <w:color w:val="auto"/>
        </w:rPr>
      </w:pPr>
    </w:p>
    <w:p>
      <w:pPr>
        <w:sectPr>
          <w:pgSz w:w="11900" w:h="16838" w:orient="portrait"/>
          <w:cols w:equalWidth="0" w:num="2">
            <w:col w:w="6580" w:space="720"/>
            <w:col w:w="1719"/>
          </w:cols>
          <w:pgMar w:left="1440" w:top="341" w:right="1440" w:bottom="1440" w:gutter="0" w:footer="0" w:header="0"/>
          <w:type w:val="continuous"/>
        </w:sectPr>
      </w:pPr>
    </w:p>
    <w:p>
      <w:pPr>
        <w:ind w:left="160" w:right="479" w:firstLine="315"/>
        <w:spacing w:after="0" w:line="258" w:lineRule="auto"/>
        <w:tabs>
          <w:tab w:leader="none" w:pos="12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aggregate net proceeds of the Term Loan Advance shall be transferred to the Designated Deposit Account as follows:</w:t>
      </w:r>
    </w:p>
    <w:p>
      <w:pPr>
        <w:spacing w:after="0" w:line="1"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6"/>
          <w:szCs w:val="16"/>
          <w:color w:val="auto"/>
        </w:rPr>
        <w:t>____________________________________</w:t>
      </w:r>
    </w:p>
    <w:p>
      <w:pPr>
        <w:spacing w:after="0" w:line="103"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6"/>
          <w:szCs w:val="16"/>
          <w:color w:val="auto"/>
        </w:rPr>
        <w:t>Silicon Valley Bank</w:t>
      </w:r>
    </w:p>
    <w:p>
      <w:pPr>
        <w:spacing w:after="0" w:line="117"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Bank Address:</w:t>
      </w:r>
      <w:r>
        <w:rPr>
          <w:sz w:val="20"/>
          <w:szCs w:val="20"/>
          <w:color w:val="auto"/>
        </w:rPr>
        <w:tab/>
      </w:r>
      <w:r>
        <w:rPr>
          <w:rFonts w:ascii="Arial" w:cs="Arial" w:eastAsia="Arial" w:hAnsi="Arial"/>
          <w:sz w:val="16"/>
          <w:szCs w:val="16"/>
          <w:color w:val="auto"/>
        </w:rPr>
        <w:t>3003 Tasman Drive</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Santa Clara, California 95054</w:t>
      </w:r>
    </w:p>
    <w:p>
      <w:pPr>
        <w:spacing w:after="0" w:line="103"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6"/>
          <w:szCs w:val="16"/>
          <w:color w:val="auto"/>
        </w:rPr>
        <w:t>____________________________________</w:t>
      </w:r>
    </w:p>
    <w:p>
      <w:pPr>
        <w:spacing w:after="0" w:line="117"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ABA Number:</w:t>
      </w:r>
      <w:r>
        <w:rPr>
          <w:sz w:val="20"/>
          <w:szCs w:val="20"/>
          <w:color w:val="auto"/>
        </w:rPr>
        <w:tab/>
      </w:r>
      <w:r>
        <w:rPr>
          <w:rFonts w:ascii="Arial" w:cs="Arial" w:eastAsia="Arial" w:hAnsi="Arial"/>
          <w:sz w:val="16"/>
          <w:szCs w:val="16"/>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718185</wp:posOffset>
            </wp:positionV>
            <wp:extent cx="554863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18"/>
          <w:szCs w:val="18"/>
          <w:color w:val="auto"/>
        </w:rPr>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WESTRIVER INNOVATION LENDING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VIII, L.P.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Disbursement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220980</wp:posOffset>
            </wp:positionV>
            <wp:extent cx="63887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79"/>
          </w:cols>
          <w:pgMar w:left="1080" w:top="341" w:right="1440" w:bottom="1440" w:gutter="0" w:footer="0" w:header="0"/>
        </w:sectPr>
      </w:pPr>
    </w:p>
    <w:bookmarkStart w:id="242" w:name="page243"/>
    <w:bookmarkEnd w:id="242"/>
    <w:p>
      <w:pPr>
        <w:ind w:left="7840"/>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760" w:firstLine="1772"/>
        <w:spacing w:after="0" w:line="478"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Registration Statements:</w:t>
      </w:r>
    </w:p>
    <w:p>
      <w:pPr>
        <w:ind w:left="660" w:hanging="333"/>
        <w:spacing w:after="0" w:line="213" w:lineRule="auto"/>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Registration Statement (Form S-8 No. 333-217002) pertaining to the Axsome Therapeutics, Inc. 2015 Omnibus Incentive Compensation Plan,</w:t>
      </w:r>
    </w:p>
    <w:p>
      <w:pPr>
        <w:spacing w:after="0" w:line="1" w:lineRule="exact"/>
        <w:rPr>
          <w:rFonts w:ascii="Arial" w:cs="Arial" w:eastAsia="Arial" w:hAnsi="Arial"/>
          <w:sz w:val="22"/>
          <w:szCs w:val="22"/>
          <w:color w:val="auto"/>
        </w:rPr>
      </w:pPr>
    </w:p>
    <w:p>
      <w:pPr>
        <w:ind w:left="660" w:hanging="333"/>
        <w:spacing w:after="0" w:line="205" w:lineRule="auto"/>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Registration Statement (Form S-8 No. 333-208579) pertaining to the Axsome Therapeutics, Inc. 2015 Omnibus Incentive Compensation Plan</w:t>
      </w:r>
    </w:p>
    <w:p>
      <w:pPr>
        <w:ind w:left="660" w:hanging="333"/>
        <w:spacing w:after="0" w:line="205" w:lineRule="auto"/>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Registration Statement (Form S-8 No. 333-226824) pertaining to Axsome Therapeutics, Inc. 2015 Omnibus Incentive Compensation Plan, and</w:t>
      </w:r>
    </w:p>
    <w:p>
      <w:pPr>
        <w:ind w:left="660" w:hanging="333"/>
        <w:spacing w:after="0" w:line="224" w:lineRule="auto"/>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Registration Statement (Form S-3 No. 333-214859) of Axsome Therapeutics, Inc. and in the related Prospectus;</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of our report dated March 14, 2019, with respect to the consolidated financial statements of Axsome Therapeutics, Inc. included in this Annual Report (Form 10-K) of Axsome Therapeutics, Inc. for the year ended December 31, 2018.</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Ernst &amp; Young LLP</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575437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certify that:</w:t>
      </w:r>
    </w:p>
    <w:p>
      <w:pPr>
        <w:spacing w:after="0" w:line="144" w:lineRule="exact"/>
        <w:rPr>
          <w:sz w:val="20"/>
          <w:szCs w:val="20"/>
          <w:color w:val="auto"/>
        </w:rPr>
      </w:pPr>
    </w:p>
    <w:p>
      <w:pPr>
        <w:ind w:left="300" w:hanging="297"/>
        <w:spacing w:after="0"/>
        <w:tabs>
          <w:tab w:leader="none" w:pos="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280" w:right="240" w:hanging="277"/>
        <w:spacing w:after="0" w:line="224" w:lineRule="auto"/>
        <w:tabs>
          <w:tab w:leader="none" w:pos="2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80" w:right="20" w:hanging="277"/>
        <w:spacing w:after="0" w:line="224" w:lineRule="auto"/>
        <w:tabs>
          <w:tab w:leader="none" w:pos="2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280" w:right="140" w:hanging="277"/>
        <w:spacing w:after="0" w:line="238" w:lineRule="auto"/>
        <w:tabs>
          <w:tab w:leader="none" w:pos="30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87"/>
        <w:spacing w:after="0" w:line="219"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87"/>
        <w:spacing w:after="0" w:line="219"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40" w:hanging="385"/>
        <w:spacing w:after="0" w:line="224" w:lineRule="auto"/>
        <w:tabs>
          <w:tab w:leader="none" w:pos="68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85"/>
        <w:spacing w:after="0" w:line="219" w:lineRule="auto"/>
        <w:tabs>
          <w:tab w:leader="none" w:pos="69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280" w:right="60" w:hanging="277"/>
        <w:spacing w:after="0" w:line="224" w:lineRule="auto"/>
        <w:tabs>
          <w:tab w:leader="none" w:pos="3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20" w:hanging="385"/>
        <w:spacing w:after="0" w:line="224" w:lineRule="auto"/>
        <w:tabs>
          <w:tab w:leader="none" w:pos="68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85"/>
        <w:spacing w:after="0" w:line="235" w:lineRule="auto"/>
        <w:tabs>
          <w:tab w:leader="none" w:pos="69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6"/>
          <w:szCs w:val="16"/>
          <w:color w:val="auto"/>
        </w:rPr>
        <w:t>/s/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00" w:hanging="297"/>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280" w:right="240" w:hanging="277"/>
        <w:spacing w:after="0" w:line="224" w:lineRule="auto"/>
        <w:tabs>
          <w:tab w:leader="none" w:pos="2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280" w:right="20" w:hanging="277"/>
        <w:spacing w:after="0" w:line="224" w:lineRule="auto"/>
        <w:tabs>
          <w:tab w:leader="none" w:pos="2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280" w:right="140" w:hanging="277"/>
        <w:spacing w:after="0" w:line="238" w:lineRule="auto"/>
        <w:tabs>
          <w:tab w:leader="none" w:pos="29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87"/>
        <w:spacing w:after="0" w:line="219" w:lineRule="auto"/>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87"/>
        <w:spacing w:after="0" w:line="219" w:lineRule="auto"/>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40" w:hanging="385"/>
        <w:spacing w:after="0" w:line="224" w:lineRule="auto"/>
        <w:tabs>
          <w:tab w:leader="none" w:pos="68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85"/>
        <w:spacing w:after="0" w:line="219" w:lineRule="auto"/>
        <w:tabs>
          <w:tab w:leader="none" w:pos="69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280" w:right="60" w:hanging="277"/>
        <w:spacing w:after="0" w:line="224" w:lineRule="auto"/>
        <w:tabs>
          <w:tab w:leader="none" w:pos="2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20" w:hanging="385"/>
        <w:spacing w:after="0" w:line="224" w:lineRule="auto"/>
        <w:tabs>
          <w:tab w:leader="none" w:pos="68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85"/>
        <w:spacing w:after="0" w:line="235" w:lineRule="auto"/>
        <w:tabs>
          <w:tab w:leader="none" w:pos="69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ind w:right="120"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2018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440" w:right="40" w:hanging="10"/>
        <w:spacing w:after="0" w:line="235" w:lineRule="auto"/>
        <w:tabs>
          <w:tab w:leader="none" w:pos="7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40" w:right="80" w:hanging="10"/>
        <w:spacing w:after="0" w:line="235" w:lineRule="auto"/>
        <w:tabs>
          <w:tab w:leader="none" w:pos="7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2018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440" w:right="40" w:hanging="10"/>
        <w:spacing w:after="0" w:line="235" w:lineRule="auto"/>
        <w:tabs>
          <w:tab w:leader="none" w:pos="76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40" w:right="80" w:hanging="10"/>
        <w:spacing w:after="0" w:line="235" w:lineRule="auto"/>
        <w:tabs>
          <w:tab w:leader="none" w:pos="76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decimal"/>
      <w:start w:val="3"/>
    </w:lvl>
  </w:abstractNum>
  <w:abstractNum w:abstractNumId="8">
    <w:nsid w:val="6F6DD9AC"/>
    <w:multiLevelType w:val="hybridMultilevel"/>
    <w:lvl w:ilvl="0">
      <w:lvlJc w:val="left"/>
      <w:lvlText w:val="(%1)"/>
      <w:numFmt w:val="decimal"/>
      <w:start w:val="1"/>
    </w:lvl>
  </w:abstractNum>
  <w:abstractNum w:abstractNumId="9">
    <w:nsid w:val="94211F2"/>
    <w:multiLevelType w:val="hybridMultilevel"/>
    <w:lvl w:ilvl="0">
      <w:lvlJc w:val="left"/>
      <w:lvlText w:val="(%1)"/>
      <w:numFmt w:val="decimal"/>
      <w:start w:val="2"/>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1)"/>
      <w:numFmt w:val="decimal"/>
      <w:start w:val="60"/>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1)"/>
      <w:numFmt w:val="decimal"/>
      <w:start w:val="2"/>
    </w:lvl>
  </w:abstractNum>
  <w:abstractNum w:abstractNumId="24">
    <w:nsid w:val="43F18422"/>
    <w:multiLevelType w:val="hybridMultilevel"/>
    <w:lvl w:ilvl="0">
      <w:lvlJc w:val="left"/>
      <w:lvlText w:val="(%1)"/>
      <w:numFmt w:val="decimal"/>
      <w:start w:val="2"/>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decimal"/>
      <w:start w:val="2"/>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1)"/>
      <w:numFmt w:val="decimal"/>
      <w:start w:val="4"/>
    </w:lvl>
  </w:abstractNum>
  <w:abstractNum w:abstractNumId="59">
    <w:nsid w:val="53584BCB"/>
    <w:multiLevelType w:val="hybridMultilevel"/>
    <w:lvl w:ilvl="0">
      <w:lvlJc w:val="left"/>
      <w:lvlText w:val="(%1)"/>
      <w:numFmt w:val="decimal"/>
      <w:start w:val="1"/>
    </w:lvl>
  </w:abstractNum>
  <w:abstractNum w:abstractNumId="60">
    <w:nsid w:val="415E286C"/>
    <w:multiLevelType w:val="hybridMultilevel"/>
    <w:lvl w:ilvl="0">
      <w:lvlJc w:val="left"/>
      <w:lvlText w:val="+"/>
      <w:numFmt w:val="bullet"/>
      <w:start w:val="1"/>
    </w:lvl>
    <w:lvl w:ilvl="1">
      <w:lvlJc w:val="left"/>
      <w:lvlText w:val="%2"/>
      <w:numFmt w:val="decimal"/>
      <w:start w:val="10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decimal"/>
      <w:start w:val="2"/>
    </w:lvl>
  </w:abstractNum>
  <w:abstractNum w:abstractNumId="63">
    <w:nsid w:val="45E6D486"/>
    <w:multiLevelType w:val="hybridMultilevel"/>
    <w:lvl w:ilvl="0">
      <w:lvlJc w:val="left"/>
      <w:lvlText w:val="(%1)"/>
      <w:numFmt w:val="lowerLetter"/>
      <w:start w:val="1"/>
    </w:lvl>
  </w:abstractNum>
  <w:abstractNum w:abstractNumId="64">
    <w:nsid w:val="5C10FE21"/>
    <w:multiLevelType w:val="hybridMultilevel"/>
    <w:lvl w:ilvl="0">
      <w:lvlJc w:val="left"/>
      <w:lvlText w:val="(%1)"/>
      <w:numFmt w:val="lowerLetter"/>
      <w:start w:val="4"/>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lowerLetter"/>
      <w:start w:val="1"/>
    </w:lvl>
    <w:lvl w:ilvl="1">
      <w:lvlJc w:val="left"/>
      <w:lvlText w:val="(%2)"/>
      <w:numFmt w:val="lowerLetter"/>
      <w:start w:val="2"/>
    </w:lvl>
  </w:abstractNum>
  <w:abstractNum w:abstractNumId="68">
    <w:nsid w:val="78DF6A55"/>
    <w:multiLevelType w:val="hybridMultilevel"/>
    <w:lvl w:ilvl="0">
      <w:lvlJc w:val="left"/>
      <w:lvlText w:val="%1."/>
      <w:numFmt w:val="decimal"/>
      <w:start w:val="2"/>
    </w:lvl>
  </w:abstractNum>
  <w:abstractNum w:abstractNumId="69">
    <w:nsid w:val="39B7AAA2"/>
    <w:multiLevelType w:val="hybridMultilevel"/>
    <w:lvl w:ilvl="0">
      <w:lvlJc w:val="left"/>
      <w:lvlText w:val="%1."/>
      <w:numFmt w:val="decimal"/>
      <w:start w:val="3"/>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lowerLetter"/>
      <w:start w:val="1"/>
    </w:lvl>
    <w:lvl w:ilvl="1">
      <w:lvlJc w:val="left"/>
      <w:lvlText w:val="(%2)"/>
      <w:numFmt w:val="lowerLetter"/>
      <w:start w:val="2"/>
    </w:lvl>
  </w:abstractNum>
  <w:abstractNum w:abstractNumId="72">
    <w:nsid w:val="379E21B5"/>
    <w:multiLevelType w:val="hybridMultilevel"/>
    <w:lvl w:ilvl="0">
      <w:lvlJc w:val="left"/>
      <w:lvlText w:val="(%1)"/>
      <w:numFmt w:val="lowerLetter"/>
      <w:start w:val="4"/>
    </w:lvl>
    <w:lvl w:ilvl="1">
      <w:lvlJc w:val="left"/>
      <w:lvlText w:val="%2"/>
      <w:numFmt w:val="lowerLetter"/>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1"/>
    </w:lvl>
    <w:lvl w:ilvl="1">
      <w:lvlJc w:val="left"/>
      <w:lvlText w:val="(%2)"/>
      <w:numFmt w:val="lowerLetter"/>
      <w:start w:val="2"/>
    </w:lvl>
  </w:abstractNum>
  <w:abstractNum w:abstractNumId="76">
    <w:nsid w:val="6AA7B75C"/>
    <w:multiLevelType w:val="hybridMultilevel"/>
    <w:lvl w:ilvl="0">
      <w:lvlJc w:val="left"/>
      <w:lvlText w:val="%1."/>
      <w:numFmt w:val="decimal"/>
      <w:start w:val="2"/>
    </w:lvl>
  </w:abstractNum>
  <w:abstractNum w:abstractNumId="77">
    <w:nsid w:val="1DF029D3"/>
    <w:multiLevelType w:val="hybridMultilevel"/>
    <w:lvl w:ilvl="0">
      <w:lvlJc w:val="left"/>
      <w:lvlText w:val="%1."/>
      <w:numFmt w:val="decimal"/>
      <w:start w:val="3"/>
    </w:lvl>
  </w:abstractNum>
  <w:abstractNum w:abstractNumId="78">
    <w:nsid w:val="5675FF36"/>
    <w:multiLevelType w:val="hybridMultilevel"/>
    <w:lvl w:ilvl="0">
      <w:lvlJc w:val="left"/>
      <w:lvlText w:val="%1."/>
      <w:numFmt w:val="upperLetter"/>
      <w:start w:val="1"/>
    </w:lvl>
  </w:abstractNum>
  <w:abstractNum w:abstractNumId="79">
    <w:nsid w:val="3DD15094"/>
    <w:multiLevelType w:val="hybridMultilevel"/>
    <w:lvl w:ilvl="0">
      <w:lvlJc w:val="left"/>
      <w:lvlText w:val="%1."/>
      <w:numFmt w:val="decimal"/>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upperLetter"/>
      <w:start w:val="1"/>
    </w:lvl>
    <w:lvl w:ilvl="1">
      <w:lvlJc w:val="left"/>
      <w:lvlText w:val="(%2)"/>
      <w:numFmt w:val="lowerLetter"/>
      <w:start w:val="2"/>
    </w:lvl>
  </w:abstractNum>
  <w:abstractNum w:abstractNumId="82">
    <w:nsid w:val="5B25ACE2"/>
    <w:multiLevelType w:val="hybridMultilevel"/>
    <w:lvl w:ilvl="0">
      <w:lvlJc w:val="left"/>
      <w:lvlText w:val="(%1)"/>
      <w:numFmt w:val="upperLetter"/>
      <w:start w:val="1"/>
    </w:lvl>
    <w:lvl w:ilvl="1">
      <w:lvlJc w:val="left"/>
      <w:lvlText w:val="(%2)"/>
      <w:numFmt w:val="lowerLetter"/>
      <w:start w:val="5"/>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5"/>
    </w:lvl>
  </w:abstractNum>
  <w:abstractNum w:abstractNumId="85">
    <w:nsid w:val="53B0A9E"/>
    <w:multiLevelType w:val="hybridMultilevel"/>
    <w:lvl w:ilvl="0">
      <w:lvlJc w:val="left"/>
      <w:lvlText w:val="(%1)"/>
      <w:numFmt w:val="lowerRoman"/>
      <w:start w:val="1"/>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8"/>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decimal"/>
      <w:start w:val="3"/>
    </w:lvl>
  </w:abstractNum>
  <w:abstractNum w:abstractNumId="90">
    <w:nsid w:val="2C6E4AFD"/>
    <w:multiLevelType w:val="hybridMultilevel"/>
    <w:lvl w:ilvl="0">
      <w:lvlJc w:val="left"/>
      <w:lvlText w:val="(%1)"/>
      <w:numFmt w:val="lowerLetter"/>
      <w:start w:val="2"/>
    </w:lvl>
  </w:abstractNum>
  <w:abstractNum w:abstractNumId="91">
    <w:nsid w:val="17A1B582"/>
    <w:multiLevelType w:val="hybridMultilevel"/>
    <w:lvl w:ilvl="0">
      <w:lvlJc w:val="left"/>
      <w:lvlText w:val="%1."/>
      <w:numFmt w:val="decimal"/>
      <w:start w:val="4"/>
    </w:lvl>
  </w:abstractNum>
  <w:abstractNum w:abstractNumId="92">
    <w:nsid w:val="4DF72E4E"/>
    <w:multiLevelType w:val="hybridMultilevel"/>
    <w:lvl w:ilvl="0">
      <w:lvlJc w:val="left"/>
      <w:lvlText w:val="%1."/>
      <w:numFmt w:val="decimal"/>
      <w:start w:val="6"/>
    </w:lvl>
  </w:abstractNum>
  <w:abstractNum w:abstractNumId="93">
    <w:nsid w:val="5046B5A9"/>
    <w:multiLevelType w:val="hybridMultilevel"/>
    <w:lvl w:ilvl="0">
      <w:lvlJc w:val="left"/>
      <w:lvlText w:val="%1."/>
      <w:numFmt w:val="decimal"/>
      <w:start w:val="7"/>
    </w:lvl>
  </w:abstractNum>
  <w:abstractNum w:abstractNumId="94">
    <w:nsid w:val="5D888A08"/>
    <w:multiLevelType w:val="hybridMultilevel"/>
    <w:lvl w:ilvl="0">
      <w:lvlJc w:val="left"/>
      <w:lvlText w:val="%1."/>
      <w:numFmt w:val="decimal"/>
      <w:start w:val="8"/>
    </w:lvl>
  </w:abstractNum>
  <w:abstractNum w:abstractNumId="95">
    <w:nsid w:val="2A082C70"/>
    <w:multiLevelType w:val="hybridMultilevel"/>
    <w:lvl w:ilvl="0">
      <w:lvlJc w:val="left"/>
      <w:lvlText w:val="1"/>
      <w:numFmt w:val="bullet"/>
      <w:start w:val="1"/>
    </w:lvl>
  </w:abstractNum>
  <w:abstractNum w:abstractNumId="96">
    <w:nsid w:val="5EC6AFD4"/>
    <w:multiLevelType w:val="hybridMultilevel"/>
    <w:lvl w:ilvl="0">
      <w:lvlJc w:val="left"/>
      <w:lvlText w:val="2"/>
      <w:numFmt w:val="bullet"/>
      <w:start w:val="1"/>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4"/>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lowerLetter"/>
      <w:start w:val="1"/>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3"/>
      <w:numFmt w:val="bullet"/>
      <w:start w:val="1"/>
    </w:lvl>
  </w:abstractNum>
  <w:abstractNum w:abstractNumId="103">
    <w:nsid w:val="B37E80A"/>
    <w:multiLevelType w:val="hybridMultilevel"/>
    <w:lvl w:ilvl="0">
      <w:lvlJc w:val="left"/>
      <w:lvlText w:val="(%1)"/>
      <w:numFmt w:val="lowerLetter"/>
      <w:start w:val="1"/>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Letter"/>
      <w:start w:val="3"/>
    </w:lvl>
  </w:abstractNum>
  <w:abstractNum w:abstractNumId="106">
    <w:nsid w:val="57D2F10E"/>
    <w:multiLevelType w:val="hybridMultilevel"/>
    <w:lvl w:ilvl="0">
      <w:lvlJc w:val="left"/>
      <w:lvlText w:val="%1"/>
      <w:numFmt w:val="decimal"/>
      <w:start w:val="1"/>
    </w:lvl>
    <w:lvl w:ilvl="1">
      <w:lvlJc w:val="left"/>
      <w:lvlText w:val="(%2)"/>
      <w:numFmt w:val="lowerLetter"/>
      <w:start w:val="1"/>
    </w:lvl>
  </w:abstractNum>
  <w:abstractNum w:abstractNumId="107">
    <w:nsid w:val="BFFAE18"/>
    <w:multiLevelType w:val="hybridMultilevel"/>
    <w:lvl w:ilvl="0">
      <w:lvlJc w:val="left"/>
      <w:lvlText w:val="(%1)"/>
      <w:numFmt w:val="decimal"/>
      <w:start w:val="3"/>
    </w:lvl>
    <w:lvl w:ilvl="1">
      <w:lvlJc w:val="left"/>
      <w:lvlText w:val="(%2)"/>
      <w:numFmt w:val="lowerLetter"/>
      <w:start w:val="2"/>
    </w:lvl>
  </w:abstractNum>
  <w:abstractNum w:abstractNumId="108">
    <w:nsid w:val="E3E47A8"/>
    <w:multiLevelType w:val="hybridMultilevel"/>
    <w:lvl w:ilvl="0">
      <w:lvlJc w:val="left"/>
      <w:lvlText w:val="4"/>
      <w:numFmt w:val="bullet"/>
      <w:start w:val="1"/>
    </w:lvl>
  </w:abstractNum>
  <w:abstractNum w:abstractNumId="109">
    <w:nsid w:val="2E48F044"/>
    <w:multiLevelType w:val="hybridMultilevel"/>
    <w:lvl w:ilvl="0">
      <w:lvlJc w:val="left"/>
      <w:lvlText w:val="5"/>
      <w:numFmt w:val="bullet"/>
      <w:start w:val="1"/>
    </w:lvl>
  </w:abstractNum>
  <w:abstractNum w:abstractNumId="110">
    <w:nsid w:val="49D0FEAC"/>
    <w:multiLevelType w:val="hybridMultilevel"/>
    <w:lvl w:ilvl="0">
      <w:lvlJc w:val="left"/>
      <w:lvlText w:val="6"/>
      <w:numFmt w:val="bullet"/>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8"/>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1"/>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decimal"/>
      <w:start w:val="5"/>
    </w:lvl>
  </w:abstractNum>
  <w:abstractNum w:abstractNumId="118">
    <w:nsid w:val="7DFF9D09"/>
    <w:multiLevelType w:val="hybridMultilevel"/>
    <w:lvl w:ilvl="0">
      <w:lvlJc w:val="left"/>
      <w:lvlText w:val="7"/>
      <w:numFmt w:val="bullet"/>
      <w:start w:val="1"/>
    </w:lvl>
  </w:abstractNum>
  <w:abstractNum w:abstractNumId="119">
    <w:nsid w:val="754342"/>
    <w:multiLevelType w:val="hybridMultilevel"/>
    <w:lvl w:ilvl="0">
      <w:lvlJc w:val="left"/>
      <w:lvlText w:val="(%1)"/>
      <w:numFmt w:val="lowerLetter"/>
      <w:start w:val="3"/>
    </w:lvl>
  </w:abstractNum>
  <w:abstractNum w:abstractNumId="120">
    <w:nsid w:val="69E7F3E5"/>
    <w:multiLevelType w:val="hybridMultilevel"/>
    <w:lvl w:ilvl="0">
      <w:lvlJc w:val="left"/>
      <w:lvlText w:val="8"/>
      <w:numFmt w:val="bullet"/>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2"/>
    </w:lvl>
  </w:abstractNum>
  <w:abstractNum w:abstractNumId="124">
    <w:nsid w:val="7AB49DAF"/>
    <w:multiLevelType w:val="hybridMultilevel"/>
    <w:lvl w:ilvl="0">
      <w:lvlJc w:val="left"/>
      <w:lvlText w:val="(%1)"/>
      <w:numFmt w:val="decimal"/>
      <w:start w:val="10"/>
    </w:lvl>
  </w:abstractNum>
  <w:abstractNum w:abstractNumId="125">
    <w:nsid w:val="759F82CD"/>
    <w:multiLevelType w:val="hybridMultilevel"/>
    <w:lvl w:ilvl="0">
      <w:lvlJc w:val="left"/>
      <w:lvlText w:val="9"/>
      <w:numFmt w:val="bullet"/>
      <w:start w:val="1"/>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4"/>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lvl w:ilvl="1">
      <w:lvlJc w:val="left"/>
      <w:lvlText w:val="(%2)"/>
      <w:numFmt w:val="lowerRoman"/>
      <w:start w:val="1"/>
    </w:lvl>
  </w:abstractNum>
  <w:abstractNum w:abstractNumId="131">
    <w:nsid w:val="631B64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32">
    <w:nsid w:val="78B5E77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33">
    <w:nsid w:val="75486E47"/>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134">
    <w:nsid w:val="6E534CDE"/>
    <w:multiLevelType w:val="hybridMultilevel"/>
    <w:lvl w:ilvl="0">
      <w:lvlJc w:val="left"/>
      <w:lvlText w:val="(%1)"/>
      <w:numFmt w:val="lowerLetter"/>
      <w:start w:val="2"/>
    </w:lvl>
  </w:abstractNum>
  <w:abstractNum w:abstractNumId="135">
    <w:nsid w:val="1A0DDE32"/>
    <w:multiLevelType w:val="hybridMultilevel"/>
    <w:lvl w:ilvl="0">
      <w:lvlJc w:val="left"/>
      <w:lvlText w:val="(%1)"/>
      <w:numFmt w:val="lowerLetter"/>
      <w:start w:val="4"/>
    </w:lvl>
  </w:abstractNum>
  <w:abstractNum w:abstractNumId="136">
    <w:nsid w:val="65968C1C"/>
    <w:multiLevelType w:val="hybridMultilevel"/>
    <w:lvl w:ilvl="0">
      <w:lvlJc w:val="left"/>
      <w:lvlText w:val="(%1)"/>
      <w:numFmt w:val="lowerRoman"/>
      <w:start w:val="1"/>
    </w:lvl>
  </w:abstractNum>
  <w:abstractNum w:abstractNumId="137">
    <w:nsid w:val="46263DEC"/>
    <w:multiLevelType w:val="hybridMultilevel"/>
    <w:lvl w:ilvl="0">
      <w:lvlJc w:val="left"/>
      <w:lvlText w:val="(%1)"/>
      <w:numFmt w:val="lowerLetter"/>
      <w:start w:val="1"/>
    </w:lvl>
  </w:abstractNum>
  <w:abstractNum w:abstractNumId="138">
    <w:nsid w:val="260D8C4A"/>
    <w:multiLevelType w:val="hybridMultilevel"/>
    <w:lvl w:ilvl="0">
      <w:lvlJc w:val="left"/>
      <w:lvlText w:val="(%1)"/>
      <w:numFmt w:val="lowerLetter"/>
      <w:start w:val="3"/>
    </w:lvl>
  </w:abstractNum>
  <w:abstractNum w:abstractNumId="139">
    <w:nsid w:val="73D4D3C4"/>
    <w:multiLevelType w:val="hybridMultilevel"/>
    <w:lvl w:ilvl="0">
      <w:lvlJc w:val="left"/>
      <w:lvlText w:val="(%1)"/>
      <w:numFmt w:val="lowerRoman"/>
      <w:start w:val="2"/>
    </w:lvl>
  </w:abstractNum>
  <w:abstractNum w:abstractNumId="140">
    <w:nsid w:val="746F2E30"/>
    <w:multiLevelType w:val="hybridMultilevel"/>
    <w:lvl w:ilvl="0">
      <w:lvlJc w:val="left"/>
      <w:lvlText w:val="(%1)"/>
      <w:numFmt w:val="lowerLetter"/>
      <w:start w:val="4"/>
    </w:lvl>
  </w:abstractNum>
  <w:abstractNum w:abstractNumId="141">
    <w:nsid w:val="6FDE8AF6"/>
    <w:multiLevelType w:val="hybridMultilevel"/>
    <w:lvl w:ilvl="0">
      <w:lvlJc w:val="left"/>
      <w:lvlText w:val="(%1)"/>
      <w:numFmt w:val="lowerLetter"/>
      <w:start w:val="2"/>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lowerLetter"/>
      <w:start w:val="2"/>
    </w:lvl>
  </w:abstractNum>
  <w:abstractNum w:abstractNumId="145">
    <w:nsid w:val="230F856C"/>
    <w:multiLevelType w:val="hybridMultilevel"/>
    <w:lvl w:ilvl="0">
      <w:lvlJc w:val="left"/>
      <w:lvlText w:val="(%1)"/>
      <w:numFmt w:val="lowerLetter"/>
      <w:start w:val="4"/>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3"/>
    </w:lvl>
  </w:abstractNum>
  <w:abstractNum w:abstractNumId="148">
    <w:nsid w:val="3B594807"/>
    <w:multiLevelType w:val="hybridMultilevel"/>
    <w:lvl w:ilvl="0">
      <w:lvlJc w:val="left"/>
      <w:lvlText w:val="(%1)"/>
      <w:numFmt w:val="lowerLetter"/>
      <w:start w:val="1"/>
    </w:lvl>
  </w:abstractNum>
  <w:abstractNum w:abstractNumId="149">
    <w:nsid w:val="6CAA2304"/>
    <w:multiLevelType w:val="hybridMultilevel"/>
    <w:lvl w:ilvl="0">
      <w:lvlJc w:val="left"/>
      <w:lvlText w:val="(%1)"/>
      <w:numFmt w:val="lowerLetter"/>
      <w:start w:val="11"/>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1)"/>
      <w:numFmt w:val="lowerLetter"/>
      <w:start w:val="1"/>
    </w:lvl>
  </w:abstractNum>
  <w:abstractNum w:abstractNumId="152">
    <w:nsid w:val="17180B0B"/>
    <w:multiLevelType w:val="hybridMultilevel"/>
    <w:lvl w:ilvl="0">
      <w:lvlJc w:val="left"/>
      <w:lvlText w:val="(%1)"/>
      <w:numFmt w:val="lowerLetter"/>
      <w:start w:val="1"/>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1."/>
      <w:numFmt w:val="decimal"/>
      <w:start w:val="1"/>
    </w:lvl>
  </w:abstractNum>
  <w:abstractNum w:abstractNumId="155">
    <w:nsid w:val="11CCA8BA"/>
    <w:multiLevelType w:val="hybridMultilevel"/>
    <w:lvl w:ilvl="0">
      <w:lvlJc w:val="left"/>
      <w:lvlText w:val="%1."/>
      <w:numFmt w:val="decimal"/>
      <w:start w:val="7"/>
    </w:lvl>
  </w:abstractNum>
  <w:abstractNum w:abstractNumId="156">
    <w:nsid w:val="4D32AB86"/>
    <w:multiLevelType w:val="hybridMultilevel"/>
    <w:lvl w:ilvl="0">
      <w:lvlJc w:val="left"/>
      <w:lvlText w:val="%1."/>
      <w:numFmt w:val="decimal"/>
      <w:start w:val="8"/>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03"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188" Type="http://schemas.openxmlformats.org/officeDocument/2006/relationships/hyperlink" Target="http://www.sec.gov/Archives/edgar/data/1579428/000110465915081125/a15-24048_1ex3d1.htm" TargetMode="External"/><Relationship Id="rId189" Type="http://schemas.openxmlformats.org/officeDocument/2006/relationships/hyperlink" Target="http://www.sec.gov/Archives/edgar/data/1579428/000110465915081125/a15-24048_1ex3d2.htm" TargetMode="External"/><Relationship Id="rId190" Type="http://schemas.openxmlformats.org/officeDocument/2006/relationships/hyperlink" Target="http://www.sec.gov/Archives/edgar/data/1579428/000104746915008199/a2226320zex-4_1.htm" TargetMode="External"/><Relationship Id="rId191" Type="http://schemas.openxmlformats.org/officeDocument/2006/relationships/hyperlink" Target="http://www.sec.gov/Archives/edgar/data/1579428/000104746915007821/a2226220zex-4_2.htm" TargetMode="External"/><Relationship Id="rId192" Type="http://schemas.openxmlformats.org/officeDocument/2006/relationships/hyperlink" Target="http://www.sec.gov/Archives/edgar/data/1579428/000104746915007821/a2226220zex-4_3.htm" TargetMode="External"/><Relationship Id="rId193" Type="http://schemas.openxmlformats.org/officeDocument/2006/relationships/hyperlink" Target="http://www.sec.gov/Archives/edgar/data/1579428/000110465916156253/a16-21456_1ex4d1.htm" TargetMode="External"/><Relationship Id="rId194" Type="http://schemas.openxmlformats.org/officeDocument/2006/relationships/hyperlink" Target="http://www.sec.gov/Archives/edgar/data/1579428/000110465916156253/a16-21456_1ex4d2.htm" TargetMode="External"/><Relationship Id="rId195" Type="http://schemas.openxmlformats.org/officeDocument/2006/relationships/hyperlink" Target="http://www.sec.gov/Archives/edgar/data/1579428/000110465917071533/a17-27901_1ex4d1.htm" TargetMode="External"/><Relationship Id="rId196" Type="http://schemas.openxmlformats.org/officeDocument/2006/relationships/hyperlink" Target="http://www.sec.gov/Archives/edgar/data/1579428/000104746915007821/a2226220zex-10_1.htm" TargetMode="External"/><Relationship Id="rId197" Type="http://schemas.openxmlformats.org/officeDocument/2006/relationships/hyperlink" Target="http://www.sec.gov/Archives/edgar/data/1579428/000104746915008199/a2226320zex-10_6.htm" TargetMode="External"/><Relationship Id="rId198" Type="http://schemas.openxmlformats.org/officeDocument/2006/relationships/hyperlink" Target="http://www.sec.gov/Archives/edgar/data/1579428/000110465915085196/a15-24973_1ex99d2.htm" TargetMode="External"/><Relationship Id="rId199" Type="http://schemas.openxmlformats.org/officeDocument/2006/relationships/hyperlink" Target="http://www.sec.gov/Archives/edgar/data/1579428/000104746915007821/a2226220zex-10_2.htm" TargetMode="External"/><Relationship Id="rId200" Type="http://schemas.openxmlformats.org/officeDocument/2006/relationships/hyperlink" Target="http://www.sec.gov/Archives/edgar/data/1579428/000104746915007821/a2226220zex-10_3.htm" TargetMode="External"/><Relationship Id="rId201" Type="http://schemas.openxmlformats.org/officeDocument/2006/relationships/hyperlink" Target="http://www.sec.gov/Archives/edgar/data/1579428/000104746915007821/a2226220zex-10_4.htm" TargetMode="External"/><Relationship Id="rId202" Type="http://schemas.openxmlformats.org/officeDocument/2006/relationships/hyperlink" Target="http://www.sec.gov/Archives/edgar/data/1579428/000104746915007821/a2226220zex-10_5.htm" TargetMode="External"/><Relationship Id="rId204" Type="http://schemas.openxmlformats.org/officeDocument/2006/relationships/hyperlink" Target="http://www.sec.gov/Archives/edgar/data/1579428/000110465916156253/a16-21456_1ex10d1.htm" TargetMode="External"/><Relationship Id="rId205" Type="http://schemas.openxmlformats.org/officeDocument/2006/relationships/hyperlink" Target="http://www.sec.gov/Archives/edgar/data/1579428/000155837017006445/axsm-20170630ex10181dfc0.htm" TargetMode="External"/><Relationship Id="rId206" Type="http://schemas.openxmlformats.org/officeDocument/2006/relationships/hyperlink" Target="http://www.sec.gov/Archives/edgar/data/1579428/000110465917071533/a17-27901_1ex10d1.htm" TargetMode="External"/><Relationship Id="rId207" Type="http://schemas.openxmlformats.org/officeDocument/2006/relationships/hyperlink" Target="http://www.sec.gov/Archives/edgar/data/1579428/000155837018006756/axsm-20180630ex1017df60b.htm" TargetMode="External"/><Relationship Id="rId208" Type="http://schemas.openxmlformats.org/officeDocument/2006/relationships/hyperlink" Target="http://www.sec.gov/Archives/edgar/data/1579428/000110465918059225/a18-36094_1ex10d1.htm" TargetMode="External"/><Relationship Id="rId209" Type="http://schemas.openxmlformats.org/officeDocument/2006/relationships/hyperlink" Target="http://www.sec.gov/Archives/edgar/data/1579428/000104746915007821/a222622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2019-12-28T14:42:36Z</dcterms:created>
  <dcterms:modified xsi:type="dcterms:W3CDTF">2019-12-28T14:42:36Z</dcterms:modified>
</cp:coreProperties>
</file>